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emf" ContentType="image/x-emf"/>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0"/>
          <w:szCs w:val="28"/>
          <w:lang w:val="en-US"/>
        </w:rPr>
        <w:id w:val="18359549"/>
        <w:docPartObj>
          <w:docPartGallery w:val="Cover Pages"/>
          <w:docPartUnique/>
        </w:docPartObj>
      </w:sdtPr>
      <w:sdtEndPr>
        <w:rPr>
          <w:color w:val="auto"/>
        </w:rPr>
      </w:sdtEndPr>
      <w:sdtContent>
        <w:p w:rsidR="005D3440" w:rsidRPr="00812E8B" w:rsidRDefault="005D3440">
          <w:pPr>
            <w:rPr>
              <w:lang w:val="en-US"/>
            </w:rPr>
          </w:pPr>
        </w:p>
        <w:tbl>
          <w:tblPr>
            <w:tblpPr w:leftFromText="180" w:rightFromText="180" w:vertAnchor="page" w:horzAnchor="margin" w:tblpXSpec="center" w:tblpY="1576"/>
            <w:tblW w:w="5484" w:type="pct"/>
            <w:tblLook w:val="04A0"/>
          </w:tblPr>
          <w:tblGrid>
            <w:gridCol w:w="10187"/>
          </w:tblGrid>
          <w:tr w:rsidR="005861DA" w:rsidRPr="00812E8B" w:rsidTr="005861DA">
            <w:trPr>
              <w:trHeight w:val="1804"/>
            </w:trPr>
            <w:tc>
              <w:tcPr>
                <w:tcW w:w="5000" w:type="pct"/>
                <w:tcBorders>
                  <w:bottom w:val="single" w:sz="4" w:space="0" w:color="4F81BD" w:themeColor="accent1"/>
                </w:tcBorders>
                <w:vAlign w:val="bottom"/>
              </w:tcPr>
              <w:p w:rsidR="005861DA" w:rsidRPr="00812E8B" w:rsidRDefault="005861DA" w:rsidP="005861DA">
                <w:pPr>
                  <w:pStyle w:val="NoSpacing"/>
                  <w:spacing w:line="300" w:lineRule="auto"/>
                  <w:jc w:val="center"/>
                  <w:rPr>
                    <w:rFonts w:asciiTheme="majorHAnsi" w:eastAsiaTheme="majorEastAsia" w:hAnsiTheme="majorHAnsi" w:cstheme="majorBidi"/>
                    <w:sz w:val="80"/>
                    <w:szCs w:val="80"/>
                    <w:lang w:val="en-US"/>
                  </w:rPr>
                </w:pPr>
                <w:r w:rsidRPr="00812E8B">
                  <w:rPr>
                    <w:rFonts w:asciiTheme="majorHAnsi" w:eastAsiaTheme="majorEastAsia" w:hAnsiTheme="majorHAnsi" w:cstheme="majorBidi"/>
                    <w:sz w:val="66"/>
                    <w:szCs w:val="66"/>
                    <w:lang w:val="en-US"/>
                  </w:rPr>
                  <w:t>B</w:t>
                </w:r>
                <w:r w:rsidRPr="00812E8B">
                  <w:rPr>
                    <w:rFonts w:asciiTheme="majorHAnsi" w:eastAsiaTheme="majorEastAsia" w:hAnsiTheme="majorHAnsi" w:cstheme="majorBidi"/>
                    <w:sz w:val="60"/>
                    <w:szCs w:val="60"/>
                    <w:lang w:val="en-US"/>
                  </w:rPr>
                  <w:t xml:space="preserve">ANKS’ </w:t>
                </w:r>
                <w:r w:rsidRPr="00812E8B">
                  <w:rPr>
                    <w:rFonts w:asciiTheme="majorHAnsi" w:eastAsiaTheme="majorEastAsia" w:hAnsiTheme="majorHAnsi" w:cstheme="majorBidi"/>
                    <w:sz w:val="66"/>
                    <w:szCs w:val="66"/>
                    <w:lang w:val="en-US"/>
                  </w:rPr>
                  <w:t>P</w:t>
                </w:r>
                <w:r w:rsidRPr="00812E8B">
                  <w:rPr>
                    <w:rFonts w:asciiTheme="majorHAnsi" w:eastAsiaTheme="majorEastAsia" w:hAnsiTheme="majorHAnsi" w:cstheme="majorBidi"/>
                    <w:sz w:val="60"/>
                    <w:szCs w:val="60"/>
                    <w:lang w:val="en-US"/>
                  </w:rPr>
                  <w:t>ROFITABILITY</w:t>
                </w:r>
              </w:p>
            </w:tc>
          </w:tr>
          <w:tr w:rsidR="005861DA" w:rsidRPr="007D2EA6" w:rsidTr="005861DA">
            <w:trPr>
              <w:trHeight w:val="1326"/>
            </w:trPr>
            <w:tc>
              <w:tcPr>
                <w:tcW w:w="5000" w:type="pct"/>
                <w:tcBorders>
                  <w:top w:val="single" w:sz="4" w:space="0" w:color="4F81BD" w:themeColor="accent1"/>
                </w:tcBorders>
                <w:vAlign w:val="center"/>
              </w:tcPr>
              <w:p w:rsidR="005861DA" w:rsidRPr="00812E8B" w:rsidRDefault="005861DA" w:rsidP="005861DA">
                <w:pPr>
                  <w:pStyle w:val="NoSpacing"/>
                  <w:jc w:val="center"/>
                  <w:rPr>
                    <w:rFonts w:asciiTheme="majorHAnsi" w:eastAsiaTheme="majorEastAsia" w:hAnsiTheme="majorHAnsi" w:cstheme="majorBidi"/>
                    <w:sz w:val="44"/>
                    <w:szCs w:val="44"/>
                    <w:lang w:val="en-US"/>
                  </w:rPr>
                </w:pPr>
                <w:r w:rsidRPr="00812E8B">
                  <w:rPr>
                    <w:rFonts w:asciiTheme="majorHAnsi" w:eastAsiaTheme="majorEastAsia" w:hAnsiTheme="majorHAnsi" w:cstheme="majorBidi"/>
                    <w:sz w:val="44"/>
                    <w:szCs w:val="44"/>
                    <w:lang w:val="en-US"/>
                  </w:rPr>
                  <w:t>A</w:t>
                </w:r>
                <w:r w:rsidRPr="00812E8B">
                  <w:rPr>
                    <w:rFonts w:asciiTheme="majorHAnsi" w:eastAsiaTheme="majorEastAsia" w:hAnsiTheme="majorHAnsi" w:cstheme="majorBidi"/>
                    <w:sz w:val="38"/>
                    <w:szCs w:val="38"/>
                    <w:lang w:val="en-US"/>
                  </w:rPr>
                  <w:t xml:space="preserve">N </w:t>
                </w:r>
                <w:r w:rsidRPr="00812E8B">
                  <w:rPr>
                    <w:rFonts w:asciiTheme="majorHAnsi" w:eastAsiaTheme="majorEastAsia" w:hAnsiTheme="majorHAnsi" w:cstheme="majorBidi"/>
                    <w:sz w:val="44"/>
                    <w:szCs w:val="44"/>
                    <w:lang w:val="en-US"/>
                  </w:rPr>
                  <w:t>E</w:t>
                </w:r>
                <w:r w:rsidRPr="00812E8B">
                  <w:rPr>
                    <w:rFonts w:asciiTheme="majorHAnsi" w:eastAsiaTheme="majorEastAsia" w:hAnsiTheme="majorHAnsi" w:cstheme="majorBidi"/>
                    <w:sz w:val="38"/>
                    <w:szCs w:val="38"/>
                    <w:lang w:val="en-US"/>
                  </w:rPr>
                  <w:t xml:space="preserve">XAMINATION OF THE </w:t>
                </w:r>
                <w:r w:rsidRPr="00812E8B">
                  <w:rPr>
                    <w:rFonts w:asciiTheme="majorHAnsi" w:eastAsiaTheme="majorEastAsia" w:hAnsiTheme="majorHAnsi" w:cstheme="majorBidi"/>
                    <w:sz w:val="44"/>
                    <w:szCs w:val="44"/>
                    <w:lang w:val="en-US"/>
                  </w:rPr>
                  <w:t>D</w:t>
                </w:r>
                <w:r w:rsidRPr="00812E8B">
                  <w:rPr>
                    <w:rFonts w:asciiTheme="majorHAnsi" w:eastAsiaTheme="majorEastAsia" w:hAnsiTheme="majorHAnsi" w:cstheme="majorBidi"/>
                    <w:sz w:val="38"/>
                    <w:szCs w:val="38"/>
                    <w:lang w:val="en-US"/>
                  </w:rPr>
                  <w:t>ETERMINANTS OF</w:t>
                </w:r>
                <w:r w:rsidRPr="00812E8B">
                  <w:rPr>
                    <w:rFonts w:asciiTheme="majorHAnsi" w:eastAsiaTheme="majorEastAsia" w:hAnsiTheme="majorHAnsi" w:cstheme="majorBidi"/>
                    <w:sz w:val="44"/>
                    <w:szCs w:val="44"/>
                    <w:lang w:val="en-US"/>
                  </w:rPr>
                  <w:t xml:space="preserve"> </w:t>
                </w:r>
                <w:r w:rsidRPr="00812E8B">
                  <w:rPr>
                    <w:rFonts w:asciiTheme="majorHAnsi" w:eastAsiaTheme="majorEastAsia" w:hAnsiTheme="majorHAnsi" w:cstheme="majorBidi"/>
                    <w:sz w:val="38"/>
                    <w:szCs w:val="38"/>
                    <w:lang w:val="en-US"/>
                  </w:rPr>
                  <w:t xml:space="preserve"> </w:t>
                </w:r>
                <w:r w:rsidRPr="00812E8B">
                  <w:rPr>
                    <w:rFonts w:asciiTheme="majorHAnsi" w:eastAsiaTheme="majorEastAsia" w:hAnsiTheme="majorHAnsi" w:cstheme="majorBidi"/>
                    <w:sz w:val="44"/>
                    <w:szCs w:val="44"/>
                    <w:lang w:val="en-US"/>
                  </w:rPr>
                  <w:t>B</w:t>
                </w:r>
                <w:r w:rsidRPr="00812E8B">
                  <w:rPr>
                    <w:rFonts w:asciiTheme="majorHAnsi" w:eastAsiaTheme="majorEastAsia" w:hAnsiTheme="majorHAnsi" w:cstheme="majorBidi"/>
                    <w:sz w:val="38"/>
                    <w:szCs w:val="38"/>
                    <w:lang w:val="en-US"/>
                  </w:rPr>
                  <w:t>ANKS’</w:t>
                </w:r>
                <w:r w:rsidRPr="00812E8B">
                  <w:rPr>
                    <w:rFonts w:asciiTheme="majorHAnsi" w:eastAsiaTheme="majorEastAsia" w:hAnsiTheme="majorHAnsi" w:cstheme="majorBidi"/>
                    <w:sz w:val="44"/>
                    <w:szCs w:val="44"/>
                    <w:lang w:val="en-US"/>
                  </w:rPr>
                  <w:t xml:space="preserve">  P</w:t>
                </w:r>
                <w:r w:rsidRPr="00812E8B">
                  <w:rPr>
                    <w:rFonts w:asciiTheme="majorHAnsi" w:eastAsiaTheme="majorEastAsia" w:hAnsiTheme="majorHAnsi" w:cstheme="majorBidi"/>
                    <w:sz w:val="38"/>
                    <w:szCs w:val="38"/>
                    <w:lang w:val="en-US"/>
                  </w:rPr>
                  <w:t>ROFITABILITY IN THE</w:t>
                </w:r>
                <w:r w:rsidRPr="00812E8B">
                  <w:rPr>
                    <w:rFonts w:asciiTheme="majorHAnsi" w:eastAsiaTheme="majorEastAsia" w:hAnsiTheme="majorHAnsi" w:cstheme="majorBidi"/>
                    <w:sz w:val="44"/>
                    <w:szCs w:val="44"/>
                    <w:lang w:val="en-US"/>
                  </w:rPr>
                  <w:t xml:space="preserve"> E</w:t>
                </w:r>
                <w:r w:rsidRPr="00812E8B">
                  <w:rPr>
                    <w:rFonts w:asciiTheme="majorHAnsi" w:eastAsiaTheme="majorEastAsia" w:hAnsiTheme="majorHAnsi" w:cstheme="majorBidi"/>
                    <w:sz w:val="38"/>
                    <w:szCs w:val="38"/>
                    <w:lang w:val="en-US"/>
                  </w:rPr>
                  <w:t xml:space="preserve">UROPEAN </w:t>
                </w:r>
                <w:r w:rsidRPr="00812E8B">
                  <w:rPr>
                    <w:rFonts w:asciiTheme="majorHAnsi" w:eastAsiaTheme="majorEastAsia" w:hAnsiTheme="majorHAnsi" w:cstheme="majorBidi"/>
                    <w:sz w:val="44"/>
                    <w:szCs w:val="44"/>
                    <w:lang w:val="en-US"/>
                  </w:rPr>
                  <w:t>B</w:t>
                </w:r>
                <w:r w:rsidRPr="00812E8B">
                  <w:rPr>
                    <w:rFonts w:asciiTheme="majorHAnsi" w:eastAsiaTheme="majorEastAsia" w:hAnsiTheme="majorHAnsi" w:cstheme="majorBidi"/>
                    <w:sz w:val="38"/>
                    <w:szCs w:val="38"/>
                    <w:lang w:val="en-US"/>
                  </w:rPr>
                  <w:t xml:space="preserve">ANKING </w:t>
                </w:r>
                <w:r w:rsidRPr="00812E8B">
                  <w:rPr>
                    <w:rFonts w:asciiTheme="majorHAnsi" w:eastAsiaTheme="majorEastAsia" w:hAnsiTheme="majorHAnsi" w:cstheme="majorBidi"/>
                    <w:sz w:val="44"/>
                    <w:szCs w:val="44"/>
                    <w:lang w:val="en-US"/>
                  </w:rPr>
                  <w:t>S</w:t>
                </w:r>
                <w:r w:rsidRPr="00812E8B">
                  <w:rPr>
                    <w:rFonts w:asciiTheme="majorHAnsi" w:eastAsiaTheme="majorEastAsia" w:hAnsiTheme="majorHAnsi" w:cstheme="majorBidi"/>
                    <w:sz w:val="38"/>
                    <w:szCs w:val="38"/>
                    <w:lang w:val="en-US"/>
                  </w:rPr>
                  <w:t>ECTOR</w:t>
                </w:r>
              </w:p>
            </w:tc>
          </w:tr>
          <w:tr w:rsidR="005861DA" w:rsidRPr="007D2EA6" w:rsidTr="005861DA">
            <w:trPr>
              <w:trHeight w:val="360"/>
            </w:trPr>
            <w:tc>
              <w:tcPr>
                <w:tcW w:w="5000" w:type="pct"/>
                <w:vAlign w:val="center"/>
              </w:tcPr>
              <w:p w:rsidR="005861DA" w:rsidRPr="00812E8B" w:rsidRDefault="005861DA" w:rsidP="005861DA">
                <w:pPr>
                  <w:pStyle w:val="NoSpacing"/>
                  <w:rPr>
                    <w:lang w:val="en-US"/>
                  </w:rPr>
                </w:pPr>
              </w:p>
            </w:tc>
          </w:tr>
          <w:tr w:rsidR="005861DA" w:rsidRPr="00812E8B" w:rsidTr="005861DA">
            <w:trPr>
              <w:trHeight w:val="360"/>
            </w:trPr>
            <w:tc>
              <w:tcPr>
                <w:tcW w:w="5000" w:type="pct"/>
                <w:vAlign w:val="center"/>
              </w:tcPr>
              <w:p w:rsidR="005861DA" w:rsidRPr="005F4A48" w:rsidRDefault="00D46A7F" w:rsidP="005861DA">
                <w:pPr>
                  <w:pStyle w:val="NoSpacing"/>
                  <w:jc w:val="center"/>
                  <w:rPr>
                    <w:bCs/>
                  </w:rPr>
                </w:pPr>
                <w:sdt>
                  <w:sdtPr>
                    <w:rPr>
                      <w:bCs/>
                      <w:sz w:val="26"/>
                      <w:szCs w:val="26"/>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5861DA" w:rsidRPr="005F4A48">
                      <w:rPr>
                        <w:bCs/>
                        <w:sz w:val="26"/>
                        <w:szCs w:val="26"/>
                      </w:rPr>
                      <w:t>S. (Stefan) van Ommeren</w:t>
                    </w:r>
                  </w:sdtContent>
                </w:sdt>
                <w:r w:rsidR="005861DA" w:rsidRPr="00812E8B">
                  <w:rPr>
                    <w:rFonts w:ascii="Times New Roman" w:hAnsi="Times New Roman" w:cs="Times New Roman"/>
                    <w:bCs/>
                    <w:sz w:val="26"/>
                    <w:szCs w:val="26"/>
                    <w:vertAlign w:val="superscript"/>
                    <w:lang w:val="en-US"/>
                  </w:rPr>
                  <w:t>ϕ</w:t>
                </w:r>
              </w:p>
            </w:tc>
          </w:tr>
          <w:tr w:rsidR="005861DA" w:rsidRPr="00812E8B" w:rsidTr="005861DA">
            <w:trPr>
              <w:trHeight w:val="360"/>
            </w:trPr>
            <w:tc>
              <w:tcPr>
                <w:tcW w:w="5000" w:type="pct"/>
                <w:vAlign w:val="center"/>
              </w:tcPr>
              <w:p w:rsidR="005861DA" w:rsidRPr="005F4A48" w:rsidRDefault="005861DA" w:rsidP="005861DA">
                <w:pPr>
                  <w:pStyle w:val="NoSpacing"/>
                  <w:rPr>
                    <w:b/>
                    <w:bCs/>
                  </w:rPr>
                </w:pPr>
              </w:p>
            </w:tc>
          </w:tr>
          <w:tr w:rsidR="005861DA" w:rsidRPr="00812E8B" w:rsidTr="005861DA">
            <w:trPr>
              <w:trHeight w:val="360"/>
            </w:trPr>
            <w:tc>
              <w:tcPr>
                <w:tcW w:w="5000" w:type="pct"/>
                <w:vAlign w:val="center"/>
              </w:tcPr>
              <w:p w:rsidR="005861DA" w:rsidRPr="00812E8B" w:rsidRDefault="00617224" w:rsidP="00617224">
                <w:pPr>
                  <w:pStyle w:val="NoSpacing"/>
                  <w:jc w:val="center"/>
                  <w:rPr>
                    <w:b/>
                    <w:bCs/>
                    <w:sz w:val="24"/>
                    <w:szCs w:val="24"/>
                    <w:lang w:val="en-US"/>
                  </w:rPr>
                </w:pPr>
                <w:r w:rsidRPr="00812E8B">
                  <w:rPr>
                    <w:bCs/>
                    <w:sz w:val="24"/>
                    <w:szCs w:val="24"/>
                    <w:lang w:val="en-US"/>
                  </w:rPr>
                  <w:t>October 14</w:t>
                </w:r>
                <w:r w:rsidRPr="00812E8B">
                  <w:rPr>
                    <w:bCs/>
                    <w:sz w:val="24"/>
                    <w:szCs w:val="24"/>
                    <w:vertAlign w:val="superscript"/>
                    <w:lang w:val="en-US"/>
                  </w:rPr>
                  <w:t>th</w:t>
                </w:r>
                <w:r w:rsidRPr="00812E8B">
                  <w:rPr>
                    <w:bCs/>
                    <w:sz w:val="24"/>
                    <w:szCs w:val="24"/>
                    <w:lang w:val="en-US"/>
                  </w:rPr>
                  <w:t>, 2011</w:t>
                </w:r>
              </w:p>
            </w:tc>
          </w:tr>
        </w:tbl>
        <w:p w:rsidR="00953D60" w:rsidRPr="00812E8B" w:rsidRDefault="00953D60">
          <w:pPr>
            <w:rPr>
              <w:lang w:val="en-US"/>
            </w:rPr>
          </w:pPr>
        </w:p>
        <w:tbl>
          <w:tblPr>
            <w:tblpPr w:leftFromText="187" w:rightFromText="187" w:vertAnchor="page" w:horzAnchor="margin" w:tblpY="6749"/>
            <w:tblW w:w="5000" w:type="pct"/>
            <w:tblLook w:val="04A0"/>
          </w:tblPr>
          <w:tblGrid>
            <w:gridCol w:w="9288"/>
          </w:tblGrid>
          <w:tr w:rsidR="005861DA" w:rsidRPr="007D2EA6" w:rsidTr="005861DA">
            <w:trPr>
              <w:trHeight w:val="2967"/>
            </w:trPr>
            <w:tc>
              <w:tcPr>
                <w:tcW w:w="5000" w:type="pct"/>
                <w:shd w:val="clear" w:color="auto" w:fill="auto"/>
              </w:tcPr>
              <w:p w:rsidR="005861DA" w:rsidRPr="00812E8B" w:rsidRDefault="005861DA" w:rsidP="00617224">
                <w:pPr>
                  <w:pStyle w:val="NoSpacing"/>
                  <w:spacing w:line="276" w:lineRule="auto"/>
                  <w:ind w:left="567" w:right="612"/>
                  <w:jc w:val="center"/>
                  <w:rPr>
                    <w:b/>
                    <w:sz w:val="26"/>
                    <w:szCs w:val="26"/>
                    <w:lang w:val="en-US"/>
                  </w:rPr>
                </w:pPr>
                <w:r w:rsidRPr="00812E8B">
                  <w:rPr>
                    <w:b/>
                    <w:sz w:val="24"/>
                    <w:szCs w:val="24"/>
                    <w:lang w:val="en-US"/>
                  </w:rPr>
                  <w:t>A</w:t>
                </w:r>
                <w:r w:rsidRPr="00812E8B">
                  <w:rPr>
                    <w:b/>
                    <w:sz w:val="20"/>
                    <w:szCs w:val="20"/>
                    <w:lang w:val="en-US"/>
                  </w:rPr>
                  <w:t>BSTRACT</w:t>
                </w:r>
              </w:p>
              <w:p w:rsidR="005861DA" w:rsidRPr="00812E8B" w:rsidRDefault="005F4A48" w:rsidP="005861DA">
                <w:pPr>
                  <w:pStyle w:val="NoSpacing"/>
                  <w:spacing w:line="276" w:lineRule="auto"/>
                  <w:ind w:left="450" w:right="612"/>
                  <w:jc w:val="both"/>
                  <w:rPr>
                    <w:b/>
                    <w:i/>
                    <w:sz w:val="20"/>
                    <w:szCs w:val="20"/>
                    <w:lang w:val="en-US"/>
                  </w:rPr>
                </w:pPr>
                <w:r w:rsidRPr="00812E8B">
                  <w:rPr>
                    <w:sz w:val="20"/>
                    <w:szCs w:val="20"/>
                    <w:lang w:val="en-US"/>
                  </w:rPr>
                  <w:t xml:space="preserve">This thesis </w:t>
                </w:r>
                <w:r>
                  <w:rPr>
                    <w:sz w:val="20"/>
                    <w:szCs w:val="20"/>
                    <w:lang w:val="en-US"/>
                  </w:rPr>
                  <w:t xml:space="preserve">examines </w:t>
                </w:r>
                <w:r w:rsidR="005861DA" w:rsidRPr="00812E8B">
                  <w:rPr>
                    <w:sz w:val="20"/>
                    <w:szCs w:val="20"/>
                    <w:lang w:val="en-US"/>
                  </w:rPr>
                  <w:t xml:space="preserve">determinants of banks’ profitability in the European banking sector. The descriptive analysis indicates that the banking sector is unique compared to other industry sectors since </w:t>
                </w:r>
                <w:r>
                  <w:rPr>
                    <w:sz w:val="20"/>
                    <w:szCs w:val="20"/>
                    <w:lang w:val="en-US"/>
                  </w:rPr>
                  <w:t xml:space="preserve">the sector is heavily regulated and since that </w:t>
                </w:r>
                <w:r w:rsidRPr="00812E8B">
                  <w:rPr>
                    <w:sz w:val="20"/>
                    <w:szCs w:val="20"/>
                    <w:lang w:val="en-US"/>
                  </w:rPr>
                  <w:t xml:space="preserve">commercial, mutual, co-operative and government-owned banks jointly operate in </w:t>
                </w:r>
                <w:r>
                  <w:rPr>
                    <w:sz w:val="20"/>
                    <w:szCs w:val="20"/>
                    <w:lang w:val="en-US"/>
                  </w:rPr>
                  <w:t>the</w:t>
                </w:r>
                <w:r w:rsidRPr="00812E8B">
                  <w:rPr>
                    <w:sz w:val="20"/>
                    <w:szCs w:val="20"/>
                    <w:lang w:val="en-US"/>
                  </w:rPr>
                  <w:t xml:space="preserve"> </w:t>
                </w:r>
                <w:r>
                  <w:rPr>
                    <w:sz w:val="20"/>
                    <w:szCs w:val="20"/>
                    <w:lang w:val="en-US"/>
                  </w:rPr>
                  <w:t>sector</w:t>
                </w:r>
                <w:r w:rsidR="005861DA" w:rsidRPr="00812E8B">
                  <w:rPr>
                    <w:sz w:val="20"/>
                    <w:szCs w:val="20"/>
                    <w:lang w:val="en-US"/>
                  </w:rPr>
                  <w:t xml:space="preserve">. Hence, the empirical part of this thesis takes into account, in particular, regulation and ownership issues. The analysis extends research of </w:t>
                </w:r>
                <w:r w:rsidR="005861DA" w:rsidRPr="00812E8B">
                  <w:rPr>
                    <w:color w:val="365F91" w:themeColor="accent1" w:themeShade="BF"/>
                    <w:sz w:val="20"/>
                    <w:szCs w:val="20"/>
                    <w:lang w:val="en-US"/>
                  </w:rPr>
                  <w:t>Dietrich and Wanzenried (2011</w:t>
                </w:r>
                <w:r w:rsidR="005861DA" w:rsidRPr="00812E8B">
                  <w:rPr>
                    <w:sz w:val="20"/>
                    <w:szCs w:val="20"/>
                    <w:lang w:val="en-US"/>
                  </w:rPr>
                  <w:t xml:space="preserve">) by examining additional determinants </w:t>
                </w:r>
                <w:r>
                  <w:rPr>
                    <w:sz w:val="20"/>
                    <w:szCs w:val="20"/>
                    <w:lang w:val="en-US"/>
                  </w:rPr>
                  <w:t xml:space="preserve">of banks’ profitability and by focusing on the European banking sector. </w:t>
                </w:r>
                <w:r w:rsidR="005861DA" w:rsidRPr="00812E8B">
                  <w:rPr>
                    <w:sz w:val="20"/>
                    <w:szCs w:val="20"/>
                    <w:lang w:val="en-US"/>
                  </w:rPr>
                  <w:t xml:space="preserve">Apart from examining the determinants of banks’ </w:t>
                </w:r>
                <w:r w:rsidRPr="00812E8B">
                  <w:rPr>
                    <w:sz w:val="20"/>
                    <w:szCs w:val="20"/>
                    <w:lang w:val="en-US"/>
                  </w:rPr>
                  <w:t>profitability,</w:t>
                </w:r>
                <w:r w:rsidR="005861DA" w:rsidRPr="00812E8B">
                  <w:rPr>
                    <w:sz w:val="20"/>
                    <w:szCs w:val="20"/>
                    <w:lang w:val="en-US"/>
                  </w:rPr>
                  <w:t xml:space="preserve"> potential impacts of the financial crisis are considered</w:t>
                </w:r>
                <w:r w:rsidR="00A9490E">
                  <w:rPr>
                    <w:sz w:val="20"/>
                    <w:szCs w:val="20"/>
                    <w:lang w:val="en-US"/>
                  </w:rPr>
                  <w:t xml:space="preserve">. </w:t>
                </w:r>
                <w:r>
                  <w:rPr>
                    <w:sz w:val="20"/>
                    <w:szCs w:val="20"/>
                    <w:lang w:val="en-US"/>
                  </w:rPr>
                  <w:t xml:space="preserve">Using an unbalanced panel of </w:t>
                </w:r>
                <w:r w:rsidRPr="00812E8B">
                  <w:rPr>
                    <w:sz w:val="20"/>
                    <w:szCs w:val="20"/>
                    <w:lang w:val="en-US"/>
                  </w:rPr>
                  <w:t>354</w:t>
                </w:r>
                <w:r>
                  <w:rPr>
                    <w:sz w:val="20"/>
                    <w:szCs w:val="20"/>
                    <w:lang w:val="en-US"/>
                  </w:rPr>
                  <w:t xml:space="preserve"> banks </w:t>
                </w:r>
                <w:r w:rsidR="00A9490E">
                  <w:rPr>
                    <w:sz w:val="20"/>
                    <w:szCs w:val="20"/>
                    <w:lang w:val="en-US"/>
                  </w:rPr>
                  <w:t>between</w:t>
                </w:r>
                <w:r w:rsidRPr="00812E8B">
                  <w:rPr>
                    <w:sz w:val="20"/>
                    <w:szCs w:val="20"/>
                    <w:lang w:val="en-US"/>
                  </w:rPr>
                  <w:t xml:space="preserve"> 2000 </w:t>
                </w:r>
                <w:r w:rsidR="00A9490E">
                  <w:rPr>
                    <w:sz w:val="20"/>
                    <w:szCs w:val="20"/>
                    <w:lang w:val="en-US"/>
                  </w:rPr>
                  <w:t>and</w:t>
                </w:r>
                <w:r w:rsidRPr="00812E8B">
                  <w:rPr>
                    <w:sz w:val="20"/>
                    <w:szCs w:val="20"/>
                    <w:lang w:val="en-US"/>
                  </w:rPr>
                  <w:t xml:space="preserve"> 2009</w:t>
                </w:r>
                <w:r>
                  <w:rPr>
                    <w:sz w:val="20"/>
                    <w:szCs w:val="20"/>
                    <w:lang w:val="en-US"/>
                  </w:rPr>
                  <w:t xml:space="preserve">, </w:t>
                </w:r>
                <w:r w:rsidR="00A9490E">
                  <w:rPr>
                    <w:sz w:val="20"/>
                    <w:szCs w:val="20"/>
                    <w:lang w:val="en-US"/>
                  </w:rPr>
                  <w:t>t</w:t>
                </w:r>
                <w:r w:rsidR="00A9490E">
                  <w:rPr>
                    <w:lang w:val="en-US"/>
                  </w:rPr>
                  <w:t>his thesis shows</w:t>
                </w:r>
                <w:r>
                  <w:rPr>
                    <w:lang w:val="en-US"/>
                  </w:rPr>
                  <w:t xml:space="preserve"> </w:t>
                </w:r>
                <w:r w:rsidR="005861DA" w:rsidRPr="00812E8B">
                  <w:rPr>
                    <w:lang w:val="en-US"/>
                  </w:rPr>
                  <w:t>that profit persistence still exists in the banking sector</w:t>
                </w:r>
                <w:r>
                  <w:rPr>
                    <w:lang w:val="en-US"/>
                  </w:rPr>
                  <w:t>. Besides</w:t>
                </w:r>
                <w:r w:rsidR="00A9490E">
                  <w:rPr>
                    <w:lang w:val="en-US"/>
                  </w:rPr>
                  <w:t>,</w:t>
                </w:r>
                <w:r>
                  <w:rPr>
                    <w:lang w:val="en-US"/>
                  </w:rPr>
                  <w:t xml:space="preserve"> findings suggest that t</w:t>
                </w:r>
                <w:r w:rsidR="005861DA" w:rsidRPr="00812E8B">
                  <w:rPr>
                    <w:lang w:val="en-US"/>
                  </w:rPr>
                  <w:t>he equity-to-asset ratio is</w:t>
                </w:r>
                <w:r w:rsidRPr="00812E8B">
                  <w:rPr>
                    <w:lang w:val="en-US"/>
                  </w:rPr>
                  <w:t xml:space="preserve"> positively related </w:t>
                </w:r>
                <w:r>
                  <w:rPr>
                    <w:lang w:val="en-US"/>
                  </w:rPr>
                  <w:t xml:space="preserve">to </w:t>
                </w:r>
                <w:r w:rsidR="005861DA" w:rsidRPr="00812E8B">
                  <w:rPr>
                    <w:lang w:val="en-US"/>
                  </w:rPr>
                  <w:t xml:space="preserve">banks’ profitability </w:t>
                </w:r>
                <w:r>
                  <w:rPr>
                    <w:lang w:val="en-US"/>
                  </w:rPr>
                  <w:t>supporting the bankruptcy cost hypothesis or signaling hypothesis. T</w:t>
                </w:r>
                <w:r w:rsidR="005861DA" w:rsidRPr="00812E8B">
                  <w:rPr>
                    <w:lang w:val="en-US"/>
                  </w:rPr>
                  <w:t xml:space="preserve">here is no evidence found that the funding- and liquidity structure are determinants for profitability, both proxies appears to be insignificant. Besides, little evidence is found for the agency theory.    </w:t>
                </w:r>
              </w:p>
              <w:p w:rsidR="005861DA" w:rsidRPr="00812E8B" w:rsidRDefault="005861DA" w:rsidP="005861DA">
                <w:pPr>
                  <w:pStyle w:val="NoSpacing"/>
                  <w:spacing w:line="276" w:lineRule="auto"/>
                  <w:ind w:left="450" w:right="612"/>
                  <w:jc w:val="both"/>
                  <w:rPr>
                    <w:b/>
                    <w:i/>
                    <w:sz w:val="20"/>
                    <w:szCs w:val="20"/>
                    <w:lang w:val="en-US"/>
                  </w:rPr>
                </w:pPr>
              </w:p>
              <w:p w:rsidR="005861DA" w:rsidRPr="00812E8B" w:rsidRDefault="005861DA" w:rsidP="005861DA">
                <w:pPr>
                  <w:pStyle w:val="NoSpacing"/>
                  <w:spacing w:line="276" w:lineRule="auto"/>
                  <w:ind w:left="450" w:right="612"/>
                  <w:jc w:val="both"/>
                  <w:rPr>
                    <w:rFonts w:cs="Arial"/>
                    <w:sz w:val="20"/>
                    <w:szCs w:val="20"/>
                    <w:lang w:val="en-US"/>
                  </w:rPr>
                </w:pPr>
                <w:r w:rsidRPr="00812E8B">
                  <w:rPr>
                    <w:b/>
                    <w:i/>
                    <w:sz w:val="20"/>
                    <w:szCs w:val="20"/>
                    <w:lang w:val="en-US"/>
                  </w:rPr>
                  <w:t xml:space="preserve">JEL Classifications: </w:t>
                </w:r>
                <w:r w:rsidRPr="00812E8B">
                  <w:rPr>
                    <w:sz w:val="20"/>
                    <w:szCs w:val="20"/>
                    <w:lang w:val="en-US"/>
                  </w:rPr>
                  <w:t>C23 G15 G21</w:t>
                </w:r>
              </w:p>
              <w:p w:rsidR="005861DA" w:rsidRPr="00812E8B" w:rsidRDefault="005861DA" w:rsidP="005861DA">
                <w:pPr>
                  <w:pStyle w:val="NoSpacing"/>
                  <w:spacing w:line="276" w:lineRule="auto"/>
                  <w:ind w:left="450" w:right="612"/>
                  <w:jc w:val="both"/>
                  <w:rPr>
                    <w:lang w:val="en-US"/>
                  </w:rPr>
                </w:pPr>
                <w:r w:rsidRPr="00812E8B">
                  <w:rPr>
                    <w:b/>
                    <w:i/>
                    <w:sz w:val="20"/>
                    <w:szCs w:val="20"/>
                    <w:lang w:val="en-US"/>
                  </w:rPr>
                  <w:t>Keywords:</w:t>
                </w:r>
                <w:r w:rsidRPr="00812E8B">
                  <w:rPr>
                    <w:sz w:val="20"/>
                    <w:szCs w:val="20"/>
                    <w:lang w:val="en-US"/>
                  </w:rPr>
                  <w:t xml:space="preserve"> Banking, profitability, panel data, generalized method of moments, ownership, regulation </w:t>
                </w:r>
                <w:r w:rsidRPr="00812E8B">
                  <w:rPr>
                    <w:lang w:val="en-US"/>
                  </w:rPr>
                  <w:t xml:space="preserve">                           </w:t>
                </w:r>
              </w:p>
            </w:tc>
          </w:tr>
        </w:tbl>
        <w:p w:rsidR="005D3440" w:rsidRPr="00812E8B" w:rsidRDefault="005D3440">
          <w:pPr>
            <w:rPr>
              <w:sz w:val="8"/>
              <w:szCs w:val="8"/>
              <w:lang w:val="en-US"/>
            </w:rPr>
          </w:pPr>
        </w:p>
        <w:p w:rsidR="00E73DD8" w:rsidRPr="00812E8B" w:rsidRDefault="00E73DD8" w:rsidP="00E73DD8">
          <w:pPr>
            <w:pStyle w:val="NoSpacing"/>
            <w:rPr>
              <w:sz w:val="8"/>
              <w:szCs w:val="8"/>
              <w:lang w:val="en-US"/>
            </w:rPr>
          </w:pPr>
        </w:p>
        <w:p w:rsidR="000B15F8" w:rsidRPr="00812E8B" w:rsidRDefault="000B15F8" w:rsidP="00E73DD8">
          <w:pPr>
            <w:pStyle w:val="NoSpacing"/>
            <w:rPr>
              <w:sz w:val="8"/>
              <w:szCs w:val="8"/>
              <w:lang w:val="en-US"/>
            </w:rPr>
            <w:sectPr w:rsidR="000B15F8" w:rsidRPr="00812E8B" w:rsidSect="00953D60">
              <w:headerReference w:type="default" r:id="rId9"/>
              <w:endnotePr>
                <w:numFmt w:val="decimal"/>
              </w:endnotePr>
              <w:pgSz w:w="11906" w:h="16838"/>
              <w:pgMar w:top="990" w:right="1417" w:bottom="990" w:left="1417" w:header="708" w:footer="708" w:gutter="0"/>
              <w:cols w:space="708"/>
              <w:titlePg/>
              <w:docGrid w:linePitch="360"/>
            </w:sectPr>
          </w:pPr>
        </w:p>
        <w:p w:rsidR="00E73DD8" w:rsidRPr="00812E8B" w:rsidRDefault="00E73DD8" w:rsidP="00E73DD8">
          <w:pPr>
            <w:pStyle w:val="NoSpacing"/>
            <w:rPr>
              <w:b/>
              <w:lang w:val="en-US"/>
            </w:rPr>
          </w:pPr>
          <w:r w:rsidRPr="00812E8B">
            <w:rPr>
              <w:b/>
              <w:sz w:val="24"/>
              <w:szCs w:val="24"/>
              <w:lang w:val="en-US"/>
            </w:rPr>
            <w:lastRenderedPageBreak/>
            <w:t>E</w:t>
          </w:r>
          <w:r w:rsidRPr="00812E8B">
            <w:rPr>
              <w:b/>
              <w:sz w:val="20"/>
              <w:szCs w:val="20"/>
              <w:lang w:val="en-US"/>
            </w:rPr>
            <w:t>RASMUS</w:t>
          </w:r>
          <w:r w:rsidRPr="00812E8B">
            <w:rPr>
              <w:b/>
              <w:lang w:val="en-US"/>
            </w:rPr>
            <w:t xml:space="preserve"> </w:t>
          </w:r>
          <w:r w:rsidRPr="00812E8B">
            <w:rPr>
              <w:b/>
              <w:sz w:val="24"/>
              <w:szCs w:val="24"/>
              <w:lang w:val="en-US"/>
            </w:rPr>
            <w:t>U</w:t>
          </w:r>
          <w:r w:rsidRPr="00812E8B">
            <w:rPr>
              <w:b/>
              <w:sz w:val="20"/>
              <w:szCs w:val="20"/>
              <w:lang w:val="en-US"/>
            </w:rPr>
            <w:t>NIVERSITY</w:t>
          </w:r>
          <w:r w:rsidRPr="00812E8B">
            <w:rPr>
              <w:b/>
              <w:lang w:val="en-US"/>
            </w:rPr>
            <w:t xml:space="preserve"> </w:t>
          </w:r>
          <w:r w:rsidRPr="00812E8B">
            <w:rPr>
              <w:b/>
              <w:sz w:val="24"/>
              <w:szCs w:val="24"/>
              <w:lang w:val="en-US"/>
            </w:rPr>
            <w:t>R</w:t>
          </w:r>
          <w:r w:rsidRPr="00812E8B">
            <w:rPr>
              <w:b/>
              <w:sz w:val="20"/>
              <w:szCs w:val="20"/>
              <w:lang w:val="en-US"/>
            </w:rPr>
            <w:t>OTTERDAM</w:t>
          </w:r>
        </w:p>
        <w:p w:rsidR="00E73DD8" w:rsidRPr="00812E8B" w:rsidRDefault="00E73DD8" w:rsidP="00E73DD8">
          <w:pPr>
            <w:pStyle w:val="NoSpacing"/>
            <w:rPr>
              <w:sz w:val="20"/>
              <w:szCs w:val="20"/>
              <w:lang w:val="en-US"/>
            </w:rPr>
          </w:pPr>
          <w:r w:rsidRPr="00812E8B">
            <w:rPr>
              <w:sz w:val="20"/>
              <w:szCs w:val="20"/>
              <w:lang w:val="en-US"/>
            </w:rPr>
            <w:t>Erasmus School of Economics</w:t>
          </w:r>
        </w:p>
        <w:p w:rsidR="00E73DD8" w:rsidRPr="00812E8B" w:rsidRDefault="00E73DD8" w:rsidP="00E73DD8">
          <w:pPr>
            <w:pStyle w:val="NoSpacing"/>
            <w:rPr>
              <w:sz w:val="20"/>
              <w:szCs w:val="20"/>
              <w:lang w:val="en-US"/>
            </w:rPr>
          </w:pPr>
          <w:r w:rsidRPr="00812E8B">
            <w:rPr>
              <w:sz w:val="20"/>
              <w:szCs w:val="20"/>
              <w:lang w:val="en-US"/>
            </w:rPr>
            <w:t>Department of Finance</w:t>
          </w:r>
        </w:p>
        <w:p w:rsidR="00E73DD8" w:rsidRPr="00812E8B" w:rsidRDefault="00E73DD8" w:rsidP="00E73DD8">
          <w:pPr>
            <w:pStyle w:val="NoSpacing"/>
            <w:rPr>
              <w:b/>
              <w:sz w:val="20"/>
              <w:szCs w:val="20"/>
              <w:lang w:val="en-US"/>
            </w:rPr>
          </w:pPr>
          <w:r w:rsidRPr="00812E8B">
            <w:rPr>
              <w:b/>
              <w:sz w:val="24"/>
              <w:szCs w:val="24"/>
              <w:lang w:val="en-US"/>
            </w:rPr>
            <w:t>S</w:t>
          </w:r>
          <w:r w:rsidRPr="00812E8B">
            <w:rPr>
              <w:b/>
              <w:sz w:val="20"/>
              <w:szCs w:val="20"/>
              <w:lang w:val="en-US"/>
            </w:rPr>
            <w:t>UPERVISOR</w:t>
          </w:r>
        </w:p>
        <w:p w:rsidR="00E73DD8" w:rsidRPr="00812E8B" w:rsidRDefault="00E73DD8" w:rsidP="00E73DD8">
          <w:pPr>
            <w:pStyle w:val="NoSpacing"/>
            <w:rPr>
              <w:sz w:val="20"/>
              <w:szCs w:val="20"/>
              <w:lang w:val="en-US"/>
            </w:rPr>
          </w:pPr>
          <w:r w:rsidRPr="00812E8B">
            <w:rPr>
              <w:sz w:val="20"/>
              <w:szCs w:val="20"/>
              <w:lang w:val="en-US"/>
            </w:rPr>
            <w:t>Prof. Dr. W.F.C. Verschoor</w:t>
          </w:r>
        </w:p>
        <w:p w:rsidR="00E73DD8" w:rsidRPr="00812E8B" w:rsidRDefault="00E73DD8" w:rsidP="00E73DD8">
          <w:pPr>
            <w:pStyle w:val="NoSpacing"/>
            <w:rPr>
              <w:lang w:val="en-US"/>
            </w:rPr>
          </w:pPr>
        </w:p>
        <w:p w:rsidR="000B15F8" w:rsidRPr="00812E8B" w:rsidRDefault="000B15F8" w:rsidP="005861DA">
          <w:pPr>
            <w:pStyle w:val="NoSpacing"/>
            <w:ind w:right="-41"/>
            <w:rPr>
              <w:b/>
              <w:sz w:val="24"/>
              <w:szCs w:val="24"/>
              <w:lang w:val="en-US"/>
            </w:rPr>
          </w:pPr>
        </w:p>
        <w:p w:rsidR="00E73DD8" w:rsidRPr="00812E8B" w:rsidRDefault="00E73DD8" w:rsidP="005316E3">
          <w:pPr>
            <w:pStyle w:val="NoSpacing"/>
            <w:ind w:right="-41"/>
            <w:jc w:val="right"/>
            <w:rPr>
              <w:b/>
              <w:sz w:val="20"/>
              <w:szCs w:val="20"/>
              <w:lang w:val="en-US"/>
            </w:rPr>
          </w:pPr>
          <w:r w:rsidRPr="00812E8B">
            <w:rPr>
              <w:b/>
              <w:sz w:val="24"/>
              <w:szCs w:val="24"/>
              <w:lang w:val="en-US"/>
            </w:rPr>
            <w:lastRenderedPageBreak/>
            <w:t>R</w:t>
          </w:r>
          <w:r w:rsidRPr="00812E8B">
            <w:rPr>
              <w:b/>
              <w:sz w:val="20"/>
              <w:szCs w:val="20"/>
              <w:lang w:val="en-US"/>
            </w:rPr>
            <w:t>ABOBANK</w:t>
          </w:r>
          <w:r w:rsidRPr="00812E8B">
            <w:rPr>
              <w:b/>
              <w:lang w:val="en-US"/>
            </w:rPr>
            <w:t xml:space="preserve"> </w:t>
          </w:r>
          <w:r w:rsidR="005316E3" w:rsidRPr="00812E8B">
            <w:rPr>
              <w:b/>
              <w:lang w:val="en-US"/>
            </w:rPr>
            <w:t xml:space="preserve">  </w:t>
          </w:r>
          <w:r w:rsidRPr="00812E8B">
            <w:rPr>
              <w:b/>
              <w:sz w:val="24"/>
              <w:szCs w:val="24"/>
              <w:lang w:val="en-US"/>
            </w:rPr>
            <w:t>N</w:t>
          </w:r>
          <w:r w:rsidRPr="00812E8B">
            <w:rPr>
              <w:b/>
              <w:sz w:val="20"/>
              <w:szCs w:val="20"/>
              <w:lang w:val="en-US"/>
            </w:rPr>
            <w:t>EDERLAND</w:t>
          </w:r>
        </w:p>
        <w:p w:rsidR="00E73DD8" w:rsidRPr="00812E8B" w:rsidRDefault="00E73DD8" w:rsidP="005316E3">
          <w:pPr>
            <w:pStyle w:val="NoSpacing"/>
            <w:ind w:right="-41"/>
            <w:jc w:val="right"/>
            <w:rPr>
              <w:sz w:val="20"/>
              <w:szCs w:val="20"/>
              <w:lang w:val="en-US"/>
            </w:rPr>
          </w:pPr>
          <w:r w:rsidRPr="00812E8B">
            <w:rPr>
              <w:sz w:val="20"/>
              <w:szCs w:val="20"/>
              <w:lang w:val="en-US"/>
            </w:rPr>
            <w:t xml:space="preserve">Group </w:t>
          </w:r>
          <w:r w:rsidR="005316E3" w:rsidRPr="00812E8B">
            <w:rPr>
              <w:sz w:val="20"/>
              <w:szCs w:val="20"/>
              <w:lang w:val="en-US"/>
            </w:rPr>
            <w:t xml:space="preserve"> </w:t>
          </w:r>
          <w:r w:rsidRPr="00812E8B">
            <w:rPr>
              <w:sz w:val="20"/>
              <w:szCs w:val="20"/>
              <w:lang w:val="en-US"/>
            </w:rPr>
            <w:t xml:space="preserve">Risk </w:t>
          </w:r>
          <w:r w:rsidR="005316E3" w:rsidRPr="00812E8B">
            <w:rPr>
              <w:sz w:val="20"/>
              <w:szCs w:val="20"/>
              <w:lang w:val="en-US"/>
            </w:rPr>
            <w:t xml:space="preserve"> </w:t>
          </w:r>
          <w:r w:rsidRPr="00812E8B">
            <w:rPr>
              <w:sz w:val="20"/>
              <w:szCs w:val="20"/>
              <w:lang w:val="en-US"/>
            </w:rPr>
            <w:t>Management</w:t>
          </w:r>
        </w:p>
        <w:p w:rsidR="00E73DD8" w:rsidRPr="00812E8B" w:rsidRDefault="00E73DD8" w:rsidP="005316E3">
          <w:pPr>
            <w:pStyle w:val="NoSpacing"/>
            <w:ind w:right="-41"/>
            <w:jc w:val="right"/>
            <w:rPr>
              <w:sz w:val="20"/>
              <w:szCs w:val="20"/>
              <w:lang w:val="en-US"/>
            </w:rPr>
          </w:pPr>
          <w:r w:rsidRPr="00812E8B">
            <w:rPr>
              <w:sz w:val="20"/>
              <w:szCs w:val="20"/>
              <w:lang w:val="en-US"/>
            </w:rPr>
            <w:t xml:space="preserve">Balance </w:t>
          </w:r>
          <w:r w:rsidR="005316E3" w:rsidRPr="00812E8B">
            <w:rPr>
              <w:sz w:val="20"/>
              <w:szCs w:val="20"/>
              <w:lang w:val="en-US"/>
            </w:rPr>
            <w:t xml:space="preserve"> </w:t>
          </w:r>
          <w:r w:rsidRPr="00812E8B">
            <w:rPr>
              <w:sz w:val="20"/>
              <w:szCs w:val="20"/>
              <w:lang w:val="en-US"/>
            </w:rPr>
            <w:t>Sheet</w:t>
          </w:r>
          <w:r w:rsidR="005316E3" w:rsidRPr="00812E8B">
            <w:rPr>
              <w:sz w:val="20"/>
              <w:szCs w:val="20"/>
              <w:lang w:val="en-US"/>
            </w:rPr>
            <w:t xml:space="preserve"> </w:t>
          </w:r>
          <w:r w:rsidRPr="00812E8B">
            <w:rPr>
              <w:sz w:val="20"/>
              <w:szCs w:val="20"/>
              <w:lang w:val="en-US"/>
            </w:rPr>
            <w:t xml:space="preserve"> Risk</w:t>
          </w:r>
        </w:p>
        <w:p w:rsidR="00E73DD8" w:rsidRPr="00812E8B" w:rsidRDefault="00E73DD8" w:rsidP="005316E3">
          <w:pPr>
            <w:pStyle w:val="NoSpacing"/>
            <w:ind w:right="-41"/>
            <w:jc w:val="right"/>
            <w:rPr>
              <w:b/>
              <w:lang w:val="en-US"/>
            </w:rPr>
          </w:pPr>
          <w:r w:rsidRPr="00812E8B">
            <w:rPr>
              <w:b/>
              <w:sz w:val="24"/>
              <w:szCs w:val="24"/>
              <w:lang w:val="en-US"/>
            </w:rPr>
            <w:t>S</w:t>
          </w:r>
          <w:r w:rsidRPr="00812E8B">
            <w:rPr>
              <w:b/>
              <w:sz w:val="20"/>
              <w:szCs w:val="20"/>
              <w:lang w:val="en-US"/>
            </w:rPr>
            <w:t>UPERVISOR</w:t>
          </w:r>
        </w:p>
        <w:p w:rsidR="00E73DD8" w:rsidRPr="00812E8B" w:rsidRDefault="006317DF" w:rsidP="005316E3">
          <w:pPr>
            <w:pStyle w:val="NoSpacing"/>
            <w:ind w:right="-41"/>
            <w:jc w:val="right"/>
            <w:rPr>
              <w:sz w:val="20"/>
              <w:szCs w:val="20"/>
              <w:lang w:val="en-US"/>
            </w:rPr>
          </w:pPr>
          <w:r w:rsidRPr="00812E8B">
            <w:rPr>
              <w:noProof/>
              <w:sz w:val="20"/>
              <w:szCs w:val="20"/>
              <w:lang w:val="en-US" w:eastAsia="en-US"/>
            </w:rPr>
            <w:drawing>
              <wp:anchor distT="0" distB="0" distL="114300" distR="114300" simplePos="0" relativeHeight="251657216" behindDoc="1" locked="0" layoutInCell="1" allowOverlap="1">
                <wp:simplePos x="0" y="0"/>
                <wp:positionH relativeFrom="column">
                  <wp:posOffset>290033</wp:posOffset>
                </wp:positionH>
                <wp:positionV relativeFrom="paragraph">
                  <wp:posOffset>22860</wp:posOffset>
                </wp:positionV>
                <wp:extent cx="831215" cy="992505"/>
                <wp:effectExtent l="0" t="0" r="6985" b="0"/>
                <wp:wrapNone/>
                <wp:docPr id="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831215" cy="992505"/>
                        </a:xfrm>
                        <a:prstGeom prst="rect">
                          <a:avLst/>
                        </a:prstGeom>
                        <a:noFill/>
                        <a:ln w="9525">
                          <a:noFill/>
                          <a:miter lim="800000"/>
                          <a:headEnd/>
                          <a:tailEnd/>
                        </a:ln>
                      </pic:spPr>
                    </pic:pic>
                  </a:graphicData>
                </a:graphic>
              </wp:anchor>
            </w:drawing>
          </w:r>
          <w:r w:rsidR="00A57DFF" w:rsidRPr="00812E8B">
            <w:rPr>
              <w:sz w:val="20"/>
              <w:szCs w:val="20"/>
              <w:lang w:val="en-US"/>
            </w:rPr>
            <w:t>Ir</w:t>
          </w:r>
          <w:r w:rsidR="00E73DD8" w:rsidRPr="00812E8B">
            <w:rPr>
              <w:sz w:val="20"/>
              <w:szCs w:val="20"/>
              <w:lang w:val="en-US"/>
            </w:rPr>
            <w:t>.</w:t>
          </w:r>
          <w:r w:rsidR="005316E3" w:rsidRPr="00812E8B">
            <w:rPr>
              <w:sz w:val="20"/>
              <w:szCs w:val="20"/>
              <w:lang w:val="en-US"/>
            </w:rPr>
            <w:t xml:space="preserve"> </w:t>
          </w:r>
          <w:r w:rsidR="00E73DD8" w:rsidRPr="00812E8B">
            <w:rPr>
              <w:sz w:val="20"/>
              <w:szCs w:val="20"/>
              <w:lang w:val="en-US"/>
            </w:rPr>
            <w:t xml:space="preserve"> K.</w:t>
          </w:r>
          <w:r w:rsidR="005316E3" w:rsidRPr="00812E8B">
            <w:rPr>
              <w:sz w:val="20"/>
              <w:szCs w:val="20"/>
              <w:lang w:val="en-US"/>
            </w:rPr>
            <w:t xml:space="preserve"> </w:t>
          </w:r>
          <w:r w:rsidR="00E73DD8" w:rsidRPr="00812E8B">
            <w:rPr>
              <w:sz w:val="20"/>
              <w:szCs w:val="20"/>
              <w:lang w:val="en-US"/>
            </w:rPr>
            <w:t xml:space="preserve"> Kruidhof</w:t>
          </w:r>
        </w:p>
        <w:p w:rsidR="00E73DD8" w:rsidRPr="00812E8B" w:rsidRDefault="006317DF" w:rsidP="00F8194A">
          <w:pPr>
            <w:rPr>
              <w:color w:val="365F91" w:themeColor="accent1" w:themeShade="BF"/>
              <w:lang w:val="en-US"/>
            </w:rPr>
          </w:pPr>
          <w:r w:rsidRPr="00812E8B">
            <w:rPr>
              <w:noProof/>
              <w:lang w:val="en-US" w:eastAsia="en-US"/>
            </w:rPr>
            <w:drawing>
              <wp:anchor distT="0" distB="0" distL="114300" distR="114300" simplePos="0" relativeHeight="251658240" behindDoc="1" locked="0" layoutInCell="1" allowOverlap="1">
                <wp:simplePos x="0" y="0"/>
                <wp:positionH relativeFrom="column">
                  <wp:posOffset>-3410775</wp:posOffset>
                </wp:positionH>
                <wp:positionV relativeFrom="paragraph">
                  <wp:posOffset>255905</wp:posOffset>
                </wp:positionV>
                <wp:extent cx="2481943" cy="594268"/>
                <wp:effectExtent l="0" t="0" r="0" b="0"/>
                <wp:wrapNone/>
                <wp:docPr id="116" name="Afbeelding 116" descr="http://www.eur.nl/fileadmin/ASSETS/ieb/logo_s/EURlogo_3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eur.nl/fileadmin/ASSETS/ieb/logo_s/EURlogo_3165.jpg"/>
                        <pic:cNvPicPr>
                          <a:picLocks noChangeAspect="1" noChangeArrowheads="1"/>
                        </pic:cNvPicPr>
                      </pic:nvPicPr>
                      <pic:blipFill>
                        <a:blip r:embed="rId11" cstate="print"/>
                        <a:srcRect/>
                        <a:stretch>
                          <a:fillRect/>
                        </a:stretch>
                      </pic:blipFill>
                      <pic:spPr bwMode="auto">
                        <a:xfrm>
                          <a:off x="0" y="0"/>
                          <a:ext cx="2481943" cy="594268"/>
                        </a:xfrm>
                        <a:prstGeom prst="rect">
                          <a:avLst/>
                        </a:prstGeom>
                        <a:noFill/>
                        <a:ln w="9525">
                          <a:noFill/>
                          <a:miter lim="800000"/>
                          <a:headEnd/>
                          <a:tailEnd/>
                        </a:ln>
                      </pic:spPr>
                    </pic:pic>
                  </a:graphicData>
                </a:graphic>
              </wp:anchor>
            </w:drawing>
          </w:r>
        </w:p>
        <w:p w:rsidR="00E73DD8" w:rsidRPr="00812E8B" w:rsidRDefault="00E73DD8" w:rsidP="00F8194A">
          <w:pPr>
            <w:rPr>
              <w:color w:val="365F91" w:themeColor="accent1" w:themeShade="BF"/>
              <w:lang w:val="en-US"/>
            </w:rPr>
            <w:sectPr w:rsidR="00E73DD8" w:rsidRPr="00812E8B" w:rsidSect="005316E3">
              <w:endnotePr>
                <w:numFmt w:val="decimal"/>
              </w:endnotePr>
              <w:type w:val="continuous"/>
              <w:pgSz w:w="11906" w:h="16838"/>
              <w:pgMar w:top="990" w:right="2276" w:bottom="990" w:left="1890" w:header="708" w:footer="708" w:gutter="0"/>
              <w:cols w:num="2" w:space="1481"/>
              <w:titlePg/>
              <w:docGrid w:linePitch="360"/>
            </w:sectPr>
          </w:pPr>
        </w:p>
        <w:p w:rsidR="005F4A48" w:rsidRPr="00812E8B" w:rsidRDefault="005861DA" w:rsidP="005F4A48">
          <w:pPr>
            <w:framePr w:w="9614" w:h="968" w:hRule="exact" w:wrap="auto" w:vAnchor="text" w:hAnchor="page" w:x="1384" w:y="1181"/>
            <w:ind w:right="612"/>
            <w:jc w:val="both"/>
            <w:rPr>
              <w:sz w:val="18"/>
              <w:szCs w:val="18"/>
              <w:lang w:val="en-US"/>
            </w:rPr>
          </w:pPr>
          <w:r w:rsidRPr="00812E8B">
            <w:rPr>
              <w:rFonts w:hAnsi="Times New Roman" w:cs="Times New Roman"/>
              <w:sz w:val="18"/>
              <w:szCs w:val="18"/>
              <w:vertAlign w:val="superscript"/>
              <w:lang w:val="en-US"/>
            </w:rPr>
            <w:t>ϕ</w:t>
          </w:r>
          <w:r w:rsidRPr="00812E8B">
            <w:rPr>
              <w:sz w:val="18"/>
              <w:szCs w:val="18"/>
              <w:lang w:val="en-US"/>
            </w:rPr>
            <w:t xml:space="preserve"> Master student at Erasmus University Rotterdam, Erasmus School of Economics, Department of Accounting &amp; Finance and intern at Rabobank Nederland, Group Risk Management, Balance Sheet Risk. Please use the following e-mail address for corresponding: </w:t>
          </w:r>
          <w:hyperlink r:id="rId12" w:history="1">
            <w:r w:rsidRPr="00812E8B">
              <w:rPr>
                <w:rStyle w:val="Hyperlink"/>
                <w:sz w:val="18"/>
                <w:szCs w:val="18"/>
                <w:lang w:val="en-US"/>
              </w:rPr>
              <w:t>stefan.ommeren@planet.nl</w:t>
            </w:r>
          </w:hyperlink>
          <w:r w:rsidRPr="00812E8B">
            <w:rPr>
              <w:sz w:val="18"/>
              <w:szCs w:val="18"/>
              <w:lang w:val="en-US"/>
            </w:rPr>
            <w:t xml:space="preserve"> </w:t>
          </w:r>
        </w:p>
        <w:p w:rsidR="005F4A48" w:rsidRPr="00812E8B" w:rsidRDefault="005F4A48" w:rsidP="005F4A48">
          <w:pPr>
            <w:framePr w:w="9614" w:h="354" w:hRule="exact" w:wrap="auto" w:vAnchor="text" w:hAnchor="page" w:x="1384" w:y="1211"/>
            <w:ind w:right="612"/>
            <w:jc w:val="both"/>
            <w:rPr>
              <w:sz w:val="18"/>
              <w:szCs w:val="18"/>
              <w:lang w:val="en-US"/>
            </w:rPr>
            <w:sectPr w:rsidR="005F4A48" w:rsidRPr="00812E8B" w:rsidSect="00E73DD8">
              <w:endnotePr>
                <w:numFmt w:val="decimal"/>
              </w:endnotePr>
              <w:type w:val="continuous"/>
              <w:pgSz w:w="11906" w:h="16838"/>
              <w:pgMar w:top="990" w:right="1417" w:bottom="990" w:left="1417" w:header="708" w:footer="708" w:gutter="0"/>
              <w:cols w:space="708"/>
              <w:titlePg/>
              <w:docGrid w:linePitch="360"/>
            </w:sectPr>
          </w:pPr>
        </w:p>
        <w:p w:rsidR="00731A94" w:rsidRPr="00812E8B" w:rsidRDefault="00731A94" w:rsidP="00F8194A">
          <w:pPr>
            <w:rPr>
              <w:color w:val="365F91" w:themeColor="accent1" w:themeShade="BF"/>
              <w:lang w:val="en-US"/>
            </w:rPr>
          </w:pPr>
        </w:p>
        <w:p w:rsidR="00774DDB" w:rsidRPr="00812E8B" w:rsidRDefault="004B7BFF" w:rsidP="00774DDB">
          <w:pPr>
            <w:pStyle w:val="Heading1"/>
            <w:jc w:val="left"/>
            <w:rPr>
              <w:color w:val="auto"/>
              <w:lang w:val="en-US"/>
            </w:rPr>
          </w:pPr>
          <w:bookmarkStart w:id="0" w:name="_Toc306359624"/>
          <w:r w:rsidRPr="00812E8B">
            <w:rPr>
              <w:color w:val="auto"/>
              <w:lang w:val="en-US"/>
            </w:rPr>
            <w:t>P</w:t>
          </w:r>
          <w:r w:rsidRPr="00812E8B">
            <w:rPr>
              <w:color w:val="auto"/>
              <w:sz w:val="30"/>
              <w:szCs w:val="30"/>
              <w:lang w:val="en-US"/>
            </w:rPr>
            <w:t>REFACE</w:t>
          </w:r>
        </w:p>
      </w:sdtContent>
    </w:sdt>
    <w:bookmarkEnd w:id="0" w:displacedByCustomXml="prev"/>
    <w:p w:rsidR="00774DDB" w:rsidRPr="00812E8B" w:rsidRDefault="00774DDB" w:rsidP="001C6B27">
      <w:pPr>
        <w:pStyle w:val="NoSpacing"/>
        <w:spacing w:line="276" w:lineRule="auto"/>
        <w:jc w:val="both"/>
        <w:rPr>
          <w:sz w:val="16"/>
          <w:szCs w:val="16"/>
          <w:lang w:val="en-US"/>
        </w:rPr>
      </w:pPr>
    </w:p>
    <w:p w:rsidR="006317DF" w:rsidRPr="00812E8B" w:rsidRDefault="006317DF" w:rsidP="006317DF">
      <w:pPr>
        <w:pStyle w:val="NoSpacing"/>
        <w:spacing w:line="276" w:lineRule="auto"/>
        <w:jc w:val="both"/>
        <w:rPr>
          <w:lang w:val="en-US"/>
        </w:rPr>
      </w:pPr>
      <w:r w:rsidRPr="00812E8B">
        <w:rPr>
          <w:lang w:val="en-US"/>
        </w:rPr>
        <w:t xml:space="preserve">This preface marks the start of this thesis but simultaneously marks the end of five years of study. Writing a master thesis for obtaining a master degree in Accounting and Finance, is not only a completion of several years of study, it is certainly a process. The beginning of this process is sometimes tough but once initiated the process of writing a master thesis is very interesting; it is an opportunity to explore and to specialize in an economic topic. In the past months, I have also gained practical knowledge about the economic topics in banking, risk management and banks’ balance sheet structures due to an internship at the ‘Group Risk Management’ department of Rabobank Nederland. </w:t>
      </w:r>
    </w:p>
    <w:p w:rsidR="006317DF" w:rsidRPr="00812E8B" w:rsidRDefault="006317DF" w:rsidP="00ED7B9C">
      <w:pPr>
        <w:pStyle w:val="NoSpacing"/>
        <w:rPr>
          <w:sz w:val="20"/>
          <w:szCs w:val="20"/>
          <w:lang w:val="en-US"/>
        </w:rPr>
      </w:pPr>
    </w:p>
    <w:p w:rsidR="006317DF" w:rsidRPr="00812E8B" w:rsidRDefault="006317DF" w:rsidP="006317DF">
      <w:pPr>
        <w:pStyle w:val="NoSpacing"/>
        <w:spacing w:line="276" w:lineRule="auto"/>
        <w:jc w:val="both"/>
        <w:rPr>
          <w:lang w:val="en-US"/>
        </w:rPr>
      </w:pPr>
      <w:r w:rsidRPr="00812E8B">
        <w:rPr>
          <w:lang w:val="en-US"/>
        </w:rPr>
        <w:t xml:space="preserve">Writing a dissertation is an individual assignment, nonetheless support from others contributed to the completion of this thesis. Therefore, I would like to use this preface to acknowledge several people who helped me in the past months and throughout my study. First, I would like to thank Prof. Dr. Verschoor from the Erasmus School of Economics for his subject-matter support and constructive comments. Prof. Dr. Verschoor safeguarded the academic value of this thesis and gave me valuable insights </w:t>
      </w:r>
      <w:r w:rsidR="00D31A4A">
        <w:rPr>
          <w:lang w:val="en-US"/>
        </w:rPr>
        <w:t>during</w:t>
      </w:r>
      <w:r w:rsidRPr="00812E8B">
        <w:rPr>
          <w:lang w:val="en-US"/>
        </w:rPr>
        <w:t xml:space="preserve"> the whole process. Furthermore, I gratefully acknowledge Klaroen Kruidhof, manager Balance Sheet Risk at Rabobank Nederland, for his support and comments </w:t>
      </w:r>
      <w:r w:rsidR="00ED7B9C" w:rsidRPr="00812E8B">
        <w:rPr>
          <w:lang w:val="en-US"/>
        </w:rPr>
        <w:t>during the internship</w:t>
      </w:r>
      <w:r w:rsidRPr="00812E8B">
        <w:rPr>
          <w:lang w:val="en-US"/>
        </w:rPr>
        <w:t xml:space="preserve"> and for the opportunity to look behind the scenes of a large financial institution. Moreover, I would also like to mention the colleagues of Group Risk Management, which create a motivating and interesting environment to work </w:t>
      </w:r>
      <w:r w:rsidR="00ED7B9C" w:rsidRPr="00812E8B">
        <w:rPr>
          <w:lang w:val="en-US"/>
        </w:rPr>
        <w:t xml:space="preserve">in the past months. </w:t>
      </w:r>
      <w:r w:rsidRPr="00812E8B">
        <w:rPr>
          <w:lang w:val="en-US"/>
        </w:rPr>
        <w:t xml:space="preserve"> </w:t>
      </w:r>
    </w:p>
    <w:p w:rsidR="006317DF" w:rsidRPr="00812E8B" w:rsidRDefault="006317DF" w:rsidP="00ED7B9C">
      <w:pPr>
        <w:pStyle w:val="NoSpacing"/>
        <w:rPr>
          <w:sz w:val="20"/>
          <w:szCs w:val="20"/>
          <w:lang w:val="en-US"/>
        </w:rPr>
      </w:pPr>
    </w:p>
    <w:p w:rsidR="006317DF" w:rsidRPr="00812E8B" w:rsidRDefault="006317DF" w:rsidP="006317DF">
      <w:pPr>
        <w:pStyle w:val="NoSpacing"/>
        <w:spacing w:line="276" w:lineRule="auto"/>
        <w:jc w:val="both"/>
        <w:rPr>
          <w:lang w:val="en-US"/>
        </w:rPr>
      </w:pPr>
      <w:r w:rsidRPr="00812E8B">
        <w:rPr>
          <w:lang w:val="en-US"/>
        </w:rPr>
        <w:t>Special thank goes out to my family and friends who supported me during the study and the master thesis. In particular, I would like to thank my parents for their support and my partner, Denise – being unfamiliar to the subject; she always read the concepts and was always there for me. I would like to dedicate this thesis to my deceased brother, Mark – to whom I once promised to achieve a university degree</w:t>
      </w:r>
      <w:r w:rsidR="00D31A4A">
        <w:rPr>
          <w:lang w:val="en-US"/>
        </w:rPr>
        <w:t xml:space="preserve"> -</w:t>
      </w:r>
      <w:r w:rsidRPr="00812E8B">
        <w:rPr>
          <w:lang w:val="en-US"/>
        </w:rPr>
        <w:t xml:space="preserve"> being near to that moment</w:t>
      </w:r>
      <w:r w:rsidR="00D31A4A">
        <w:rPr>
          <w:lang w:val="en-US"/>
        </w:rPr>
        <w:t>,</w:t>
      </w:r>
      <w:r w:rsidRPr="00812E8B">
        <w:rPr>
          <w:lang w:val="en-US"/>
        </w:rPr>
        <w:t xml:space="preserve"> I know you would be very proud. </w:t>
      </w:r>
    </w:p>
    <w:p w:rsidR="006317DF" w:rsidRPr="00812E8B" w:rsidRDefault="006317DF" w:rsidP="00ED7B9C">
      <w:pPr>
        <w:pStyle w:val="NoSpacing"/>
        <w:rPr>
          <w:sz w:val="20"/>
          <w:szCs w:val="20"/>
          <w:lang w:val="en-US"/>
        </w:rPr>
      </w:pPr>
    </w:p>
    <w:p w:rsidR="006317DF" w:rsidRPr="00812E8B" w:rsidRDefault="006317DF" w:rsidP="006317DF">
      <w:pPr>
        <w:pStyle w:val="NoSpacing"/>
        <w:spacing w:line="276" w:lineRule="auto"/>
        <w:jc w:val="both"/>
        <w:rPr>
          <w:lang w:val="en-US"/>
        </w:rPr>
      </w:pPr>
      <w:r w:rsidRPr="00812E8B">
        <w:rPr>
          <w:lang w:val="en-US"/>
        </w:rPr>
        <w:t>Finally, I hope that you will share my enthusiasm and interest in the topic and in the banking sector when reading this th</w:t>
      </w:r>
      <w:r w:rsidR="00ED7B9C" w:rsidRPr="00812E8B">
        <w:rPr>
          <w:lang w:val="en-US"/>
        </w:rPr>
        <w:t xml:space="preserve">esis. Moreover, I hope that this final version </w:t>
      </w:r>
      <w:r w:rsidRPr="00812E8B">
        <w:rPr>
          <w:lang w:val="en-US"/>
        </w:rPr>
        <w:t xml:space="preserve">fulfills in its goal to give practical knowledge about the determinants of banks’ profitability. </w:t>
      </w:r>
    </w:p>
    <w:p w:rsidR="006317DF" w:rsidRPr="00812E8B" w:rsidRDefault="006317DF" w:rsidP="00ED7B9C">
      <w:pPr>
        <w:pStyle w:val="NoSpacing"/>
        <w:rPr>
          <w:lang w:val="en-US"/>
        </w:rPr>
      </w:pPr>
    </w:p>
    <w:p w:rsidR="006317DF" w:rsidRPr="005F4A48" w:rsidRDefault="006317DF" w:rsidP="006317DF">
      <w:pPr>
        <w:pStyle w:val="NoSpacing"/>
        <w:spacing w:line="276" w:lineRule="auto"/>
        <w:jc w:val="both"/>
      </w:pPr>
      <w:r w:rsidRPr="005F4A48">
        <w:t xml:space="preserve">Utrecht, </w:t>
      </w:r>
      <w:r w:rsidR="005861DA" w:rsidRPr="005F4A48">
        <w:t>October</w:t>
      </w:r>
      <w:r w:rsidRPr="005F4A48">
        <w:t xml:space="preserve"> 2011. </w:t>
      </w:r>
    </w:p>
    <w:p w:rsidR="006317DF" w:rsidRPr="005F4A48" w:rsidRDefault="006317DF" w:rsidP="006317DF">
      <w:pPr>
        <w:pStyle w:val="NoSpacing"/>
        <w:spacing w:line="276" w:lineRule="auto"/>
        <w:jc w:val="both"/>
      </w:pPr>
    </w:p>
    <w:p w:rsidR="006317DF" w:rsidRPr="005F4A48" w:rsidRDefault="006317DF" w:rsidP="006317DF">
      <w:pPr>
        <w:pStyle w:val="NoSpacing"/>
        <w:spacing w:line="276" w:lineRule="auto"/>
        <w:jc w:val="both"/>
      </w:pPr>
      <w:r w:rsidRPr="005F4A48">
        <w:t>Stefan van Ommeren</w:t>
      </w:r>
    </w:p>
    <w:p w:rsidR="004E4AD4" w:rsidRPr="005F4A48" w:rsidRDefault="00D46A7F" w:rsidP="006317DF">
      <w:pPr>
        <w:pStyle w:val="NoSpacing"/>
        <w:spacing w:line="276" w:lineRule="auto"/>
        <w:jc w:val="both"/>
        <w:rPr>
          <w:rStyle w:val="Strong"/>
          <w:b w:val="0"/>
          <w:sz w:val="22"/>
        </w:rPr>
      </w:pPr>
      <w:r w:rsidRPr="00D46A7F">
        <w:rPr>
          <w:noProof/>
        </w:rPr>
        <w:pict>
          <v:shapetype id="_x0000_t202" coordsize="21600,21600" o:spt="202" path="m,l,21600r21600,l21600,xe">
            <v:stroke joinstyle="miter"/>
            <v:path gradientshapeok="t" o:connecttype="rect"/>
          </v:shapetype>
          <v:shape id="Tekstvak 1" o:spid="_x0000_s1026" type="#_x0000_t202" style="position:absolute;left:0;text-align:left;margin-left:2.65pt;margin-top:8.75pt;width:453.6pt;height:18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">
            <v:textbox>
              <w:txbxContent>
                <w:p w:rsidR="00BC7621" w:rsidRPr="005D7F9A" w:rsidRDefault="00BC7621" w:rsidP="00F475FE">
                  <w:pPr>
                    <w:pStyle w:val="NoSpacing"/>
                    <w:jc w:val="both"/>
                    <w:rPr>
                      <w:lang w:val="en-US"/>
                    </w:rPr>
                  </w:pPr>
                  <w:r w:rsidRPr="005D7F9A">
                    <w:rPr>
                      <w:lang w:val="en-US"/>
                    </w:rPr>
                    <w:t>NON-PLAGIARISM STATEMENT</w:t>
                  </w:r>
                </w:p>
                <w:p w:rsidR="00BC7621" w:rsidRPr="005D7F9A" w:rsidRDefault="00BC7621" w:rsidP="00F475FE">
                  <w:pPr>
                    <w:pStyle w:val="NoSpacing"/>
                    <w:jc w:val="both"/>
                    <w:rPr>
                      <w:lang w:val="en-US"/>
                    </w:rPr>
                  </w:pPr>
                  <w:r w:rsidRPr="005D7F9A">
                    <w:rPr>
                      <w:lang w:val="en-US"/>
                    </w:rPr>
                    <w:t>By submitting this thesis the author declares to have written this thesis completely by himself/herself, and not to have used sources or resources other than the ones mentioned. All sources used, quotes and citations that were literally taken from publications, or that were in close accordance with the meaning of those publications, are indicated as such.</w:t>
                  </w:r>
                </w:p>
                <w:p w:rsidR="00BC7621" w:rsidRPr="005D7F9A" w:rsidRDefault="00BC7621" w:rsidP="00F475FE">
                  <w:pPr>
                    <w:pStyle w:val="NoSpacing"/>
                    <w:jc w:val="both"/>
                    <w:rPr>
                      <w:lang w:val="en-US"/>
                    </w:rPr>
                  </w:pPr>
                </w:p>
                <w:p w:rsidR="00BC7621" w:rsidRDefault="00BC7621" w:rsidP="00F475FE">
                  <w:pPr>
                    <w:pStyle w:val="NoSpacing"/>
                    <w:jc w:val="both"/>
                    <w:rPr>
                      <w:lang w:val="en-US"/>
                    </w:rPr>
                  </w:pPr>
                  <w:r>
                    <w:rPr>
                      <w:lang w:val="en-US"/>
                    </w:rPr>
                    <w:t xml:space="preserve">COPYRIGHT </w:t>
                  </w:r>
                  <w:r w:rsidRPr="005D7F9A">
                    <w:rPr>
                      <w:lang w:val="en-US"/>
                    </w:rPr>
                    <w:t>STATEMENT</w:t>
                  </w:r>
                </w:p>
                <w:p w:rsidR="00BC7621" w:rsidRPr="005D7F9A" w:rsidRDefault="00BC7621" w:rsidP="00F475FE">
                  <w:pPr>
                    <w:pStyle w:val="NoSpacing"/>
                    <w:jc w:val="both"/>
                    <w:rPr>
                      <w:lang w:val="en-US"/>
                    </w:rPr>
                  </w:pPr>
                  <w:r w:rsidRPr="005D7F9A">
                    <w:rPr>
                      <w:lang w:val="en-US"/>
                    </w:rPr>
                    <w:t>The author has copyright of this thesis, but also acknowledges the intellectual copyright of contributions made by the thesis supervisor, which may include important research ideas and data. Author and thesis supervisor will have made clear agreements about issues such as confidentiality.</w:t>
                  </w:r>
                </w:p>
                <w:p w:rsidR="00BC7621" w:rsidRPr="005D7F9A" w:rsidRDefault="00BC7621" w:rsidP="00F475FE">
                  <w:pPr>
                    <w:pStyle w:val="NoSpacing"/>
                    <w:jc w:val="both"/>
                    <w:rPr>
                      <w:lang w:val="en-US"/>
                    </w:rPr>
                  </w:pPr>
                  <w:r w:rsidRPr="005D7F9A">
                    <w:rPr>
                      <w:lang w:val="en-US"/>
                    </w:rPr>
                    <w:t>Electronic versions of the thesis are in principle available for inclusion in any EUR thesis database and repository, such as the Master Thesis Repository of the Erasmus University Rotterdam</w:t>
                  </w:r>
                </w:p>
              </w:txbxContent>
            </v:textbox>
          </v:shape>
        </w:pict>
      </w:r>
    </w:p>
    <w:p w:rsidR="004E4AD4" w:rsidRPr="005F4A48" w:rsidRDefault="004E4AD4">
      <w:pPr>
        <w:rPr>
          <w:rStyle w:val="Strong"/>
          <w:b w:val="0"/>
          <w:sz w:val="22"/>
        </w:rPr>
      </w:pPr>
    </w:p>
    <w:p w:rsidR="004E4AD4" w:rsidRPr="005F4A48" w:rsidRDefault="004E4AD4">
      <w:pPr>
        <w:rPr>
          <w:rStyle w:val="Strong"/>
          <w:b w:val="0"/>
          <w:sz w:val="22"/>
        </w:rPr>
      </w:pPr>
    </w:p>
    <w:p w:rsidR="004E4AD4" w:rsidRPr="005F4A48" w:rsidRDefault="004E4AD4">
      <w:pPr>
        <w:rPr>
          <w:rStyle w:val="Strong"/>
          <w:b w:val="0"/>
          <w:sz w:val="22"/>
        </w:rPr>
      </w:pPr>
    </w:p>
    <w:p w:rsidR="004E4AD4" w:rsidRPr="005F4A48" w:rsidRDefault="004E4AD4">
      <w:pPr>
        <w:rPr>
          <w:rStyle w:val="Strong"/>
          <w:b w:val="0"/>
          <w:sz w:val="22"/>
        </w:rPr>
      </w:pPr>
    </w:p>
    <w:p w:rsidR="004E4AD4" w:rsidRPr="005F4A48" w:rsidRDefault="004E4AD4">
      <w:pPr>
        <w:rPr>
          <w:rStyle w:val="Strong"/>
          <w:b w:val="0"/>
          <w:sz w:val="22"/>
        </w:rPr>
      </w:pPr>
    </w:p>
    <w:p w:rsidR="004E4AD4" w:rsidRPr="005F4A48" w:rsidRDefault="004E4AD4">
      <w:pPr>
        <w:rPr>
          <w:rStyle w:val="Strong"/>
          <w:b w:val="0"/>
          <w:sz w:val="22"/>
        </w:rPr>
        <w:sectPr w:rsidR="004E4AD4" w:rsidRPr="005F4A48" w:rsidSect="002B555D">
          <w:headerReference w:type="default" r:id="rId13"/>
          <w:endnotePr>
            <w:numFmt w:val="decimal"/>
          </w:endnotePr>
          <w:pgSz w:w="11906" w:h="16838"/>
          <w:pgMar w:top="1276" w:right="1417" w:bottom="1417" w:left="1417" w:header="708" w:footer="708" w:gutter="0"/>
          <w:pgNumType w:fmt="lowerRoman" w:start="2"/>
          <w:cols w:space="708"/>
          <w:docGrid w:linePitch="360"/>
        </w:sectPr>
      </w:pPr>
    </w:p>
    <w:p w:rsidR="002E33E2" w:rsidRPr="005F4A48" w:rsidRDefault="002E33E2" w:rsidP="004E4AD4">
      <w:pPr>
        <w:pStyle w:val="TOCHeading"/>
        <w:jc w:val="left"/>
        <w:rPr>
          <w:color w:val="E36C0A" w:themeColor="accent6" w:themeShade="BF"/>
          <w:sz w:val="30"/>
          <w:szCs w:val="30"/>
        </w:rPr>
      </w:pPr>
      <w:r w:rsidRPr="005F4A48">
        <w:rPr>
          <w:color w:val="auto"/>
        </w:rPr>
        <w:lastRenderedPageBreak/>
        <w:t>T</w:t>
      </w:r>
      <w:r w:rsidR="004B7BFF" w:rsidRPr="005F4A48">
        <w:rPr>
          <w:color w:val="auto"/>
          <w:sz w:val="30"/>
          <w:szCs w:val="30"/>
        </w:rPr>
        <w:t>ABLE OF CONTENTS</w:t>
      </w:r>
    </w:p>
    <w:p w:rsidR="000A0330" w:rsidRPr="00812E8B" w:rsidRDefault="00482FB7" w:rsidP="002E33E2">
      <w:pPr>
        <w:pStyle w:val="NoSpacing"/>
        <w:tabs>
          <w:tab w:val="left" w:pos="1959"/>
        </w:tabs>
        <w:rPr>
          <w:lang w:val="en-US"/>
        </w:rPr>
      </w:pPr>
      <w:r w:rsidRPr="00812E8B">
        <w:rPr>
          <w:color w:val="FFFFFF" w:themeColor="background1"/>
          <w:sz w:val="8"/>
          <w:szCs w:val="8"/>
          <w:lang w:val="en-US"/>
        </w:rPr>
        <w:t>Table on contents</w:t>
      </w:r>
      <w:r w:rsidR="002E33E2" w:rsidRPr="00812E8B">
        <w:rPr>
          <w:lang w:val="en-US"/>
        </w:rPr>
        <w:tab/>
      </w:r>
    </w:p>
    <w:sdt>
      <w:sdtPr>
        <w:rPr>
          <w:rFonts w:eastAsiaTheme="minorHAnsi"/>
          <w:b/>
          <w:bCs/>
          <w:color w:val="365F91" w:themeColor="accent1" w:themeShade="BF"/>
          <w:sz w:val="24"/>
          <w:szCs w:val="24"/>
          <w:lang w:val="en-US" w:eastAsia="en-US"/>
        </w:rPr>
        <w:id w:val="-789518340"/>
        <w:docPartObj>
          <w:docPartGallery w:val="Table of Contents"/>
          <w:docPartUnique/>
        </w:docPartObj>
      </w:sdtPr>
      <w:sdtEndPr>
        <w:rPr>
          <w:rFonts w:eastAsiaTheme="minorEastAsia"/>
          <w:b w:val="0"/>
          <w:bCs w:val="0"/>
          <w:color w:val="auto"/>
          <w:sz w:val="22"/>
          <w:szCs w:val="22"/>
          <w:lang w:eastAsia="nl-NL"/>
        </w:rPr>
      </w:sdtEndPr>
      <w:sdtContent>
        <w:p w:rsidR="00937B13" w:rsidRPr="00812E8B" w:rsidRDefault="003E1F4A" w:rsidP="007B2CB1">
          <w:pPr>
            <w:pStyle w:val="NoSpacing"/>
            <w:tabs>
              <w:tab w:val="left" w:pos="1959"/>
            </w:tabs>
            <w:rPr>
              <w:lang w:val="en-US"/>
            </w:rPr>
          </w:pPr>
          <w:r w:rsidRPr="00812E8B">
            <w:rPr>
              <w:lang w:val="en-US"/>
            </w:rPr>
            <w:tab/>
          </w:r>
          <w:r w:rsidR="00D46A7F" w:rsidRPr="00812E8B">
            <w:rPr>
              <w:lang w:val="en-US"/>
            </w:rPr>
            <w:fldChar w:fldCharType="begin"/>
          </w:r>
          <w:r w:rsidR="007B2CB1" w:rsidRPr="00812E8B">
            <w:rPr>
              <w:lang w:val="en-US"/>
            </w:rPr>
            <w:instrText xml:space="preserve"> TOC \o "1-2" \h \z \u </w:instrText>
          </w:r>
          <w:r w:rsidR="00D46A7F" w:rsidRPr="00812E8B">
            <w:rPr>
              <w:lang w:val="en-US"/>
            </w:rPr>
            <w:fldChar w:fldCharType="separate"/>
          </w:r>
        </w:p>
        <w:p w:rsidR="00937B13" w:rsidRPr="00812E8B" w:rsidRDefault="00D46A7F">
          <w:pPr>
            <w:pStyle w:val="TOC1"/>
            <w:rPr>
              <w:b w:val="0"/>
              <w:noProof w:val="0"/>
              <w:color w:val="auto"/>
              <w:sz w:val="22"/>
              <w:szCs w:val="22"/>
              <w:lang w:val="en-US"/>
            </w:rPr>
          </w:pPr>
          <w:hyperlink w:anchor="_Toc306359624" w:history="1">
            <w:r w:rsidR="00937B13" w:rsidRPr="00812E8B">
              <w:rPr>
                <w:rStyle w:val="Hyperlink"/>
                <w:noProof w:val="0"/>
                <w:lang w:val="en-US"/>
              </w:rPr>
              <w:t>PREFACE</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_Toc306359624 \h </w:instrText>
            </w:r>
            <w:r w:rsidRPr="00812E8B">
              <w:rPr>
                <w:noProof w:val="0"/>
                <w:webHidden/>
                <w:lang w:val="en-US"/>
              </w:rPr>
            </w:r>
            <w:r w:rsidRPr="00812E8B">
              <w:rPr>
                <w:noProof w:val="0"/>
                <w:webHidden/>
                <w:lang w:val="en-US"/>
              </w:rPr>
              <w:fldChar w:fldCharType="separate"/>
            </w:r>
            <w:r w:rsidR="00DD7D45">
              <w:rPr>
                <w:webHidden/>
                <w:lang w:val="en-US"/>
              </w:rPr>
              <w:t>ii</w:t>
            </w:r>
            <w:r w:rsidRPr="00812E8B">
              <w:rPr>
                <w:noProof w:val="0"/>
                <w:webHidden/>
                <w:lang w:val="en-US"/>
              </w:rPr>
              <w:fldChar w:fldCharType="end"/>
            </w:r>
          </w:hyperlink>
        </w:p>
        <w:p w:rsidR="00937B13" w:rsidRPr="00812E8B" w:rsidRDefault="00D46A7F">
          <w:pPr>
            <w:pStyle w:val="TOC1"/>
            <w:rPr>
              <w:b w:val="0"/>
              <w:noProof w:val="0"/>
              <w:color w:val="auto"/>
              <w:sz w:val="22"/>
              <w:szCs w:val="22"/>
              <w:lang w:val="en-US"/>
            </w:rPr>
          </w:pPr>
          <w:hyperlink w:anchor="_Toc306359625" w:history="1">
            <w:r w:rsidR="00937B13" w:rsidRPr="00812E8B">
              <w:rPr>
                <w:rStyle w:val="Hyperlink"/>
                <w:noProof w:val="0"/>
                <w:lang w:val="en-US"/>
              </w:rPr>
              <w:t>LIST OF FIGURES AND TABLES</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_Toc306359625 \h </w:instrText>
            </w:r>
            <w:r w:rsidRPr="00812E8B">
              <w:rPr>
                <w:noProof w:val="0"/>
                <w:webHidden/>
                <w:lang w:val="en-US"/>
              </w:rPr>
            </w:r>
            <w:r w:rsidRPr="00812E8B">
              <w:rPr>
                <w:noProof w:val="0"/>
                <w:webHidden/>
                <w:lang w:val="en-US"/>
              </w:rPr>
              <w:fldChar w:fldCharType="separate"/>
            </w:r>
            <w:r w:rsidR="00DD7D45">
              <w:rPr>
                <w:webHidden/>
                <w:lang w:val="en-US"/>
              </w:rPr>
              <w:t>v</w:t>
            </w:r>
            <w:r w:rsidRPr="00812E8B">
              <w:rPr>
                <w:noProof w:val="0"/>
                <w:webHidden/>
                <w:lang w:val="en-US"/>
              </w:rPr>
              <w:fldChar w:fldCharType="end"/>
            </w:r>
          </w:hyperlink>
        </w:p>
        <w:p w:rsidR="00937B13" w:rsidRPr="00812E8B" w:rsidRDefault="00D46A7F">
          <w:pPr>
            <w:pStyle w:val="TOC1"/>
            <w:rPr>
              <w:b w:val="0"/>
              <w:noProof w:val="0"/>
              <w:color w:val="auto"/>
              <w:sz w:val="22"/>
              <w:szCs w:val="22"/>
              <w:lang w:val="en-US"/>
            </w:rPr>
          </w:pPr>
          <w:hyperlink w:anchor="_Toc306359626" w:history="1">
            <w:r w:rsidR="00937B13" w:rsidRPr="00812E8B">
              <w:rPr>
                <w:rStyle w:val="Hyperlink"/>
                <w:noProof w:val="0"/>
                <w:lang w:val="en-US"/>
              </w:rPr>
              <w:t>ABBREVIATIONS</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_Toc306359626 \h </w:instrText>
            </w:r>
            <w:r w:rsidRPr="00812E8B">
              <w:rPr>
                <w:noProof w:val="0"/>
                <w:webHidden/>
                <w:lang w:val="en-US"/>
              </w:rPr>
            </w:r>
            <w:r w:rsidRPr="00812E8B">
              <w:rPr>
                <w:noProof w:val="0"/>
                <w:webHidden/>
                <w:lang w:val="en-US"/>
              </w:rPr>
              <w:fldChar w:fldCharType="separate"/>
            </w:r>
            <w:r w:rsidR="00DD7D45">
              <w:rPr>
                <w:webHidden/>
                <w:lang w:val="en-US"/>
              </w:rPr>
              <w:t>vi</w:t>
            </w:r>
            <w:r w:rsidRPr="00812E8B">
              <w:rPr>
                <w:noProof w:val="0"/>
                <w:webHidden/>
                <w:lang w:val="en-US"/>
              </w:rPr>
              <w:fldChar w:fldCharType="end"/>
            </w:r>
          </w:hyperlink>
        </w:p>
        <w:p w:rsidR="00937B13" w:rsidRPr="00812E8B" w:rsidRDefault="00D46A7F">
          <w:pPr>
            <w:pStyle w:val="TOC1"/>
            <w:rPr>
              <w:b w:val="0"/>
              <w:noProof w:val="0"/>
              <w:color w:val="auto"/>
              <w:sz w:val="22"/>
              <w:szCs w:val="22"/>
              <w:lang w:val="en-US"/>
            </w:rPr>
          </w:pPr>
          <w:hyperlink w:anchor="_Toc306359627" w:history="1">
            <w:r w:rsidR="00937B13" w:rsidRPr="00812E8B">
              <w:rPr>
                <w:rStyle w:val="Hyperlink"/>
                <w:noProof w:val="0"/>
                <w:lang w:val="en-US"/>
              </w:rPr>
              <w:t>1. INTRODUCTION</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_Toc306359627 \h </w:instrText>
            </w:r>
            <w:r w:rsidRPr="00812E8B">
              <w:rPr>
                <w:noProof w:val="0"/>
                <w:webHidden/>
                <w:lang w:val="en-US"/>
              </w:rPr>
            </w:r>
            <w:r w:rsidRPr="00812E8B">
              <w:rPr>
                <w:noProof w:val="0"/>
                <w:webHidden/>
                <w:lang w:val="en-US"/>
              </w:rPr>
              <w:fldChar w:fldCharType="separate"/>
            </w:r>
            <w:r w:rsidR="00DD7D45">
              <w:rPr>
                <w:webHidden/>
                <w:lang w:val="en-US"/>
              </w:rPr>
              <w:t>1</w:t>
            </w:r>
            <w:r w:rsidRPr="00812E8B">
              <w:rPr>
                <w:noProof w:val="0"/>
                <w:webHidden/>
                <w:lang w:val="en-US"/>
              </w:rPr>
              <w:fldChar w:fldCharType="end"/>
            </w:r>
          </w:hyperlink>
        </w:p>
        <w:p w:rsidR="00937B13" w:rsidRPr="00812E8B" w:rsidRDefault="00D46A7F">
          <w:pPr>
            <w:pStyle w:val="TOC2"/>
            <w:rPr>
              <w:lang w:val="en-US"/>
            </w:rPr>
          </w:pPr>
          <w:hyperlink w:anchor="_Toc306359628" w:history="1">
            <w:r w:rsidR="00937B13" w:rsidRPr="00812E8B">
              <w:rPr>
                <w:rStyle w:val="Hyperlink"/>
                <w:lang w:val="en-US"/>
              </w:rPr>
              <w:t>1.1 Relevance</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_Toc306359628 \h </w:instrText>
            </w:r>
            <w:r w:rsidRPr="00812E8B">
              <w:rPr>
                <w:webHidden/>
                <w:lang w:val="en-US"/>
              </w:rPr>
            </w:r>
            <w:r w:rsidRPr="00812E8B">
              <w:rPr>
                <w:webHidden/>
                <w:lang w:val="en-US"/>
              </w:rPr>
              <w:fldChar w:fldCharType="separate"/>
            </w:r>
            <w:r w:rsidR="00DD7D45">
              <w:rPr>
                <w:noProof/>
                <w:webHidden/>
                <w:lang w:val="en-US"/>
              </w:rPr>
              <w:t>2</w:t>
            </w:r>
            <w:r w:rsidRPr="00812E8B">
              <w:rPr>
                <w:webHidden/>
                <w:lang w:val="en-US"/>
              </w:rPr>
              <w:fldChar w:fldCharType="end"/>
            </w:r>
          </w:hyperlink>
        </w:p>
        <w:p w:rsidR="00937B13" w:rsidRPr="00812E8B" w:rsidRDefault="00D46A7F">
          <w:pPr>
            <w:pStyle w:val="TOC2"/>
            <w:rPr>
              <w:lang w:val="en-US"/>
            </w:rPr>
          </w:pPr>
          <w:hyperlink w:anchor="_Toc306359629" w:history="1">
            <w:r w:rsidR="00937B13" w:rsidRPr="00812E8B">
              <w:rPr>
                <w:rStyle w:val="Hyperlink"/>
                <w:lang w:val="en-US"/>
              </w:rPr>
              <w:t>1.2 Research question</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_Toc306359629 \h </w:instrText>
            </w:r>
            <w:r w:rsidRPr="00812E8B">
              <w:rPr>
                <w:webHidden/>
                <w:lang w:val="en-US"/>
              </w:rPr>
            </w:r>
            <w:r w:rsidRPr="00812E8B">
              <w:rPr>
                <w:webHidden/>
                <w:lang w:val="en-US"/>
              </w:rPr>
              <w:fldChar w:fldCharType="separate"/>
            </w:r>
            <w:r w:rsidR="00DD7D45">
              <w:rPr>
                <w:noProof/>
                <w:webHidden/>
                <w:lang w:val="en-US"/>
              </w:rPr>
              <w:t>3</w:t>
            </w:r>
            <w:r w:rsidRPr="00812E8B">
              <w:rPr>
                <w:webHidden/>
                <w:lang w:val="en-US"/>
              </w:rPr>
              <w:fldChar w:fldCharType="end"/>
            </w:r>
          </w:hyperlink>
        </w:p>
        <w:p w:rsidR="00937B13" w:rsidRPr="00812E8B" w:rsidRDefault="00D46A7F">
          <w:pPr>
            <w:pStyle w:val="TOC2"/>
            <w:rPr>
              <w:lang w:val="en-US"/>
            </w:rPr>
          </w:pPr>
          <w:hyperlink w:anchor="_Toc306359630" w:history="1">
            <w:r w:rsidR="00937B13" w:rsidRPr="00812E8B">
              <w:rPr>
                <w:rStyle w:val="Hyperlink"/>
                <w:lang w:val="en-US"/>
              </w:rPr>
              <w:t>1.3 Results and findings</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_Toc306359630 \h </w:instrText>
            </w:r>
            <w:r w:rsidRPr="00812E8B">
              <w:rPr>
                <w:webHidden/>
                <w:lang w:val="en-US"/>
              </w:rPr>
            </w:r>
            <w:r w:rsidRPr="00812E8B">
              <w:rPr>
                <w:webHidden/>
                <w:lang w:val="en-US"/>
              </w:rPr>
              <w:fldChar w:fldCharType="separate"/>
            </w:r>
            <w:r w:rsidR="00DD7D45">
              <w:rPr>
                <w:noProof/>
                <w:webHidden/>
                <w:lang w:val="en-US"/>
              </w:rPr>
              <w:t>3</w:t>
            </w:r>
            <w:r w:rsidRPr="00812E8B">
              <w:rPr>
                <w:webHidden/>
                <w:lang w:val="en-US"/>
              </w:rPr>
              <w:fldChar w:fldCharType="end"/>
            </w:r>
          </w:hyperlink>
        </w:p>
        <w:p w:rsidR="00937B13" w:rsidRPr="00812E8B" w:rsidRDefault="00D46A7F">
          <w:pPr>
            <w:pStyle w:val="TOC2"/>
            <w:rPr>
              <w:lang w:val="en-US"/>
            </w:rPr>
          </w:pPr>
          <w:hyperlink w:anchor="_Toc306359631" w:history="1">
            <w:r w:rsidR="00937B13" w:rsidRPr="00812E8B">
              <w:rPr>
                <w:rStyle w:val="Hyperlink"/>
                <w:lang w:val="en-US"/>
              </w:rPr>
              <w:t>1.4 Outline</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_Toc306359631 \h </w:instrText>
            </w:r>
            <w:r w:rsidRPr="00812E8B">
              <w:rPr>
                <w:webHidden/>
                <w:lang w:val="en-US"/>
              </w:rPr>
            </w:r>
            <w:r w:rsidRPr="00812E8B">
              <w:rPr>
                <w:webHidden/>
                <w:lang w:val="en-US"/>
              </w:rPr>
              <w:fldChar w:fldCharType="separate"/>
            </w:r>
            <w:r w:rsidR="00DD7D45">
              <w:rPr>
                <w:noProof/>
                <w:webHidden/>
                <w:lang w:val="en-US"/>
              </w:rPr>
              <w:t>4</w:t>
            </w:r>
            <w:r w:rsidRPr="00812E8B">
              <w:rPr>
                <w:webHidden/>
                <w:lang w:val="en-US"/>
              </w:rPr>
              <w:fldChar w:fldCharType="end"/>
            </w:r>
          </w:hyperlink>
        </w:p>
        <w:p w:rsidR="00937B13" w:rsidRPr="00812E8B" w:rsidRDefault="00D46A7F">
          <w:pPr>
            <w:pStyle w:val="TOC1"/>
            <w:rPr>
              <w:b w:val="0"/>
              <w:noProof w:val="0"/>
              <w:color w:val="auto"/>
              <w:sz w:val="22"/>
              <w:szCs w:val="22"/>
              <w:lang w:val="en-US"/>
            </w:rPr>
          </w:pPr>
          <w:hyperlink w:anchor="_Toc306359632" w:history="1">
            <w:r w:rsidR="00937B13" w:rsidRPr="00812E8B">
              <w:rPr>
                <w:rStyle w:val="Hyperlink"/>
                <w:noProof w:val="0"/>
                <w:lang w:val="en-US"/>
              </w:rPr>
              <w:t>2. THEORETICAL BACKGROUND</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_Toc306359632 \h </w:instrText>
            </w:r>
            <w:r w:rsidRPr="00812E8B">
              <w:rPr>
                <w:noProof w:val="0"/>
                <w:webHidden/>
                <w:lang w:val="en-US"/>
              </w:rPr>
            </w:r>
            <w:r w:rsidRPr="00812E8B">
              <w:rPr>
                <w:noProof w:val="0"/>
                <w:webHidden/>
                <w:lang w:val="en-US"/>
              </w:rPr>
              <w:fldChar w:fldCharType="separate"/>
            </w:r>
            <w:r w:rsidR="00DD7D45">
              <w:rPr>
                <w:webHidden/>
                <w:lang w:val="en-US"/>
              </w:rPr>
              <w:t>5</w:t>
            </w:r>
            <w:r w:rsidRPr="00812E8B">
              <w:rPr>
                <w:noProof w:val="0"/>
                <w:webHidden/>
                <w:lang w:val="en-US"/>
              </w:rPr>
              <w:fldChar w:fldCharType="end"/>
            </w:r>
          </w:hyperlink>
        </w:p>
        <w:p w:rsidR="00937B13" w:rsidRPr="00812E8B" w:rsidRDefault="00D46A7F">
          <w:pPr>
            <w:pStyle w:val="TOC2"/>
            <w:rPr>
              <w:lang w:val="en-US"/>
            </w:rPr>
          </w:pPr>
          <w:hyperlink w:anchor="_Toc306359633" w:history="1">
            <w:r w:rsidR="00937B13" w:rsidRPr="00812E8B">
              <w:rPr>
                <w:rStyle w:val="Hyperlink"/>
                <w:lang w:val="en-US"/>
              </w:rPr>
              <w:t>2.1 Function of banks</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_Toc306359633 \h </w:instrText>
            </w:r>
            <w:r w:rsidRPr="00812E8B">
              <w:rPr>
                <w:webHidden/>
                <w:lang w:val="en-US"/>
              </w:rPr>
            </w:r>
            <w:r w:rsidRPr="00812E8B">
              <w:rPr>
                <w:webHidden/>
                <w:lang w:val="en-US"/>
              </w:rPr>
              <w:fldChar w:fldCharType="separate"/>
            </w:r>
            <w:r w:rsidR="00DD7D45">
              <w:rPr>
                <w:noProof/>
                <w:webHidden/>
                <w:lang w:val="en-US"/>
              </w:rPr>
              <w:t>5</w:t>
            </w:r>
            <w:r w:rsidRPr="00812E8B">
              <w:rPr>
                <w:webHidden/>
                <w:lang w:val="en-US"/>
              </w:rPr>
              <w:fldChar w:fldCharType="end"/>
            </w:r>
          </w:hyperlink>
        </w:p>
        <w:p w:rsidR="00937B13" w:rsidRPr="00812E8B" w:rsidRDefault="00D46A7F">
          <w:pPr>
            <w:pStyle w:val="TOC2"/>
            <w:rPr>
              <w:lang w:val="en-US"/>
            </w:rPr>
          </w:pPr>
          <w:hyperlink w:anchor="_Toc306359634" w:history="1">
            <w:r w:rsidR="00937B13" w:rsidRPr="00812E8B">
              <w:rPr>
                <w:rStyle w:val="Hyperlink"/>
                <w:lang w:val="en-US"/>
              </w:rPr>
              <w:t>2.2 Rational for regulation and supervision</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_Toc306359634 \h </w:instrText>
            </w:r>
            <w:r w:rsidRPr="00812E8B">
              <w:rPr>
                <w:webHidden/>
                <w:lang w:val="en-US"/>
              </w:rPr>
            </w:r>
            <w:r w:rsidRPr="00812E8B">
              <w:rPr>
                <w:webHidden/>
                <w:lang w:val="en-US"/>
              </w:rPr>
              <w:fldChar w:fldCharType="separate"/>
            </w:r>
            <w:r w:rsidR="00DD7D45">
              <w:rPr>
                <w:noProof/>
                <w:webHidden/>
                <w:lang w:val="en-US"/>
              </w:rPr>
              <w:t>6</w:t>
            </w:r>
            <w:r w:rsidRPr="00812E8B">
              <w:rPr>
                <w:webHidden/>
                <w:lang w:val="en-US"/>
              </w:rPr>
              <w:fldChar w:fldCharType="end"/>
            </w:r>
          </w:hyperlink>
        </w:p>
        <w:p w:rsidR="00937B13" w:rsidRPr="00812E8B" w:rsidRDefault="00D46A7F">
          <w:pPr>
            <w:pStyle w:val="TOC2"/>
            <w:rPr>
              <w:lang w:val="en-US"/>
            </w:rPr>
          </w:pPr>
          <w:hyperlink w:anchor="_Toc306359635" w:history="1">
            <w:r w:rsidR="00937B13" w:rsidRPr="00812E8B">
              <w:rPr>
                <w:rStyle w:val="Hyperlink"/>
                <w:lang w:val="en-US"/>
              </w:rPr>
              <w:t>2.3 European banking sector</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_Toc306359635 \h </w:instrText>
            </w:r>
            <w:r w:rsidRPr="00812E8B">
              <w:rPr>
                <w:webHidden/>
                <w:lang w:val="en-US"/>
              </w:rPr>
            </w:r>
            <w:r w:rsidRPr="00812E8B">
              <w:rPr>
                <w:webHidden/>
                <w:lang w:val="en-US"/>
              </w:rPr>
              <w:fldChar w:fldCharType="separate"/>
            </w:r>
            <w:r w:rsidR="00DD7D45">
              <w:rPr>
                <w:noProof/>
                <w:webHidden/>
                <w:lang w:val="en-US"/>
              </w:rPr>
              <w:t>8</w:t>
            </w:r>
            <w:r w:rsidRPr="00812E8B">
              <w:rPr>
                <w:webHidden/>
                <w:lang w:val="en-US"/>
              </w:rPr>
              <w:fldChar w:fldCharType="end"/>
            </w:r>
          </w:hyperlink>
        </w:p>
        <w:p w:rsidR="00937B13" w:rsidRPr="00812E8B" w:rsidRDefault="00D46A7F">
          <w:pPr>
            <w:pStyle w:val="TOC2"/>
            <w:rPr>
              <w:lang w:val="en-US"/>
            </w:rPr>
          </w:pPr>
          <w:hyperlink w:anchor="_Toc306359636" w:history="1">
            <w:r w:rsidR="00937B13" w:rsidRPr="00812E8B">
              <w:rPr>
                <w:rStyle w:val="Hyperlink"/>
                <w:lang w:val="en-US"/>
              </w:rPr>
              <w:t>2.4 General influences on banks’ profitability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_Toc306359636 \h </w:instrText>
            </w:r>
            <w:r w:rsidRPr="00812E8B">
              <w:rPr>
                <w:webHidden/>
                <w:lang w:val="en-US"/>
              </w:rPr>
            </w:r>
            <w:r w:rsidRPr="00812E8B">
              <w:rPr>
                <w:webHidden/>
                <w:lang w:val="en-US"/>
              </w:rPr>
              <w:fldChar w:fldCharType="separate"/>
            </w:r>
            <w:r w:rsidR="00DD7D45">
              <w:rPr>
                <w:noProof/>
                <w:webHidden/>
                <w:lang w:val="en-US"/>
              </w:rPr>
              <w:t>9</w:t>
            </w:r>
            <w:r w:rsidRPr="00812E8B">
              <w:rPr>
                <w:webHidden/>
                <w:lang w:val="en-US"/>
              </w:rPr>
              <w:fldChar w:fldCharType="end"/>
            </w:r>
          </w:hyperlink>
        </w:p>
        <w:p w:rsidR="00937B13" w:rsidRPr="00812E8B" w:rsidRDefault="00D46A7F">
          <w:pPr>
            <w:pStyle w:val="TOC2"/>
            <w:rPr>
              <w:lang w:val="en-US"/>
            </w:rPr>
          </w:pPr>
          <w:hyperlink w:anchor="_Toc306359637" w:history="1">
            <w:r w:rsidR="00937B13" w:rsidRPr="00812E8B">
              <w:rPr>
                <w:rStyle w:val="Hyperlink"/>
                <w:lang w:val="en-US"/>
              </w:rPr>
              <w:t>2.5 Summary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_Toc306359637 \h </w:instrText>
            </w:r>
            <w:r w:rsidRPr="00812E8B">
              <w:rPr>
                <w:webHidden/>
                <w:lang w:val="en-US"/>
              </w:rPr>
            </w:r>
            <w:r w:rsidRPr="00812E8B">
              <w:rPr>
                <w:webHidden/>
                <w:lang w:val="en-US"/>
              </w:rPr>
              <w:fldChar w:fldCharType="separate"/>
            </w:r>
            <w:r w:rsidR="00DD7D45">
              <w:rPr>
                <w:noProof/>
                <w:webHidden/>
                <w:lang w:val="en-US"/>
              </w:rPr>
              <w:t>11</w:t>
            </w:r>
            <w:r w:rsidRPr="00812E8B">
              <w:rPr>
                <w:webHidden/>
                <w:lang w:val="en-US"/>
              </w:rPr>
              <w:fldChar w:fldCharType="end"/>
            </w:r>
          </w:hyperlink>
        </w:p>
        <w:p w:rsidR="00937B13" w:rsidRPr="00812E8B" w:rsidRDefault="00D46A7F">
          <w:pPr>
            <w:pStyle w:val="TOC1"/>
            <w:rPr>
              <w:b w:val="0"/>
              <w:noProof w:val="0"/>
              <w:color w:val="auto"/>
              <w:sz w:val="22"/>
              <w:szCs w:val="22"/>
              <w:lang w:val="en-US"/>
            </w:rPr>
          </w:pPr>
          <w:hyperlink w:anchor="_Toc306359638" w:history="1">
            <w:r w:rsidR="00937B13" w:rsidRPr="00812E8B">
              <w:rPr>
                <w:rStyle w:val="Hyperlink"/>
                <w:noProof w:val="0"/>
                <w:lang w:val="en-US"/>
              </w:rPr>
              <w:t>3. LITERATURE REVIEW</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_Toc306359638 \h </w:instrText>
            </w:r>
            <w:r w:rsidRPr="00812E8B">
              <w:rPr>
                <w:noProof w:val="0"/>
                <w:webHidden/>
                <w:lang w:val="en-US"/>
              </w:rPr>
            </w:r>
            <w:r w:rsidRPr="00812E8B">
              <w:rPr>
                <w:noProof w:val="0"/>
                <w:webHidden/>
                <w:lang w:val="en-US"/>
              </w:rPr>
              <w:fldChar w:fldCharType="separate"/>
            </w:r>
            <w:r w:rsidR="00DD7D45">
              <w:rPr>
                <w:webHidden/>
                <w:lang w:val="en-US"/>
              </w:rPr>
              <w:t>12</w:t>
            </w:r>
            <w:r w:rsidRPr="00812E8B">
              <w:rPr>
                <w:noProof w:val="0"/>
                <w:webHidden/>
                <w:lang w:val="en-US"/>
              </w:rPr>
              <w:fldChar w:fldCharType="end"/>
            </w:r>
          </w:hyperlink>
        </w:p>
        <w:p w:rsidR="00937B13" w:rsidRPr="00812E8B" w:rsidRDefault="00D46A7F">
          <w:pPr>
            <w:pStyle w:val="TOC2"/>
            <w:rPr>
              <w:lang w:val="en-US"/>
            </w:rPr>
          </w:pPr>
          <w:hyperlink w:anchor="_Toc306359639" w:history="1">
            <w:r w:rsidR="00937B13" w:rsidRPr="00812E8B">
              <w:rPr>
                <w:rStyle w:val="Hyperlink"/>
                <w:lang w:val="en-US"/>
              </w:rPr>
              <w:t>3.1 Literature on regulation and profitability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_Toc306359639 \h </w:instrText>
            </w:r>
            <w:r w:rsidRPr="00812E8B">
              <w:rPr>
                <w:webHidden/>
                <w:lang w:val="en-US"/>
              </w:rPr>
            </w:r>
            <w:r w:rsidRPr="00812E8B">
              <w:rPr>
                <w:webHidden/>
                <w:lang w:val="en-US"/>
              </w:rPr>
              <w:fldChar w:fldCharType="separate"/>
            </w:r>
            <w:r w:rsidR="00DD7D45">
              <w:rPr>
                <w:noProof/>
                <w:webHidden/>
                <w:lang w:val="en-US"/>
              </w:rPr>
              <w:t>12</w:t>
            </w:r>
            <w:r w:rsidRPr="00812E8B">
              <w:rPr>
                <w:webHidden/>
                <w:lang w:val="en-US"/>
              </w:rPr>
              <w:fldChar w:fldCharType="end"/>
            </w:r>
          </w:hyperlink>
        </w:p>
        <w:p w:rsidR="00937B13" w:rsidRPr="00812E8B" w:rsidRDefault="00D46A7F">
          <w:pPr>
            <w:pStyle w:val="TOC2"/>
            <w:rPr>
              <w:lang w:val="en-US"/>
            </w:rPr>
          </w:pPr>
          <w:hyperlink w:anchor="_Toc306359640" w:history="1">
            <w:r w:rsidR="00937B13" w:rsidRPr="00812E8B">
              <w:rPr>
                <w:rStyle w:val="Hyperlink"/>
                <w:lang w:val="en-US"/>
              </w:rPr>
              <w:t>3.2 Literature on ownership structure and profitability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_Toc306359640 \h </w:instrText>
            </w:r>
            <w:r w:rsidRPr="00812E8B">
              <w:rPr>
                <w:webHidden/>
                <w:lang w:val="en-US"/>
              </w:rPr>
            </w:r>
            <w:r w:rsidRPr="00812E8B">
              <w:rPr>
                <w:webHidden/>
                <w:lang w:val="en-US"/>
              </w:rPr>
              <w:fldChar w:fldCharType="separate"/>
            </w:r>
            <w:r w:rsidR="00DD7D45">
              <w:rPr>
                <w:noProof/>
                <w:webHidden/>
                <w:lang w:val="en-US"/>
              </w:rPr>
              <w:t>13</w:t>
            </w:r>
            <w:r w:rsidRPr="00812E8B">
              <w:rPr>
                <w:webHidden/>
                <w:lang w:val="en-US"/>
              </w:rPr>
              <w:fldChar w:fldCharType="end"/>
            </w:r>
          </w:hyperlink>
        </w:p>
        <w:p w:rsidR="00937B13" w:rsidRPr="00812E8B" w:rsidRDefault="00D46A7F">
          <w:pPr>
            <w:pStyle w:val="TOC2"/>
            <w:rPr>
              <w:lang w:val="en-US"/>
            </w:rPr>
          </w:pPr>
          <w:hyperlink w:anchor="_Toc306359641" w:history="1">
            <w:r w:rsidR="00937B13" w:rsidRPr="00812E8B">
              <w:rPr>
                <w:rStyle w:val="Hyperlink"/>
                <w:lang w:val="en-US"/>
              </w:rPr>
              <w:t>3.3 Literature on balance sheet structure and profitabilitY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_Toc306359641 \h </w:instrText>
            </w:r>
            <w:r w:rsidRPr="00812E8B">
              <w:rPr>
                <w:webHidden/>
                <w:lang w:val="en-US"/>
              </w:rPr>
            </w:r>
            <w:r w:rsidRPr="00812E8B">
              <w:rPr>
                <w:webHidden/>
                <w:lang w:val="en-US"/>
              </w:rPr>
              <w:fldChar w:fldCharType="separate"/>
            </w:r>
            <w:r w:rsidR="00DD7D45">
              <w:rPr>
                <w:noProof/>
                <w:webHidden/>
                <w:lang w:val="en-US"/>
              </w:rPr>
              <w:t>15</w:t>
            </w:r>
            <w:r w:rsidRPr="00812E8B">
              <w:rPr>
                <w:webHidden/>
                <w:lang w:val="en-US"/>
              </w:rPr>
              <w:fldChar w:fldCharType="end"/>
            </w:r>
          </w:hyperlink>
        </w:p>
        <w:p w:rsidR="00937B13" w:rsidRPr="00812E8B" w:rsidRDefault="00D46A7F">
          <w:pPr>
            <w:pStyle w:val="TOC2"/>
            <w:rPr>
              <w:lang w:val="en-US"/>
            </w:rPr>
          </w:pPr>
          <w:hyperlink w:anchor="_Toc306359642" w:history="1">
            <w:r w:rsidR="00937B13" w:rsidRPr="00812E8B">
              <w:rPr>
                <w:rStyle w:val="Hyperlink"/>
                <w:lang w:val="en-US"/>
              </w:rPr>
              <w:t>3.4 Macroeconomic, industry-specific and bank-specific factors and profitability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_Toc306359642 \h </w:instrText>
            </w:r>
            <w:r w:rsidRPr="00812E8B">
              <w:rPr>
                <w:webHidden/>
                <w:lang w:val="en-US"/>
              </w:rPr>
            </w:r>
            <w:r w:rsidRPr="00812E8B">
              <w:rPr>
                <w:webHidden/>
                <w:lang w:val="en-US"/>
              </w:rPr>
              <w:fldChar w:fldCharType="separate"/>
            </w:r>
            <w:r w:rsidR="00DD7D45">
              <w:rPr>
                <w:noProof/>
                <w:webHidden/>
                <w:lang w:val="en-US"/>
              </w:rPr>
              <w:t>15</w:t>
            </w:r>
            <w:r w:rsidRPr="00812E8B">
              <w:rPr>
                <w:webHidden/>
                <w:lang w:val="en-US"/>
              </w:rPr>
              <w:fldChar w:fldCharType="end"/>
            </w:r>
          </w:hyperlink>
        </w:p>
        <w:p w:rsidR="00937B13" w:rsidRPr="00812E8B" w:rsidRDefault="00D46A7F">
          <w:pPr>
            <w:pStyle w:val="TOC2"/>
            <w:rPr>
              <w:lang w:val="en-US"/>
            </w:rPr>
          </w:pPr>
          <w:hyperlink w:anchor="_Toc306359643" w:history="1">
            <w:r w:rsidR="00937B13" w:rsidRPr="00812E8B">
              <w:rPr>
                <w:rStyle w:val="Hyperlink"/>
                <w:lang w:val="en-US"/>
              </w:rPr>
              <w:t>3.5 Summary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_Toc306359643 \h </w:instrText>
            </w:r>
            <w:r w:rsidRPr="00812E8B">
              <w:rPr>
                <w:webHidden/>
                <w:lang w:val="en-US"/>
              </w:rPr>
            </w:r>
            <w:r w:rsidRPr="00812E8B">
              <w:rPr>
                <w:webHidden/>
                <w:lang w:val="en-US"/>
              </w:rPr>
              <w:fldChar w:fldCharType="separate"/>
            </w:r>
            <w:r w:rsidR="00DD7D45">
              <w:rPr>
                <w:noProof/>
                <w:webHidden/>
                <w:lang w:val="en-US"/>
              </w:rPr>
              <w:t>18</w:t>
            </w:r>
            <w:r w:rsidRPr="00812E8B">
              <w:rPr>
                <w:webHidden/>
                <w:lang w:val="en-US"/>
              </w:rPr>
              <w:fldChar w:fldCharType="end"/>
            </w:r>
          </w:hyperlink>
        </w:p>
        <w:p w:rsidR="00937B13" w:rsidRPr="00812E8B" w:rsidRDefault="00D46A7F">
          <w:pPr>
            <w:pStyle w:val="TOC1"/>
            <w:rPr>
              <w:b w:val="0"/>
              <w:noProof w:val="0"/>
              <w:color w:val="auto"/>
              <w:sz w:val="22"/>
              <w:szCs w:val="22"/>
              <w:lang w:val="en-US"/>
            </w:rPr>
          </w:pPr>
          <w:hyperlink w:anchor="_Toc306359644" w:history="1">
            <w:r w:rsidR="00937B13" w:rsidRPr="00812E8B">
              <w:rPr>
                <w:rStyle w:val="Hyperlink"/>
                <w:noProof w:val="0"/>
                <w:lang w:val="en-US"/>
              </w:rPr>
              <w:t>4. HYPOTHESIS AND DETERMINANTS SELECTION</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_Toc306359644 \h </w:instrText>
            </w:r>
            <w:r w:rsidRPr="00812E8B">
              <w:rPr>
                <w:noProof w:val="0"/>
                <w:webHidden/>
                <w:lang w:val="en-US"/>
              </w:rPr>
            </w:r>
            <w:r w:rsidRPr="00812E8B">
              <w:rPr>
                <w:noProof w:val="0"/>
                <w:webHidden/>
                <w:lang w:val="en-US"/>
              </w:rPr>
              <w:fldChar w:fldCharType="separate"/>
            </w:r>
            <w:r w:rsidR="00DD7D45">
              <w:rPr>
                <w:webHidden/>
                <w:lang w:val="en-US"/>
              </w:rPr>
              <w:t>19</w:t>
            </w:r>
            <w:r w:rsidRPr="00812E8B">
              <w:rPr>
                <w:noProof w:val="0"/>
                <w:webHidden/>
                <w:lang w:val="en-US"/>
              </w:rPr>
              <w:fldChar w:fldCharType="end"/>
            </w:r>
          </w:hyperlink>
        </w:p>
        <w:p w:rsidR="00937B13" w:rsidRPr="00812E8B" w:rsidRDefault="00D46A7F">
          <w:pPr>
            <w:pStyle w:val="TOC2"/>
            <w:rPr>
              <w:lang w:val="en-US"/>
            </w:rPr>
          </w:pPr>
          <w:hyperlink w:anchor="_Toc306359645" w:history="1">
            <w:r w:rsidR="00937B13" w:rsidRPr="00812E8B">
              <w:rPr>
                <w:rStyle w:val="Hyperlink"/>
                <w:lang w:val="en-US"/>
              </w:rPr>
              <w:t>4.1 Dependent variable</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_Toc306359645 \h </w:instrText>
            </w:r>
            <w:r w:rsidRPr="00812E8B">
              <w:rPr>
                <w:webHidden/>
                <w:lang w:val="en-US"/>
              </w:rPr>
            </w:r>
            <w:r w:rsidRPr="00812E8B">
              <w:rPr>
                <w:webHidden/>
                <w:lang w:val="en-US"/>
              </w:rPr>
              <w:fldChar w:fldCharType="separate"/>
            </w:r>
            <w:r w:rsidR="00DD7D45">
              <w:rPr>
                <w:noProof/>
                <w:webHidden/>
                <w:lang w:val="en-US"/>
              </w:rPr>
              <w:t>19</w:t>
            </w:r>
            <w:r w:rsidRPr="00812E8B">
              <w:rPr>
                <w:webHidden/>
                <w:lang w:val="en-US"/>
              </w:rPr>
              <w:fldChar w:fldCharType="end"/>
            </w:r>
          </w:hyperlink>
        </w:p>
        <w:p w:rsidR="00937B13" w:rsidRPr="00812E8B" w:rsidRDefault="00D46A7F">
          <w:pPr>
            <w:pStyle w:val="TOC2"/>
            <w:rPr>
              <w:lang w:val="en-US"/>
            </w:rPr>
          </w:pPr>
          <w:hyperlink w:anchor="_Toc306359646" w:history="1">
            <w:r w:rsidR="00937B13" w:rsidRPr="00812E8B">
              <w:rPr>
                <w:rStyle w:val="Hyperlink"/>
                <w:lang w:val="en-US"/>
              </w:rPr>
              <w:t>4.2 Independent variables</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_Toc306359646 \h </w:instrText>
            </w:r>
            <w:r w:rsidRPr="00812E8B">
              <w:rPr>
                <w:webHidden/>
                <w:lang w:val="en-US"/>
              </w:rPr>
            </w:r>
            <w:r w:rsidRPr="00812E8B">
              <w:rPr>
                <w:webHidden/>
                <w:lang w:val="en-US"/>
              </w:rPr>
              <w:fldChar w:fldCharType="separate"/>
            </w:r>
            <w:r w:rsidR="00DD7D45">
              <w:rPr>
                <w:noProof/>
                <w:webHidden/>
                <w:lang w:val="en-US"/>
              </w:rPr>
              <w:t>21</w:t>
            </w:r>
            <w:r w:rsidRPr="00812E8B">
              <w:rPr>
                <w:webHidden/>
                <w:lang w:val="en-US"/>
              </w:rPr>
              <w:fldChar w:fldCharType="end"/>
            </w:r>
          </w:hyperlink>
        </w:p>
        <w:p w:rsidR="00937B13" w:rsidRPr="00812E8B" w:rsidRDefault="00D46A7F">
          <w:pPr>
            <w:pStyle w:val="TOC2"/>
            <w:rPr>
              <w:lang w:val="en-US"/>
            </w:rPr>
          </w:pPr>
          <w:hyperlink w:anchor="_Toc306359647" w:history="1">
            <w:r w:rsidR="00937B13" w:rsidRPr="00812E8B">
              <w:rPr>
                <w:rStyle w:val="Hyperlink"/>
                <w:lang w:val="en-US"/>
              </w:rPr>
              <w:t>4.3 Summary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_Toc306359647 \h </w:instrText>
            </w:r>
            <w:r w:rsidRPr="00812E8B">
              <w:rPr>
                <w:webHidden/>
                <w:lang w:val="en-US"/>
              </w:rPr>
            </w:r>
            <w:r w:rsidRPr="00812E8B">
              <w:rPr>
                <w:webHidden/>
                <w:lang w:val="en-US"/>
              </w:rPr>
              <w:fldChar w:fldCharType="separate"/>
            </w:r>
            <w:r w:rsidR="00DD7D45">
              <w:rPr>
                <w:noProof/>
                <w:webHidden/>
                <w:lang w:val="en-US"/>
              </w:rPr>
              <w:t>26</w:t>
            </w:r>
            <w:r w:rsidRPr="00812E8B">
              <w:rPr>
                <w:webHidden/>
                <w:lang w:val="en-US"/>
              </w:rPr>
              <w:fldChar w:fldCharType="end"/>
            </w:r>
          </w:hyperlink>
        </w:p>
        <w:p w:rsidR="00937B13" w:rsidRPr="00812E8B" w:rsidRDefault="00D46A7F">
          <w:pPr>
            <w:pStyle w:val="TOC1"/>
            <w:rPr>
              <w:b w:val="0"/>
              <w:noProof w:val="0"/>
              <w:color w:val="auto"/>
              <w:sz w:val="22"/>
              <w:szCs w:val="22"/>
              <w:lang w:val="en-US"/>
            </w:rPr>
          </w:pPr>
          <w:hyperlink w:anchor="_Toc306359648" w:history="1">
            <w:r w:rsidR="00937B13" w:rsidRPr="00812E8B">
              <w:rPr>
                <w:rStyle w:val="Hyperlink"/>
                <w:noProof w:val="0"/>
                <w:lang w:val="en-US"/>
              </w:rPr>
              <w:t>5. RESEARCH DESIGN AND DATA</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_Toc306359648 \h </w:instrText>
            </w:r>
            <w:r w:rsidRPr="00812E8B">
              <w:rPr>
                <w:noProof w:val="0"/>
                <w:webHidden/>
                <w:lang w:val="en-US"/>
              </w:rPr>
            </w:r>
            <w:r w:rsidRPr="00812E8B">
              <w:rPr>
                <w:noProof w:val="0"/>
                <w:webHidden/>
                <w:lang w:val="en-US"/>
              </w:rPr>
              <w:fldChar w:fldCharType="separate"/>
            </w:r>
            <w:r w:rsidR="00DD7D45">
              <w:rPr>
                <w:webHidden/>
                <w:lang w:val="en-US"/>
              </w:rPr>
              <w:t>27</w:t>
            </w:r>
            <w:r w:rsidRPr="00812E8B">
              <w:rPr>
                <w:noProof w:val="0"/>
                <w:webHidden/>
                <w:lang w:val="en-US"/>
              </w:rPr>
              <w:fldChar w:fldCharType="end"/>
            </w:r>
          </w:hyperlink>
        </w:p>
        <w:p w:rsidR="00937B13" w:rsidRPr="00812E8B" w:rsidRDefault="00D46A7F">
          <w:pPr>
            <w:pStyle w:val="TOC2"/>
            <w:rPr>
              <w:lang w:val="en-US"/>
            </w:rPr>
          </w:pPr>
          <w:hyperlink w:anchor="_Toc306359649" w:history="1">
            <w:r w:rsidR="00937B13" w:rsidRPr="00812E8B">
              <w:rPr>
                <w:rStyle w:val="Hyperlink"/>
                <w:lang w:val="en-US"/>
              </w:rPr>
              <w:t>5.1 Methodology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_Toc306359649 \h </w:instrText>
            </w:r>
            <w:r w:rsidRPr="00812E8B">
              <w:rPr>
                <w:webHidden/>
                <w:lang w:val="en-US"/>
              </w:rPr>
            </w:r>
            <w:r w:rsidRPr="00812E8B">
              <w:rPr>
                <w:webHidden/>
                <w:lang w:val="en-US"/>
              </w:rPr>
              <w:fldChar w:fldCharType="separate"/>
            </w:r>
            <w:r w:rsidR="00DD7D45">
              <w:rPr>
                <w:noProof/>
                <w:webHidden/>
                <w:lang w:val="en-US"/>
              </w:rPr>
              <w:t>27</w:t>
            </w:r>
            <w:r w:rsidRPr="00812E8B">
              <w:rPr>
                <w:webHidden/>
                <w:lang w:val="en-US"/>
              </w:rPr>
              <w:fldChar w:fldCharType="end"/>
            </w:r>
          </w:hyperlink>
        </w:p>
        <w:p w:rsidR="00937B13" w:rsidRPr="00812E8B" w:rsidRDefault="00D46A7F">
          <w:pPr>
            <w:pStyle w:val="TOC2"/>
            <w:rPr>
              <w:lang w:val="en-US"/>
            </w:rPr>
          </w:pPr>
          <w:hyperlink w:anchor="_Toc306359650" w:history="1">
            <w:r w:rsidR="00937B13" w:rsidRPr="00812E8B">
              <w:rPr>
                <w:rStyle w:val="Hyperlink"/>
                <w:lang w:val="en-US"/>
              </w:rPr>
              <w:t>5.2 Data</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_Toc306359650 \h </w:instrText>
            </w:r>
            <w:r w:rsidRPr="00812E8B">
              <w:rPr>
                <w:webHidden/>
                <w:lang w:val="en-US"/>
              </w:rPr>
            </w:r>
            <w:r w:rsidRPr="00812E8B">
              <w:rPr>
                <w:webHidden/>
                <w:lang w:val="en-US"/>
              </w:rPr>
              <w:fldChar w:fldCharType="separate"/>
            </w:r>
            <w:r w:rsidR="00DD7D45">
              <w:rPr>
                <w:noProof/>
                <w:webHidden/>
                <w:lang w:val="en-US"/>
              </w:rPr>
              <w:t>30</w:t>
            </w:r>
            <w:r w:rsidRPr="00812E8B">
              <w:rPr>
                <w:webHidden/>
                <w:lang w:val="en-US"/>
              </w:rPr>
              <w:fldChar w:fldCharType="end"/>
            </w:r>
          </w:hyperlink>
        </w:p>
        <w:p w:rsidR="00937B13" w:rsidRPr="00812E8B" w:rsidRDefault="00D46A7F">
          <w:pPr>
            <w:pStyle w:val="TOC2"/>
            <w:rPr>
              <w:lang w:val="en-US"/>
            </w:rPr>
          </w:pPr>
          <w:hyperlink w:anchor="_Toc306359651" w:history="1">
            <w:r w:rsidR="00937B13" w:rsidRPr="00812E8B">
              <w:rPr>
                <w:rStyle w:val="Hyperlink"/>
                <w:lang w:val="en-US"/>
              </w:rPr>
              <w:t>5.3 Descriptive statistics</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_Toc306359651 \h </w:instrText>
            </w:r>
            <w:r w:rsidRPr="00812E8B">
              <w:rPr>
                <w:webHidden/>
                <w:lang w:val="en-US"/>
              </w:rPr>
            </w:r>
            <w:r w:rsidRPr="00812E8B">
              <w:rPr>
                <w:webHidden/>
                <w:lang w:val="en-US"/>
              </w:rPr>
              <w:fldChar w:fldCharType="separate"/>
            </w:r>
            <w:r w:rsidR="00DD7D45">
              <w:rPr>
                <w:noProof/>
                <w:webHidden/>
                <w:lang w:val="en-US"/>
              </w:rPr>
              <w:t>31</w:t>
            </w:r>
            <w:r w:rsidRPr="00812E8B">
              <w:rPr>
                <w:webHidden/>
                <w:lang w:val="en-US"/>
              </w:rPr>
              <w:fldChar w:fldCharType="end"/>
            </w:r>
          </w:hyperlink>
        </w:p>
        <w:p w:rsidR="00937B13" w:rsidRPr="00812E8B" w:rsidRDefault="00D46A7F">
          <w:pPr>
            <w:pStyle w:val="TOC2"/>
            <w:rPr>
              <w:lang w:val="en-US"/>
            </w:rPr>
          </w:pPr>
          <w:hyperlink w:anchor="_Toc306359652" w:history="1">
            <w:r w:rsidR="00937B13" w:rsidRPr="00812E8B">
              <w:rPr>
                <w:rStyle w:val="Hyperlink"/>
                <w:lang w:val="en-US"/>
              </w:rPr>
              <w:t>5.4 Summary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_Toc306359652 \h </w:instrText>
            </w:r>
            <w:r w:rsidRPr="00812E8B">
              <w:rPr>
                <w:webHidden/>
                <w:lang w:val="en-US"/>
              </w:rPr>
            </w:r>
            <w:r w:rsidRPr="00812E8B">
              <w:rPr>
                <w:webHidden/>
                <w:lang w:val="en-US"/>
              </w:rPr>
              <w:fldChar w:fldCharType="separate"/>
            </w:r>
            <w:r w:rsidR="00DD7D45">
              <w:rPr>
                <w:noProof/>
                <w:webHidden/>
                <w:lang w:val="en-US"/>
              </w:rPr>
              <w:t>36</w:t>
            </w:r>
            <w:r w:rsidRPr="00812E8B">
              <w:rPr>
                <w:webHidden/>
                <w:lang w:val="en-US"/>
              </w:rPr>
              <w:fldChar w:fldCharType="end"/>
            </w:r>
          </w:hyperlink>
        </w:p>
        <w:p w:rsidR="00937B13" w:rsidRPr="00812E8B" w:rsidRDefault="00D46A7F">
          <w:pPr>
            <w:pStyle w:val="TOC1"/>
            <w:rPr>
              <w:b w:val="0"/>
              <w:noProof w:val="0"/>
              <w:color w:val="auto"/>
              <w:sz w:val="22"/>
              <w:szCs w:val="22"/>
              <w:lang w:val="en-US"/>
            </w:rPr>
          </w:pPr>
          <w:hyperlink w:anchor="_Toc306359653" w:history="1">
            <w:r w:rsidR="00937B13" w:rsidRPr="00812E8B">
              <w:rPr>
                <w:rStyle w:val="Hyperlink"/>
                <w:noProof w:val="0"/>
                <w:lang w:val="en-US"/>
              </w:rPr>
              <w:t>6. EMPIRICAL RESULTS</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_Toc306359653 \h </w:instrText>
            </w:r>
            <w:r w:rsidRPr="00812E8B">
              <w:rPr>
                <w:noProof w:val="0"/>
                <w:webHidden/>
                <w:lang w:val="en-US"/>
              </w:rPr>
            </w:r>
            <w:r w:rsidRPr="00812E8B">
              <w:rPr>
                <w:noProof w:val="0"/>
                <w:webHidden/>
                <w:lang w:val="en-US"/>
              </w:rPr>
              <w:fldChar w:fldCharType="separate"/>
            </w:r>
            <w:r w:rsidR="00DD7D45">
              <w:rPr>
                <w:webHidden/>
                <w:lang w:val="en-US"/>
              </w:rPr>
              <w:t>38</w:t>
            </w:r>
            <w:r w:rsidRPr="00812E8B">
              <w:rPr>
                <w:noProof w:val="0"/>
                <w:webHidden/>
                <w:lang w:val="en-US"/>
              </w:rPr>
              <w:fldChar w:fldCharType="end"/>
            </w:r>
          </w:hyperlink>
        </w:p>
        <w:p w:rsidR="00937B13" w:rsidRPr="00812E8B" w:rsidRDefault="00D46A7F">
          <w:pPr>
            <w:pStyle w:val="TOC2"/>
            <w:rPr>
              <w:lang w:val="en-US"/>
            </w:rPr>
          </w:pPr>
          <w:hyperlink w:anchor="_Toc306359654" w:history="1">
            <w:r w:rsidR="00937B13" w:rsidRPr="00812E8B">
              <w:rPr>
                <w:rStyle w:val="Hyperlink"/>
                <w:lang w:val="en-US"/>
              </w:rPr>
              <w:t>6.1 Empirical results of the determinants of banks’ profitability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_Toc306359654 \h </w:instrText>
            </w:r>
            <w:r w:rsidRPr="00812E8B">
              <w:rPr>
                <w:webHidden/>
                <w:lang w:val="en-US"/>
              </w:rPr>
            </w:r>
            <w:r w:rsidRPr="00812E8B">
              <w:rPr>
                <w:webHidden/>
                <w:lang w:val="en-US"/>
              </w:rPr>
              <w:fldChar w:fldCharType="separate"/>
            </w:r>
            <w:r w:rsidR="00DD7D45">
              <w:rPr>
                <w:noProof/>
                <w:webHidden/>
                <w:lang w:val="en-US"/>
              </w:rPr>
              <w:t>38</w:t>
            </w:r>
            <w:r w:rsidRPr="00812E8B">
              <w:rPr>
                <w:webHidden/>
                <w:lang w:val="en-US"/>
              </w:rPr>
              <w:fldChar w:fldCharType="end"/>
            </w:r>
          </w:hyperlink>
        </w:p>
        <w:p w:rsidR="00937B13" w:rsidRPr="00812E8B" w:rsidRDefault="00D46A7F">
          <w:pPr>
            <w:pStyle w:val="TOC2"/>
            <w:rPr>
              <w:lang w:val="en-US"/>
            </w:rPr>
          </w:pPr>
          <w:hyperlink w:anchor="_Toc306359655" w:history="1">
            <w:r w:rsidR="00937B13" w:rsidRPr="00812E8B">
              <w:rPr>
                <w:rStyle w:val="Hyperlink"/>
                <w:lang w:val="en-US"/>
              </w:rPr>
              <w:t>6.2 Robustness checks</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_Toc306359655 \h </w:instrText>
            </w:r>
            <w:r w:rsidRPr="00812E8B">
              <w:rPr>
                <w:webHidden/>
                <w:lang w:val="en-US"/>
              </w:rPr>
            </w:r>
            <w:r w:rsidRPr="00812E8B">
              <w:rPr>
                <w:webHidden/>
                <w:lang w:val="en-US"/>
              </w:rPr>
              <w:fldChar w:fldCharType="separate"/>
            </w:r>
            <w:r w:rsidR="00DD7D45">
              <w:rPr>
                <w:noProof/>
                <w:webHidden/>
                <w:lang w:val="en-US"/>
              </w:rPr>
              <w:t>44</w:t>
            </w:r>
            <w:r w:rsidRPr="00812E8B">
              <w:rPr>
                <w:webHidden/>
                <w:lang w:val="en-US"/>
              </w:rPr>
              <w:fldChar w:fldCharType="end"/>
            </w:r>
          </w:hyperlink>
        </w:p>
        <w:p w:rsidR="00937B13" w:rsidRPr="00812E8B" w:rsidRDefault="00D46A7F">
          <w:pPr>
            <w:pStyle w:val="TOC2"/>
            <w:rPr>
              <w:lang w:val="en-US"/>
            </w:rPr>
          </w:pPr>
          <w:hyperlink w:anchor="_Toc306359656" w:history="1">
            <w:r w:rsidR="00937B13" w:rsidRPr="00812E8B">
              <w:rPr>
                <w:rStyle w:val="Hyperlink"/>
                <w:lang w:val="en-US"/>
              </w:rPr>
              <w:t>6.3 Summary</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_Toc306359656 \h </w:instrText>
            </w:r>
            <w:r w:rsidRPr="00812E8B">
              <w:rPr>
                <w:webHidden/>
                <w:lang w:val="en-US"/>
              </w:rPr>
            </w:r>
            <w:r w:rsidRPr="00812E8B">
              <w:rPr>
                <w:webHidden/>
                <w:lang w:val="en-US"/>
              </w:rPr>
              <w:fldChar w:fldCharType="separate"/>
            </w:r>
            <w:r w:rsidR="00DD7D45">
              <w:rPr>
                <w:noProof/>
                <w:webHidden/>
                <w:lang w:val="en-US"/>
              </w:rPr>
              <w:t>47</w:t>
            </w:r>
            <w:r w:rsidRPr="00812E8B">
              <w:rPr>
                <w:webHidden/>
                <w:lang w:val="en-US"/>
              </w:rPr>
              <w:fldChar w:fldCharType="end"/>
            </w:r>
          </w:hyperlink>
        </w:p>
        <w:p w:rsidR="00937B13" w:rsidRPr="00812E8B" w:rsidRDefault="00D46A7F">
          <w:pPr>
            <w:pStyle w:val="TOC1"/>
            <w:rPr>
              <w:b w:val="0"/>
              <w:noProof w:val="0"/>
              <w:color w:val="auto"/>
              <w:sz w:val="22"/>
              <w:szCs w:val="22"/>
              <w:lang w:val="en-US"/>
            </w:rPr>
          </w:pPr>
          <w:hyperlink w:anchor="_Toc306359657" w:history="1">
            <w:r w:rsidR="00937B13" w:rsidRPr="00812E8B">
              <w:rPr>
                <w:rStyle w:val="Hyperlink"/>
                <w:noProof w:val="0"/>
                <w:lang w:val="en-US"/>
              </w:rPr>
              <w:t>7. SUMMARY AND CONCLUSIONS</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_Toc306359657 \h </w:instrText>
            </w:r>
            <w:r w:rsidRPr="00812E8B">
              <w:rPr>
                <w:noProof w:val="0"/>
                <w:webHidden/>
                <w:lang w:val="en-US"/>
              </w:rPr>
            </w:r>
            <w:r w:rsidRPr="00812E8B">
              <w:rPr>
                <w:noProof w:val="0"/>
                <w:webHidden/>
                <w:lang w:val="en-US"/>
              </w:rPr>
              <w:fldChar w:fldCharType="separate"/>
            </w:r>
            <w:r w:rsidR="00DD7D45">
              <w:rPr>
                <w:webHidden/>
                <w:lang w:val="en-US"/>
              </w:rPr>
              <w:t>49</w:t>
            </w:r>
            <w:r w:rsidRPr="00812E8B">
              <w:rPr>
                <w:noProof w:val="0"/>
                <w:webHidden/>
                <w:lang w:val="en-US"/>
              </w:rPr>
              <w:fldChar w:fldCharType="end"/>
            </w:r>
          </w:hyperlink>
        </w:p>
        <w:p w:rsidR="00937B13" w:rsidRPr="00812E8B" w:rsidRDefault="00D46A7F">
          <w:pPr>
            <w:pStyle w:val="TOC2"/>
            <w:rPr>
              <w:lang w:val="en-US"/>
            </w:rPr>
          </w:pPr>
          <w:hyperlink w:anchor="_Toc306359658" w:history="1">
            <w:r w:rsidR="00937B13" w:rsidRPr="00812E8B">
              <w:rPr>
                <w:rStyle w:val="Hyperlink"/>
                <w:lang w:val="en-US"/>
              </w:rPr>
              <w:t>7.1 Limitations</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_Toc306359658 \h </w:instrText>
            </w:r>
            <w:r w:rsidRPr="00812E8B">
              <w:rPr>
                <w:webHidden/>
                <w:lang w:val="en-US"/>
              </w:rPr>
            </w:r>
            <w:r w:rsidRPr="00812E8B">
              <w:rPr>
                <w:webHidden/>
                <w:lang w:val="en-US"/>
              </w:rPr>
              <w:fldChar w:fldCharType="separate"/>
            </w:r>
            <w:r w:rsidR="00DD7D45">
              <w:rPr>
                <w:noProof/>
                <w:webHidden/>
                <w:lang w:val="en-US"/>
              </w:rPr>
              <w:t>50</w:t>
            </w:r>
            <w:r w:rsidRPr="00812E8B">
              <w:rPr>
                <w:webHidden/>
                <w:lang w:val="en-US"/>
              </w:rPr>
              <w:fldChar w:fldCharType="end"/>
            </w:r>
          </w:hyperlink>
        </w:p>
        <w:p w:rsidR="00937B13" w:rsidRPr="00812E8B" w:rsidRDefault="00D46A7F">
          <w:pPr>
            <w:pStyle w:val="TOC2"/>
            <w:rPr>
              <w:lang w:val="en-US"/>
            </w:rPr>
          </w:pPr>
          <w:hyperlink w:anchor="_Toc306359659" w:history="1">
            <w:r w:rsidR="00937B13" w:rsidRPr="00812E8B">
              <w:rPr>
                <w:rStyle w:val="Hyperlink"/>
                <w:lang w:val="en-US"/>
              </w:rPr>
              <w:t>7.2 Recommendations for future research</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_Toc306359659 \h </w:instrText>
            </w:r>
            <w:r w:rsidRPr="00812E8B">
              <w:rPr>
                <w:webHidden/>
                <w:lang w:val="en-US"/>
              </w:rPr>
            </w:r>
            <w:r w:rsidRPr="00812E8B">
              <w:rPr>
                <w:webHidden/>
                <w:lang w:val="en-US"/>
              </w:rPr>
              <w:fldChar w:fldCharType="separate"/>
            </w:r>
            <w:r w:rsidR="00DD7D45">
              <w:rPr>
                <w:noProof/>
                <w:webHidden/>
                <w:lang w:val="en-US"/>
              </w:rPr>
              <w:t>51</w:t>
            </w:r>
            <w:r w:rsidRPr="00812E8B">
              <w:rPr>
                <w:webHidden/>
                <w:lang w:val="en-US"/>
              </w:rPr>
              <w:fldChar w:fldCharType="end"/>
            </w:r>
          </w:hyperlink>
        </w:p>
        <w:p w:rsidR="00937B13" w:rsidRPr="00812E8B" w:rsidRDefault="00D46A7F">
          <w:pPr>
            <w:pStyle w:val="TOC1"/>
            <w:rPr>
              <w:b w:val="0"/>
              <w:noProof w:val="0"/>
              <w:color w:val="auto"/>
              <w:sz w:val="22"/>
              <w:szCs w:val="22"/>
              <w:lang w:val="en-US"/>
            </w:rPr>
          </w:pPr>
          <w:hyperlink w:anchor="_Toc306359660" w:history="1">
            <w:r w:rsidR="00937B13" w:rsidRPr="00812E8B">
              <w:rPr>
                <w:rStyle w:val="Hyperlink"/>
                <w:noProof w:val="0"/>
                <w:lang w:val="en-US"/>
              </w:rPr>
              <w:t>REFERENCES</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_Toc306359660 \h </w:instrText>
            </w:r>
            <w:r w:rsidRPr="00812E8B">
              <w:rPr>
                <w:noProof w:val="0"/>
                <w:webHidden/>
                <w:lang w:val="en-US"/>
              </w:rPr>
            </w:r>
            <w:r w:rsidRPr="00812E8B">
              <w:rPr>
                <w:noProof w:val="0"/>
                <w:webHidden/>
                <w:lang w:val="en-US"/>
              </w:rPr>
              <w:fldChar w:fldCharType="separate"/>
            </w:r>
            <w:r w:rsidR="00DD7D45">
              <w:rPr>
                <w:webHidden/>
                <w:lang w:val="en-US"/>
              </w:rPr>
              <w:t>53</w:t>
            </w:r>
            <w:r w:rsidRPr="00812E8B">
              <w:rPr>
                <w:noProof w:val="0"/>
                <w:webHidden/>
                <w:lang w:val="en-US"/>
              </w:rPr>
              <w:fldChar w:fldCharType="end"/>
            </w:r>
          </w:hyperlink>
        </w:p>
        <w:p w:rsidR="00937B13" w:rsidRPr="00812E8B" w:rsidRDefault="00D46A7F">
          <w:pPr>
            <w:pStyle w:val="TOC1"/>
            <w:rPr>
              <w:b w:val="0"/>
              <w:noProof w:val="0"/>
              <w:color w:val="auto"/>
              <w:sz w:val="22"/>
              <w:szCs w:val="22"/>
              <w:lang w:val="en-US"/>
            </w:rPr>
          </w:pPr>
          <w:hyperlink w:anchor="_Toc306359661" w:history="1">
            <w:r w:rsidR="00937B13" w:rsidRPr="00812E8B">
              <w:rPr>
                <w:rStyle w:val="Hyperlink"/>
                <w:noProof w:val="0"/>
                <w:lang w:val="en-US"/>
              </w:rPr>
              <w:t>APPENDICES</w:t>
            </w:r>
            <w:r w:rsidR="00937B13" w:rsidRPr="00812E8B">
              <w:rPr>
                <w:noProof w:val="0"/>
                <w:webHidden/>
                <w:lang w:val="en-US"/>
              </w:rPr>
              <w:tab/>
            </w:r>
            <w:r w:rsidRPr="00812E8B">
              <w:rPr>
                <w:noProof w:val="0"/>
                <w:webHidden/>
                <w:lang w:val="en-US"/>
              </w:rPr>
              <w:fldChar w:fldCharType="begin"/>
            </w:r>
            <w:r w:rsidR="00937B13" w:rsidRPr="00812E8B">
              <w:rPr>
                <w:noProof w:val="0"/>
                <w:webHidden/>
                <w:lang w:val="en-US"/>
              </w:rPr>
              <w:instrText xml:space="preserve"> PAGEREF _Toc306359661 \h </w:instrText>
            </w:r>
            <w:r w:rsidRPr="00812E8B">
              <w:rPr>
                <w:noProof w:val="0"/>
                <w:webHidden/>
                <w:lang w:val="en-US"/>
              </w:rPr>
            </w:r>
            <w:r w:rsidRPr="00812E8B">
              <w:rPr>
                <w:noProof w:val="0"/>
                <w:webHidden/>
                <w:lang w:val="en-US"/>
              </w:rPr>
              <w:fldChar w:fldCharType="separate"/>
            </w:r>
            <w:r w:rsidR="00DD7D45">
              <w:rPr>
                <w:webHidden/>
                <w:lang w:val="en-US"/>
              </w:rPr>
              <w:t>57</w:t>
            </w:r>
            <w:r w:rsidRPr="00812E8B">
              <w:rPr>
                <w:noProof w:val="0"/>
                <w:webHidden/>
                <w:lang w:val="en-US"/>
              </w:rPr>
              <w:fldChar w:fldCharType="end"/>
            </w:r>
          </w:hyperlink>
        </w:p>
        <w:p w:rsidR="00937B13" w:rsidRPr="00812E8B" w:rsidRDefault="00D46A7F">
          <w:pPr>
            <w:pStyle w:val="TOC2"/>
            <w:rPr>
              <w:lang w:val="en-US"/>
            </w:rPr>
          </w:pPr>
          <w:hyperlink w:anchor="_Toc306359662" w:history="1">
            <w:r w:rsidR="00937B13" w:rsidRPr="00812E8B">
              <w:rPr>
                <w:rStyle w:val="Hyperlink"/>
                <w:lang w:val="en-US"/>
              </w:rPr>
              <w:t>I. Rabobank Group</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_Toc306359662 \h </w:instrText>
            </w:r>
            <w:r w:rsidRPr="00812E8B">
              <w:rPr>
                <w:webHidden/>
                <w:lang w:val="en-US"/>
              </w:rPr>
            </w:r>
            <w:r w:rsidRPr="00812E8B">
              <w:rPr>
                <w:webHidden/>
                <w:lang w:val="en-US"/>
              </w:rPr>
              <w:fldChar w:fldCharType="separate"/>
            </w:r>
            <w:r w:rsidR="00DD7D45">
              <w:rPr>
                <w:noProof/>
                <w:webHidden/>
                <w:lang w:val="en-US"/>
              </w:rPr>
              <w:t>57</w:t>
            </w:r>
            <w:r w:rsidRPr="00812E8B">
              <w:rPr>
                <w:webHidden/>
                <w:lang w:val="en-US"/>
              </w:rPr>
              <w:fldChar w:fldCharType="end"/>
            </w:r>
          </w:hyperlink>
        </w:p>
        <w:p w:rsidR="00937B13" w:rsidRPr="00812E8B" w:rsidRDefault="00D46A7F">
          <w:pPr>
            <w:pStyle w:val="TOC2"/>
            <w:rPr>
              <w:lang w:val="en-US"/>
            </w:rPr>
          </w:pPr>
          <w:hyperlink w:anchor="_Toc306359663" w:history="1">
            <w:r w:rsidR="00937B13" w:rsidRPr="00812E8B">
              <w:rPr>
                <w:rStyle w:val="Hyperlink"/>
                <w:lang w:val="en-US"/>
              </w:rPr>
              <w:t>II. Basel regulation</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_Toc306359663 \h </w:instrText>
            </w:r>
            <w:r w:rsidRPr="00812E8B">
              <w:rPr>
                <w:webHidden/>
                <w:lang w:val="en-US"/>
              </w:rPr>
            </w:r>
            <w:r w:rsidRPr="00812E8B">
              <w:rPr>
                <w:webHidden/>
                <w:lang w:val="en-US"/>
              </w:rPr>
              <w:fldChar w:fldCharType="separate"/>
            </w:r>
            <w:r w:rsidR="00DD7D45">
              <w:rPr>
                <w:noProof/>
                <w:webHidden/>
                <w:lang w:val="en-US"/>
              </w:rPr>
              <w:t>58</w:t>
            </w:r>
            <w:r w:rsidRPr="00812E8B">
              <w:rPr>
                <w:webHidden/>
                <w:lang w:val="en-US"/>
              </w:rPr>
              <w:fldChar w:fldCharType="end"/>
            </w:r>
          </w:hyperlink>
        </w:p>
        <w:p w:rsidR="00937B13" w:rsidRPr="00812E8B" w:rsidRDefault="00D46A7F">
          <w:pPr>
            <w:pStyle w:val="TOC2"/>
            <w:rPr>
              <w:lang w:val="en-US"/>
            </w:rPr>
          </w:pPr>
          <w:hyperlink w:anchor="_Toc306359664" w:history="1">
            <w:r w:rsidR="00937B13" w:rsidRPr="00812E8B">
              <w:rPr>
                <w:rStyle w:val="Hyperlink"/>
                <w:lang w:val="en-US"/>
              </w:rPr>
              <w:t>III. Literature review</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_Toc306359664 \h </w:instrText>
            </w:r>
            <w:r w:rsidRPr="00812E8B">
              <w:rPr>
                <w:webHidden/>
                <w:lang w:val="en-US"/>
              </w:rPr>
            </w:r>
            <w:r w:rsidRPr="00812E8B">
              <w:rPr>
                <w:webHidden/>
                <w:lang w:val="en-US"/>
              </w:rPr>
              <w:fldChar w:fldCharType="separate"/>
            </w:r>
            <w:r w:rsidR="00DD7D45">
              <w:rPr>
                <w:noProof/>
                <w:webHidden/>
                <w:lang w:val="en-US"/>
              </w:rPr>
              <w:t>61</w:t>
            </w:r>
            <w:r w:rsidRPr="00812E8B">
              <w:rPr>
                <w:webHidden/>
                <w:lang w:val="en-US"/>
              </w:rPr>
              <w:fldChar w:fldCharType="end"/>
            </w:r>
          </w:hyperlink>
        </w:p>
        <w:p w:rsidR="00937B13" w:rsidRPr="00812E8B" w:rsidRDefault="00D46A7F">
          <w:pPr>
            <w:pStyle w:val="TOC2"/>
            <w:rPr>
              <w:lang w:val="en-US"/>
            </w:rPr>
          </w:pPr>
          <w:hyperlink w:anchor="_Toc306359665" w:history="1">
            <w:r w:rsidR="00937B13" w:rsidRPr="00812E8B">
              <w:rPr>
                <w:rStyle w:val="Hyperlink"/>
                <w:lang w:val="en-US"/>
              </w:rPr>
              <w:t>IV. Calculation methods for the descriptive statistics</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_Toc306359665 \h </w:instrText>
            </w:r>
            <w:r w:rsidRPr="00812E8B">
              <w:rPr>
                <w:webHidden/>
                <w:lang w:val="en-US"/>
              </w:rPr>
            </w:r>
            <w:r w:rsidRPr="00812E8B">
              <w:rPr>
                <w:webHidden/>
                <w:lang w:val="en-US"/>
              </w:rPr>
              <w:fldChar w:fldCharType="separate"/>
            </w:r>
            <w:r w:rsidR="00DD7D45">
              <w:rPr>
                <w:noProof/>
                <w:webHidden/>
                <w:lang w:val="en-US"/>
              </w:rPr>
              <w:t>67</w:t>
            </w:r>
            <w:r w:rsidRPr="00812E8B">
              <w:rPr>
                <w:webHidden/>
                <w:lang w:val="en-US"/>
              </w:rPr>
              <w:fldChar w:fldCharType="end"/>
            </w:r>
          </w:hyperlink>
        </w:p>
        <w:p w:rsidR="00937B13" w:rsidRPr="00812E8B" w:rsidRDefault="00D46A7F">
          <w:pPr>
            <w:pStyle w:val="TOC2"/>
            <w:rPr>
              <w:lang w:val="en-US"/>
            </w:rPr>
          </w:pPr>
          <w:hyperlink w:anchor="_Toc306359666" w:history="1">
            <w:r w:rsidR="00937B13" w:rsidRPr="00812E8B">
              <w:rPr>
                <w:rStyle w:val="Hyperlink"/>
                <w:lang w:val="en-US"/>
              </w:rPr>
              <w:t>V. Dynamic panel data estimation</w:t>
            </w:r>
            <w:r w:rsidR="00937B13" w:rsidRPr="00812E8B">
              <w:rPr>
                <w:webHidden/>
                <w:lang w:val="en-US"/>
              </w:rPr>
              <w:tab/>
            </w:r>
            <w:r w:rsidRPr="00812E8B">
              <w:rPr>
                <w:webHidden/>
                <w:lang w:val="en-US"/>
              </w:rPr>
              <w:fldChar w:fldCharType="begin"/>
            </w:r>
            <w:r w:rsidR="00937B13" w:rsidRPr="00812E8B">
              <w:rPr>
                <w:webHidden/>
                <w:lang w:val="en-US"/>
              </w:rPr>
              <w:instrText xml:space="preserve"> PAGEREF _Toc306359666 \h </w:instrText>
            </w:r>
            <w:r w:rsidRPr="00812E8B">
              <w:rPr>
                <w:webHidden/>
                <w:lang w:val="en-US"/>
              </w:rPr>
            </w:r>
            <w:r w:rsidRPr="00812E8B">
              <w:rPr>
                <w:webHidden/>
                <w:lang w:val="en-US"/>
              </w:rPr>
              <w:fldChar w:fldCharType="separate"/>
            </w:r>
            <w:r w:rsidR="00DD7D45">
              <w:rPr>
                <w:noProof/>
                <w:webHidden/>
                <w:lang w:val="en-US"/>
              </w:rPr>
              <w:t>68</w:t>
            </w:r>
            <w:r w:rsidRPr="00812E8B">
              <w:rPr>
                <w:webHidden/>
                <w:lang w:val="en-US"/>
              </w:rPr>
              <w:fldChar w:fldCharType="end"/>
            </w:r>
          </w:hyperlink>
        </w:p>
        <w:p w:rsidR="0093004C" w:rsidRPr="00812E8B" w:rsidRDefault="00D46A7F" w:rsidP="007B2CB1">
          <w:pPr>
            <w:pStyle w:val="NoSpacing"/>
            <w:tabs>
              <w:tab w:val="left" w:pos="1959"/>
            </w:tabs>
            <w:rPr>
              <w:lang w:val="en-US"/>
            </w:rPr>
          </w:pPr>
          <w:r w:rsidRPr="00812E8B">
            <w:rPr>
              <w:lang w:val="en-US"/>
            </w:rPr>
            <w:fldChar w:fldCharType="end"/>
          </w:r>
        </w:p>
      </w:sdtContent>
    </w:sdt>
    <w:p w:rsidR="00B60586" w:rsidRPr="00812E8B" w:rsidRDefault="00B60586">
      <w:pPr>
        <w:rPr>
          <w:lang w:val="en-US"/>
        </w:rPr>
      </w:pPr>
    </w:p>
    <w:p w:rsidR="00A307DE" w:rsidRPr="00812E8B" w:rsidRDefault="00A307DE">
      <w:pPr>
        <w:rPr>
          <w:rStyle w:val="Strong"/>
          <w:b w:val="0"/>
          <w:sz w:val="22"/>
          <w:lang w:val="en-US"/>
        </w:rPr>
      </w:pPr>
      <w:r w:rsidRPr="00812E8B">
        <w:rPr>
          <w:rStyle w:val="Strong"/>
          <w:b w:val="0"/>
          <w:sz w:val="22"/>
          <w:lang w:val="en-US"/>
        </w:rPr>
        <w:br w:type="page"/>
      </w:r>
    </w:p>
    <w:p w:rsidR="005D7F9A" w:rsidRPr="00812E8B" w:rsidRDefault="005D7F9A" w:rsidP="004E4AD4">
      <w:pPr>
        <w:pStyle w:val="Heading1"/>
        <w:jc w:val="left"/>
        <w:rPr>
          <w:color w:val="auto"/>
          <w:sz w:val="30"/>
          <w:szCs w:val="30"/>
          <w:lang w:val="en-US"/>
        </w:rPr>
      </w:pPr>
      <w:bookmarkStart w:id="1" w:name="_Toc306359625"/>
      <w:r w:rsidRPr="00812E8B">
        <w:rPr>
          <w:color w:val="auto"/>
          <w:lang w:val="en-US"/>
        </w:rPr>
        <w:lastRenderedPageBreak/>
        <w:t>L</w:t>
      </w:r>
      <w:r w:rsidR="004B7BFF" w:rsidRPr="00812E8B">
        <w:rPr>
          <w:color w:val="auto"/>
          <w:sz w:val="30"/>
          <w:szCs w:val="30"/>
          <w:lang w:val="en-US"/>
        </w:rPr>
        <w:t>IST OF</w:t>
      </w:r>
      <w:r w:rsidR="00ED7B9C" w:rsidRPr="00812E8B">
        <w:rPr>
          <w:color w:val="auto"/>
          <w:sz w:val="30"/>
          <w:szCs w:val="30"/>
          <w:lang w:val="en-US"/>
        </w:rPr>
        <w:t xml:space="preserve"> FIGURES AND </w:t>
      </w:r>
      <w:r w:rsidR="004B7BFF" w:rsidRPr="00812E8B">
        <w:rPr>
          <w:color w:val="auto"/>
          <w:sz w:val="30"/>
          <w:szCs w:val="30"/>
          <w:lang w:val="en-US"/>
        </w:rPr>
        <w:t>TABLES</w:t>
      </w:r>
      <w:bookmarkEnd w:id="1"/>
    </w:p>
    <w:p w:rsidR="005D7F9A" w:rsidRPr="00812E8B" w:rsidRDefault="005D7F9A" w:rsidP="005D7F9A">
      <w:pPr>
        <w:pStyle w:val="NoSpacing"/>
        <w:rPr>
          <w:sz w:val="8"/>
          <w:szCs w:val="8"/>
          <w:lang w:val="en-US"/>
        </w:rPr>
      </w:pPr>
    </w:p>
    <w:p w:rsidR="00122138" w:rsidRPr="00812E8B" w:rsidRDefault="00122138" w:rsidP="00C069D7">
      <w:pPr>
        <w:pStyle w:val="NoSpacing"/>
        <w:spacing w:line="360" w:lineRule="auto"/>
        <w:jc w:val="both"/>
        <w:rPr>
          <w:lang w:val="en-US"/>
        </w:rPr>
      </w:pPr>
    </w:p>
    <w:p w:rsidR="006317DF" w:rsidRPr="00812E8B" w:rsidRDefault="00D46A7F" w:rsidP="006317DF">
      <w:pPr>
        <w:pStyle w:val="TableofFigures"/>
        <w:tabs>
          <w:tab w:val="right" w:pos="9062"/>
        </w:tabs>
        <w:spacing w:line="360" w:lineRule="auto"/>
        <w:rPr>
          <w:lang w:val="en-US"/>
        </w:rPr>
      </w:pPr>
      <w:r w:rsidRPr="00812E8B">
        <w:rPr>
          <w:lang w:val="en-US"/>
        </w:rPr>
        <w:fldChar w:fldCharType="begin"/>
      </w:r>
      <w:r w:rsidR="00E7304C" w:rsidRPr="00812E8B">
        <w:rPr>
          <w:lang w:val="en-US"/>
        </w:rPr>
        <w:instrText xml:space="preserve"> TOC \h \z \c "Table" </w:instrText>
      </w:r>
      <w:r w:rsidRPr="00812E8B">
        <w:rPr>
          <w:lang w:val="en-US"/>
        </w:rPr>
        <w:fldChar w:fldCharType="separate"/>
      </w:r>
      <w:hyperlink w:anchor="_Toc305410553" w:history="1">
        <w:r w:rsidR="006317DF" w:rsidRPr="00812E8B">
          <w:rPr>
            <w:rStyle w:val="Hyperlink"/>
            <w:lang w:val="en-US"/>
          </w:rPr>
          <w:t>Table 1 Differences between minimum capital requirements</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_Toc305410553 \h </w:instrText>
        </w:r>
        <w:r w:rsidRPr="00812E8B">
          <w:rPr>
            <w:webHidden/>
            <w:lang w:val="en-US"/>
          </w:rPr>
        </w:r>
        <w:r w:rsidRPr="00812E8B">
          <w:rPr>
            <w:webHidden/>
            <w:lang w:val="en-US"/>
          </w:rPr>
          <w:fldChar w:fldCharType="separate"/>
        </w:r>
        <w:r w:rsidR="00DD7D45">
          <w:rPr>
            <w:noProof/>
            <w:webHidden/>
            <w:lang w:val="en-US"/>
          </w:rPr>
          <w:t>7</w:t>
        </w:r>
        <w:r w:rsidRPr="00812E8B">
          <w:rPr>
            <w:webHidden/>
            <w:lang w:val="en-US"/>
          </w:rPr>
          <w:fldChar w:fldCharType="end"/>
        </w:r>
      </w:hyperlink>
    </w:p>
    <w:p w:rsidR="006317DF" w:rsidRPr="00812E8B" w:rsidRDefault="00D46A7F" w:rsidP="006317DF">
      <w:pPr>
        <w:pStyle w:val="TableofFigures"/>
        <w:tabs>
          <w:tab w:val="right" w:pos="9062"/>
        </w:tabs>
        <w:spacing w:line="360" w:lineRule="auto"/>
        <w:rPr>
          <w:lang w:val="en-US"/>
        </w:rPr>
      </w:pPr>
      <w:hyperlink w:anchor="_Toc305410554" w:history="1">
        <w:r w:rsidR="006317DF" w:rsidRPr="00812E8B">
          <w:rPr>
            <w:rStyle w:val="Hyperlink"/>
            <w:lang w:val="en-US"/>
          </w:rPr>
          <w:t>Table 2 Selection of the determinants of profitability and used data source.</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_Toc305410554 \h </w:instrText>
        </w:r>
        <w:r w:rsidRPr="00812E8B">
          <w:rPr>
            <w:webHidden/>
            <w:lang w:val="en-US"/>
          </w:rPr>
        </w:r>
        <w:r w:rsidRPr="00812E8B">
          <w:rPr>
            <w:webHidden/>
            <w:lang w:val="en-US"/>
          </w:rPr>
          <w:fldChar w:fldCharType="separate"/>
        </w:r>
        <w:r w:rsidR="00DD7D45">
          <w:rPr>
            <w:noProof/>
            <w:webHidden/>
            <w:lang w:val="en-US"/>
          </w:rPr>
          <w:t>25</w:t>
        </w:r>
        <w:r w:rsidRPr="00812E8B">
          <w:rPr>
            <w:webHidden/>
            <w:lang w:val="en-US"/>
          </w:rPr>
          <w:fldChar w:fldCharType="end"/>
        </w:r>
      </w:hyperlink>
    </w:p>
    <w:p w:rsidR="006317DF" w:rsidRPr="00812E8B" w:rsidRDefault="00D46A7F" w:rsidP="006317DF">
      <w:pPr>
        <w:pStyle w:val="TableofFigures"/>
        <w:tabs>
          <w:tab w:val="right" w:pos="9062"/>
        </w:tabs>
        <w:spacing w:line="360" w:lineRule="auto"/>
        <w:rPr>
          <w:lang w:val="en-US"/>
        </w:rPr>
      </w:pPr>
      <w:hyperlink w:anchor="_Toc305410555" w:history="1">
        <w:r w:rsidR="006317DF" w:rsidRPr="00812E8B">
          <w:rPr>
            <w:rStyle w:val="Hyperlink"/>
            <w:lang w:val="en-US"/>
          </w:rPr>
          <w:t>Table 3  Sample composition and number of bank observations</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_Toc305410555 \h </w:instrText>
        </w:r>
        <w:r w:rsidRPr="00812E8B">
          <w:rPr>
            <w:webHidden/>
            <w:lang w:val="en-US"/>
          </w:rPr>
        </w:r>
        <w:r w:rsidRPr="00812E8B">
          <w:rPr>
            <w:webHidden/>
            <w:lang w:val="en-US"/>
          </w:rPr>
          <w:fldChar w:fldCharType="separate"/>
        </w:r>
        <w:r w:rsidR="00DD7D45">
          <w:rPr>
            <w:noProof/>
            <w:webHidden/>
            <w:lang w:val="en-US"/>
          </w:rPr>
          <w:t>31</w:t>
        </w:r>
        <w:r w:rsidRPr="00812E8B">
          <w:rPr>
            <w:webHidden/>
            <w:lang w:val="en-US"/>
          </w:rPr>
          <w:fldChar w:fldCharType="end"/>
        </w:r>
      </w:hyperlink>
    </w:p>
    <w:p w:rsidR="006317DF" w:rsidRPr="00812E8B" w:rsidRDefault="00D46A7F" w:rsidP="006317DF">
      <w:pPr>
        <w:pStyle w:val="TableofFigures"/>
        <w:tabs>
          <w:tab w:val="right" w:pos="9062"/>
        </w:tabs>
        <w:spacing w:line="360" w:lineRule="auto"/>
        <w:rPr>
          <w:lang w:val="en-US"/>
        </w:rPr>
      </w:pPr>
      <w:hyperlink w:anchor="_Toc305410556" w:history="1">
        <w:r w:rsidR="006317DF" w:rsidRPr="00812E8B">
          <w:rPr>
            <w:rStyle w:val="Hyperlink"/>
            <w:lang w:val="en-US"/>
          </w:rPr>
          <w:t>Table 4  Descriptive statistics for total sample and sub periods (excluding outliers)</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_Toc305410556 \h </w:instrText>
        </w:r>
        <w:r w:rsidRPr="00812E8B">
          <w:rPr>
            <w:webHidden/>
            <w:lang w:val="en-US"/>
          </w:rPr>
        </w:r>
        <w:r w:rsidRPr="00812E8B">
          <w:rPr>
            <w:webHidden/>
            <w:lang w:val="en-US"/>
          </w:rPr>
          <w:fldChar w:fldCharType="separate"/>
        </w:r>
        <w:r w:rsidR="00DD7D45">
          <w:rPr>
            <w:noProof/>
            <w:webHidden/>
            <w:lang w:val="en-US"/>
          </w:rPr>
          <w:t>33</w:t>
        </w:r>
        <w:r w:rsidRPr="00812E8B">
          <w:rPr>
            <w:webHidden/>
            <w:lang w:val="en-US"/>
          </w:rPr>
          <w:fldChar w:fldCharType="end"/>
        </w:r>
      </w:hyperlink>
    </w:p>
    <w:p w:rsidR="006317DF" w:rsidRPr="00812E8B" w:rsidRDefault="00D46A7F" w:rsidP="006317DF">
      <w:pPr>
        <w:pStyle w:val="TableofFigures"/>
        <w:tabs>
          <w:tab w:val="right" w:pos="9062"/>
        </w:tabs>
        <w:spacing w:line="360" w:lineRule="auto"/>
        <w:rPr>
          <w:lang w:val="en-US"/>
        </w:rPr>
      </w:pPr>
      <w:hyperlink w:anchor="_Toc305410557" w:history="1">
        <w:r w:rsidR="006317DF" w:rsidRPr="00812E8B">
          <w:rPr>
            <w:rStyle w:val="Hyperlink"/>
            <w:lang w:val="en-US"/>
          </w:rPr>
          <w:t>Table 5  Correlation matrix of dependent and independent variables</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_Toc305410557 \h </w:instrText>
        </w:r>
        <w:r w:rsidRPr="00812E8B">
          <w:rPr>
            <w:webHidden/>
            <w:lang w:val="en-US"/>
          </w:rPr>
        </w:r>
        <w:r w:rsidRPr="00812E8B">
          <w:rPr>
            <w:webHidden/>
            <w:lang w:val="en-US"/>
          </w:rPr>
          <w:fldChar w:fldCharType="separate"/>
        </w:r>
        <w:r w:rsidR="00DD7D45">
          <w:rPr>
            <w:noProof/>
            <w:webHidden/>
            <w:lang w:val="en-US"/>
          </w:rPr>
          <w:t>35</w:t>
        </w:r>
        <w:r w:rsidRPr="00812E8B">
          <w:rPr>
            <w:webHidden/>
            <w:lang w:val="en-US"/>
          </w:rPr>
          <w:fldChar w:fldCharType="end"/>
        </w:r>
      </w:hyperlink>
    </w:p>
    <w:p w:rsidR="006317DF" w:rsidRPr="00812E8B" w:rsidRDefault="00D46A7F" w:rsidP="006317DF">
      <w:pPr>
        <w:pStyle w:val="TableofFigures"/>
        <w:tabs>
          <w:tab w:val="right" w:pos="9062"/>
        </w:tabs>
        <w:spacing w:line="360" w:lineRule="auto"/>
        <w:rPr>
          <w:lang w:val="en-US"/>
        </w:rPr>
      </w:pPr>
      <w:hyperlink w:anchor="_Toc305410558" w:history="1">
        <w:r w:rsidR="006317DF" w:rsidRPr="00812E8B">
          <w:rPr>
            <w:rStyle w:val="Hyperlink"/>
            <w:lang w:val="en-US"/>
          </w:rPr>
          <w:t>Table 6  Regression results with dependent variable ROAA</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_Toc305410558 \h </w:instrText>
        </w:r>
        <w:r w:rsidRPr="00812E8B">
          <w:rPr>
            <w:webHidden/>
            <w:lang w:val="en-US"/>
          </w:rPr>
        </w:r>
        <w:r w:rsidRPr="00812E8B">
          <w:rPr>
            <w:webHidden/>
            <w:lang w:val="en-US"/>
          </w:rPr>
          <w:fldChar w:fldCharType="separate"/>
        </w:r>
        <w:r w:rsidR="00DD7D45">
          <w:rPr>
            <w:noProof/>
            <w:webHidden/>
            <w:lang w:val="en-US"/>
          </w:rPr>
          <w:t>41</w:t>
        </w:r>
        <w:r w:rsidRPr="00812E8B">
          <w:rPr>
            <w:webHidden/>
            <w:lang w:val="en-US"/>
          </w:rPr>
          <w:fldChar w:fldCharType="end"/>
        </w:r>
      </w:hyperlink>
    </w:p>
    <w:p w:rsidR="006317DF" w:rsidRPr="00812E8B" w:rsidRDefault="00D46A7F" w:rsidP="006317DF">
      <w:pPr>
        <w:pStyle w:val="TableofFigures"/>
        <w:tabs>
          <w:tab w:val="right" w:pos="9062"/>
        </w:tabs>
        <w:spacing w:line="360" w:lineRule="auto"/>
        <w:rPr>
          <w:lang w:val="en-US"/>
        </w:rPr>
      </w:pPr>
      <w:hyperlink w:anchor="_Toc305410559" w:history="1">
        <w:r w:rsidR="006317DF" w:rsidRPr="00812E8B">
          <w:rPr>
            <w:rStyle w:val="Hyperlink"/>
            <w:lang w:val="en-US"/>
          </w:rPr>
          <w:t>Table 7  Robustness checks</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_Toc305410559 \h </w:instrText>
        </w:r>
        <w:r w:rsidRPr="00812E8B">
          <w:rPr>
            <w:webHidden/>
            <w:lang w:val="en-US"/>
          </w:rPr>
        </w:r>
        <w:r w:rsidRPr="00812E8B">
          <w:rPr>
            <w:webHidden/>
            <w:lang w:val="en-US"/>
          </w:rPr>
          <w:fldChar w:fldCharType="separate"/>
        </w:r>
        <w:r w:rsidR="00DD7D45">
          <w:rPr>
            <w:noProof/>
            <w:webHidden/>
            <w:lang w:val="en-US"/>
          </w:rPr>
          <w:t>46</w:t>
        </w:r>
        <w:r w:rsidRPr="00812E8B">
          <w:rPr>
            <w:webHidden/>
            <w:lang w:val="en-US"/>
          </w:rPr>
          <w:fldChar w:fldCharType="end"/>
        </w:r>
      </w:hyperlink>
    </w:p>
    <w:p w:rsidR="00FB0A28" w:rsidRPr="00812E8B" w:rsidRDefault="00D46A7F" w:rsidP="00FB0A28">
      <w:pPr>
        <w:pStyle w:val="TableofFigures"/>
        <w:tabs>
          <w:tab w:val="left" w:pos="426"/>
          <w:tab w:val="right" w:pos="9062"/>
        </w:tabs>
        <w:spacing w:line="360" w:lineRule="auto"/>
        <w:ind w:left="284"/>
        <w:rPr>
          <w:lang w:val="en-US"/>
        </w:rPr>
      </w:pPr>
      <w:hyperlink w:anchor="_Toc305410563" w:history="1">
        <w:r w:rsidR="00FB0A28" w:rsidRPr="00812E8B">
          <w:rPr>
            <w:rStyle w:val="Hyperlink"/>
            <w:lang w:val="en-US"/>
          </w:rPr>
          <w:t>Figure 1  Organizational structure Rabobank Group</w:t>
        </w:r>
        <w:r w:rsidR="00FB0A28" w:rsidRPr="00812E8B">
          <w:rPr>
            <w:webHidden/>
            <w:lang w:val="en-US"/>
          </w:rPr>
          <w:tab/>
        </w:r>
        <w:r w:rsidRPr="00812E8B">
          <w:rPr>
            <w:webHidden/>
            <w:lang w:val="en-US"/>
          </w:rPr>
          <w:fldChar w:fldCharType="begin"/>
        </w:r>
        <w:r w:rsidR="00FB0A28" w:rsidRPr="00812E8B">
          <w:rPr>
            <w:webHidden/>
            <w:lang w:val="en-US"/>
          </w:rPr>
          <w:instrText xml:space="preserve"> PAGEREF _Toc305410563 \h </w:instrText>
        </w:r>
        <w:r w:rsidRPr="00812E8B">
          <w:rPr>
            <w:webHidden/>
            <w:lang w:val="en-US"/>
          </w:rPr>
        </w:r>
        <w:r w:rsidRPr="00812E8B">
          <w:rPr>
            <w:webHidden/>
            <w:lang w:val="en-US"/>
          </w:rPr>
          <w:fldChar w:fldCharType="separate"/>
        </w:r>
        <w:r w:rsidR="00DD7D45">
          <w:rPr>
            <w:noProof/>
            <w:webHidden/>
            <w:lang w:val="en-US"/>
          </w:rPr>
          <w:t>57</w:t>
        </w:r>
        <w:r w:rsidRPr="00812E8B">
          <w:rPr>
            <w:webHidden/>
            <w:lang w:val="en-US"/>
          </w:rPr>
          <w:fldChar w:fldCharType="end"/>
        </w:r>
      </w:hyperlink>
    </w:p>
    <w:p w:rsidR="00FB0A28" w:rsidRPr="00812E8B" w:rsidRDefault="00FB0A28" w:rsidP="00FB0A28">
      <w:pPr>
        <w:pStyle w:val="TableofFigures"/>
        <w:tabs>
          <w:tab w:val="right" w:pos="9062"/>
        </w:tabs>
        <w:spacing w:line="360" w:lineRule="auto"/>
        <w:ind w:left="284"/>
        <w:rPr>
          <w:lang w:val="en-US"/>
        </w:rPr>
      </w:pPr>
      <w:r w:rsidRPr="00812E8B">
        <w:rPr>
          <w:lang w:val="en-US"/>
        </w:rPr>
        <w:t>Figure 2 Three pillar structure (Basel II and II)</w:t>
      </w:r>
      <w:r w:rsidRPr="00812E8B">
        <w:rPr>
          <w:webHidden/>
          <w:lang w:val="en-US"/>
        </w:rPr>
        <w:tab/>
      </w:r>
      <w:r w:rsidR="00D46A7F" w:rsidRPr="00812E8B">
        <w:rPr>
          <w:webHidden/>
          <w:lang w:val="en-US"/>
        </w:rPr>
        <w:fldChar w:fldCharType="begin"/>
      </w:r>
      <w:r w:rsidRPr="00812E8B">
        <w:rPr>
          <w:webHidden/>
          <w:lang w:val="en-US"/>
        </w:rPr>
        <w:instrText xml:space="preserve"> PAGEREF _Toc305410564 \h </w:instrText>
      </w:r>
      <w:r w:rsidR="00D46A7F" w:rsidRPr="00812E8B">
        <w:rPr>
          <w:webHidden/>
          <w:lang w:val="en-US"/>
        </w:rPr>
      </w:r>
      <w:r w:rsidR="00D46A7F" w:rsidRPr="00812E8B">
        <w:rPr>
          <w:webHidden/>
          <w:lang w:val="en-US"/>
        </w:rPr>
        <w:fldChar w:fldCharType="separate"/>
      </w:r>
      <w:r w:rsidR="00DD7D45">
        <w:rPr>
          <w:noProof/>
          <w:webHidden/>
          <w:lang w:val="en-US"/>
        </w:rPr>
        <w:t>59</w:t>
      </w:r>
      <w:r w:rsidR="00D46A7F" w:rsidRPr="00812E8B">
        <w:rPr>
          <w:webHidden/>
          <w:lang w:val="en-US"/>
        </w:rPr>
        <w:fldChar w:fldCharType="end"/>
      </w:r>
    </w:p>
    <w:p w:rsidR="006317DF" w:rsidRPr="00812E8B" w:rsidRDefault="00D46A7F" w:rsidP="006317DF">
      <w:pPr>
        <w:pStyle w:val="TableofFigures"/>
        <w:tabs>
          <w:tab w:val="right" w:pos="9062"/>
        </w:tabs>
        <w:spacing w:line="360" w:lineRule="auto"/>
        <w:rPr>
          <w:lang w:val="en-US"/>
        </w:rPr>
      </w:pPr>
      <w:hyperlink w:anchor="_Toc305410560" w:history="1">
        <w:r w:rsidR="006317DF" w:rsidRPr="00812E8B">
          <w:rPr>
            <w:rStyle w:val="Hyperlink"/>
            <w:lang w:val="en-US"/>
          </w:rPr>
          <w:t>Table 8  Summary of literature review of regulation and  banks’ profitability</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_Toc305410560 \h </w:instrText>
        </w:r>
        <w:r w:rsidRPr="00812E8B">
          <w:rPr>
            <w:webHidden/>
            <w:lang w:val="en-US"/>
          </w:rPr>
        </w:r>
        <w:r w:rsidRPr="00812E8B">
          <w:rPr>
            <w:webHidden/>
            <w:lang w:val="en-US"/>
          </w:rPr>
          <w:fldChar w:fldCharType="separate"/>
        </w:r>
        <w:r w:rsidR="00DD7D45">
          <w:rPr>
            <w:noProof/>
            <w:webHidden/>
            <w:lang w:val="en-US"/>
          </w:rPr>
          <w:t>61</w:t>
        </w:r>
        <w:r w:rsidRPr="00812E8B">
          <w:rPr>
            <w:webHidden/>
            <w:lang w:val="en-US"/>
          </w:rPr>
          <w:fldChar w:fldCharType="end"/>
        </w:r>
      </w:hyperlink>
    </w:p>
    <w:p w:rsidR="006317DF" w:rsidRPr="00812E8B" w:rsidRDefault="00D46A7F" w:rsidP="006317DF">
      <w:pPr>
        <w:pStyle w:val="TableofFigures"/>
        <w:tabs>
          <w:tab w:val="right" w:pos="9062"/>
        </w:tabs>
        <w:spacing w:line="360" w:lineRule="auto"/>
        <w:rPr>
          <w:lang w:val="en-US"/>
        </w:rPr>
      </w:pPr>
      <w:hyperlink w:anchor="_Toc305410561" w:history="1">
        <w:r w:rsidR="006317DF" w:rsidRPr="00812E8B">
          <w:rPr>
            <w:rStyle w:val="Hyperlink"/>
            <w:lang w:val="en-US"/>
          </w:rPr>
          <w:t>Table 9  Summary of literature review of ownership structure and  banks’ profitability</w:t>
        </w:r>
        <w:r w:rsidR="006317DF" w:rsidRPr="00812E8B">
          <w:rPr>
            <w:webHidden/>
            <w:lang w:val="en-US"/>
          </w:rPr>
          <w:tab/>
        </w:r>
        <w:r w:rsidRPr="00812E8B">
          <w:rPr>
            <w:webHidden/>
            <w:lang w:val="en-US"/>
          </w:rPr>
          <w:fldChar w:fldCharType="begin"/>
        </w:r>
        <w:r w:rsidR="006317DF" w:rsidRPr="00812E8B">
          <w:rPr>
            <w:webHidden/>
            <w:lang w:val="en-US"/>
          </w:rPr>
          <w:instrText xml:space="preserve"> PAGEREF _Toc305410561 \h </w:instrText>
        </w:r>
        <w:r w:rsidRPr="00812E8B">
          <w:rPr>
            <w:webHidden/>
            <w:lang w:val="en-US"/>
          </w:rPr>
        </w:r>
        <w:r w:rsidRPr="00812E8B">
          <w:rPr>
            <w:webHidden/>
            <w:lang w:val="en-US"/>
          </w:rPr>
          <w:fldChar w:fldCharType="separate"/>
        </w:r>
        <w:r w:rsidR="00DD7D45">
          <w:rPr>
            <w:noProof/>
            <w:webHidden/>
            <w:lang w:val="en-US"/>
          </w:rPr>
          <w:t>63</w:t>
        </w:r>
        <w:r w:rsidRPr="00812E8B">
          <w:rPr>
            <w:webHidden/>
            <w:lang w:val="en-US"/>
          </w:rPr>
          <w:fldChar w:fldCharType="end"/>
        </w:r>
      </w:hyperlink>
    </w:p>
    <w:p w:rsidR="00FB0A28" w:rsidRPr="00812E8B" w:rsidRDefault="00D46A7F" w:rsidP="00FB0A28">
      <w:pPr>
        <w:pStyle w:val="TableofFigures"/>
        <w:tabs>
          <w:tab w:val="right" w:pos="9062"/>
        </w:tabs>
        <w:spacing w:line="360" w:lineRule="auto"/>
        <w:rPr>
          <w:lang w:val="en-US"/>
        </w:rPr>
      </w:pPr>
      <w:hyperlink w:anchor="_Toc305410562" w:history="1">
        <w:r w:rsidR="00FB0A28" w:rsidRPr="00812E8B">
          <w:rPr>
            <w:rStyle w:val="Hyperlink"/>
            <w:lang w:val="en-US"/>
          </w:rPr>
          <w:t>Table 10  Summary of literature review of determinants and banks’ profitability</w:t>
        </w:r>
        <w:r w:rsidR="00FB0A28" w:rsidRPr="00812E8B">
          <w:rPr>
            <w:webHidden/>
            <w:lang w:val="en-US"/>
          </w:rPr>
          <w:tab/>
        </w:r>
        <w:r w:rsidRPr="00812E8B">
          <w:rPr>
            <w:webHidden/>
            <w:lang w:val="en-US"/>
          </w:rPr>
          <w:fldChar w:fldCharType="begin"/>
        </w:r>
        <w:r w:rsidR="00FB0A28" w:rsidRPr="00812E8B">
          <w:rPr>
            <w:webHidden/>
            <w:lang w:val="en-US"/>
          </w:rPr>
          <w:instrText xml:space="preserve"> PAGEREF _Toc305410562 \h </w:instrText>
        </w:r>
        <w:r w:rsidRPr="00812E8B">
          <w:rPr>
            <w:webHidden/>
            <w:lang w:val="en-US"/>
          </w:rPr>
        </w:r>
        <w:r w:rsidRPr="00812E8B">
          <w:rPr>
            <w:webHidden/>
            <w:lang w:val="en-US"/>
          </w:rPr>
          <w:fldChar w:fldCharType="separate"/>
        </w:r>
        <w:r w:rsidR="00DD7D45">
          <w:rPr>
            <w:noProof/>
            <w:webHidden/>
            <w:lang w:val="en-US"/>
          </w:rPr>
          <w:t>65</w:t>
        </w:r>
        <w:r w:rsidRPr="00812E8B">
          <w:rPr>
            <w:webHidden/>
            <w:lang w:val="en-US"/>
          </w:rPr>
          <w:fldChar w:fldCharType="end"/>
        </w:r>
      </w:hyperlink>
    </w:p>
    <w:p w:rsidR="00FB0A28" w:rsidRPr="00812E8B" w:rsidRDefault="00D46A7F" w:rsidP="00FB0A28">
      <w:pPr>
        <w:pStyle w:val="TableofFigures"/>
        <w:tabs>
          <w:tab w:val="right" w:pos="9062"/>
        </w:tabs>
        <w:spacing w:line="360" w:lineRule="auto"/>
        <w:ind w:left="284"/>
        <w:rPr>
          <w:lang w:val="en-US"/>
        </w:rPr>
      </w:pPr>
      <w:hyperlink w:anchor="_Toc305410565" w:history="1">
        <w:r w:rsidR="00FB0A28" w:rsidRPr="00812E8B">
          <w:rPr>
            <w:rStyle w:val="Hyperlink"/>
            <w:lang w:val="en-US"/>
          </w:rPr>
          <w:t>Figure 3  Scatter plot return on average assets and equity-to-asset ratio</w:t>
        </w:r>
        <w:r w:rsidR="00FB0A28" w:rsidRPr="00812E8B">
          <w:rPr>
            <w:webHidden/>
            <w:lang w:val="en-US"/>
          </w:rPr>
          <w:tab/>
        </w:r>
        <w:r w:rsidRPr="00812E8B">
          <w:rPr>
            <w:webHidden/>
            <w:lang w:val="en-US"/>
          </w:rPr>
          <w:fldChar w:fldCharType="begin"/>
        </w:r>
        <w:r w:rsidR="00FB0A28" w:rsidRPr="00812E8B">
          <w:rPr>
            <w:webHidden/>
            <w:lang w:val="en-US"/>
          </w:rPr>
          <w:instrText xml:space="preserve"> PAGEREF _Toc305410565 \h </w:instrText>
        </w:r>
        <w:r w:rsidRPr="00812E8B">
          <w:rPr>
            <w:webHidden/>
            <w:lang w:val="en-US"/>
          </w:rPr>
        </w:r>
        <w:r w:rsidRPr="00812E8B">
          <w:rPr>
            <w:webHidden/>
            <w:lang w:val="en-US"/>
          </w:rPr>
          <w:fldChar w:fldCharType="separate"/>
        </w:r>
        <w:r w:rsidR="00DD7D45">
          <w:rPr>
            <w:noProof/>
            <w:webHidden/>
            <w:lang w:val="en-US"/>
          </w:rPr>
          <w:t>67</w:t>
        </w:r>
        <w:r w:rsidRPr="00812E8B">
          <w:rPr>
            <w:webHidden/>
            <w:lang w:val="en-US"/>
          </w:rPr>
          <w:fldChar w:fldCharType="end"/>
        </w:r>
      </w:hyperlink>
    </w:p>
    <w:p w:rsidR="006317DF" w:rsidRPr="00812E8B" w:rsidRDefault="00D46A7F" w:rsidP="00FB0A28">
      <w:pPr>
        <w:spacing w:line="360" w:lineRule="auto"/>
        <w:jc w:val="both"/>
        <w:rPr>
          <w:lang w:val="en-US"/>
        </w:rPr>
      </w:pPr>
      <w:r w:rsidRPr="00812E8B">
        <w:rPr>
          <w:lang w:val="en-US"/>
        </w:rPr>
        <w:fldChar w:fldCharType="end"/>
      </w:r>
      <w:r w:rsidRPr="00812E8B">
        <w:rPr>
          <w:b/>
          <w:color w:val="365F91" w:themeColor="accent1" w:themeShade="BF"/>
          <w:sz w:val="24"/>
          <w:szCs w:val="24"/>
          <w:lang w:val="en-US"/>
        </w:rPr>
        <w:fldChar w:fldCharType="begin"/>
      </w:r>
      <w:r w:rsidR="00A937BC" w:rsidRPr="00812E8B">
        <w:rPr>
          <w:b/>
          <w:color w:val="365F91" w:themeColor="accent1" w:themeShade="BF"/>
          <w:sz w:val="24"/>
          <w:szCs w:val="24"/>
          <w:lang w:val="en-US"/>
        </w:rPr>
        <w:instrText xml:space="preserve"> TOC \h \z \c "Figure" </w:instrText>
      </w:r>
      <w:r w:rsidRPr="00812E8B">
        <w:rPr>
          <w:b/>
          <w:color w:val="365F91" w:themeColor="accent1" w:themeShade="BF"/>
          <w:sz w:val="24"/>
          <w:szCs w:val="24"/>
          <w:lang w:val="en-US"/>
        </w:rPr>
        <w:fldChar w:fldCharType="separate"/>
      </w:r>
      <w:hyperlink w:anchor="_Toc305410564" w:history="1"/>
    </w:p>
    <w:p w:rsidR="00ED7B9C" w:rsidRPr="00812E8B" w:rsidRDefault="00D46A7F" w:rsidP="006317DF">
      <w:pPr>
        <w:spacing w:line="360" w:lineRule="auto"/>
        <w:rPr>
          <w:b/>
          <w:color w:val="365F91" w:themeColor="accent1" w:themeShade="BF"/>
          <w:sz w:val="24"/>
          <w:szCs w:val="24"/>
          <w:lang w:val="en-US"/>
        </w:rPr>
      </w:pPr>
      <w:r w:rsidRPr="00812E8B">
        <w:rPr>
          <w:b/>
          <w:color w:val="365F91" w:themeColor="accent1" w:themeShade="BF"/>
          <w:sz w:val="24"/>
          <w:szCs w:val="24"/>
          <w:lang w:val="en-US"/>
        </w:rPr>
        <w:fldChar w:fldCharType="end"/>
      </w:r>
    </w:p>
    <w:p w:rsidR="00ED7B9C" w:rsidRPr="00812E8B" w:rsidRDefault="00ED7B9C">
      <w:pPr>
        <w:rPr>
          <w:b/>
          <w:color w:val="365F91" w:themeColor="accent1" w:themeShade="BF"/>
          <w:sz w:val="24"/>
          <w:szCs w:val="24"/>
          <w:lang w:val="en-US"/>
        </w:rPr>
      </w:pPr>
      <w:r w:rsidRPr="00812E8B">
        <w:rPr>
          <w:b/>
          <w:color w:val="365F91" w:themeColor="accent1" w:themeShade="BF"/>
          <w:sz w:val="24"/>
          <w:szCs w:val="24"/>
          <w:lang w:val="en-US"/>
        </w:rPr>
        <w:br w:type="page"/>
      </w:r>
    </w:p>
    <w:p w:rsidR="00ED7B9C" w:rsidRPr="00812E8B" w:rsidRDefault="00ED7B9C" w:rsidP="00ED7B9C">
      <w:pPr>
        <w:pStyle w:val="Heading1"/>
        <w:jc w:val="left"/>
        <w:rPr>
          <w:color w:val="auto"/>
          <w:sz w:val="30"/>
          <w:szCs w:val="30"/>
          <w:lang w:val="en-US"/>
        </w:rPr>
      </w:pPr>
      <w:bookmarkStart w:id="2" w:name="_Toc306359626"/>
      <w:r w:rsidRPr="00812E8B">
        <w:rPr>
          <w:color w:val="auto"/>
          <w:lang w:val="en-US"/>
        </w:rPr>
        <w:lastRenderedPageBreak/>
        <w:t>A</w:t>
      </w:r>
      <w:r w:rsidRPr="00812E8B">
        <w:rPr>
          <w:color w:val="auto"/>
          <w:sz w:val="30"/>
          <w:szCs w:val="30"/>
          <w:lang w:val="en-US"/>
        </w:rPr>
        <w:t>BBREVIATIONS</w:t>
      </w:r>
      <w:bookmarkEnd w:id="2"/>
    </w:p>
    <w:p w:rsidR="00ED7B9C" w:rsidRPr="00812E8B" w:rsidRDefault="00ED7B9C" w:rsidP="00ED7B9C">
      <w:pPr>
        <w:rPr>
          <w:lang w:val="en-US"/>
        </w:rPr>
      </w:pPr>
    </w:p>
    <w:p w:rsidR="00ED7B9C" w:rsidRPr="00812E8B" w:rsidRDefault="00ED7B9C" w:rsidP="00ED7B9C">
      <w:pPr>
        <w:pStyle w:val="NoSpacing"/>
        <w:spacing w:line="276" w:lineRule="auto"/>
        <w:rPr>
          <w:lang w:val="en-US"/>
        </w:rPr>
      </w:pPr>
      <w:r w:rsidRPr="00812E8B">
        <w:rPr>
          <w:lang w:val="en-US"/>
        </w:rPr>
        <w:t>BIS</w:t>
      </w:r>
      <w:r w:rsidRPr="00812E8B">
        <w:rPr>
          <w:lang w:val="en-US"/>
        </w:rPr>
        <w:tab/>
      </w:r>
      <w:r w:rsidRPr="00812E8B">
        <w:rPr>
          <w:lang w:val="en-US"/>
        </w:rPr>
        <w:tab/>
        <w:t>Bank for International Settlements</w:t>
      </w:r>
    </w:p>
    <w:p w:rsidR="00DC162F" w:rsidRDefault="00DC162F" w:rsidP="00ED7B9C">
      <w:pPr>
        <w:pStyle w:val="NoSpacing"/>
        <w:spacing w:line="276" w:lineRule="auto"/>
        <w:rPr>
          <w:lang w:val="en-US"/>
        </w:rPr>
      </w:pPr>
      <w:r>
        <w:rPr>
          <w:lang w:val="en-US"/>
        </w:rPr>
        <w:t>DEPV</w:t>
      </w:r>
      <w:r>
        <w:rPr>
          <w:lang w:val="en-US"/>
        </w:rPr>
        <w:tab/>
      </w:r>
      <w:r>
        <w:rPr>
          <w:lang w:val="en-US"/>
        </w:rPr>
        <w:tab/>
        <w:t>Dependent variable</w:t>
      </w:r>
    </w:p>
    <w:p w:rsidR="00ED7B9C" w:rsidRPr="00812E8B" w:rsidRDefault="00ED7B9C" w:rsidP="00ED7B9C">
      <w:pPr>
        <w:pStyle w:val="NoSpacing"/>
        <w:spacing w:line="276" w:lineRule="auto"/>
        <w:rPr>
          <w:lang w:val="en-US"/>
        </w:rPr>
      </w:pPr>
      <w:r w:rsidRPr="00812E8B">
        <w:rPr>
          <w:lang w:val="en-US"/>
        </w:rPr>
        <w:t>EVA</w:t>
      </w:r>
      <w:r w:rsidRPr="00812E8B">
        <w:rPr>
          <w:lang w:val="en-US"/>
        </w:rPr>
        <w:tab/>
      </w:r>
      <w:r w:rsidRPr="00812E8B">
        <w:rPr>
          <w:lang w:val="en-US"/>
        </w:rPr>
        <w:tab/>
        <w:t>Economic value added</w:t>
      </w:r>
    </w:p>
    <w:p w:rsidR="00DC162F" w:rsidRDefault="00ED4C6D" w:rsidP="00ED7B9C">
      <w:pPr>
        <w:pStyle w:val="NoSpacing"/>
        <w:spacing w:line="276" w:lineRule="auto"/>
        <w:rPr>
          <w:lang w:val="en-US"/>
        </w:rPr>
      </w:pPr>
      <w:r>
        <w:rPr>
          <w:lang w:val="en-US"/>
        </w:rPr>
        <w:t>EURIBOR</w:t>
      </w:r>
      <w:r w:rsidR="00DC57FA" w:rsidRPr="00DC57FA">
        <w:rPr>
          <w:lang w:val="en-US"/>
        </w:rPr>
        <w:t xml:space="preserve"> </w:t>
      </w:r>
      <w:r w:rsidR="00DC57FA">
        <w:rPr>
          <w:lang w:val="en-US"/>
        </w:rPr>
        <w:tab/>
      </w:r>
      <w:r w:rsidR="00DC57FA" w:rsidRPr="00016C7B">
        <w:rPr>
          <w:lang w:val="en-US"/>
        </w:rPr>
        <w:t xml:space="preserve">Euro Interbank Offered Rate </w:t>
      </w:r>
    </w:p>
    <w:p w:rsidR="00DC162F" w:rsidRDefault="00DC162F" w:rsidP="00ED7B9C">
      <w:pPr>
        <w:pStyle w:val="NoSpacing"/>
        <w:spacing w:line="276" w:lineRule="auto"/>
        <w:rPr>
          <w:lang w:val="en-US"/>
        </w:rPr>
      </w:pPr>
      <w:r>
        <w:rPr>
          <w:lang w:val="en-US"/>
        </w:rPr>
        <w:t>EXPL</w:t>
      </w:r>
      <w:r>
        <w:rPr>
          <w:lang w:val="en-US"/>
        </w:rPr>
        <w:tab/>
      </w:r>
      <w:r>
        <w:rPr>
          <w:lang w:val="en-US"/>
        </w:rPr>
        <w:tab/>
        <w:t>Explanatory variables</w:t>
      </w:r>
    </w:p>
    <w:p w:rsidR="00ED7B9C" w:rsidRPr="00812E8B" w:rsidRDefault="00ED7B9C" w:rsidP="00ED7B9C">
      <w:pPr>
        <w:pStyle w:val="NoSpacing"/>
        <w:spacing w:line="276" w:lineRule="auto"/>
        <w:rPr>
          <w:lang w:val="en-US"/>
        </w:rPr>
      </w:pPr>
      <w:r w:rsidRPr="00812E8B">
        <w:rPr>
          <w:lang w:val="en-US"/>
        </w:rPr>
        <w:t>GMM</w:t>
      </w:r>
      <w:r w:rsidRPr="00812E8B">
        <w:rPr>
          <w:lang w:val="en-US"/>
        </w:rPr>
        <w:tab/>
      </w:r>
      <w:r w:rsidRPr="00812E8B">
        <w:rPr>
          <w:lang w:val="en-US"/>
        </w:rPr>
        <w:tab/>
        <w:t>Generalized Method of Moments</w:t>
      </w:r>
    </w:p>
    <w:p w:rsidR="00ED7B9C" w:rsidRPr="00812E8B" w:rsidRDefault="00ED7B9C" w:rsidP="00ED7B9C">
      <w:pPr>
        <w:pStyle w:val="NoSpacing"/>
        <w:spacing w:line="276" w:lineRule="auto"/>
        <w:rPr>
          <w:lang w:val="en-US"/>
        </w:rPr>
      </w:pPr>
      <w:r w:rsidRPr="00812E8B">
        <w:rPr>
          <w:lang w:val="en-US"/>
        </w:rPr>
        <w:t>GDP</w:t>
      </w:r>
      <w:r w:rsidRPr="00812E8B">
        <w:rPr>
          <w:lang w:val="en-US"/>
        </w:rPr>
        <w:tab/>
      </w:r>
      <w:r w:rsidRPr="00812E8B">
        <w:rPr>
          <w:lang w:val="en-US"/>
        </w:rPr>
        <w:tab/>
        <w:t>Gross domestic product</w:t>
      </w:r>
    </w:p>
    <w:p w:rsidR="00ED7B9C" w:rsidRPr="00812E8B" w:rsidRDefault="00ED7B9C" w:rsidP="00ED7B9C">
      <w:pPr>
        <w:pStyle w:val="NoSpacing"/>
        <w:spacing w:line="276" w:lineRule="auto"/>
        <w:rPr>
          <w:lang w:val="en-US"/>
        </w:rPr>
      </w:pPr>
      <w:r w:rsidRPr="00812E8B">
        <w:rPr>
          <w:lang w:val="en-US"/>
        </w:rPr>
        <w:t>IFRS</w:t>
      </w:r>
      <w:r w:rsidRPr="00812E8B">
        <w:rPr>
          <w:lang w:val="en-US"/>
        </w:rPr>
        <w:tab/>
      </w:r>
      <w:r w:rsidRPr="00812E8B">
        <w:rPr>
          <w:lang w:val="en-US"/>
        </w:rPr>
        <w:tab/>
        <w:t>International Financial Reporting Standards</w:t>
      </w:r>
    </w:p>
    <w:p w:rsidR="00ED7B9C" w:rsidRPr="00812E8B" w:rsidRDefault="00ED7B9C" w:rsidP="00ED7B9C">
      <w:pPr>
        <w:pStyle w:val="NoSpacing"/>
        <w:spacing w:line="276" w:lineRule="auto"/>
        <w:rPr>
          <w:lang w:val="en-US"/>
        </w:rPr>
      </w:pPr>
      <w:r w:rsidRPr="00812E8B">
        <w:rPr>
          <w:lang w:val="en-US"/>
        </w:rPr>
        <w:t>LCR</w:t>
      </w:r>
      <w:r w:rsidRPr="00812E8B">
        <w:rPr>
          <w:lang w:val="en-US"/>
        </w:rPr>
        <w:tab/>
      </w:r>
      <w:r w:rsidRPr="00812E8B">
        <w:rPr>
          <w:lang w:val="en-US"/>
        </w:rPr>
        <w:tab/>
        <w:t>Liquidity coverage ratio</w:t>
      </w:r>
    </w:p>
    <w:p w:rsidR="00ED7B9C" w:rsidRPr="00812E8B" w:rsidRDefault="00ED7B9C" w:rsidP="00ED7B9C">
      <w:pPr>
        <w:pStyle w:val="NoSpacing"/>
        <w:spacing w:line="276" w:lineRule="auto"/>
        <w:rPr>
          <w:lang w:val="en-US"/>
        </w:rPr>
      </w:pPr>
      <w:r w:rsidRPr="00812E8B">
        <w:rPr>
          <w:lang w:val="en-US"/>
        </w:rPr>
        <w:t>NIM</w:t>
      </w:r>
      <w:r w:rsidRPr="00812E8B">
        <w:rPr>
          <w:lang w:val="en-US"/>
        </w:rPr>
        <w:tab/>
      </w:r>
      <w:r w:rsidRPr="00812E8B">
        <w:rPr>
          <w:lang w:val="en-US"/>
        </w:rPr>
        <w:tab/>
        <w:t>Net interest margin</w:t>
      </w:r>
    </w:p>
    <w:p w:rsidR="00ED7B9C" w:rsidRPr="00812E8B" w:rsidRDefault="00ED7B9C" w:rsidP="00ED7B9C">
      <w:pPr>
        <w:pStyle w:val="NoSpacing"/>
        <w:spacing w:line="276" w:lineRule="auto"/>
        <w:rPr>
          <w:lang w:val="en-US"/>
        </w:rPr>
      </w:pPr>
      <w:r w:rsidRPr="00812E8B">
        <w:rPr>
          <w:lang w:val="en-US"/>
        </w:rPr>
        <w:t>NSFR</w:t>
      </w:r>
      <w:r w:rsidRPr="00812E8B">
        <w:rPr>
          <w:lang w:val="en-US"/>
        </w:rPr>
        <w:tab/>
      </w:r>
      <w:r w:rsidRPr="00812E8B">
        <w:rPr>
          <w:lang w:val="en-US"/>
        </w:rPr>
        <w:tab/>
        <w:t>Net stable funding ratio</w:t>
      </w:r>
    </w:p>
    <w:p w:rsidR="00ED7B9C" w:rsidRPr="00812E8B" w:rsidRDefault="00ED7B9C" w:rsidP="00ED7B9C">
      <w:pPr>
        <w:pStyle w:val="NoSpacing"/>
        <w:spacing w:line="276" w:lineRule="auto"/>
        <w:rPr>
          <w:lang w:val="en-US"/>
        </w:rPr>
      </w:pPr>
      <w:r w:rsidRPr="00812E8B">
        <w:rPr>
          <w:lang w:val="en-US"/>
        </w:rPr>
        <w:t>OBS</w:t>
      </w:r>
      <w:r w:rsidRPr="00812E8B">
        <w:rPr>
          <w:lang w:val="en-US"/>
        </w:rPr>
        <w:tab/>
      </w:r>
      <w:r w:rsidRPr="00812E8B">
        <w:rPr>
          <w:lang w:val="en-US"/>
        </w:rPr>
        <w:tab/>
        <w:t>Off balance sheet</w:t>
      </w:r>
    </w:p>
    <w:p w:rsidR="00ED7B9C" w:rsidRPr="00812E8B" w:rsidRDefault="00ED7B9C" w:rsidP="00ED7B9C">
      <w:pPr>
        <w:pStyle w:val="NoSpacing"/>
        <w:spacing w:line="276" w:lineRule="auto"/>
        <w:rPr>
          <w:lang w:val="en-US"/>
        </w:rPr>
      </w:pPr>
      <w:r w:rsidRPr="00812E8B">
        <w:rPr>
          <w:lang w:val="en-US"/>
        </w:rPr>
        <w:t>OLS</w:t>
      </w:r>
      <w:r w:rsidRPr="00812E8B">
        <w:rPr>
          <w:lang w:val="en-US"/>
        </w:rPr>
        <w:tab/>
      </w:r>
      <w:r w:rsidRPr="00812E8B">
        <w:rPr>
          <w:lang w:val="en-US"/>
        </w:rPr>
        <w:tab/>
        <w:t>Ordinary least squares</w:t>
      </w:r>
    </w:p>
    <w:p w:rsidR="00ED7B9C" w:rsidRPr="00812E8B" w:rsidRDefault="00ED7B9C" w:rsidP="00ED7B9C">
      <w:pPr>
        <w:pStyle w:val="NoSpacing"/>
        <w:spacing w:line="276" w:lineRule="auto"/>
        <w:rPr>
          <w:lang w:val="en-US"/>
        </w:rPr>
      </w:pPr>
      <w:r w:rsidRPr="00812E8B">
        <w:rPr>
          <w:lang w:val="en-US"/>
        </w:rPr>
        <w:t>RAROC</w:t>
      </w:r>
      <w:r w:rsidRPr="00812E8B">
        <w:rPr>
          <w:lang w:val="en-US"/>
        </w:rPr>
        <w:tab/>
      </w:r>
      <w:r w:rsidRPr="00812E8B">
        <w:rPr>
          <w:lang w:val="en-US"/>
        </w:rPr>
        <w:tab/>
        <w:t>Return-adjusted return on capital</w:t>
      </w:r>
    </w:p>
    <w:p w:rsidR="00ED7B9C" w:rsidRPr="00812E8B" w:rsidRDefault="00ED7B9C" w:rsidP="00ED7B9C">
      <w:pPr>
        <w:pStyle w:val="NoSpacing"/>
        <w:spacing w:line="276" w:lineRule="auto"/>
        <w:rPr>
          <w:lang w:val="en-US"/>
        </w:rPr>
      </w:pPr>
      <w:r w:rsidRPr="00812E8B">
        <w:rPr>
          <w:lang w:val="en-US"/>
        </w:rPr>
        <w:t>ROE</w:t>
      </w:r>
      <w:r w:rsidRPr="00812E8B">
        <w:rPr>
          <w:lang w:val="en-US"/>
        </w:rPr>
        <w:tab/>
      </w:r>
      <w:r w:rsidRPr="00812E8B">
        <w:rPr>
          <w:lang w:val="en-US"/>
        </w:rPr>
        <w:tab/>
        <w:t>Return on equity</w:t>
      </w:r>
    </w:p>
    <w:p w:rsidR="00ED7B9C" w:rsidRPr="00812E8B" w:rsidRDefault="00ED7B9C" w:rsidP="00ED7B9C">
      <w:pPr>
        <w:pStyle w:val="NoSpacing"/>
        <w:spacing w:line="276" w:lineRule="auto"/>
        <w:rPr>
          <w:lang w:val="en-US"/>
        </w:rPr>
      </w:pPr>
      <w:r w:rsidRPr="00812E8B">
        <w:rPr>
          <w:lang w:val="en-US"/>
        </w:rPr>
        <w:t>ROA</w:t>
      </w:r>
      <w:r w:rsidRPr="00812E8B">
        <w:rPr>
          <w:lang w:val="en-US"/>
        </w:rPr>
        <w:tab/>
      </w:r>
      <w:r w:rsidRPr="00812E8B">
        <w:rPr>
          <w:lang w:val="en-US"/>
        </w:rPr>
        <w:tab/>
        <w:t>Return on assets</w:t>
      </w:r>
    </w:p>
    <w:p w:rsidR="00ED7B9C" w:rsidRPr="00812E8B" w:rsidRDefault="00ED7B9C" w:rsidP="00ED7B9C">
      <w:pPr>
        <w:pStyle w:val="NoSpacing"/>
        <w:spacing w:line="276" w:lineRule="auto"/>
        <w:rPr>
          <w:lang w:val="en-US"/>
        </w:rPr>
      </w:pPr>
      <w:r w:rsidRPr="00812E8B">
        <w:rPr>
          <w:lang w:val="en-US"/>
        </w:rPr>
        <w:t>ROAA</w:t>
      </w:r>
      <w:r w:rsidRPr="00812E8B">
        <w:rPr>
          <w:lang w:val="en-US"/>
        </w:rPr>
        <w:tab/>
      </w:r>
      <w:r w:rsidRPr="00812E8B">
        <w:rPr>
          <w:lang w:val="en-US"/>
        </w:rPr>
        <w:tab/>
        <w:t>Return on average assets</w:t>
      </w:r>
    </w:p>
    <w:p w:rsidR="00ED7B9C" w:rsidRPr="00812E8B" w:rsidRDefault="00ED7B9C" w:rsidP="00ED7B9C">
      <w:pPr>
        <w:pStyle w:val="NoSpacing"/>
        <w:spacing w:line="276" w:lineRule="auto"/>
        <w:rPr>
          <w:lang w:val="en-US"/>
        </w:rPr>
      </w:pPr>
      <w:r w:rsidRPr="00812E8B">
        <w:rPr>
          <w:lang w:val="en-US"/>
        </w:rPr>
        <w:t>ROAE</w:t>
      </w:r>
      <w:r w:rsidRPr="00812E8B">
        <w:rPr>
          <w:lang w:val="en-US"/>
        </w:rPr>
        <w:tab/>
      </w:r>
      <w:r w:rsidRPr="00812E8B">
        <w:rPr>
          <w:lang w:val="en-US"/>
        </w:rPr>
        <w:tab/>
        <w:t>Return on average equity</w:t>
      </w:r>
    </w:p>
    <w:p w:rsidR="00ED7B9C" w:rsidRPr="00812E8B" w:rsidRDefault="00ED7B9C" w:rsidP="00ED7B9C">
      <w:pPr>
        <w:pStyle w:val="NoSpacing"/>
        <w:spacing w:line="276" w:lineRule="auto"/>
        <w:rPr>
          <w:lang w:val="en-US"/>
        </w:rPr>
      </w:pPr>
      <w:r w:rsidRPr="00812E8B">
        <w:rPr>
          <w:lang w:val="en-US"/>
        </w:rPr>
        <w:t>SCP</w:t>
      </w:r>
      <w:r w:rsidRPr="00812E8B">
        <w:rPr>
          <w:lang w:val="en-US"/>
        </w:rPr>
        <w:tab/>
      </w:r>
      <w:r w:rsidRPr="00812E8B">
        <w:rPr>
          <w:lang w:val="en-US"/>
        </w:rPr>
        <w:tab/>
        <w:t>Structure-conduct-performance</w:t>
      </w:r>
    </w:p>
    <w:p w:rsidR="00DC162F" w:rsidRDefault="00DC162F" w:rsidP="00ED7B9C">
      <w:pPr>
        <w:pStyle w:val="NoSpacing"/>
        <w:spacing w:line="276" w:lineRule="auto"/>
        <w:rPr>
          <w:lang w:val="en-US"/>
        </w:rPr>
      </w:pPr>
      <w:r>
        <w:rPr>
          <w:lang w:val="en-US"/>
        </w:rPr>
        <w:t>St. dev</w:t>
      </w:r>
      <w:r>
        <w:rPr>
          <w:lang w:val="en-US"/>
        </w:rPr>
        <w:tab/>
      </w:r>
      <w:r>
        <w:rPr>
          <w:lang w:val="en-US"/>
        </w:rPr>
        <w:tab/>
        <w:t>Standar</w:t>
      </w:r>
      <w:r w:rsidR="003A5AFC">
        <w:rPr>
          <w:lang w:val="en-US"/>
        </w:rPr>
        <w:t>d</w:t>
      </w:r>
      <w:r>
        <w:rPr>
          <w:lang w:val="en-US"/>
        </w:rPr>
        <w:t xml:space="preserve"> deviation</w:t>
      </w:r>
    </w:p>
    <w:p w:rsidR="00DC57FA" w:rsidRDefault="00DC57FA" w:rsidP="00ED7B9C">
      <w:pPr>
        <w:pStyle w:val="NoSpacing"/>
        <w:spacing w:line="276" w:lineRule="auto"/>
        <w:rPr>
          <w:lang w:val="en-US"/>
        </w:rPr>
      </w:pPr>
      <w:r>
        <w:rPr>
          <w:lang w:val="en-US"/>
        </w:rPr>
        <w:t>NPV</w:t>
      </w:r>
      <w:r>
        <w:rPr>
          <w:lang w:val="en-US"/>
        </w:rPr>
        <w:tab/>
      </w:r>
      <w:r>
        <w:rPr>
          <w:lang w:val="en-US"/>
        </w:rPr>
        <w:tab/>
        <w:t>Net present value</w:t>
      </w:r>
    </w:p>
    <w:p w:rsidR="00ED7B9C" w:rsidRPr="00812E8B" w:rsidRDefault="00ED7B9C" w:rsidP="00ED7B9C">
      <w:pPr>
        <w:pStyle w:val="NoSpacing"/>
        <w:spacing w:line="276" w:lineRule="auto"/>
        <w:rPr>
          <w:lang w:val="en-US"/>
        </w:rPr>
      </w:pPr>
      <w:r w:rsidRPr="00812E8B">
        <w:rPr>
          <w:lang w:val="en-US"/>
        </w:rPr>
        <w:t>U.S.A.</w:t>
      </w:r>
      <w:r w:rsidRPr="00812E8B">
        <w:rPr>
          <w:lang w:val="en-US"/>
        </w:rPr>
        <w:tab/>
      </w:r>
      <w:r w:rsidRPr="00812E8B">
        <w:rPr>
          <w:lang w:val="en-US"/>
        </w:rPr>
        <w:tab/>
        <w:t>United States of America</w:t>
      </w:r>
    </w:p>
    <w:p w:rsidR="00497C00" w:rsidRPr="00812E8B" w:rsidRDefault="00497C00" w:rsidP="00C069D7">
      <w:pPr>
        <w:pStyle w:val="NoSpacing"/>
        <w:spacing w:line="360" w:lineRule="auto"/>
        <w:rPr>
          <w:lang w:val="en-US"/>
        </w:rPr>
      </w:pPr>
    </w:p>
    <w:p w:rsidR="00497C00" w:rsidRPr="00812E8B" w:rsidRDefault="00497C00" w:rsidP="00C069D7">
      <w:pPr>
        <w:pStyle w:val="NoSpacing"/>
        <w:spacing w:line="360" w:lineRule="auto"/>
        <w:rPr>
          <w:lang w:val="en-US"/>
        </w:rPr>
      </w:pPr>
    </w:p>
    <w:p w:rsidR="00497C00" w:rsidRPr="00812E8B" w:rsidRDefault="00497C00" w:rsidP="00C069D7">
      <w:pPr>
        <w:pStyle w:val="NoSpacing"/>
        <w:spacing w:line="360" w:lineRule="auto"/>
        <w:rPr>
          <w:lang w:val="en-US"/>
        </w:rPr>
      </w:pPr>
    </w:p>
    <w:p w:rsidR="00497C00" w:rsidRPr="00812E8B" w:rsidRDefault="00497C00" w:rsidP="00C069D7">
      <w:pPr>
        <w:pStyle w:val="NoSpacing"/>
        <w:spacing w:line="360" w:lineRule="auto"/>
        <w:rPr>
          <w:lang w:val="en-US"/>
        </w:rPr>
      </w:pPr>
    </w:p>
    <w:p w:rsidR="00497C00" w:rsidRPr="00812E8B" w:rsidRDefault="00497C00" w:rsidP="005A60AB">
      <w:pPr>
        <w:pStyle w:val="NoSpacing"/>
        <w:rPr>
          <w:lang w:val="en-US"/>
        </w:rPr>
      </w:pPr>
    </w:p>
    <w:p w:rsidR="00497C00" w:rsidRPr="00812E8B" w:rsidRDefault="00497C00" w:rsidP="005A60AB">
      <w:pPr>
        <w:pStyle w:val="NoSpacing"/>
        <w:rPr>
          <w:lang w:val="en-US"/>
        </w:rPr>
      </w:pPr>
    </w:p>
    <w:p w:rsidR="00497C00" w:rsidRPr="00812E8B" w:rsidRDefault="00497C00" w:rsidP="005A60AB">
      <w:pPr>
        <w:pStyle w:val="NoSpacing"/>
        <w:rPr>
          <w:lang w:val="en-US"/>
        </w:rPr>
      </w:pPr>
    </w:p>
    <w:p w:rsidR="00497C00" w:rsidRPr="00812E8B" w:rsidRDefault="00497C00" w:rsidP="005A60AB">
      <w:pPr>
        <w:pStyle w:val="NoSpacing"/>
        <w:rPr>
          <w:lang w:val="en-US"/>
        </w:rPr>
      </w:pPr>
    </w:p>
    <w:p w:rsidR="00497C00" w:rsidRPr="00812E8B" w:rsidRDefault="00497C00" w:rsidP="005A60AB">
      <w:pPr>
        <w:pStyle w:val="NoSpacing"/>
        <w:rPr>
          <w:lang w:val="en-US"/>
        </w:rPr>
      </w:pPr>
    </w:p>
    <w:p w:rsidR="00497C00" w:rsidRPr="00812E8B" w:rsidRDefault="00497C00" w:rsidP="005A60AB">
      <w:pPr>
        <w:pStyle w:val="NoSpacing"/>
        <w:rPr>
          <w:lang w:val="en-US"/>
        </w:rPr>
      </w:pPr>
    </w:p>
    <w:p w:rsidR="00497C00" w:rsidRPr="00812E8B" w:rsidRDefault="00497C00" w:rsidP="005A60AB">
      <w:pPr>
        <w:pStyle w:val="NoSpacing"/>
        <w:rPr>
          <w:lang w:val="en-US"/>
        </w:rPr>
      </w:pPr>
    </w:p>
    <w:p w:rsidR="00497C00" w:rsidRPr="00812E8B" w:rsidRDefault="00497C00" w:rsidP="005A60AB">
      <w:pPr>
        <w:pStyle w:val="NoSpacing"/>
        <w:rPr>
          <w:lang w:val="en-US"/>
        </w:rPr>
        <w:sectPr w:rsidR="00497C00" w:rsidRPr="00812E8B" w:rsidSect="00C468F1">
          <w:headerReference w:type="default" r:id="rId14"/>
          <w:headerReference w:type="first" r:id="rId15"/>
          <w:endnotePr>
            <w:numFmt w:val="decimal"/>
          </w:endnotePr>
          <w:pgSz w:w="11906" w:h="16838"/>
          <w:pgMar w:top="1630" w:right="1417" w:bottom="1417" w:left="1417" w:header="708" w:footer="708" w:gutter="0"/>
          <w:pgNumType w:fmt="lowerRoman"/>
          <w:cols w:space="708"/>
          <w:docGrid w:linePitch="360"/>
        </w:sectPr>
      </w:pPr>
    </w:p>
    <w:p w:rsidR="00C468F1" w:rsidRPr="00812E8B" w:rsidRDefault="00C468F1" w:rsidP="00C468F1">
      <w:pPr>
        <w:pStyle w:val="Heading1"/>
        <w:spacing w:line="240" w:lineRule="auto"/>
        <w:jc w:val="left"/>
        <w:rPr>
          <w:color w:val="auto"/>
          <w:lang w:val="en-US"/>
        </w:rPr>
      </w:pPr>
      <w:bookmarkStart w:id="3" w:name="_Toc306359627"/>
      <w:r w:rsidRPr="00812E8B">
        <w:rPr>
          <w:color w:val="auto"/>
          <w:lang w:val="en-US"/>
        </w:rPr>
        <w:lastRenderedPageBreak/>
        <w:t>1. I</w:t>
      </w:r>
      <w:r w:rsidR="004B7BFF" w:rsidRPr="00812E8B">
        <w:rPr>
          <w:color w:val="auto"/>
          <w:sz w:val="30"/>
          <w:szCs w:val="30"/>
          <w:lang w:val="en-US"/>
        </w:rPr>
        <w:t>NTRODUCTION</w:t>
      </w:r>
      <w:bookmarkEnd w:id="3"/>
    </w:p>
    <w:p w:rsidR="00C468F1" w:rsidRPr="00812E8B" w:rsidRDefault="00C468F1" w:rsidP="00C468F1">
      <w:pPr>
        <w:pStyle w:val="NoSpacing"/>
        <w:rPr>
          <w:lang w:val="en-US"/>
        </w:rPr>
      </w:pPr>
    </w:p>
    <w:p w:rsidR="0051759E" w:rsidRPr="00812E8B" w:rsidRDefault="00497C00" w:rsidP="00CE1B03">
      <w:pPr>
        <w:pStyle w:val="NoSpacing"/>
        <w:spacing w:line="276" w:lineRule="auto"/>
        <w:jc w:val="both"/>
        <w:rPr>
          <w:color w:val="365F91" w:themeColor="accent1" w:themeShade="BF"/>
          <w:lang w:val="en-US"/>
        </w:rPr>
      </w:pPr>
      <w:r w:rsidRPr="00812E8B">
        <w:rPr>
          <w:lang w:val="en-US"/>
        </w:rPr>
        <w:t xml:space="preserve">In recent years, changing market factors and an altering policy climate had a substantial impact on world’s banking sector. After decades of deregulation, globalization and </w:t>
      </w:r>
      <w:r w:rsidR="001E14E7" w:rsidRPr="00812E8B">
        <w:rPr>
          <w:lang w:val="en-US"/>
        </w:rPr>
        <w:t>financial innovation the</w:t>
      </w:r>
      <w:r w:rsidRPr="00812E8B">
        <w:rPr>
          <w:lang w:val="en-US"/>
        </w:rPr>
        <w:t xml:space="preserve"> banking sector flourished until the near collapse</w:t>
      </w:r>
      <w:r w:rsidR="00CE79B3" w:rsidRPr="00812E8B">
        <w:rPr>
          <w:lang w:val="en-US"/>
        </w:rPr>
        <w:t xml:space="preserve"> of the financial market</w:t>
      </w:r>
      <w:r w:rsidRPr="00812E8B">
        <w:rPr>
          <w:lang w:val="en-US"/>
        </w:rPr>
        <w:t xml:space="preserve"> a few years ago. As a consequence a fundamental reassessment of the banking sector </w:t>
      </w:r>
      <w:r w:rsidR="00321996" w:rsidRPr="00812E8B">
        <w:rPr>
          <w:lang w:val="en-US"/>
        </w:rPr>
        <w:t>is</w:t>
      </w:r>
      <w:r w:rsidRPr="00812E8B">
        <w:rPr>
          <w:lang w:val="en-US"/>
        </w:rPr>
        <w:t xml:space="preserve"> </w:t>
      </w:r>
      <w:r w:rsidR="00AE13D2" w:rsidRPr="00812E8B">
        <w:rPr>
          <w:lang w:val="en-US"/>
        </w:rPr>
        <w:t xml:space="preserve">requested </w:t>
      </w:r>
      <w:r w:rsidR="0043417A" w:rsidRPr="00812E8B">
        <w:rPr>
          <w:color w:val="365F91" w:themeColor="accent1" w:themeShade="BF"/>
          <w:lang w:val="en-US"/>
        </w:rPr>
        <w:t>(Rosenthal, 2011)</w:t>
      </w:r>
      <w:r w:rsidRPr="00812E8B">
        <w:rPr>
          <w:lang w:val="en-US"/>
        </w:rPr>
        <w:t>. Current efforts to reform regulation and supervision will lead to a n</w:t>
      </w:r>
      <w:r w:rsidR="00C46F98" w:rsidRPr="00812E8B">
        <w:rPr>
          <w:lang w:val="en-US"/>
        </w:rPr>
        <w:t>ew era of reregulation and will likely impact</w:t>
      </w:r>
      <w:r w:rsidRPr="00812E8B">
        <w:rPr>
          <w:lang w:val="en-US"/>
        </w:rPr>
        <w:t xml:space="preserve"> banks’ profitability. </w:t>
      </w:r>
      <w:r w:rsidR="00122138" w:rsidRPr="00812E8B">
        <w:rPr>
          <w:lang w:val="en-US"/>
        </w:rPr>
        <w:t>In this context</w:t>
      </w:r>
      <w:r w:rsidR="0051759E" w:rsidRPr="00812E8B">
        <w:rPr>
          <w:lang w:val="en-US"/>
        </w:rPr>
        <w:t xml:space="preserve">, </w:t>
      </w:r>
      <w:r w:rsidR="0043417A" w:rsidRPr="00812E8B">
        <w:rPr>
          <w:color w:val="365F91" w:themeColor="accent1" w:themeShade="BF"/>
          <w:lang w:val="en-US"/>
        </w:rPr>
        <w:t>Allen, Chan, Milne and Thomas (2010, p. 1)</w:t>
      </w:r>
      <w:r w:rsidR="0051759E" w:rsidRPr="00812E8B">
        <w:rPr>
          <w:color w:val="365F91" w:themeColor="accent1" w:themeShade="BF"/>
          <w:lang w:val="en-US"/>
        </w:rPr>
        <w:t xml:space="preserve"> </w:t>
      </w:r>
      <w:r w:rsidR="004F07E3" w:rsidRPr="00812E8B">
        <w:rPr>
          <w:lang w:val="en-US"/>
        </w:rPr>
        <w:t>argue that:</w:t>
      </w:r>
    </w:p>
    <w:p w:rsidR="0051759E" w:rsidRPr="00812E8B" w:rsidRDefault="0051759E" w:rsidP="00CE1B03">
      <w:pPr>
        <w:pStyle w:val="NoSpacing"/>
        <w:spacing w:line="276" w:lineRule="auto"/>
        <w:jc w:val="both"/>
        <w:rPr>
          <w:color w:val="365F91" w:themeColor="accent1" w:themeShade="BF"/>
          <w:lang w:val="en-US"/>
        </w:rPr>
      </w:pPr>
    </w:p>
    <w:p w:rsidR="0051759E" w:rsidRPr="00812E8B" w:rsidRDefault="0051759E" w:rsidP="0051759E">
      <w:pPr>
        <w:pStyle w:val="NoSpacing"/>
        <w:spacing w:line="276" w:lineRule="auto"/>
        <w:ind w:left="540" w:right="702"/>
        <w:jc w:val="both"/>
        <w:rPr>
          <w:i/>
          <w:lang w:val="en-US"/>
        </w:rPr>
      </w:pPr>
      <w:r w:rsidRPr="00812E8B">
        <w:rPr>
          <w:i/>
          <w:color w:val="365F91" w:themeColor="accent1" w:themeShade="BF"/>
          <w:lang w:val="en-US"/>
        </w:rPr>
        <w:t>“</w:t>
      </w:r>
      <w:r w:rsidRPr="00812E8B">
        <w:rPr>
          <w:i/>
          <w:lang w:val="en-US"/>
        </w:rPr>
        <w:t>Basel III will force banks to shift their business model from liability management, in which business decisions are made about asset volumes, with the financing found in short term wholesale markets as necessary, to asset management, in which asset volumes are constrained by the availability of funding”</w:t>
      </w:r>
    </w:p>
    <w:p w:rsidR="00497C00" w:rsidRPr="00812E8B" w:rsidRDefault="00497C00" w:rsidP="00CE1B03">
      <w:pPr>
        <w:pStyle w:val="NoSpacing"/>
        <w:spacing w:line="276" w:lineRule="auto"/>
        <w:jc w:val="both"/>
        <w:rPr>
          <w:lang w:val="en-US"/>
        </w:rPr>
      </w:pPr>
    </w:p>
    <w:p w:rsidR="00D44A54" w:rsidRPr="00812E8B" w:rsidRDefault="001649E5" w:rsidP="00CE1B03">
      <w:pPr>
        <w:pStyle w:val="NoSpacing"/>
        <w:spacing w:line="276" w:lineRule="auto"/>
        <w:jc w:val="both"/>
        <w:rPr>
          <w:lang w:val="en-US"/>
        </w:rPr>
      </w:pPr>
      <w:r w:rsidRPr="00812E8B">
        <w:rPr>
          <w:lang w:val="en-US"/>
        </w:rPr>
        <w:t>The purpose of this thesis is to define the determinants of banks’ profitability by examining</w:t>
      </w:r>
      <w:r w:rsidR="00321996" w:rsidRPr="00812E8B">
        <w:rPr>
          <w:lang w:val="en-US"/>
        </w:rPr>
        <w:t>, in particular,</w:t>
      </w:r>
      <w:r w:rsidRPr="00812E8B">
        <w:rPr>
          <w:lang w:val="en-US"/>
        </w:rPr>
        <w:t xml:space="preserve"> regulation, ownership structure and the balance sheet structure. </w:t>
      </w:r>
      <w:r w:rsidR="00CE79B3" w:rsidRPr="00812E8B">
        <w:rPr>
          <w:lang w:val="en-US"/>
        </w:rPr>
        <w:t>Understanding of</w:t>
      </w:r>
      <w:r w:rsidRPr="00812E8B">
        <w:rPr>
          <w:lang w:val="en-US"/>
        </w:rPr>
        <w:t xml:space="preserve"> determinants of banks’ profitability could be very valuable for banks’ managers</w:t>
      </w:r>
      <w:r w:rsidR="00321996" w:rsidRPr="00812E8B">
        <w:rPr>
          <w:lang w:val="en-US"/>
        </w:rPr>
        <w:t xml:space="preserve"> in daily business decisions. H</w:t>
      </w:r>
      <w:r w:rsidRPr="00812E8B">
        <w:rPr>
          <w:lang w:val="en-US"/>
        </w:rPr>
        <w:t xml:space="preserve">ereby </w:t>
      </w:r>
      <w:r w:rsidR="001B4549" w:rsidRPr="00812E8B">
        <w:rPr>
          <w:lang w:val="en-US"/>
        </w:rPr>
        <w:t>banks’ managers could assess and reduce the impact of new</w:t>
      </w:r>
      <w:r w:rsidR="00E7304C" w:rsidRPr="00812E8B">
        <w:rPr>
          <w:lang w:val="en-US"/>
        </w:rPr>
        <w:t xml:space="preserve"> regulation on profitability</w:t>
      </w:r>
      <w:r w:rsidR="00321996" w:rsidRPr="00812E8B">
        <w:rPr>
          <w:lang w:val="en-US"/>
        </w:rPr>
        <w:t xml:space="preserve"> </w:t>
      </w:r>
      <w:r w:rsidR="004F07E3" w:rsidRPr="00812E8B">
        <w:rPr>
          <w:lang w:val="en-US"/>
        </w:rPr>
        <w:t>since</w:t>
      </w:r>
      <w:r w:rsidR="00321996" w:rsidRPr="00812E8B">
        <w:rPr>
          <w:lang w:val="en-US"/>
        </w:rPr>
        <w:t xml:space="preserve"> f</w:t>
      </w:r>
      <w:r w:rsidR="00E7304C" w:rsidRPr="00812E8B">
        <w:rPr>
          <w:lang w:val="en-US"/>
        </w:rPr>
        <w:t xml:space="preserve">uture </w:t>
      </w:r>
      <w:r w:rsidRPr="00812E8B">
        <w:rPr>
          <w:lang w:val="en-US"/>
        </w:rPr>
        <w:t>regulation</w:t>
      </w:r>
      <w:r w:rsidR="00E7304C" w:rsidRPr="00812E8B">
        <w:rPr>
          <w:lang w:val="en-US"/>
        </w:rPr>
        <w:t xml:space="preserve"> will</w:t>
      </w:r>
      <w:r w:rsidRPr="00812E8B">
        <w:rPr>
          <w:lang w:val="en-US"/>
        </w:rPr>
        <w:t xml:space="preserve"> likely </w:t>
      </w:r>
      <w:r w:rsidR="00E7304C" w:rsidRPr="00812E8B">
        <w:rPr>
          <w:lang w:val="en-US"/>
        </w:rPr>
        <w:t>affect</w:t>
      </w:r>
      <w:r w:rsidRPr="00812E8B">
        <w:rPr>
          <w:lang w:val="en-US"/>
        </w:rPr>
        <w:t xml:space="preserve"> </w:t>
      </w:r>
      <w:r w:rsidR="001B4549" w:rsidRPr="00812E8B">
        <w:rPr>
          <w:lang w:val="en-US"/>
        </w:rPr>
        <w:t>determinants of profitability</w:t>
      </w:r>
      <w:r w:rsidRPr="00812E8B">
        <w:rPr>
          <w:lang w:val="en-US"/>
        </w:rPr>
        <w:t>. In addition</w:t>
      </w:r>
      <w:r w:rsidR="00D44A54" w:rsidRPr="00812E8B">
        <w:rPr>
          <w:lang w:val="en-US"/>
        </w:rPr>
        <w:t xml:space="preserve">, academic research could use the findings of this thesis to test whether </w:t>
      </w:r>
      <w:r w:rsidR="00CE79B3" w:rsidRPr="00812E8B">
        <w:rPr>
          <w:lang w:val="en-US"/>
        </w:rPr>
        <w:t>the introduction of new</w:t>
      </w:r>
      <w:r w:rsidR="00D44A54" w:rsidRPr="00812E8B">
        <w:rPr>
          <w:lang w:val="en-US"/>
        </w:rPr>
        <w:t xml:space="preserve"> regulation</w:t>
      </w:r>
      <w:r w:rsidR="00CE79B3" w:rsidRPr="00812E8B">
        <w:rPr>
          <w:lang w:val="en-US"/>
        </w:rPr>
        <w:t xml:space="preserve"> </w:t>
      </w:r>
      <w:r w:rsidR="00D44A54" w:rsidRPr="00812E8B">
        <w:rPr>
          <w:lang w:val="en-US"/>
        </w:rPr>
        <w:t xml:space="preserve">alters determinants of banks’ profitability. </w:t>
      </w:r>
    </w:p>
    <w:p w:rsidR="00321996" w:rsidRPr="00812E8B" w:rsidRDefault="00321996" w:rsidP="00CE1B03">
      <w:pPr>
        <w:pStyle w:val="NoSpacing"/>
        <w:spacing w:line="276" w:lineRule="auto"/>
        <w:jc w:val="both"/>
        <w:rPr>
          <w:lang w:val="en-US"/>
        </w:rPr>
      </w:pPr>
    </w:p>
    <w:p w:rsidR="0053417B" w:rsidRPr="00812E8B" w:rsidRDefault="00C262B7" w:rsidP="00CE1B03">
      <w:pPr>
        <w:pStyle w:val="NoSpacing"/>
        <w:spacing w:line="276" w:lineRule="auto"/>
        <w:jc w:val="both"/>
        <w:rPr>
          <w:lang w:val="en-US"/>
        </w:rPr>
      </w:pPr>
      <w:r w:rsidRPr="00812E8B">
        <w:rPr>
          <w:lang w:val="en-US"/>
        </w:rPr>
        <w:t>As said,</w:t>
      </w:r>
      <w:r w:rsidR="00D44A54" w:rsidRPr="00812E8B">
        <w:rPr>
          <w:lang w:val="en-US"/>
        </w:rPr>
        <w:t xml:space="preserve"> th</w:t>
      </w:r>
      <w:r w:rsidR="001649E5" w:rsidRPr="00812E8B">
        <w:rPr>
          <w:lang w:val="en-US"/>
        </w:rPr>
        <w:t xml:space="preserve">is thesis </w:t>
      </w:r>
      <w:r w:rsidR="00D44A54" w:rsidRPr="00812E8B">
        <w:rPr>
          <w:lang w:val="en-US"/>
        </w:rPr>
        <w:t xml:space="preserve">examines the </w:t>
      </w:r>
      <w:r w:rsidR="004F07E3" w:rsidRPr="00812E8B">
        <w:rPr>
          <w:lang w:val="en-US"/>
        </w:rPr>
        <w:t>influence of</w:t>
      </w:r>
      <w:r w:rsidR="00D44A54" w:rsidRPr="00812E8B">
        <w:rPr>
          <w:lang w:val="en-US"/>
        </w:rPr>
        <w:t xml:space="preserve"> regulation, </w:t>
      </w:r>
      <w:r w:rsidR="00ED7B9C" w:rsidRPr="00812E8B">
        <w:rPr>
          <w:lang w:val="en-US"/>
        </w:rPr>
        <w:t xml:space="preserve">the </w:t>
      </w:r>
      <w:r w:rsidR="00D44A54" w:rsidRPr="00812E8B">
        <w:rPr>
          <w:lang w:val="en-US"/>
        </w:rPr>
        <w:t xml:space="preserve">ownership structure, the </w:t>
      </w:r>
      <w:r w:rsidR="001649E5" w:rsidRPr="00812E8B">
        <w:rPr>
          <w:lang w:val="en-US"/>
        </w:rPr>
        <w:t>balance sheet structure</w:t>
      </w:r>
      <w:r w:rsidR="00D44A54" w:rsidRPr="00812E8B">
        <w:rPr>
          <w:lang w:val="en-US"/>
        </w:rPr>
        <w:t xml:space="preserve"> </w:t>
      </w:r>
      <w:r w:rsidR="002B0029" w:rsidRPr="00812E8B">
        <w:rPr>
          <w:lang w:val="en-US"/>
        </w:rPr>
        <w:t>on</w:t>
      </w:r>
      <w:r w:rsidR="00D44A54" w:rsidRPr="00812E8B">
        <w:rPr>
          <w:lang w:val="en-US"/>
        </w:rPr>
        <w:t xml:space="preserve"> performance</w:t>
      </w:r>
      <w:r w:rsidR="001649E5" w:rsidRPr="00812E8B">
        <w:rPr>
          <w:lang w:val="en-US"/>
        </w:rPr>
        <w:t>.</w:t>
      </w:r>
      <w:r w:rsidR="00D44A54" w:rsidRPr="00812E8B">
        <w:rPr>
          <w:lang w:val="en-US"/>
        </w:rPr>
        <w:t xml:space="preserve"> </w:t>
      </w:r>
      <w:r w:rsidR="00CE79B3" w:rsidRPr="00812E8B">
        <w:rPr>
          <w:lang w:val="en-US"/>
        </w:rPr>
        <w:t>R</w:t>
      </w:r>
      <w:r w:rsidR="00D44A54" w:rsidRPr="00812E8B">
        <w:rPr>
          <w:lang w:val="en-US"/>
        </w:rPr>
        <w:t>egulation</w:t>
      </w:r>
      <w:r w:rsidR="00CE79B3" w:rsidRPr="00812E8B">
        <w:rPr>
          <w:lang w:val="en-US"/>
        </w:rPr>
        <w:t xml:space="preserve"> is examined</w:t>
      </w:r>
      <w:r w:rsidR="004F07E3" w:rsidRPr="00812E8B">
        <w:rPr>
          <w:lang w:val="en-US"/>
        </w:rPr>
        <w:t xml:space="preserve"> in detail,</w:t>
      </w:r>
      <w:r w:rsidR="00CE79B3" w:rsidRPr="00812E8B">
        <w:rPr>
          <w:lang w:val="en-US"/>
        </w:rPr>
        <w:t xml:space="preserve"> </w:t>
      </w:r>
      <w:r w:rsidR="00D44A54" w:rsidRPr="00812E8B">
        <w:rPr>
          <w:lang w:val="en-US"/>
        </w:rPr>
        <w:t xml:space="preserve">because current efforts to reform regulation and a changing policy climate could substantially influence the banking sector. </w:t>
      </w:r>
      <w:r w:rsidR="00E7304C" w:rsidRPr="00812E8B">
        <w:rPr>
          <w:lang w:val="en-US"/>
        </w:rPr>
        <w:t>In addition,</w:t>
      </w:r>
      <w:r w:rsidR="001B4549" w:rsidRPr="00812E8B">
        <w:rPr>
          <w:lang w:val="en-US"/>
        </w:rPr>
        <w:t xml:space="preserve"> prior research extensively analyzed the influence of </w:t>
      </w:r>
      <w:r w:rsidR="00ED7B9C" w:rsidRPr="00812E8B">
        <w:rPr>
          <w:lang w:val="en-US"/>
        </w:rPr>
        <w:t xml:space="preserve">the </w:t>
      </w:r>
      <w:r w:rsidR="001B4549" w:rsidRPr="00812E8B">
        <w:rPr>
          <w:lang w:val="en-US"/>
        </w:rPr>
        <w:t xml:space="preserve">ownership structure outside the banking sector. Results </w:t>
      </w:r>
      <w:r w:rsidR="00321996" w:rsidRPr="00812E8B">
        <w:rPr>
          <w:lang w:val="en-US"/>
        </w:rPr>
        <w:t>for</w:t>
      </w:r>
      <w:r w:rsidR="001B4549" w:rsidRPr="00812E8B">
        <w:rPr>
          <w:lang w:val="en-US"/>
        </w:rPr>
        <w:t xml:space="preserve"> the banking sector could be different because </w:t>
      </w:r>
      <w:r w:rsidR="004F07E3" w:rsidRPr="00812E8B">
        <w:rPr>
          <w:lang w:val="en-US"/>
        </w:rPr>
        <w:t>regulators</w:t>
      </w:r>
      <w:r w:rsidR="001B4549" w:rsidRPr="00812E8B">
        <w:rPr>
          <w:lang w:val="en-US"/>
        </w:rPr>
        <w:t xml:space="preserve"> set requirements on the extent of </w:t>
      </w:r>
      <w:r w:rsidR="002B0029" w:rsidRPr="00812E8B">
        <w:rPr>
          <w:lang w:val="en-US"/>
        </w:rPr>
        <w:t>capitalization</w:t>
      </w:r>
      <w:r w:rsidR="001B4549" w:rsidRPr="00812E8B">
        <w:rPr>
          <w:lang w:val="en-US"/>
        </w:rPr>
        <w:t xml:space="preserve">. </w:t>
      </w:r>
      <w:r w:rsidR="00E7304C" w:rsidRPr="00812E8B">
        <w:rPr>
          <w:lang w:val="en-US"/>
        </w:rPr>
        <w:t>Finally</w:t>
      </w:r>
      <w:r w:rsidR="001B4549" w:rsidRPr="00812E8B">
        <w:rPr>
          <w:lang w:val="en-US"/>
        </w:rPr>
        <w:t xml:space="preserve">, the balance sheet structure is very important in today’s management, both for internal and external purposes. Namely, the balance sheet structure legitimates daily business decisions and serves as proxy for sound and prudent risk management. </w:t>
      </w:r>
      <w:r w:rsidR="00321996" w:rsidRPr="00812E8B">
        <w:rPr>
          <w:lang w:val="en-US"/>
        </w:rPr>
        <w:t>Besides,</w:t>
      </w:r>
      <w:r w:rsidR="00E7304C" w:rsidRPr="00812E8B">
        <w:rPr>
          <w:lang w:val="en-US"/>
        </w:rPr>
        <w:t xml:space="preserve"> r</w:t>
      </w:r>
      <w:r w:rsidR="001B4549" w:rsidRPr="00812E8B">
        <w:rPr>
          <w:lang w:val="en-US"/>
        </w:rPr>
        <w:t xml:space="preserve">egulation often focuses on the balance sheet structure through which it could affect banks’ profitability. In this context, </w:t>
      </w:r>
      <w:r w:rsidR="001649E5" w:rsidRPr="00812E8B">
        <w:rPr>
          <w:lang w:val="en-US"/>
        </w:rPr>
        <w:t>determinants of profitability mainly relate to the balance sheet structure due to the special nature of banks</w:t>
      </w:r>
      <w:r w:rsidR="00497C00" w:rsidRPr="00812E8B">
        <w:rPr>
          <w:lang w:val="en-US"/>
        </w:rPr>
        <w:t xml:space="preserve">. </w:t>
      </w:r>
    </w:p>
    <w:p w:rsidR="0053417B" w:rsidRPr="00812E8B" w:rsidRDefault="0053417B" w:rsidP="00CE1B03">
      <w:pPr>
        <w:pStyle w:val="NoSpacing"/>
        <w:spacing w:line="276" w:lineRule="auto"/>
        <w:jc w:val="both"/>
        <w:rPr>
          <w:lang w:val="en-US"/>
        </w:rPr>
      </w:pPr>
    </w:p>
    <w:p w:rsidR="00497C00" w:rsidRPr="00812E8B" w:rsidRDefault="008877DA" w:rsidP="00CE1B03">
      <w:pPr>
        <w:pStyle w:val="NoSpacing"/>
        <w:spacing w:line="276" w:lineRule="auto"/>
        <w:jc w:val="both"/>
        <w:rPr>
          <w:lang w:val="en-US"/>
        </w:rPr>
      </w:pPr>
      <w:r w:rsidRPr="00812E8B">
        <w:rPr>
          <w:lang w:val="en-US"/>
        </w:rPr>
        <w:t>Furthermore</w:t>
      </w:r>
      <w:r w:rsidR="00CE79B3" w:rsidRPr="00812E8B">
        <w:rPr>
          <w:lang w:val="en-US"/>
        </w:rPr>
        <w:t xml:space="preserve">, </w:t>
      </w:r>
      <w:r w:rsidRPr="00812E8B">
        <w:rPr>
          <w:lang w:val="en-US"/>
        </w:rPr>
        <w:t>this thesis will</w:t>
      </w:r>
      <w:r w:rsidR="00497C00" w:rsidRPr="00812E8B">
        <w:rPr>
          <w:lang w:val="en-US"/>
        </w:rPr>
        <w:t xml:space="preserve"> also refer to </w:t>
      </w:r>
      <w:r w:rsidR="004F07E3" w:rsidRPr="00812E8B">
        <w:rPr>
          <w:lang w:val="en-US"/>
        </w:rPr>
        <w:t xml:space="preserve">findings </w:t>
      </w:r>
      <w:r w:rsidR="00CE79B3" w:rsidRPr="00812E8B">
        <w:rPr>
          <w:lang w:val="en-US"/>
        </w:rPr>
        <w:t>from a study during an</w:t>
      </w:r>
      <w:r w:rsidR="00497C00" w:rsidRPr="00812E8B">
        <w:rPr>
          <w:lang w:val="en-US"/>
        </w:rPr>
        <w:t xml:space="preserve"> internship by Rabobank </w:t>
      </w:r>
      <w:r w:rsidR="00087E58" w:rsidRPr="00812E8B">
        <w:rPr>
          <w:lang w:val="en-US"/>
        </w:rPr>
        <w:t>Nederland</w:t>
      </w:r>
      <w:r w:rsidR="001B4549" w:rsidRPr="00812E8B">
        <w:rPr>
          <w:lang w:val="en-US"/>
        </w:rPr>
        <w:t xml:space="preserve"> (see also</w:t>
      </w:r>
      <w:r w:rsidR="00630512" w:rsidRPr="00812E8B">
        <w:rPr>
          <w:lang w:val="en-US"/>
        </w:rPr>
        <w:t xml:space="preserve"> appendix</w:t>
      </w:r>
      <w:r w:rsidR="000B15F8" w:rsidRPr="00812E8B">
        <w:rPr>
          <w:lang w:val="en-US"/>
        </w:rPr>
        <w:t xml:space="preserve"> I</w:t>
      </w:r>
      <w:r w:rsidR="001B4549" w:rsidRPr="00812E8B">
        <w:rPr>
          <w:lang w:val="en-US"/>
        </w:rPr>
        <w:t>)</w:t>
      </w:r>
      <w:r w:rsidR="00497C00" w:rsidRPr="00812E8B">
        <w:rPr>
          <w:lang w:val="en-US"/>
        </w:rPr>
        <w:t>. In this internship, balance sheet structure</w:t>
      </w:r>
      <w:r w:rsidR="00CE79B3" w:rsidRPr="00812E8B">
        <w:rPr>
          <w:lang w:val="en-US"/>
        </w:rPr>
        <w:t xml:space="preserve">s </w:t>
      </w:r>
      <w:r w:rsidR="002B0029" w:rsidRPr="00812E8B">
        <w:rPr>
          <w:lang w:val="en-US"/>
        </w:rPr>
        <w:t xml:space="preserve">of European banks </w:t>
      </w:r>
      <w:r w:rsidR="00CE79B3" w:rsidRPr="00812E8B">
        <w:rPr>
          <w:lang w:val="en-US"/>
        </w:rPr>
        <w:t>are examined</w:t>
      </w:r>
      <w:r w:rsidR="00861978" w:rsidRPr="00812E8B">
        <w:rPr>
          <w:lang w:val="en-US"/>
        </w:rPr>
        <w:t xml:space="preserve"> </w:t>
      </w:r>
      <w:r w:rsidR="00497C00" w:rsidRPr="00812E8B">
        <w:rPr>
          <w:lang w:val="en-US"/>
        </w:rPr>
        <w:t>using descriptive and qualitative</w:t>
      </w:r>
      <w:r w:rsidR="00873912" w:rsidRPr="00812E8B">
        <w:rPr>
          <w:lang w:val="en-US"/>
        </w:rPr>
        <w:t xml:space="preserve"> research techniques. </w:t>
      </w:r>
      <w:r w:rsidR="00497C00" w:rsidRPr="00812E8B">
        <w:rPr>
          <w:lang w:val="en-US"/>
        </w:rPr>
        <w:t>Developments</w:t>
      </w:r>
      <w:r w:rsidR="0053417B" w:rsidRPr="00812E8B">
        <w:rPr>
          <w:lang w:val="en-US"/>
        </w:rPr>
        <w:t xml:space="preserve"> over time </w:t>
      </w:r>
      <w:r w:rsidR="00497C00" w:rsidRPr="00812E8B">
        <w:rPr>
          <w:lang w:val="en-US"/>
        </w:rPr>
        <w:t xml:space="preserve">with respect to the financial crisis and to the introduction of </w:t>
      </w:r>
      <w:r w:rsidR="00691DDA" w:rsidRPr="00812E8B">
        <w:rPr>
          <w:lang w:val="en-US"/>
        </w:rPr>
        <w:t xml:space="preserve">new </w:t>
      </w:r>
      <w:r w:rsidR="0053417B" w:rsidRPr="00812E8B">
        <w:rPr>
          <w:lang w:val="en-US"/>
        </w:rPr>
        <w:t>regulation</w:t>
      </w:r>
      <w:r w:rsidR="00497C00" w:rsidRPr="00812E8B">
        <w:rPr>
          <w:lang w:val="en-US"/>
        </w:rPr>
        <w:t xml:space="preserve"> are contrasted and compared.</w:t>
      </w:r>
      <w:r w:rsidR="004F07E3" w:rsidRPr="00812E8B">
        <w:rPr>
          <w:lang w:val="en-US"/>
        </w:rPr>
        <w:t xml:space="preserve">  Several findings are presented in the theoretical </w:t>
      </w:r>
      <w:r w:rsidR="00ED7B9C" w:rsidRPr="00812E8B">
        <w:rPr>
          <w:lang w:val="en-US"/>
        </w:rPr>
        <w:t>background</w:t>
      </w:r>
      <w:r w:rsidR="004F07E3" w:rsidRPr="00812E8B">
        <w:rPr>
          <w:lang w:val="en-US"/>
        </w:rPr>
        <w:t xml:space="preserve"> </w:t>
      </w:r>
      <w:r w:rsidR="00ED7B9C" w:rsidRPr="00812E8B">
        <w:rPr>
          <w:lang w:val="en-US"/>
        </w:rPr>
        <w:t>in</w:t>
      </w:r>
      <w:r w:rsidR="004F07E3" w:rsidRPr="00812E8B">
        <w:rPr>
          <w:lang w:val="en-US"/>
        </w:rPr>
        <w:t xml:space="preserve"> subsequent chapters. </w:t>
      </w:r>
      <w:r w:rsidR="00497C00" w:rsidRPr="00812E8B">
        <w:rPr>
          <w:lang w:val="en-US"/>
        </w:rPr>
        <w:t xml:space="preserve">  </w:t>
      </w:r>
    </w:p>
    <w:p w:rsidR="009E35DA" w:rsidRPr="00812E8B" w:rsidRDefault="009E35DA" w:rsidP="00CE1B03">
      <w:pPr>
        <w:pStyle w:val="NoSpacing"/>
        <w:rPr>
          <w:lang w:val="en-US"/>
        </w:rPr>
      </w:pPr>
    </w:p>
    <w:p w:rsidR="00ED77AA" w:rsidRPr="00812E8B" w:rsidRDefault="00ED77AA" w:rsidP="00CE1B03">
      <w:pPr>
        <w:pStyle w:val="Heading2"/>
        <w:rPr>
          <w:color w:val="auto"/>
          <w:vertAlign w:val="subscript"/>
          <w:lang w:val="en-US"/>
        </w:rPr>
      </w:pPr>
      <w:bookmarkStart w:id="4" w:name="_Toc306359628"/>
      <w:r w:rsidRPr="00812E8B">
        <w:rPr>
          <w:color w:val="auto"/>
          <w:lang w:val="en-US"/>
        </w:rPr>
        <w:lastRenderedPageBreak/>
        <w:t xml:space="preserve">1.1 </w:t>
      </w:r>
      <w:r w:rsidR="00C46F98" w:rsidRPr="00812E8B">
        <w:rPr>
          <w:color w:val="auto"/>
          <w:lang w:val="en-US"/>
        </w:rPr>
        <w:t>R</w:t>
      </w:r>
      <w:r w:rsidR="00FB0A28" w:rsidRPr="00812E8B">
        <w:rPr>
          <w:color w:val="auto"/>
          <w:sz w:val="20"/>
          <w:szCs w:val="20"/>
          <w:lang w:val="en-US"/>
        </w:rPr>
        <w:t>ELEVANCE</w:t>
      </w:r>
      <w:bookmarkEnd w:id="4"/>
    </w:p>
    <w:p w:rsidR="00D81D26" w:rsidRPr="00812E8B" w:rsidRDefault="00321996" w:rsidP="00CE1B03">
      <w:pPr>
        <w:pStyle w:val="NoSpacing"/>
        <w:spacing w:line="276" w:lineRule="auto"/>
        <w:jc w:val="both"/>
        <w:rPr>
          <w:lang w:val="en-US"/>
        </w:rPr>
      </w:pPr>
      <w:r w:rsidRPr="00812E8B">
        <w:rPr>
          <w:lang w:val="en-US"/>
        </w:rPr>
        <w:t>Prior</w:t>
      </w:r>
      <w:r w:rsidR="005079E2" w:rsidRPr="00812E8B">
        <w:rPr>
          <w:lang w:val="en-US"/>
        </w:rPr>
        <w:t xml:space="preserve"> empirical rese</w:t>
      </w:r>
      <w:r w:rsidR="00C46F98" w:rsidRPr="00812E8B">
        <w:rPr>
          <w:lang w:val="en-US"/>
        </w:rPr>
        <w:t>arch generally investigate</w:t>
      </w:r>
      <w:r w:rsidR="004F07E3" w:rsidRPr="00812E8B">
        <w:rPr>
          <w:lang w:val="en-US"/>
        </w:rPr>
        <w:t xml:space="preserve">s </w:t>
      </w:r>
      <w:r w:rsidR="002B4EFA" w:rsidRPr="00812E8B">
        <w:rPr>
          <w:lang w:val="en-US"/>
        </w:rPr>
        <w:t>determinants of</w:t>
      </w:r>
      <w:r w:rsidR="00FF3425" w:rsidRPr="00812E8B">
        <w:rPr>
          <w:lang w:val="en-US"/>
        </w:rPr>
        <w:t xml:space="preserve"> </w:t>
      </w:r>
      <w:r w:rsidR="002B0029" w:rsidRPr="00812E8B">
        <w:rPr>
          <w:lang w:val="en-US"/>
        </w:rPr>
        <w:t>bank</w:t>
      </w:r>
      <w:r w:rsidR="005079E2" w:rsidRPr="00812E8B">
        <w:rPr>
          <w:lang w:val="en-US"/>
        </w:rPr>
        <w:t>s</w:t>
      </w:r>
      <w:r w:rsidR="002B0029" w:rsidRPr="00812E8B">
        <w:rPr>
          <w:lang w:val="en-US"/>
        </w:rPr>
        <w:t>’</w:t>
      </w:r>
      <w:r w:rsidR="005079E2" w:rsidRPr="00812E8B">
        <w:rPr>
          <w:lang w:val="en-US"/>
        </w:rPr>
        <w:t xml:space="preserve"> profitability</w:t>
      </w:r>
      <w:r w:rsidR="00FF3425" w:rsidRPr="00812E8B">
        <w:rPr>
          <w:lang w:val="en-US"/>
        </w:rPr>
        <w:t xml:space="preserve"> </w:t>
      </w:r>
      <w:r w:rsidR="002B4EFA" w:rsidRPr="00812E8B">
        <w:rPr>
          <w:lang w:val="en-US"/>
        </w:rPr>
        <w:t>on</w:t>
      </w:r>
      <w:r w:rsidR="00FF3425" w:rsidRPr="00812E8B">
        <w:rPr>
          <w:lang w:val="en-US"/>
        </w:rPr>
        <w:t xml:space="preserve"> different </w:t>
      </w:r>
      <w:r w:rsidR="002B4EFA" w:rsidRPr="00812E8B">
        <w:rPr>
          <w:lang w:val="en-US"/>
        </w:rPr>
        <w:t xml:space="preserve">levels and </w:t>
      </w:r>
      <w:r w:rsidR="00FF3425" w:rsidRPr="00812E8B">
        <w:rPr>
          <w:lang w:val="en-US"/>
        </w:rPr>
        <w:t>di</w:t>
      </w:r>
      <w:r w:rsidR="00C46F98" w:rsidRPr="00812E8B">
        <w:rPr>
          <w:lang w:val="en-US"/>
        </w:rPr>
        <w:t>rections</w:t>
      </w:r>
      <w:r w:rsidR="002B4EFA" w:rsidRPr="00812E8B">
        <w:rPr>
          <w:lang w:val="en-US"/>
        </w:rPr>
        <w:t>.</w:t>
      </w:r>
      <w:r w:rsidR="00217926" w:rsidRPr="00812E8B">
        <w:rPr>
          <w:lang w:val="en-US"/>
        </w:rPr>
        <w:t xml:space="preserve"> The main direction of interest of this thesis is</w:t>
      </w:r>
      <w:r w:rsidRPr="00812E8B">
        <w:rPr>
          <w:lang w:val="en-US"/>
        </w:rPr>
        <w:t>, to develop</w:t>
      </w:r>
      <w:r w:rsidR="00217926" w:rsidRPr="00812E8B">
        <w:rPr>
          <w:lang w:val="en-US"/>
        </w:rPr>
        <w:t xml:space="preserve"> a comprehensive model that incorporates macroeconomic, industry-specific and bank-specific determinants</w:t>
      </w:r>
      <w:r w:rsidR="00B7033B" w:rsidRPr="00812E8B">
        <w:rPr>
          <w:lang w:val="en-US"/>
        </w:rPr>
        <w:t xml:space="preserve"> (of which the bank-specific determinants mainly relate to the balance sheet structure)</w:t>
      </w:r>
      <w:r w:rsidR="00217926" w:rsidRPr="00812E8B">
        <w:rPr>
          <w:lang w:val="en-US"/>
        </w:rPr>
        <w:t>. Nevertheless, research also focuse</w:t>
      </w:r>
      <w:r w:rsidRPr="00812E8B">
        <w:rPr>
          <w:lang w:val="en-US"/>
        </w:rPr>
        <w:t xml:space="preserve">s </w:t>
      </w:r>
      <w:r w:rsidR="00217926" w:rsidRPr="00812E8B">
        <w:rPr>
          <w:lang w:val="en-US"/>
        </w:rPr>
        <w:t xml:space="preserve">on </w:t>
      </w:r>
      <w:r w:rsidR="00935B4B" w:rsidRPr="00812E8B">
        <w:rPr>
          <w:lang w:val="en-US"/>
        </w:rPr>
        <w:t xml:space="preserve">specific </w:t>
      </w:r>
      <w:r w:rsidR="00217926" w:rsidRPr="00812E8B">
        <w:rPr>
          <w:lang w:val="en-US"/>
        </w:rPr>
        <w:t>determinants, such as the relationship between regulation</w:t>
      </w:r>
      <w:r w:rsidR="00B7033B" w:rsidRPr="00812E8B">
        <w:rPr>
          <w:lang w:val="en-US"/>
        </w:rPr>
        <w:t xml:space="preserve"> and profitability </w:t>
      </w:r>
      <w:r w:rsidR="00217926" w:rsidRPr="00812E8B">
        <w:rPr>
          <w:lang w:val="en-US"/>
        </w:rPr>
        <w:t xml:space="preserve">or </w:t>
      </w:r>
      <w:r w:rsidR="00E7304C" w:rsidRPr="00812E8B">
        <w:rPr>
          <w:lang w:val="en-US"/>
        </w:rPr>
        <w:t>the relationship</w:t>
      </w:r>
      <w:r w:rsidR="00B7033B" w:rsidRPr="00812E8B">
        <w:rPr>
          <w:lang w:val="en-US"/>
        </w:rPr>
        <w:t xml:space="preserve"> </w:t>
      </w:r>
      <w:r w:rsidR="00E7304C" w:rsidRPr="00812E8B">
        <w:rPr>
          <w:lang w:val="en-US"/>
        </w:rPr>
        <w:t xml:space="preserve">between </w:t>
      </w:r>
      <w:r w:rsidR="00ED7B9C" w:rsidRPr="00812E8B">
        <w:rPr>
          <w:lang w:val="en-US"/>
        </w:rPr>
        <w:t xml:space="preserve">the </w:t>
      </w:r>
      <w:r w:rsidR="00217926" w:rsidRPr="00812E8B">
        <w:rPr>
          <w:lang w:val="en-US"/>
        </w:rPr>
        <w:t>ownership structure and profitability</w:t>
      </w:r>
      <w:r w:rsidR="00D81D26" w:rsidRPr="00812E8B">
        <w:rPr>
          <w:lang w:val="en-US"/>
        </w:rPr>
        <w:t xml:space="preserve">. </w:t>
      </w:r>
    </w:p>
    <w:p w:rsidR="00935B4B" w:rsidRPr="00812E8B" w:rsidRDefault="00935B4B" w:rsidP="00CE1B03">
      <w:pPr>
        <w:pStyle w:val="NoSpacing"/>
        <w:spacing w:line="276" w:lineRule="auto"/>
        <w:jc w:val="both"/>
        <w:rPr>
          <w:color w:val="FF0000"/>
          <w:lang w:val="en-US"/>
        </w:rPr>
      </w:pPr>
    </w:p>
    <w:p w:rsidR="005079E2" w:rsidRPr="00812E8B" w:rsidRDefault="0035229A" w:rsidP="00CE1B03">
      <w:pPr>
        <w:pStyle w:val="NoSpacing"/>
        <w:spacing w:line="276" w:lineRule="auto"/>
        <w:jc w:val="both"/>
        <w:rPr>
          <w:lang w:val="en-US"/>
        </w:rPr>
      </w:pPr>
      <w:r w:rsidRPr="00812E8B">
        <w:rPr>
          <w:lang w:val="en-US"/>
        </w:rPr>
        <w:t xml:space="preserve">According to </w:t>
      </w:r>
      <w:r w:rsidR="0043417A" w:rsidRPr="00812E8B">
        <w:rPr>
          <w:color w:val="365F91" w:themeColor="accent1" w:themeShade="BF"/>
          <w:lang w:val="en-US"/>
        </w:rPr>
        <w:t>Barth, Caprio Jr. and Levine (2004)</w:t>
      </w:r>
      <w:r w:rsidRPr="00812E8B">
        <w:rPr>
          <w:lang w:val="en-US"/>
        </w:rPr>
        <w:t xml:space="preserve"> capital requirements and restriction</w:t>
      </w:r>
      <w:r w:rsidR="00E7304C" w:rsidRPr="00812E8B">
        <w:rPr>
          <w:lang w:val="en-US"/>
        </w:rPr>
        <w:t>s</w:t>
      </w:r>
      <w:r w:rsidRPr="00812E8B">
        <w:rPr>
          <w:lang w:val="en-US"/>
        </w:rPr>
        <w:t xml:space="preserve"> on banking activities do</w:t>
      </w:r>
      <w:r w:rsidR="00CE79B3" w:rsidRPr="00812E8B">
        <w:rPr>
          <w:lang w:val="en-US"/>
        </w:rPr>
        <w:t xml:space="preserve"> </w:t>
      </w:r>
      <w:r w:rsidRPr="00812E8B">
        <w:rPr>
          <w:lang w:val="en-US"/>
        </w:rPr>
        <w:t xml:space="preserve">not have a significant impact on bank’s profitability, measured by the net interest margin.  </w:t>
      </w:r>
      <w:r w:rsidR="00173AD6" w:rsidRPr="00812E8B">
        <w:rPr>
          <w:lang w:val="en-US"/>
        </w:rPr>
        <w:t>Among others</w:t>
      </w:r>
      <w:r w:rsidR="00173AD6" w:rsidRPr="00812E8B">
        <w:rPr>
          <w:color w:val="365F91" w:themeColor="accent1" w:themeShade="BF"/>
          <w:lang w:val="en-US"/>
        </w:rPr>
        <w:t xml:space="preserve">, </w:t>
      </w:r>
      <w:r w:rsidR="0043417A" w:rsidRPr="00812E8B">
        <w:rPr>
          <w:color w:val="365F91" w:themeColor="accent1" w:themeShade="BF"/>
          <w:lang w:val="en-US"/>
        </w:rPr>
        <w:t>Laeven &amp; Levine (2009)</w:t>
      </w:r>
      <w:r w:rsidR="00173AD6" w:rsidRPr="00812E8B">
        <w:rPr>
          <w:lang w:val="en-US"/>
        </w:rPr>
        <w:t xml:space="preserve"> </w:t>
      </w:r>
      <w:r w:rsidR="004F07E3" w:rsidRPr="00812E8B">
        <w:rPr>
          <w:lang w:val="en-US"/>
        </w:rPr>
        <w:t>find</w:t>
      </w:r>
      <w:r w:rsidR="00173AD6" w:rsidRPr="00812E8B">
        <w:rPr>
          <w:lang w:val="en-US"/>
        </w:rPr>
        <w:t xml:space="preserve"> </w:t>
      </w:r>
      <w:r w:rsidR="00DE0A9D" w:rsidRPr="00812E8B">
        <w:rPr>
          <w:lang w:val="en-US"/>
        </w:rPr>
        <w:t>that risk taking by banks is influenced by regulation.</w:t>
      </w:r>
      <w:r w:rsidRPr="00812E8B">
        <w:rPr>
          <w:lang w:val="en-US"/>
        </w:rPr>
        <w:t xml:space="preserve"> </w:t>
      </w:r>
      <w:r w:rsidR="008877DA" w:rsidRPr="00812E8B">
        <w:rPr>
          <w:lang w:val="en-US"/>
        </w:rPr>
        <w:t>Moreover</w:t>
      </w:r>
      <w:r w:rsidR="00DE0A9D" w:rsidRPr="00812E8B">
        <w:rPr>
          <w:lang w:val="en-US"/>
        </w:rPr>
        <w:t xml:space="preserve">, </w:t>
      </w:r>
      <w:r w:rsidR="00ED7B9C" w:rsidRPr="00812E8B">
        <w:rPr>
          <w:lang w:val="en-US"/>
        </w:rPr>
        <w:t xml:space="preserve">it appears </w:t>
      </w:r>
      <w:r w:rsidR="00DE0A9D" w:rsidRPr="00812E8B">
        <w:rPr>
          <w:lang w:val="en-US"/>
        </w:rPr>
        <w:t>that the impact of regulation</w:t>
      </w:r>
      <w:r w:rsidRPr="00812E8B">
        <w:rPr>
          <w:lang w:val="en-US"/>
        </w:rPr>
        <w:t xml:space="preserve"> on risk taking</w:t>
      </w:r>
      <w:r w:rsidR="00DE0A9D" w:rsidRPr="00812E8B">
        <w:rPr>
          <w:lang w:val="en-US"/>
        </w:rPr>
        <w:t xml:space="preserve"> is determined to some extent by the ownership structure. </w:t>
      </w:r>
      <w:r w:rsidR="008877DA" w:rsidRPr="00812E8B">
        <w:rPr>
          <w:lang w:val="en-US"/>
        </w:rPr>
        <w:t xml:space="preserve">Empirical research towards the </w:t>
      </w:r>
      <w:r w:rsidR="00C46F98" w:rsidRPr="00812E8B">
        <w:rPr>
          <w:lang w:val="en-US"/>
        </w:rPr>
        <w:t xml:space="preserve">relationship between </w:t>
      </w:r>
      <w:r w:rsidR="008877DA" w:rsidRPr="00812E8B">
        <w:rPr>
          <w:lang w:val="en-US"/>
        </w:rPr>
        <w:t xml:space="preserve">ownership structure </w:t>
      </w:r>
      <w:r w:rsidR="00C46F98" w:rsidRPr="00812E8B">
        <w:rPr>
          <w:lang w:val="en-US"/>
        </w:rPr>
        <w:t xml:space="preserve">and profitability, </w:t>
      </w:r>
      <w:r w:rsidR="008877DA" w:rsidRPr="00812E8B">
        <w:rPr>
          <w:lang w:val="en-US"/>
        </w:rPr>
        <w:t xml:space="preserve">give mixed results </w:t>
      </w:r>
      <w:r w:rsidR="0043417A" w:rsidRPr="00812E8B">
        <w:rPr>
          <w:color w:val="365F91" w:themeColor="accent1" w:themeShade="BF"/>
          <w:lang w:val="en-US"/>
        </w:rPr>
        <w:t>(Saunders, Strock and Travlos, 1990</w:t>
      </w:r>
      <w:r w:rsidR="008877DA" w:rsidRPr="00812E8B">
        <w:rPr>
          <w:color w:val="365F91" w:themeColor="accent1" w:themeShade="BF"/>
          <w:lang w:val="en-US"/>
        </w:rPr>
        <w:t xml:space="preserve">; </w:t>
      </w:r>
      <w:r w:rsidR="0043417A" w:rsidRPr="00812E8B">
        <w:rPr>
          <w:color w:val="365F91" w:themeColor="accent1" w:themeShade="BF"/>
          <w:lang w:val="en-US"/>
        </w:rPr>
        <w:t>Altunbas, Evans and Molyneux, 2001</w:t>
      </w:r>
      <w:r w:rsidR="008877DA" w:rsidRPr="00812E8B">
        <w:rPr>
          <w:color w:val="365F91" w:themeColor="accent1" w:themeShade="BF"/>
          <w:lang w:val="en-US"/>
        </w:rPr>
        <w:t xml:space="preserve">; </w:t>
      </w:r>
      <w:r w:rsidR="0043417A" w:rsidRPr="00812E8B">
        <w:rPr>
          <w:color w:val="365F91" w:themeColor="accent1" w:themeShade="BF"/>
          <w:lang w:val="en-US"/>
        </w:rPr>
        <w:t>Iannotta, Nocera and Sironi, 2007</w:t>
      </w:r>
      <w:r w:rsidR="00630512" w:rsidRPr="00812E8B">
        <w:rPr>
          <w:lang w:val="en-US"/>
        </w:rPr>
        <w:t xml:space="preserve"> and</w:t>
      </w:r>
      <w:r w:rsidR="00630512" w:rsidRPr="00812E8B">
        <w:rPr>
          <w:color w:val="365F91" w:themeColor="accent1" w:themeShade="BF"/>
          <w:lang w:val="en-US"/>
        </w:rPr>
        <w:t xml:space="preserve"> </w:t>
      </w:r>
      <w:r w:rsidR="0043417A" w:rsidRPr="00812E8B">
        <w:rPr>
          <w:color w:val="365F91" w:themeColor="accent1" w:themeShade="BF"/>
          <w:lang w:val="en-US"/>
        </w:rPr>
        <w:t>Micco, Panizza and Yaňez, 2007)</w:t>
      </w:r>
      <w:r w:rsidR="008877DA" w:rsidRPr="00812E8B">
        <w:rPr>
          <w:lang w:val="en-US"/>
        </w:rPr>
        <w:t xml:space="preserve">. </w:t>
      </w:r>
      <w:r w:rsidR="00CE79B3" w:rsidRPr="00812E8B">
        <w:rPr>
          <w:lang w:val="en-US"/>
        </w:rPr>
        <w:t xml:space="preserve">Some studies </w:t>
      </w:r>
      <w:r w:rsidR="004F07E3" w:rsidRPr="00812E8B">
        <w:rPr>
          <w:lang w:val="en-US"/>
        </w:rPr>
        <w:t>find</w:t>
      </w:r>
      <w:r w:rsidR="00CE79B3" w:rsidRPr="00812E8B">
        <w:rPr>
          <w:lang w:val="en-US"/>
        </w:rPr>
        <w:t xml:space="preserve"> a positive relationship between private ownership and profitability while others </w:t>
      </w:r>
      <w:r w:rsidR="004F07E3" w:rsidRPr="00812E8B">
        <w:rPr>
          <w:lang w:val="en-US"/>
        </w:rPr>
        <w:t>find</w:t>
      </w:r>
      <w:r w:rsidR="00CE79B3" w:rsidRPr="00812E8B">
        <w:rPr>
          <w:lang w:val="en-US"/>
        </w:rPr>
        <w:t xml:space="preserve"> a negative or insignificant relationship. </w:t>
      </w:r>
      <w:r w:rsidR="0053417B" w:rsidRPr="00812E8B">
        <w:rPr>
          <w:lang w:val="en-US"/>
        </w:rPr>
        <w:t>Nevertheless, there is a strong-bodied theoretical explanation for the relationship between ownership structure and banks’ profitability</w:t>
      </w:r>
      <w:r w:rsidR="00321996" w:rsidRPr="00812E8B">
        <w:rPr>
          <w:lang w:val="en-US"/>
        </w:rPr>
        <w:t>, given</w:t>
      </w:r>
      <w:r w:rsidR="0053417B" w:rsidRPr="00812E8B">
        <w:rPr>
          <w:lang w:val="en-US"/>
        </w:rPr>
        <w:t xml:space="preserve"> by</w:t>
      </w:r>
      <w:r w:rsidR="00894604" w:rsidRPr="00812E8B">
        <w:rPr>
          <w:lang w:val="en-US"/>
        </w:rPr>
        <w:t xml:space="preserve"> the agency theory of</w:t>
      </w:r>
      <w:r w:rsidR="0053417B" w:rsidRPr="00812E8B">
        <w:rPr>
          <w:lang w:val="en-US"/>
        </w:rPr>
        <w:t xml:space="preserve"> </w:t>
      </w:r>
      <w:r w:rsidR="007F1875" w:rsidRPr="00812E8B">
        <w:rPr>
          <w:color w:val="365F91" w:themeColor="accent1" w:themeShade="BF"/>
          <w:lang w:val="en-US"/>
        </w:rPr>
        <w:t>Jensen and Meckling (1976)</w:t>
      </w:r>
      <w:r w:rsidR="008877DA" w:rsidRPr="00812E8B">
        <w:rPr>
          <w:lang w:val="en-US"/>
        </w:rPr>
        <w:t>.</w:t>
      </w:r>
      <w:r w:rsidR="00C46F98" w:rsidRPr="00812E8B">
        <w:rPr>
          <w:lang w:val="en-US"/>
        </w:rPr>
        <w:t xml:space="preserve"> Finally, </w:t>
      </w:r>
      <w:r w:rsidR="00321996" w:rsidRPr="00812E8B">
        <w:rPr>
          <w:lang w:val="en-US"/>
        </w:rPr>
        <w:t>prior research</w:t>
      </w:r>
      <w:r w:rsidR="00C46F98" w:rsidRPr="00812E8B">
        <w:rPr>
          <w:lang w:val="en-US"/>
        </w:rPr>
        <w:t xml:space="preserve"> </w:t>
      </w:r>
      <w:r w:rsidR="008877DA" w:rsidRPr="00812E8B">
        <w:rPr>
          <w:lang w:val="en-US"/>
        </w:rPr>
        <w:t>also</w:t>
      </w:r>
      <w:r w:rsidR="00C46F98" w:rsidRPr="00812E8B">
        <w:rPr>
          <w:lang w:val="en-US"/>
        </w:rPr>
        <w:t xml:space="preserve"> </w:t>
      </w:r>
      <w:r w:rsidR="004F07E3" w:rsidRPr="00812E8B">
        <w:rPr>
          <w:lang w:val="en-US"/>
        </w:rPr>
        <w:t xml:space="preserve">focuses </w:t>
      </w:r>
      <w:r w:rsidR="00C46F98" w:rsidRPr="00812E8B">
        <w:rPr>
          <w:lang w:val="en-US"/>
        </w:rPr>
        <w:t xml:space="preserve">on bank-specific determinants of performance using </w:t>
      </w:r>
      <w:r w:rsidR="00E7304C" w:rsidRPr="00812E8B">
        <w:rPr>
          <w:lang w:val="en-US"/>
        </w:rPr>
        <w:t>e.g.</w:t>
      </w:r>
      <w:r w:rsidR="00C46F98" w:rsidRPr="00812E8B">
        <w:rPr>
          <w:lang w:val="en-US"/>
        </w:rPr>
        <w:t xml:space="preserve"> balance sheet ratios </w:t>
      </w:r>
      <w:r w:rsidR="00026D7B" w:rsidRPr="00812E8B">
        <w:rPr>
          <w:color w:val="365F91" w:themeColor="accent1" w:themeShade="BF"/>
          <w:lang w:val="en-US"/>
        </w:rPr>
        <w:t xml:space="preserve">(Berger, 1995 </w:t>
      </w:r>
      <w:r w:rsidR="008877DA" w:rsidRPr="00812E8B">
        <w:rPr>
          <w:lang w:val="en-US"/>
        </w:rPr>
        <w:t xml:space="preserve">and </w:t>
      </w:r>
      <w:r w:rsidR="00026D7B" w:rsidRPr="00812E8B">
        <w:rPr>
          <w:color w:val="365F91" w:themeColor="accent1" w:themeShade="BF"/>
          <w:lang w:val="en-US"/>
        </w:rPr>
        <w:t>Demirgüç-Kunt and Huizinga, 1999)</w:t>
      </w:r>
      <w:r w:rsidR="008877DA" w:rsidRPr="00812E8B">
        <w:rPr>
          <w:lang w:val="en-US"/>
        </w:rPr>
        <w:t xml:space="preserve">.  </w:t>
      </w:r>
    </w:p>
    <w:p w:rsidR="008877DA" w:rsidRPr="00812E8B" w:rsidRDefault="008877DA" w:rsidP="00CE1B03">
      <w:pPr>
        <w:pStyle w:val="NoSpacing"/>
        <w:spacing w:line="276" w:lineRule="auto"/>
        <w:rPr>
          <w:lang w:val="en-US"/>
        </w:rPr>
      </w:pPr>
    </w:p>
    <w:p w:rsidR="0053417B" w:rsidRPr="00812E8B" w:rsidRDefault="00680922" w:rsidP="00CE1B03">
      <w:pPr>
        <w:pStyle w:val="NoSpacing"/>
        <w:spacing w:line="276" w:lineRule="auto"/>
        <w:jc w:val="both"/>
        <w:rPr>
          <w:lang w:val="en-US"/>
        </w:rPr>
      </w:pPr>
      <w:r w:rsidRPr="00812E8B">
        <w:rPr>
          <w:lang w:val="en-US"/>
        </w:rPr>
        <w:t xml:space="preserve">This thesis builds on research of </w:t>
      </w:r>
      <w:r w:rsidR="00955C7E" w:rsidRPr="00812E8B">
        <w:rPr>
          <w:color w:val="365F91" w:themeColor="accent1" w:themeShade="BF"/>
          <w:lang w:val="en-US"/>
        </w:rPr>
        <w:t>Pasiouras and Kosmidou (2007)</w:t>
      </w:r>
      <w:r w:rsidR="005079E2" w:rsidRPr="00812E8B">
        <w:rPr>
          <w:lang w:val="en-US"/>
        </w:rPr>
        <w:t xml:space="preserve"> and</w:t>
      </w:r>
      <w:r w:rsidR="00FF3425" w:rsidRPr="00812E8B">
        <w:rPr>
          <w:lang w:val="en-US"/>
        </w:rPr>
        <w:t xml:space="preserve"> </w:t>
      </w:r>
      <w:r w:rsidR="007D7CD9" w:rsidRPr="00812E8B">
        <w:rPr>
          <w:color w:val="365F91" w:themeColor="accent1" w:themeShade="BF"/>
          <w:lang w:val="en-US"/>
        </w:rPr>
        <w:t>Dietrich and Wanzenried (2011)</w:t>
      </w:r>
      <w:r w:rsidRPr="00812E8B">
        <w:rPr>
          <w:lang w:val="en-US"/>
        </w:rPr>
        <w:t>, who in</w:t>
      </w:r>
      <w:r w:rsidR="004F07E3" w:rsidRPr="00812E8B">
        <w:rPr>
          <w:lang w:val="en-US"/>
        </w:rPr>
        <w:t>vestigates</w:t>
      </w:r>
      <w:r w:rsidR="00FF3425" w:rsidRPr="00812E8B">
        <w:rPr>
          <w:lang w:val="en-US"/>
        </w:rPr>
        <w:t xml:space="preserve"> macroeconomic, industry-specific and bank-specific determinants of profitability</w:t>
      </w:r>
      <w:r w:rsidR="0035229A" w:rsidRPr="00812E8B">
        <w:rPr>
          <w:lang w:val="en-US"/>
        </w:rPr>
        <w:t xml:space="preserve"> utilizing a regression model. U</w:t>
      </w:r>
      <w:r w:rsidR="00FF3425" w:rsidRPr="00812E8B">
        <w:rPr>
          <w:lang w:val="en-US"/>
        </w:rPr>
        <w:t xml:space="preserve">sing data from the </w:t>
      </w:r>
      <w:r w:rsidR="0053417B" w:rsidRPr="00812E8B">
        <w:rPr>
          <w:lang w:val="en-US"/>
        </w:rPr>
        <w:t>European</w:t>
      </w:r>
      <w:r w:rsidR="00FF3425" w:rsidRPr="00812E8B">
        <w:rPr>
          <w:lang w:val="en-US"/>
        </w:rPr>
        <w:t xml:space="preserve"> banking sector between 19</w:t>
      </w:r>
      <w:r w:rsidR="0053417B" w:rsidRPr="00812E8B">
        <w:rPr>
          <w:lang w:val="en-US"/>
        </w:rPr>
        <w:t>95</w:t>
      </w:r>
      <w:r w:rsidR="00FF3425" w:rsidRPr="00812E8B">
        <w:rPr>
          <w:lang w:val="en-US"/>
        </w:rPr>
        <w:t xml:space="preserve"> and 2001</w:t>
      </w:r>
      <w:r w:rsidR="00A84CB7" w:rsidRPr="00812E8B">
        <w:rPr>
          <w:lang w:val="en-US"/>
        </w:rPr>
        <w:t>,</w:t>
      </w:r>
      <w:r w:rsidR="00FF3425" w:rsidRPr="00812E8B">
        <w:rPr>
          <w:lang w:val="en-US"/>
        </w:rPr>
        <w:t xml:space="preserve"> </w:t>
      </w:r>
      <w:r w:rsidR="00955C7E" w:rsidRPr="00812E8B">
        <w:rPr>
          <w:color w:val="365F91" w:themeColor="accent1" w:themeShade="BF"/>
          <w:lang w:val="en-US"/>
        </w:rPr>
        <w:t>Pasiouras and Kosmidou (2007)</w:t>
      </w:r>
      <w:r w:rsidR="00955C7E" w:rsidRPr="00812E8B">
        <w:rPr>
          <w:lang w:val="en-US"/>
        </w:rPr>
        <w:t xml:space="preserve"> </w:t>
      </w:r>
      <w:r w:rsidR="004F07E3" w:rsidRPr="00812E8B">
        <w:rPr>
          <w:lang w:val="en-US"/>
        </w:rPr>
        <w:t>find</w:t>
      </w:r>
      <w:r w:rsidRPr="00812E8B">
        <w:rPr>
          <w:lang w:val="en-US"/>
        </w:rPr>
        <w:t xml:space="preserve"> evidence for influences </w:t>
      </w:r>
      <w:r w:rsidR="00C46F98" w:rsidRPr="00812E8B">
        <w:rPr>
          <w:lang w:val="en-US"/>
        </w:rPr>
        <w:t>within</w:t>
      </w:r>
      <w:r w:rsidRPr="00812E8B">
        <w:rPr>
          <w:lang w:val="en-US"/>
        </w:rPr>
        <w:t xml:space="preserve"> all three categories.</w:t>
      </w:r>
      <w:r w:rsidR="00A84CB7" w:rsidRPr="00812E8B">
        <w:rPr>
          <w:lang w:val="en-US"/>
        </w:rPr>
        <w:t xml:space="preserve"> More recently,</w:t>
      </w:r>
      <w:r w:rsidR="007D7CD9" w:rsidRPr="00812E8B">
        <w:rPr>
          <w:lang w:val="en-US"/>
        </w:rPr>
        <w:t xml:space="preserve"> </w:t>
      </w:r>
      <w:r w:rsidR="007D7CD9" w:rsidRPr="00812E8B">
        <w:rPr>
          <w:color w:val="365F91" w:themeColor="accent1" w:themeShade="BF"/>
          <w:lang w:val="en-US"/>
        </w:rPr>
        <w:t xml:space="preserve">Dietrich and Wanzenried (2011) </w:t>
      </w:r>
      <w:r w:rsidR="00A84CB7" w:rsidRPr="00812E8B">
        <w:rPr>
          <w:lang w:val="en-US"/>
        </w:rPr>
        <w:t xml:space="preserve">also </w:t>
      </w:r>
      <w:r w:rsidR="004F07E3" w:rsidRPr="00812E8B">
        <w:rPr>
          <w:lang w:val="en-US"/>
        </w:rPr>
        <w:t>examine</w:t>
      </w:r>
      <w:r w:rsidR="00A84CB7" w:rsidRPr="00812E8B">
        <w:rPr>
          <w:lang w:val="en-US"/>
        </w:rPr>
        <w:t xml:space="preserve"> the impact of the financial crisis on </w:t>
      </w:r>
      <w:r w:rsidR="00321996" w:rsidRPr="00812E8B">
        <w:rPr>
          <w:lang w:val="en-US"/>
        </w:rPr>
        <w:t>determinants of banks’ profitability</w:t>
      </w:r>
      <w:r w:rsidR="00A84CB7" w:rsidRPr="00812E8B">
        <w:rPr>
          <w:lang w:val="en-US"/>
        </w:rPr>
        <w:t xml:space="preserve"> for the </w:t>
      </w:r>
      <w:r w:rsidR="00FF3425" w:rsidRPr="00812E8B">
        <w:rPr>
          <w:lang w:val="en-US"/>
        </w:rPr>
        <w:t>Swiss banking sector between 1999 and 2009</w:t>
      </w:r>
      <w:r w:rsidRPr="00812E8B">
        <w:rPr>
          <w:lang w:val="en-US"/>
        </w:rPr>
        <w:t>.</w:t>
      </w:r>
      <w:r w:rsidR="0053417B" w:rsidRPr="00812E8B">
        <w:rPr>
          <w:lang w:val="en-US"/>
        </w:rPr>
        <w:t xml:space="preserve"> </w:t>
      </w:r>
      <w:r w:rsidR="0035229A" w:rsidRPr="00812E8B">
        <w:rPr>
          <w:lang w:val="en-US"/>
        </w:rPr>
        <w:t xml:space="preserve">They </w:t>
      </w:r>
      <w:r w:rsidR="004F07E3" w:rsidRPr="00812E8B">
        <w:rPr>
          <w:lang w:val="en-US"/>
        </w:rPr>
        <w:t>find</w:t>
      </w:r>
      <w:r w:rsidR="0035229A" w:rsidRPr="00812E8B">
        <w:rPr>
          <w:lang w:val="en-US"/>
        </w:rPr>
        <w:t xml:space="preserve"> that significances and coefficients alter</w:t>
      </w:r>
      <w:r w:rsidR="00321996" w:rsidRPr="00812E8B">
        <w:rPr>
          <w:lang w:val="en-US"/>
        </w:rPr>
        <w:t xml:space="preserve">ed </w:t>
      </w:r>
      <w:r w:rsidR="00C262B7" w:rsidRPr="00812E8B">
        <w:rPr>
          <w:lang w:val="en-US"/>
        </w:rPr>
        <w:t xml:space="preserve">during </w:t>
      </w:r>
      <w:r w:rsidR="0035229A" w:rsidRPr="00812E8B">
        <w:rPr>
          <w:lang w:val="en-US"/>
        </w:rPr>
        <w:t>the financial crisis</w:t>
      </w:r>
      <w:r w:rsidR="002C070A" w:rsidRPr="00812E8B">
        <w:rPr>
          <w:lang w:val="en-US"/>
        </w:rPr>
        <w:t xml:space="preserve">. For instance, </w:t>
      </w:r>
      <w:r w:rsidR="0035229A" w:rsidRPr="00812E8B">
        <w:rPr>
          <w:lang w:val="en-US"/>
        </w:rPr>
        <w:t xml:space="preserve">the coefficient of the capital ratio </w:t>
      </w:r>
      <w:r w:rsidR="004F07E3" w:rsidRPr="00812E8B">
        <w:rPr>
          <w:lang w:val="en-US"/>
        </w:rPr>
        <w:t xml:space="preserve">is </w:t>
      </w:r>
      <w:r w:rsidR="0035229A" w:rsidRPr="00812E8B">
        <w:rPr>
          <w:lang w:val="en-US"/>
        </w:rPr>
        <w:t>insignificant in the pre-crisis sample and negatively during the crisis</w:t>
      </w:r>
      <w:r w:rsidR="002C070A" w:rsidRPr="00812E8B">
        <w:rPr>
          <w:lang w:val="en-US"/>
        </w:rPr>
        <w:t xml:space="preserve">. Furthermore, </w:t>
      </w:r>
      <w:r w:rsidR="00E7304C" w:rsidRPr="00812E8B">
        <w:rPr>
          <w:lang w:val="en-US"/>
        </w:rPr>
        <w:t xml:space="preserve">the coefficient of </w:t>
      </w:r>
      <w:r w:rsidR="002C070A" w:rsidRPr="00812E8B">
        <w:rPr>
          <w:lang w:val="en-US"/>
        </w:rPr>
        <w:t xml:space="preserve">ownership structure </w:t>
      </w:r>
      <w:r w:rsidR="004F07E3" w:rsidRPr="00812E8B">
        <w:rPr>
          <w:lang w:val="en-US"/>
        </w:rPr>
        <w:t>is</w:t>
      </w:r>
      <w:r w:rsidR="002C070A" w:rsidRPr="00812E8B">
        <w:rPr>
          <w:lang w:val="en-US"/>
        </w:rPr>
        <w:t xml:space="preserve"> insignificant before the crisis</w:t>
      </w:r>
      <w:r w:rsidR="00ED7B9C" w:rsidRPr="00812E8B">
        <w:rPr>
          <w:lang w:val="en-US"/>
        </w:rPr>
        <w:t xml:space="preserve"> whilst, d</w:t>
      </w:r>
      <w:r w:rsidR="00CE79B3" w:rsidRPr="00812E8B">
        <w:rPr>
          <w:lang w:val="en-US"/>
        </w:rPr>
        <w:t>uring t</w:t>
      </w:r>
      <w:r w:rsidR="002C070A" w:rsidRPr="00812E8B">
        <w:rPr>
          <w:lang w:val="en-US"/>
        </w:rPr>
        <w:t>he crisis</w:t>
      </w:r>
      <w:r w:rsidR="00CE79B3" w:rsidRPr="00812E8B">
        <w:rPr>
          <w:lang w:val="en-US"/>
        </w:rPr>
        <w:t>,</w:t>
      </w:r>
      <w:r w:rsidR="00E7304C" w:rsidRPr="00812E8B">
        <w:rPr>
          <w:lang w:val="en-US"/>
        </w:rPr>
        <w:t xml:space="preserve"> the coefficient </w:t>
      </w:r>
      <w:r w:rsidR="004F07E3" w:rsidRPr="00812E8B">
        <w:rPr>
          <w:lang w:val="en-US"/>
        </w:rPr>
        <w:t>i</w:t>
      </w:r>
      <w:r w:rsidR="00CE79B3" w:rsidRPr="00812E8B">
        <w:rPr>
          <w:lang w:val="en-US"/>
        </w:rPr>
        <w:t>s significant and positive,</w:t>
      </w:r>
      <w:r w:rsidR="00E7304C" w:rsidRPr="00812E8B">
        <w:rPr>
          <w:lang w:val="en-US"/>
        </w:rPr>
        <w:t xml:space="preserve"> implying that state</w:t>
      </w:r>
      <w:r w:rsidR="002C070A" w:rsidRPr="00812E8B">
        <w:rPr>
          <w:lang w:val="en-US"/>
        </w:rPr>
        <w:t>-owned banks performed better</w:t>
      </w:r>
      <w:r w:rsidR="0035229A" w:rsidRPr="00812E8B">
        <w:rPr>
          <w:lang w:val="en-US"/>
        </w:rPr>
        <w:t xml:space="preserve">.  </w:t>
      </w:r>
    </w:p>
    <w:p w:rsidR="005079E2" w:rsidRPr="00812E8B" w:rsidRDefault="005079E2" w:rsidP="00CE1B03">
      <w:pPr>
        <w:pStyle w:val="NoSpacing"/>
        <w:spacing w:line="276" w:lineRule="auto"/>
        <w:rPr>
          <w:lang w:val="en-US"/>
        </w:rPr>
      </w:pPr>
    </w:p>
    <w:p w:rsidR="006B1161" w:rsidRPr="00812E8B" w:rsidRDefault="006B1161" w:rsidP="00CE1B03">
      <w:pPr>
        <w:pStyle w:val="NoSpacing"/>
        <w:spacing w:line="276" w:lineRule="auto"/>
        <w:jc w:val="both"/>
        <w:rPr>
          <w:lang w:val="en-US"/>
        </w:rPr>
      </w:pPr>
      <w:r w:rsidRPr="00812E8B">
        <w:rPr>
          <w:lang w:val="en-US"/>
        </w:rPr>
        <w:t>This thesis extends</w:t>
      </w:r>
      <w:r w:rsidR="0053417B" w:rsidRPr="00812E8B">
        <w:rPr>
          <w:lang w:val="en-US"/>
        </w:rPr>
        <w:t xml:space="preserve"> </w:t>
      </w:r>
      <w:r w:rsidR="005079E2" w:rsidRPr="00812E8B">
        <w:rPr>
          <w:lang w:val="en-US"/>
        </w:rPr>
        <w:t>existing lite</w:t>
      </w:r>
      <w:r w:rsidR="00680922" w:rsidRPr="00812E8B">
        <w:rPr>
          <w:lang w:val="en-US"/>
        </w:rPr>
        <w:t xml:space="preserve">rature in </w:t>
      </w:r>
      <w:r w:rsidRPr="00812E8B">
        <w:rPr>
          <w:lang w:val="en-US"/>
        </w:rPr>
        <w:t>three</w:t>
      </w:r>
      <w:r w:rsidR="00680922" w:rsidRPr="00812E8B">
        <w:rPr>
          <w:lang w:val="en-US"/>
        </w:rPr>
        <w:t xml:space="preserve"> ways. First</w:t>
      </w:r>
      <w:r w:rsidR="00CE79B3" w:rsidRPr="00812E8B">
        <w:rPr>
          <w:lang w:val="en-US"/>
        </w:rPr>
        <w:t xml:space="preserve">, </w:t>
      </w:r>
      <w:r w:rsidR="00624860" w:rsidRPr="00812E8B">
        <w:rPr>
          <w:lang w:val="en-US"/>
        </w:rPr>
        <w:t>the</w:t>
      </w:r>
      <w:r w:rsidR="009926EF" w:rsidRPr="00812E8B">
        <w:rPr>
          <w:lang w:val="en-US"/>
        </w:rPr>
        <w:t xml:space="preserve"> European banking sector</w:t>
      </w:r>
      <w:r w:rsidR="00CE79B3" w:rsidRPr="00812E8B">
        <w:rPr>
          <w:lang w:val="en-US"/>
        </w:rPr>
        <w:t xml:space="preserve"> is considered</w:t>
      </w:r>
      <w:r w:rsidRPr="00812E8B">
        <w:rPr>
          <w:lang w:val="en-US"/>
        </w:rPr>
        <w:t>, utilizing data between 2000 and 20</w:t>
      </w:r>
      <w:r w:rsidR="00D917BC" w:rsidRPr="00812E8B">
        <w:rPr>
          <w:lang w:val="en-US"/>
        </w:rPr>
        <w:t>09</w:t>
      </w:r>
      <w:r w:rsidRPr="00812E8B">
        <w:rPr>
          <w:lang w:val="en-US"/>
        </w:rPr>
        <w:t xml:space="preserve">. </w:t>
      </w:r>
      <w:r w:rsidR="00CE79B3" w:rsidRPr="00812E8B">
        <w:rPr>
          <w:lang w:val="en-US"/>
        </w:rPr>
        <w:t>N</w:t>
      </w:r>
      <w:r w:rsidR="00624860" w:rsidRPr="00812E8B">
        <w:rPr>
          <w:lang w:val="en-US"/>
        </w:rPr>
        <w:t xml:space="preserve">o </w:t>
      </w:r>
      <w:r w:rsidR="00173AD6" w:rsidRPr="00812E8B">
        <w:rPr>
          <w:lang w:val="en-US"/>
        </w:rPr>
        <w:t>previous</w:t>
      </w:r>
      <w:r w:rsidR="00624860" w:rsidRPr="00812E8B">
        <w:rPr>
          <w:lang w:val="en-US"/>
        </w:rPr>
        <w:t xml:space="preserve"> study has considered a comprehensive framework of </w:t>
      </w:r>
      <w:r w:rsidR="002250D6" w:rsidRPr="00812E8B">
        <w:rPr>
          <w:lang w:val="en-US"/>
        </w:rPr>
        <w:t xml:space="preserve">macroeconomic, industry-specific and bank-specific </w:t>
      </w:r>
      <w:r w:rsidR="00624860" w:rsidRPr="00812E8B">
        <w:rPr>
          <w:lang w:val="en-US"/>
        </w:rPr>
        <w:t xml:space="preserve">determinants of banks’ profitability for the European banking sector </w:t>
      </w:r>
      <w:r w:rsidRPr="00812E8B">
        <w:rPr>
          <w:lang w:val="en-US"/>
        </w:rPr>
        <w:t>over the last decade</w:t>
      </w:r>
      <w:r w:rsidR="004F07E3" w:rsidRPr="00812E8B">
        <w:rPr>
          <w:lang w:val="en-US"/>
        </w:rPr>
        <w:t>, w</w:t>
      </w:r>
      <w:r w:rsidR="00173AD6" w:rsidRPr="00812E8B">
        <w:rPr>
          <w:lang w:val="en-US"/>
        </w:rPr>
        <w:t>hilst global</w:t>
      </w:r>
      <w:r w:rsidR="002C070A" w:rsidRPr="00812E8B">
        <w:rPr>
          <w:lang w:val="en-US"/>
        </w:rPr>
        <w:t>ization, increasing competition, international</w:t>
      </w:r>
      <w:r w:rsidR="00173AD6" w:rsidRPr="00812E8B">
        <w:rPr>
          <w:lang w:val="en-US"/>
        </w:rPr>
        <w:t xml:space="preserve"> convergence of banking regulation </w:t>
      </w:r>
      <w:r w:rsidR="00321996" w:rsidRPr="00812E8B">
        <w:rPr>
          <w:lang w:val="en-US"/>
        </w:rPr>
        <w:t>and</w:t>
      </w:r>
      <w:r w:rsidR="00173AD6" w:rsidRPr="00812E8B">
        <w:rPr>
          <w:lang w:val="en-US"/>
        </w:rPr>
        <w:t xml:space="preserve"> accounting standards </w:t>
      </w:r>
      <w:r w:rsidR="00CE79B3" w:rsidRPr="00812E8B">
        <w:rPr>
          <w:lang w:val="en-US"/>
        </w:rPr>
        <w:t>improve</w:t>
      </w:r>
      <w:r w:rsidR="00173AD6" w:rsidRPr="00812E8B">
        <w:rPr>
          <w:lang w:val="en-US"/>
        </w:rPr>
        <w:t xml:space="preserve"> the comparability of the European banking sector.</w:t>
      </w:r>
      <w:r w:rsidR="004F07E3" w:rsidRPr="00812E8B">
        <w:rPr>
          <w:lang w:val="en-US"/>
        </w:rPr>
        <w:t xml:space="preserve"> </w:t>
      </w:r>
      <w:r w:rsidR="00173AD6" w:rsidRPr="00812E8B">
        <w:rPr>
          <w:lang w:val="en-US"/>
        </w:rPr>
        <w:t>Until now, most research</w:t>
      </w:r>
      <w:r w:rsidR="000556BD" w:rsidRPr="00812E8B">
        <w:rPr>
          <w:lang w:val="en-US"/>
        </w:rPr>
        <w:t xml:space="preserve"> uses</w:t>
      </w:r>
      <w:r w:rsidR="00173AD6" w:rsidRPr="00812E8B">
        <w:rPr>
          <w:lang w:val="en-US"/>
        </w:rPr>
        <w:t xml:space="preserve"> </w:t>
      </w:r>
      <w:r w:rsidR="000556BD" w:rsidRPr="00812E8B">
        <w:rPr>
          <w:lang w:val="en-US"/>
        </w:rPr>
        <w:t xml:space="preserve">data from the </w:t>
      </w:r>
      <w:r w:rsidR="00C262B7" w:rsidRPr="00812E8B">
        <w:rPr>
          <w:lang w:val="en-US"/>
        </w:rPr>
        <w:t>20</w:t>
      </w:r>
      <w:r w:rsidR="00C262B7" w:rsidRPr="00812E8B">
        <w:rPr>
          <w:vertAlign w:val="superscript"/>
          <w:lang w:val="en-US"/>
        </w:rPr>
        <w:t>th</w:t>
      </w:r>
      <w:r w:rsidR="00C262B7" w:rsidRPr="00812E8B">
        <w:rPr>
          <w:lang w:val="en-US"/>
        </w:rPr>
        <w:t xml:space="preserve"> </w:t>
      </w:r>
      <w:r w:rsidR="000556BD" w:rsidRPr="00812E8B">
        <w:rPr>
          <w:lang w:val="en-US"/>
        </w:rPr>
        <w:t xml:space="preserve"> century</w:t>
      </w:r>
      <w:r w:rsidR="000556BD" w:rsidRPr="00812E8B">
        <w:rPr>
          <w:color w:val="365F91" w:themeColor="accent1" w:themeShade="BF"/>
          <w:lang w:val="en-US"/>
        </w:rPr>
        <w:t xml:space="preserve"> </w:t>
      </w:r>
      <w:r w:rsidR="00955C7E" w:rsidRPr="00812E8B">
        <w:rPr>
          <w:color w:val="365F91" w:themeColor="accent1" w:themeShade="BF"/>
          <w:lang w:val="en-US"/>
        </w:rPr>
        <w:t xml:space="preserve">(Pasiouras and Kosmidou, 2007 </w:t>
      </w:r>
      <w:r w:rsidR="000556BD" w:rsidRPr="00812E8B">
        <w:rPr>
          <w:lang w:val="en-US"/>
        </w:rPr>
        <w:t xml:space="preserve">and </w:t>
      </w:r>
      <w:r w:rsidR="00746D5F" w:rsidRPr="00812E8B">
        <w:rPr>
          <w:color w:val="365F91" w:themeColor="accent1" w:themeShade="BF"/>
          <w:lang w:val="en-US"/>
        </w:rPr>
        <w:t>Athanasoglou, Sophocles and Delis, 2008)</w:t>
      </w:r>
      <w:r w:rsidR="000556BD" w:rsidRPr="00812E8B">
        <w:rPr>
          <w:color w:val="365F91" w:themeColor="accent1" w:themeShade="BF"/>
          <w:lang w:val="en-US"/>
        </w:rPr>
        <w:t xml:space="preserve">. </w:t>
      </w:r>
      <w:r w:rsidR="000556BD" w:rsidRPr="00812E8B">
        <w:rPr>
          <w:lang w:val="en-US"/>
        </w:rPr>
        <w:t>Moreover</w:t>
      </w:r>
      <w:r w:rsidR="00C262B7" w:rsidRPr="00812E8B">
        <w:rPr>
          <w:lang w:val="en-US"/>
        </w:rPr>
        <w:t>,</w:t>
      </w:r>
      <w:r w:rsidR="000556BD" w:rsidRPr="00812E8B">
        <w:rPr>
          <w:lang w:val="en-US"/>
        </w:rPr>
        <w:t xml:space="preserve"> </w:t>
      </w:r>
      <w:r w:rsidR="00ED7B9C" w:rsidRPr="00812E8B">
        <w:rPr>
          <w:lang w:val="en-US"/>
        </w:rPr>
        <w:t>existing academic</w:t>
      </w:r>
      <w:r w:rsidR="000556BD" w:rsidRPr="00812E8B">
        <w:rPr>
          <w:lang w:val="en-US"/>
        </w:rPr>
        <w:t xml:space="preserve"> research </w:t>
      </w:r>
      <w:r w:rsidR="00173AD6" w:rsidRPr="00812E8B">
        <w:rPr>
          <w:lang w:val="en-US"/>
        </w:rPr>
        <w:t>is</w:t>
      </w:r>
      <w:r w:rsidR="000556BD" w:rsidRPr="00812E8B">
        <w:rPr>
          <w:lang w:val="en-US"/>
        </w:rPr>
        <w:t xml:space="preserve"> mostly</w:t>
      </w:r>
      <w:r w:rsidR="00173AD6" w:rsidRPr="00812E8B">
        <w:rPr>
          <w:lang w:val="en-US"/>
        </w:rPr>
        <w:t xml:space="preserve"> concentrated to individual countries </w:t>
      </w:r>
      <w:r w:rsidR="0043417A" w:rsidRPr="00812E8B">
        <w:rPr>
          <w:color w:val="365F91" w:themeColor="accent1" w:themeShade="BF"/>
          <w:lang w:val="en-US"/>
        </w:rPr>
        <w:t xml:space="preserve">(Saunders et al., </w:t>
      </w:r>
      <w:r w:rsidR="00026D7B" w:rsidRPr="00812E8B">
        <w:rPr>
          <w:color w:val="365F91" w:themeColor="accent1" w:themeShade="BF"/>
          <w:lang w:val="en-US"/>
        </w:rPr>
        <w:t>1990</w:t>
      </w:r>
      <w:r w:rsidR="00630512" w:rsidRPr="00812E8B">
        <w:rPr>
          <w:color w:val="365F91" w:themeColor="accent1" w:themeShade="BF"/>
          <w:lang w:val="en-US"/>
        </w:rPr>
        <w:t xml:space="preserve"> </w:t>
      </w:r>
      <w:r w:rsidR="00630512" w:rsidRPr="00812E8B">
        <w:rPr>
          <w:lang w:val="en-US"/>
        </w:rPr>
        <w:t>and</w:t>
      </w:r>
      <w:r w:rsidR="00630512" w:rsidRPr="00812E8B">
        <w:rPr>
          <w:color w:val="365F91" w:themeColor="accent1" w:themeShade="BF"/>
          <w:lang w:val="en-US"/>
        </w:rPr>
        <w:t xml:space="preserve"> </w:t>
      </w:r>
      <w:r w:rsidR="00026D7B" w:rsidRPr="00812E8B">
        <w:rPr>
          <w:color w:val="365F91" w:themeColor="accent1" w:themeShade="BF"/>
          <w:lang w:val="en-US"/>
        </w:rPr>
        <w:t>Berger, 1995)</w:t>
      </w:r>
      <w:r w:rsidR="004F07E3" w:rsidRPr="00812E8B">
        <w:rPr>
          <w:lang w:val="en-US"/>
        </w:rPr>
        <w:t xml:space="preserve">. </w:t>
      </w:r>
      <w:r w:rsidR="002C070A" w:rsidRPr="00812E8B">
        <w:rPr>
          <w:lang w:val="en-US"/>
        </w:rPr>
        <w:t>Up to now</w:t>
      </w:r>
      <w:r w:rsidR="000556BD" w:rsidRPr="00812E8B">
        <w:rPr>
          <w:lang w:val="en-US"/>
        </w:rPr>
        <w:t>,</w:t>
      </w:r>
      <w:r w:rsidRPr="00812E8B">
        <w:rPr>
          <w:lang w:val="en-US"/>
        </w:rPr>
        <w:t xml:space="preserve"> only a few studies used more recent data</w:t>
      </w:r>
      <w:r w:rsidR="002C070A" w:rsidRPr="00812E8B">
        <w:rPr>
          <w:lang w:val="en-US"/>
        </w:rPr>
        <w:t>, but these studies examined</w:t>
      </w:r>
      <w:r w:rsidR="00A0494C" w:rsidRPr="00812E8B">
        <w:rPr>
          <w:lang w:val="en-US"/>
        </w:rPr>
        <w:t xml:space="preserve"> </w:t>
      </w:r>
      <w:r w:rsidR="002C070A" w:rsidRPr="00812E8B">
        <w:rPr>
          <w:lang w:val="en-US"/>
        </w:rPr>
        <w:t>separate</w:t>
      </w:r>
      <w:r w:rsidRPr="00812E8B">
        <w:rPr>
          <w:lang w:val="en-US"/>
        </w:rPr>
        <w:t xml:space="preserve"> determinants</w:t>
      </w:r>
      <w:r w:rsidR="00A0494C" w:rsidRPr="00812E8B">
        <w:rPr>
          <w:lang w:val="en-US"/>
        </w:rPr>
        <w:t xml:space="preserve"> </w:t>
      </w:r>
      <w:r w:rsidR="00321996" w:rsidRPr="00812E8B">
        <w:rPr>
          <w:lang w:val="en-US"/>
        </w:rPr>
        <w:t>e.g.</w:t>
      </w:r>
      <w:r w:rsidR="00972F90" w:rsidRPr="00812E8B">
        <w:rPr>
          <w:lang w:val="en-US"/>
        </w:rPr>
        <w:t xml:space="preserve"> </w:t>
      </w:r>
      <w:r w:rsidR="00321996" w:rsidRPr="00812E8B">
        <w:rPr>
          <w:lang w:val="en-US"/>
        </w:rPr>
        <w:t xml:space="preserve">the </w:t>
      </w:r>
      <w:r w:rsidR="00A0494C" w:rsidRPr="00812E8B">
        <w:rPr>
          <w:lang w:val="en-US"/>
        </w:rPr>
        <w:t xml:space="preserve">ownership structure </w:t>
      </w:r>
      <w:r w:rsidR="007F1875" w:rsidRPr="00812E8B">
        <w:rPr>
          <w:lang w:val="en-US"/>
        </w:rPr>
        <w:t>(</w:t>
      </w:r>
      <w:r w:rsidR="007F1875" w:rsidRPr="00812E8B">
        <w:rPr>
          <w:color w:val="365F91" w:themeColor="accent1" w:themeShade="BF"/>
          <w:lang w:val="en-US"/>
        </w:rPr>
        <w:t>Iannotta et al., 2007</w:t>
      </w:r>
      <w:r w:rsidR="00630512" w:rsidRPr="00812E8B">
        <w:rPr>
          <w:color w:val="365F91" w:themeColor="accent1" w:themeShade="BF"/>
          <w:lang w:val="en-US"/>
        </w:rPr>
        <w:t xml:space="preserve"> </w:t>
      </w:r>
      <w:r w:rsidR="00630512" w:rsidRPr="00812E8B">
        <w:rPr>
          <w:lang w:val="en-US"/>
        </w:rPr>
        <w:t>and</w:t>
      </w:r>
      <w:r w:rsidR="00630512" w:rsidRPr="00812E8B">
        <w:rPr>
          <w:color w:val="365F91" w:themeColor="accent1" w:themeShade="BF"/>
          <w:lang w:val="en-US"/>
        </w:rPr>
        <w:t xml:space="preserve"> </w:t>
      </w:r>
      <w:r w:rsidR="00BA26F6" w:rsidRPr="00812E8B">
        <w:rPr>
          <w:color w:val="365F91" w:themeColor="accent1" w:themeShade="BF"/>
          <w:lang w:val="en-US"/>
        </w:rPr>
        <w:t>Barry, Lepetit and Tarazi, 2011)</w:t>
      </w:r>
      <w:r w:rsidR="00CE79B3" w:rsidRPr="00812E8B">
        <w:rPr>
          <w:lang w:val="en-US"/>
        </w:rPr>
        <w:t>.</w:t>
      </w:r>
      <w:r w:rsidR="002250D6" w:rsidRPr="00812E8B">
        <w:rPr>
          <w:color w:val="365F91" w:themeColor="accent1" w:themeShade="BF"/>
          <w:lang w:val="en-US"/>
        </w:rPr>
        <w:t xml:space="preserve"> </w:t>
      </w:r>
      <w:r w:rsidRPr="00812E8B">
        <w:rPr>
          <w:lang w:val="en-US"/>
        </w:rPr>
        <w:t>Second</w:t>
      </w:r>
      <w:r w:rsidR="00A84CB7" w:rsidRPr="00812E8B">
        <w:rPr>
          <w:lang w:val="en-US"/>
        </w:rPr>
        <w:t xml:space="preserve">, </w:t>
      </w:r>
      <w:r w:rsidR="00321996" w:rsidRPr="00812E8B">
        <w:rPr>
          <w:lang w:val="en-US"/>
        </w:rPr>
        <w:t>this study a</w:t>
      </w:r>
      <w:r w:rsidR="00A84CB7" w:rsidRPr="00812E8B">
        <w:rPr>
          <w:lang w:val="en-US"/>
        </w:rPr>
        <w:t xml:space="preserve">ttempts to </w:t>
      </w:r>
      <w:r w:rsidR="002C070A" w:rsidRPr="00812E8B">
        <w:rPr>
          <w:lang w:val="en-US"/>
        </w:rPr>
        <w:t xml:space="preserve">extend </w:t>
      </w:r>
      <w:r w:rsidR="00A84CB7" w:rsidRPr="00812E8B">
        <w:rPr>
          <w:lang w:val="en-US"/>
        </w:rPr>
        <w:t>determinants</w:t>
      </w:r>
      <w:r w:rsidR="009926EF" w:rsidRPr="00812E8B">
        <w:rPr>
          <w:lang w:val="en-US"/>
        </w:rPr>
        <w:t xml:space="preserve"> of banks’ profitability used by</w:t>
      </w:r>
      <w:r w:rsidR="00645BB0" w:rsidRPr="00812E8B">
        <w:rPr>
          <w:lang w:val="en-US"/>
        </w:rPr>
        <w:t xml:space="preserve"> </w:t>
      </w:r>
      <w:r w:rsidR="00881610" w:rsidRPr="00812E8B">
        <w:rPr>
          <w:color w:val="365F91" w:themeColor="accent1" w:themeShade="BF"/>
          <w:lang w:val="en-US"/>
        </w:rPr>
        <w:t>Molyneux and Thornton (1992)</w:t>
      </w:r>
      <w:r w:rsidR="00894604" w:rsidRPr="00812E8B">
        <w:rPr>
          <w:lang w:val="en-US"/>
        </w:rPr>
        <w:t xml:space="preserve"> and </w:t>
      </w:r>
      <w:r w:rsidR="00955C7E" w:rsidRPr="00812E8B">
        <w:rPr>
          <w:color w:val="365F91" w:themeColor="accent1" w:themeShade="BF"/>
          <w:lang w:val="en-US"/>
        </w:rPr>
        <w:t>Pasiouras and Kosmidou, 2007)</w:t>
      </w:r>
      <w:r w:rsidR="00955C7E" w:rsidRPr="00812E8B">
        <w:rPr>
          <w:lang w:val="en-US"/>
        </w:rPr>
        <w:t xml:space="preserve"> </w:t>
      </w:r>
      <w:r w:rsidR="002C070A" w:rsidRPr="00812E8B">
        <w:rPr>
          <w:lang w:val="en-US"/>
        </w:rPr>
        <w:t xml:space="preserve">by examining funding and </w:t>
      </w:r>
      <w:r w:rsidR="002C070A" w:rsidRPr="00812E8B">
        <w:rPr>
          <w:lang w:val="en-US"/>
        </w:rPr>
        <w:lastRenderedPageBreak/>
        <w:t>li</w:t>
      </w:r>
      <w:r w:rsidR="00A606DC" w:rsidRPr="00812E8B">
        <w:rPr>
          <w:lang w:val="en-US"/>
        </w:rPr>
        <w:t xml:space="preserve">quidity ratios. </w:t>
      </w:r>
      <w:r w:rsidR="00ED7B9C" w:rsidRPr="00812E8B">
        <w:rPr>
          <w:lang w:val="en-US"/>
        </w:rPr>
        <w:t xml:space="preserve">Hereby this study anticipates to the </w:t>
      </w:r>
      <w:r w:rsidR="002C070A" w:rsidRPr="00812E8B">
        <w:rPr>
          <w:lang w:val="en-US"/>
        </w:rPr>
        <w:t xml:space="preserve">introduction of new regulation and </w:t>
      </w:r>
      <w:r w:rsidR="00894604" w:rsidRPr="00812E8B">
        <w:rPr>
          <w:lang w:val="en-US"/>
        </w:rPr>
        <w:t xml:space="preserve">possible </w:t>
      </w:r>
      <w:r w:rsidR="002C070A" w:rsidRPr="00812E8B">
        <w:rPr>
          <w:lang w:val="en-US"/>
        </w:rPr>
        <w:t>impacts</w:t>
      </w:r>
      <w:r w:rsidR="00A606DC" w:rsidRPr="00812E8B">
        <w:rPr>
          <w:lang w:val="en-US"/>
        </w:rPr>
        <w:t xml:space="preserve"> of funding </w:t>
      </w:r>
      <w:r w:rsidR="00894604" w:rsidRPr="00812E8B">
        <w:rPr>
          <w:lang w:val="en-US"/>
        </w:rPr>
        <w:t>and liquidity issues</w:t>
      </w:r>
      <w:r w:rsidR="002C070A" w:rsidRPr="00812E8B">
        <w:rPr>
          <w:lang w:val="en-US"/>
        </w:rPr>
        <w:t xml:space="preserve"> on banks’ profitability</w:t>
      </w:r>
      <w:r w:rsidR="00894604" w:rsidRPr="00812E8B">
        <w:rPr>
          <w:lang w:val="en-US"/>
        </w:rPr>
        <w:t>.</w:t>
      </w:r>
      <w:r w:rsidR="00CE79B3" w:rsidRPr="00812E8B">
        <w:rPr>
          <w:lang w:val="en-US"/>
        </w:rPr>
        <w:t xml:space="preserve"> </w:t>
      </w:r>
      <w:r w:rsidR="004A43E0" w:rsidRPr="00812E8B">
        <w:rPr>
          <w:lang w:val="en-US"/>
        </w:rPr>
        <w:t>Third</w:t>
      </w:r>
      <w:r w:rsidRPr="00812E8B">
        <w:rPr>
          <w:lang w:val="en-US"/>
        </w:rPr>
        <w:t xml:space="preserve">, this thesis attempts to </w:t>
      </w:r>
      <w:r w:rsidR="004A43E0" w:rsidRPr="00812E8B">
        <w:rPr>
          <w:lang w:val="en-US"/>
        </w:rPr>
        <w:t>generalize</w:t>
      </w:r>
      <w:r w:rsidRPr="00812E8B">
        <w:rPr>
          <w:lang w:val="en-US"/>
        </w:rPr>
        <w:t xml:space="preserve"> results</w:t>
      </w:r>
      <w:r w:rsidR="00645BB0" w:rsidRPr="00812E8B">
        <w:rPr>
          <w:lang w:val="en-US"/>
        </w:rPr>
        <w:t xml:space="preserve"> </w:t>
      </w:r>
      <w:r w:rsidR="007F10D5" w:rsidRPr="00812E8B">
        <w:rPr>
          <w:lang w:val="en-US"/>
        </w:rPr>
        <w:t xml:space="preserve">of </w:t>
      </w:r>
      <w:r w:rsidR="007D7CD9" w:rsidRPr="00812E8B">
        <w:rPr>
          <w:color w:val="365F91" w:themeColor="accent1" w:themeShade="BF"/>
          <w:lang w:val="en-US"/>
        </w:rPr>
        <w:t xml:space="preserve">Dietrich and Wanzenried (2011) </w:t>
      </w:r>
      <w:r w:rsidR="004A43E0" w:rsidRPr="00812E8B">
        <w:rPr>
          <w:lang w:val="en-US"/>
        </w:rPr>
        <w:t>regarding the impact of the financial crisis on determinants of banks’ profitability</w:t>
      </w:r>
      <w:r w:rsidR="00645BB0" w:rsidRPr="00812E8B">
        <w:rPr>
          <w:lang w:val="en-US"/>
        </w:rPr>
        <w:t>,</w:t>
      </w:r>
      <w:r w:rsidR="004A43E0" w:rsidRPr="00812E8B">
        <w:rPr>
          <w:lang w:val="en-US"/>
        </w:rPr>
        <w:t xml:space="preserve"> to the European banking sector. </w:t>
      </w:r>
    </w:p>
    <w:p w:rsidR="00A31C68" w:rsidRPr="00812E8B" w:rsidRDefault="00A31C68" w:rsidP="00CE1B03">
      <w:pPr>
        <w:pStyle w:val="NoSpacing"/>
        <w:spacing w:line="276" w:lineRule="auto"/>
        <w:jc w:val="both"/>
        <w:rPr>
          <w:lang w:val="en-US"/>
        </w:rPr>
      </w:pPr>
    </w:p>
    <w:p w:rsidR="004A0298" w:rsidRPr="00812E8B" w:rsidRDefault="004A0298" w:rsidP="00CE1B03">
      <w:pPr>
        <w:pStyle w:val="Heading2"/>
        <w:rPr>
          <w:color w:val="auto"/>
          <w:vertAlign w:val="subscript"/>
          <w:lang w:val="en-US"/>
        </w:rPr>
      </w:pPr>
      <w:bookmarkStart w:id="5" w:name="_Toc306359629"/>
      <w:r w:rsidRPr="00812E8B">
        <w:rPr>
          <w:color w:val="auto"/>
          <w:lang w:val="en-US"/>
        </w:rPr>
        <w:t>1.</w:t>
      </w:r>
      <w:r w:rsidR="00C37232" w:rsidRPr="00812E8B">
        <w:rPr>
          <w:color w:val="auto"/>
          <w:lang w:val="en-US"/>
        </w:rPr>
        <w:t>2</w:t>
      </w:r>
      <w:r w:rsidRPr="00812E8B">
        <w:rPr>
          <w:color w:val="auto"/>
          <w:lang w:val="en-US"/>
        </w:rPr>
        <w:t xml:space="preserve"> R</w:t>
      </w:r>
      <w:r w:rsidR="00FB0A28" w:rsidRPr="00812E8B">
        <w:rPr>
          <w:color w:val="auto"/>
          <w:sz w:val="20"/>
          <w:szCs w:val="20"/>
          <w:lang w:val="en-US"/>
        </w:rPr>
        <w:t>ESEARCH QUESTION</w:t>
      </w:r>
      <w:bookmarkEnd w:id="5"/>
      <w:r w:rsidR="00FB0A28" w:rsidRPr="00812E8B">
        <w:rPr>
          <w:color w:val="auto"/>
          <w:sz w:val="20"/>
          <w:szCs w:val="20"/>
          <w:lang w:val="en-US"/>
        </w:rPr>
        <w:t xml:space="preserve"> </w:t>
      </w:r>
    </w:p>
    <w:p w:rsidR="00010D4C" w:rsidRPr="00812E8B" w:rsidRDefault="00DE1E84" w:rsidP="00CE1B03">
      <w:pPr>
        <w:pStyle w:val="NoSpacing"/>
        <w:spacing w:line="276" w:lineRule="auto"/>
        <w:jc w:val="both"/>
        <w:rPr>
          <w:lang w:val="en-US"/>
        </w:rPr>
      </w:pPr>
      <w:r w:rsidRPr="00812E8B">
        <w:rPr>
          <w:lang w:val="en-US"/>
        </w:rPr>
        <w:t>Resumin</w:t>
      </w:r>
      <w:r w:rsidR="0089275B" w:rsidRPr="00812E8B">
        <w:rPr>
          <w:lang w:val="en-US"/>
        </w:rPr>
        <w:t>g</w:t>
      </w:r>
      <w:r w:rsidR="00171139" w:rsidRPr="00812E8B">
        <w:rPr>
          <w:lang w:val="en-US"/>
        </w:rPr>
        <w:t xml:space="preserve">, </w:t>
      </w:r>
      <w:r w:rsidR="00CE79B3" w:rsidRPr="00812E8B">
        <w:rPr>
          <w:lang w:val="en-US"/>
        </w:rPr>
        <w:t xml:space="preserve">the aim </w:t>
      </w:r>
      <w:r w:rsidR="00321996" w:rsidRPr="00812E8B">
        <w:rPr>
          <w:lang w:val="en-US"/>
        </w:rPr>
        <w:t>of this study</w:t>
      </w:r>
      <w:r w:rsidR="00CE79B3" w:rsidRPr="00812E8B">
        <w:rPr>
          <w:lang w:val="en-US"/>
        </w:rPr>
        <w:t xml:space="preserve"> is</w:t>
      </w:r>
      <w:r w:rsidR="00171139" w:rsidRPr="00812E8B">
        <w:rPr>
          <w:lang w:val="en-US"/>
        </w:rPr>
        <w:t xml:space="preserve"> </w:t>
      </w:r>
      <w:r w:rsidRPr="00812E8B">
        <w:rPr>
          <w:lang w:val="en-US"/>
        </w:rPr>
        <w:t>to provide information on determinants</w:t>
      </w:r>
      <w:r w:rsidR="00645BB0" w:rsidRPr="00812E8B">
        <w:rPr>
          <w:lang w:val="en-US"/>
        </w:rPr>
        <w:t xml:space="preserve"> that</w:t>
      </w:r>
      <w:r w:rsidRPr="00812E8B">
        <w:rPr>
          <w:lang w:val="en-US"/>
        </w:rPr>
        <w:t xml:space="preserve"> influence profitability.  </w:t>
      </w:r>
      <w:r w:rsidR="00010D4C" w:rsidRPr="00812E8B">
        <w:rPr>
          <w:lang w:val="en-US"/>
        </w:rPr>
        <w:t>As mentioned above there is a gap in existing literature towards the determinants of banks’ profitability</w:t>
      </w:r>
      <w:r w:rsidR="00C262B7" w:rsidRPr="00812E8B">
        <w:rPr>
          <w:lang w:val="en-US"/>
        </w:rPr>
        <w:t>. Despite the fact that there is abundant literature on banking pro</w:t>
      </w:r>
      <w:r w:rsidR="002B0029" w:rsidRPr="00812E8B">
        <w:rPr>
          <w:lang w:val="en-US"/>
        </w:rPr>
        <w:t xml:space="preserve">fitability in several individual </w:t>
      </w:r>
      <w:r w:rsidR="00C262B7" w:rsidRPr="00812E8B">
        <w:rPr>
          <w:lang w:val="en-US"/>
        </w:rPr>
        <w:t>count</w:t>
      </w:r>
      <w:r w:rsidR="002B0029" w:rsidRPr="00812E8B">
        <w:rPr>
          <w:lang w:val="en-US"/>
        </w:rPr>
        <w:t>ries</w:t>
      </w:r>
      <w:r w:rsidR="00C262B7" w:rsidRPr="00812E8B">
        <w:rPr>
          <w:lang w:val="en-US"/>
        </w:rPr>
        <w:t xml:space="preserve"> there are only a few studies available </w:t>
      </w:r>
      <w:r w:rsidR="00010D4C" w:rsidRPr="00812E8B">
        <w:rPr>
          <w:lang w:val="en-US"/>
        </w:rPr>
        <w:t xml:space="preserve">using recent data </w:t>
      </w:r>
      <w:r w:rsidR="00F27CDF" w:rsidRPr="00812E8B">
        <w:rPr>
          <w:lang w:val="en-US"/>
        </w:rPr>
        <w:t>for</w:t>
      </w:r>
      <w:r w:rsidR="00010D4C" w:rsidRPr="00812E8B">
        <w:rPr>
          <w:lang w:val="en-US"/>
        </w:rPr>
        <w:t xml:space="preserve"> the European banking sector.</w:t>
      </w:r>
      <w:r w:rsidRPr="00812E8B">
        <w:rPr>
          <w:lang w:val="en-US"/>
        </w:rPr>
        <w:t xml:space="preserve"> In order to extend current literature and </w:t>
      </w:r>
      <w:r w:rsidR="00010D4C" w:rsidRPr="00812E8B">
        <w:rPr>
          <w:lang w:val="en-US"/>
        </w:rPr>
        <w:t xml:space="preserve">to </w:t>
      </w:r>
      <w:r w:rsidRPr="00812E8B">
        <w:rPr>
          <w:lang w:val="en-US"/>
        </w:rPr>
        <w:t>satisfy</w:t>
      </w:r>
      <w:r w:rsidR="00010D4C" w:rsidRPr="00812E8B">
        <w:rPr>
          <w:lang w:val="en-US"/>
        </w:rPr>
        <w:t xml:space="preserve"> the purpose of this thesis</w:t>
      </w:r>
      <w:r w:rsidR="002765F8" w:rsidRPr="00812E8B">
        <w:rPr>
          <w:lang w:val="en-US"/>
        </w:rPr>
        <w:t xml:space="preserve"> </w:t>
      </w:r>
      <w:r w:rsidR="002B0029" w:rsidRPr="00812E8B">
        <w:rPr>
          <w:lang w:val="en-US"/>
        </w:rPr>
        <w:t>the following</w:t>
      </w:r>
      <w:r w:rsidR="00010D4C" w:rsidRPr="00812E8B">
        <w:rPr>
          <w:lang w:val="en-US"/>
        </w:rPr>
        <w:t xml:space="preserve"> research question is defined</w:t>
      </w:r>
      <w:r w:rsidR="002765F8" w:rsidRPr="00812E8B">
        <w:rPr>
          <w:lang w:val="en-US"/>
        </w:rPr>
        <w:t xml:space="preserve">. </w:t>
      </w:r>
      <w:r w:rsidR="00010D4C" w:rsidRPr="00812E8B">
        <w:rPr>
          <w:lang w:val="en-US"/>
        </w:rPr>
        <w:t xml:space="preserve"> </w:t>
      </w:r>
    </w:p>
    <w:p w:rsidR="00010D4C" w:rsidRPr="00812E8B" w:rsidRDefault="00010D4C" w:rsidP="002765F8">
      <w:pPr>
        <w:pStyle w:val="NoSpacing"/>
        <w:spacing w:line="276" w:lineRule="auto"/>
        <w:jc w:val="both"/>
        <w:rPr>
          <w:lang w:val="en-US"/>
        </w:rPr>
      </w:pPr>
    </w:p>
    <w:p w:rsidR="002765F8" w:rsidRPr="00812E8B" w:rsidRDefault="002765F8" w:rsidP="002765F8">
      <w:pPr>
        <w:pStyle w:val="NoSpacing"/>
        <w:pBdr>
          <w:bottom w:val="single" w:sz="4" w:space="1" w:color="auto"/>
        </w:pBdr>
        <w:spacing w:line="180" w:lineRule="auto"/>
        <w:jc w:val="both"/>
        <w:rPr>
          <w:lang w:val="en-US"/>
        </w:rPr>
      </w:pPr>
      <w:r w:rsidRPr="00812E8B">
        <w:rPr>
          <w:lang w:val="en-US"/>
        </w:rPr>
        <w:t>Main question</w:t>
      </w:r>
    </w:p>
    <w:p w:rsidR="000147B6" w:rsidRPr="00812E8B" w:rsidRDefault="00DA04A4" w:rsidP="00234533">
      <w:pPr>
        <w:pStyle w:val="NoSpacing"/>
        <w:spacing w:line="276" w:lineRule="auto"/>
        <w:ind w:left="540" w:right="792"/>
        <w:jc w:val="both"/>
        <w:rPr>
          <w:i/>
          <w:lang w:val="en-US"/>
        </w:rPr>
      </w:pPr>
      <w:r w:rsidRPr="00812E8B">
        <w:rPr>
          <w:i/>
          <w:lang w:val="en-US"/>
        </w:rPr>
        <w:t xml:space="preserve">What are the determinants of </w:t>
      </w:r>
      <w:r w:rsidR="00010D4C" w:rsidRPr="00812E8B">
        <w:rPr>
          <w:i/>
          <w:lang w:val="en-US"/>
        </w:rPr>
        <w:t>banks’ profitability</w:t>
      </w:r>
      <w:r w:rsidRPr="00812E8B">
        <w:rPr>
          <w:i/>
          <w:lang w:val="en-US"/>
        </w:rPr>
        <w:t xml:space="preserve"> and how do regulation, ownership structure and the balance sheet structure influence the profitability</w:t>
      </w:r>
      <w:r w:rsidR="00010D4C" w:rsidRPr="00812E8B">
        <w:rPr>
          <w:i/>
          <w:lang w:val="en-US"/>
        </w:rPr>
        <w:t xml:space="preserve">? </w:t>
      </w:r>
    </w:p>
    <w:p w:rsidR="00624BF9" w:rsidRPr="00812E8B" w:rsidRDefault="00624BF9" w:rsidP="00CE1B03">
      <w:pPr>
        <w:pStyle w:val="NoSpacing"/>
        <w:spacing w:line="276" w:lineRule="auto"/>
        <w:jc w:val="both"/>
        <w:rPr>
          <w:lang w:val="en-US"/>
        </w:rPr>
      </w:pPr>
    </w:p>
    <w:p w:rsidR="00DE1E84" w:rsidRPr="00812E8B" w:rsidRDefault="0006234A" w:rsidP="00CE1B03">
      <w:pPr>
        <w:pStyle w:val="NoSpacing"/>
        <w:spacing w:line="276" w:lineRule="auto"/>
        <w:jc w:val="both"/>
        <w:rPr>
          <w:lang w:val="en-US"/>
        </w:rPr>
      </w:pPr>
      <w:r w:rsidRPr="00812E8B">
        <w:rPr>
          <w:lang w:val="en-US"/>
        </w:rPr>
        <w:t>Moreover, this thesis</w:t>
      </w:r>
      <w:r w:rsidR="00DE1E84" w:rsidRPr="00812E8B">
        <w:rPr>
          <w:lang w:val="en-US"/>
        </w:rPr>
        <w:t xml:space="preserve"> use</w:t>
      </w:r>
      <w:r w:rsidR="000C350A" w:rsidRPr="00812E8B">
        <w:rPr>
          <w:lang w:val="en-US"/>
        </w:rPr>
        <w:t>s</w:t>
      </w:r>
      <w:r w:rsidR="00DE1E84" w:rsidRPr="00812E8B">
        <w:rPr>
          <w:lang w:val="en-US"/>
        </w:rPr>
        <w:t xml:space="preserve"> data over the last decade</w:t>
      </w:r>
      <w:r w:rsidRPr="00812E8B">
        <w:rPr>
          <w:lang w:val="en-US"/>
        </w:rPr>
        <w:t xml:space="preserve"> and </w:t>
      </w:r>
      <w:r w:rsidR="00321996" w:rsidRPr="00812E8B">
        <w:rPr>
          <w:lang w:val="en-US"/>
        </w:rPr>
        <w:t xml:space="preserve">implicitly </w:t>
      </w:r>
      <w:r w:rsidRPr="00812E8B">
        <w:rPr>
          <w:lang w:val="en-US"/>
        </w:rPr>
        <w:t>incorporate</w:t>
      </w:r>
      <w:r w:rsidR="000C350A" w:rsidRPr="00812E8B">
        <w:rPr>
          <w:lang w:val="en-US"/>
        </w:rPr>
        <w:t>s</w:t>
      </w:r>
      <w:r w:rsidR="00C46F98" w:rsidRPr="00812E8B">
        <w:rPr>
          <w:lang w:val="en-US"/>
        </w:rPr>
        <w:t xml:space="preserve"> data </w:t>
      </w:r>
      <w:r w:rsidR="000C350A" w:rsidRPr="00812E8B">
        <w:rPr>
          <w:lang w:val="en-US"/>
        </w:rPr>
        <w:t>of</w:t>
      </w:r>
      <w:r w:rsidRPr="00812E8B">
        <w:rPr>
          <w:lang w:val="en-US"/>
        </w:rPr>
        <w:t xml:space="preserve"> the financial crisis (2007-</w:t>
      </w:r>
      <w:r w:rsidR="007F10D5" w:rsidRPr="00812E8B">
        <w:rPr>
          <w:lang w:val="en-US"/>
        </w:rPr>
        <w:t>current</w:t>
      </w:r>
      <w:r w:rsidRPr="00812E8B">
        <w:rPr>
          <w:lang w:val="en-US"/>
        </w:rPr>
        <w:t>). As a consequence</w:t>
      </w:r>
      <w:r w:rsidR="007F10D5" w:rsidRPr="00812E8B">
        <w:rPr>
          <w:lang w:val="en-US"/>
        </w:rPr>
        <w:t>,</w:t>
      </w:r>
      <w:r w:rsidRPr="00812E8B">
        <w:rPr>
          <w:lang w:val="en-US"/>
        </w:rPr>
        <w:t xml:space="preserve"> relationships between </w:t>
      </w:r>
      <w:r w:rsidR="00972F90" w:rsidRPr="00812E8B">
        <w:rPr>
          <w:lang w:val="en-US"/>
        </w:rPr>
        <w:t>determinants</w:t>
      </w:r>
      <w:r w:rsidR="00DE1E84" w:rsidRPr="00812E8B">
        <w:rPr>
          <w:lang w:val="en-US"/>
        </w:rPr>
        <w:t xml:space="preserve"> and banks’ profitability</w:t>
      </w:r>
      <w:r w:rsidRPr="00812E8B">
        <w:rPr>
          <w:lang w:val="en-US"/>
        </w:rPr>
        <w:t xml:space="preserve"> could have altered during this period.</w:t>
      </w:r>
      <w:r w:rsidR="00DE1E84" w:rsidRPr="00812E8B">
        <w:rPr>
          <w:lang w:val="en-US"/>
        </w:rPr>
        <w:t xml:space="preserve"> Those impacts could also be very interesting and </w:t>
      </w:r>
      <w:r w:rsidRPr="00812E8B">
        <w:rPr>
          <w:lang w:val="en-US"/>
        </w:rPr>
        <w:t>valuable in assessing relationships</w:t>
      </w:r>
      <w:r w:rsidR="002765F8" w:rsidRPr="00812E8B">
        <w:rPr>
          <w:lang w:val="en-US"/>
        </w:rPr>
        <w:t xml:space="preserve"> </w:t>
      </w:r>
      <w:r w:rsidR="002B0029" w:rsidRPr="00812E8B">
        <w:rPr>
          <w:lang w:val="en-US"/>
        </w:rPr>
        <w:t xml:space="preserve">therefore the following </w:t>
      </w:r>
      <w:r w:rsidRPr="00812E8B">
        <w:rPr>
          <w:lang w:val="en-US"/>
        </w:rPr>
        <w:t xml:space="preserve">sub question is defined: </w:t>
      </w:r>
    </w:p>
    <w:p w:rsidR="0006234A" w:rsidRPr="00812E8B" w:rsidRDefault="0006234A" w:rsidP="00CE1B03">
      <w:pPr>
        <w:pStyle w:val="NoSpacing"/>
        <w:spacing w:line="276" w:lineRule="auto"/>
        <w:jc w:val="both"/>
        <w:rPr>
          <w:lang w:val="en-US"/>
        </w:rPr>
      </w:pPr>
    </w:p>
    <w:p w:rsidR="002765F8" w:rsidRPr="00812E8B" w:rsidRDefault="002765F8" w:rsidP="002765F8">
      <w:pPr>
        <w:pStyle w:val="NoSpacing"/>
        <w:pBdr>
          <w:bottom w:val="single" w:sz="4" w:space="1" w:color="auto"/>
        </w:pBdr>
        <w:spacing w:line="180" w:lineRule="auto"/>
        <w:jc w:val="both"/>
        <w:rPr>
          <w:lang w:val="en-US"/>
        </w:rPr>
      </w:pPr>
      <w:r w:rsidRPr="00812E8B">
        <w:rPr>
          <w:lang w:val="en-US"/>
        </w:rPr>
        <w:t xml:space="preserve">Sub question </w:t>
      </w:r>
    </w:p>
    <w:p w:rsidR="0006234A" w:rsidRPr="00812E8B" w:rsidRDefault="00DA04A4" w:rsidP="00234533">
      <w:pPr>
        <w:pStyle w:val="NoSpacing"/>
        <w:spacing w:line="276" w:lineRule="auto"/>
        <w:ind w:left="630" w:right="702"/>
        <w:rPr>
          <w:i/>
          <w:lang w:val="en-US"/>
        </w:rPr>
      </w:pPr>
      <w:r w:rsidRPr="00812E8B">
        <w:rPr>
          <w:i/>
          <w:lang w:val="en-US"/>
        </w:rPr>
        <w:t xml:space="preserve">Did </w:t>
      </w:r>
      <w:r w:rsidR="00894604" w:rsidRPr="00812E8B">
        <w:rPr>
          <w:i/>
          <w:lang w:val="en-US"/>
        </w:rPr>
        <w:t>re</w:t>
      </w:r>
      <w:r w:rsidR="00C36E14" w:rsidRPr="00812E8B">
        <w:rPr>
          <w:i/>
          <w:lang w:val="en-US"/>
        </w:rPr>
        <w:t xml:space="preserve">lationships between determinants of </w:t>
      </w:r>
      <w:r w:rsidR="00894604" w:rsidRPr="00812E8B">
        <w:rPr>
          <w:i/>
          <w:lang w:val="en-US"/>
        </w:rPr>
        <w:t>banks’ pr</w:t>
      </w:r>
      <w:r w:rsidRPr="00812E8B">
        <w:rPr>
          <w:i/>
          <w:lang w:val="en-US"/>
        </w:rPr>
        <w:t>ofitability change</w:t>
      </w:r>
      <w:r w:rsidR="00894604" w:rsidRPr="00812E8B">
        <w:rPr>
          <w:i/>
          <w:lang w:val="en-US"/>
        </w:rPr>
        <w:t xml:space="preserve"> during the financial </w:t>
      </w:r>
      <w:r w:rsidR="0006234A" w:rsidRPr="00812E8B">
        <w:rPr>
          <w:i/>
          <w:lang w:val="en-US"/>
        </w:rPr>
        <w:t xml:space="preserve">crisis? </w:t>
      </w:r>
    </w:p>
    <w:p w:rsidR="00935B4B" w:rsidRPr="00812E8B" w:rsidRDefault="00935B4B" w:rsidP="00CE1B03">
      <w:pPr>
        <w:pStyle w:val="NoSpacing"/>
        <w:spacing w:line="276" w:lineRule="auto"/>
        <w:rPr>
          <w:lang w:val="en-US"/>
        </w:rPr>
      </w:pPr>
    </w:p>
    <w:p w:rsidR="00624BF9" w:rsidRPr="00812E8B" w:rsidRDefault="00624BF9" w:rsidP="00CE1B03">
      <w:pPr>
        <w:pStyle w:val="Heading2"/>
        <w:tabs>
          <w:tab w:val="right" w:pos="9072"/>
        </w:tabs>
        <w:rPr>
          <w:color w:val="auto"/>
          <w:lang w:val="en-US"/>
        </w:rPr>
      </w:pPr>
      <w:bookmarkStart w:id="6" w:name="_Toc306359630"/>
      <w:r w:rsidRPr="00812E8B">
        <w:rPr>
          <w:color w:val="auto"/>
          <w:lang w:val="en-US"/>
        </w:rPr>
        <w:t>1.</w:t>
      </w:r>
      <w:r w:rsidR="00C37232" w:rsidRPr="00812E8B">
        <w:rPr>
          <w:color w:val="auto"/>
          <w:lang w:val="en-US"/>
        </w:rPr>
        <w:t>3</w:t>
      </w:r>
      <w:r w:rsidRPr="00812E8B">
        <w:rPr>
          <w:color w:val="auto"/>
          <w:lang w:val="en-US"/>
        </w:rPr>
        <w:t xml:space="preserve"> </w:t>
      </w:r>
      <w:r w:rsidR="00DE0A9D" w:rsidRPr="00812E8B">
        <w:rPr>
          <w:color w:val="auto"/>
          <w:lang w:val="en-US"/>
        </w:rPr>
        <w:t>R</w:t>
      </w:r>
      <w:r w:rsidR="00FB0A28" w:rsidRPr="00812E8B">
        <w:rPr>
          <w:color w:val="auto"/>
          <w:sz w:val="20"/>
          <w:szCs w:val="20"/>
          <w:lang w:val="en-US"/>
        </w:rPr>
        <w:t>ESULTS AND FINDINGS</w:t>
      </w:r>
      <w:bookmarkEnd w:id="6"/>
      <w:r w:rsidR="004F4DAD" w:rsidRPr="00812E8B">
        <w:rPr>
          <w:color w:val="auto"/>
          <w:lang w:val="en-US"/>
        </w:rPr>
        <w:tab/>
      </w:r>
    </w:p>
    <w:p w:rsidR="00010678" w:rsidRPr="00812E8B" w:rsidRDefault="00321996" w:rsidP="00CE1B03">
      <w:pPr>
        <w:pStyle w:val="NoSpacing"/>
        <w:spacing w:line="276" w:lineRule="auto"/>
        <w:jc w:val="both"/>
        <w:rPr>
          <w:lang w:val="en-US"/>
        </w:rPr>
      </w:pPr>
      <w:r w:rsidRPr="00812E8B">
        <w:rPr>
          <w:lang w:val="en-US"/>
        </w:rPr>
        <w:t>The e</w:t>
      </w:r>
      <w:r w:rsidR="00010678" w:rsidRPr="00812E8B">
        <w:rPr>
          <w:lang w:val="en-US"/>
        </w:rPr>
        <w:t xml:space="preserve">mpirical research is based on different theoretical </w:t>
      </w:r>
      <w:r w:rsidR="00A606DC" w:rsidRPr="00812E8B">
        <w:rPr>
          <w:lang w:val="en-US"/>
        </w:rPr>
        <w:t>explanations</w:t>
      </w:r>
      <w:r w:rsidR="00010678" w:rsidRPr="00812E8B">
        <w:rPr>
          <w:lang w:val="en-US"/>
        </w:rPr>
        <w:t xml:space="preserve"> </w:t>
      </w:r>
      <w:r w:rsidR="00A606DC" w:rsidRPr="00812E8B">
        <w:rPr>
          <w:lang w:val="en-US"/>
        </w:rPr>
        <w:t>and</w:t>
      </w:r>
      <w:r w:rsidR="00010678" w:rsidRPr="00812E8B">
        <w:rPr>
          <w:lang w:val="en-US"/>
        </w:rPr>
        <w:t xml:space="preserve"> models. For the relationship </w:t>
      </w:r>
      <w:r w:rsidR="00A606DC" w:rsidRPr="00812E8B">
        <w:rPr>
          <w:lang w:val="en-US"/>
        </w:rPr>
        <w:t>between regulation and profitability</w:t>
      </w:r>
      <w:r w:rsidRPr="00812E8B">
        <w:rPr>
          <w:lang w:val="en-US"/>
        </w:rPr>
        <w:t xml:space="preserve">, </w:t>
      </w:r>
      <w:r w:rsidR="000556BD" w:rsidRPr="00812E8B">
        <w:rPr>
          <w:lang w:val="en-US"/>
        </w:rPr>
        <w:t xml:space="preserve">this study </w:t>
      </w:r>
      <w:r w:rsidR="007F10D5" w:rsidRPr="00812E8B">
        <w:rPr>
          <w:lang w:val="en-US"/>
        </w:rPr>
        <w:t>examines</w:t>
      </w:r>
      <w:r w:rsidR="00A606DC" w:rsidRPr="00812E8B">
        <w:rPr>
          <w:lang w:val="en-US"/>
        </w:rPr>
        <w:t xml:space="preserve"> whether </w:t>
      </w:r>
      <w:r w:rsidR="004D4378" w:rsidRPr="00812E8B">
        <w:rPr>
          <w:lang w:val="en-US"/>
        </w:rPr>
        <w:t xml:space="preserve">future funding and liquidity requirements influence profitability. </w:t>
      </w:r>
      <w:r w:rsidR="00F27CDF" w:rsidRPr="00812E8B">
        <w:rPr>
          <w:lang w:val="en-US"/>
        </w:rPr>
        <w:t xml:space="preserve">Moreover, to </w:t>
      </w:r>
      <w:r w:rsidR="007F10D5" w:rsidRPr="00812E8B">
        <w:rPr>
          <w:lang w:val="en-US"/>
        </w:rPr>
        <w:t>investigate</w:t>
      </w:r>
      <w:r w:rsidR="00010678" w:rsidRPr="00812E8B">
        <w:rPr>
          <w:lang w:val="en-US"/>
        </w:rPr>
        <w:t xml:space="preserve"> the relationship </w:t>
      </w:r>
      <w:r w:rsidR="00A606DC" w:rsidRPr="00812E8B">
        <w:rPr>
          <w:lang w:val="en-US"/>
        </w:rPr>
        <w:t xml:space="preserve">between ownership structure and banks’ profitability the agency theory of </w:t>
      </w:r>
      <w:r w:rsidR="007F1875" w:rsidRPr="00812E8B">
        <w:rPr>
          <w:color w:val="365F91" w:themeColor="accent1" w:themeShade="BF"/>
          <w:lang w:val="en-US"/>
        </w:rPr>
        <w:t>Jensen and Meckling (1976)</w:t>
      </w:r>
      <w:r w:rsidRPr="00812E8B">
        <w:rPr>
          <w:color w:val="365F91" w:themeColor="accent1" w:themeShade="BF"/>
          <w:lang w:val="en-US"/>
        </w:rPr>
        <w:t xml:space="preserve"> </w:t>
      </w:r>
      <w:r w:rsidRPr="00812E8B">
        <w:rPr>
          <w:lang w:val="en-US"/>
        </w:rPr>
        <w:t xml:space="preserve">is </w:t>
      </w:r>
      <w:r w:rsidR="007F10D5" w:rsidRPr="00812E8B">
        <w:rPr>
          <w:lang w:val="en-US"/>
        </w:rPr>
        <w:t>tested</w:t>
      </w:r>
      <w:r w:rsidR="00A606DC" w:rsidRPr="00812E8B">
        <w:rPr>
          <w:lang w:val="en-US"/>
        </w:rPr>
        <w:t>. Th</w:t>
      </w:r>
      <w:r w:rsidR="007F10D5" w:rsidRPr="00812E8B">
        <w:rPr>
          <w:lang w:val="en-US"/>
        </w:rPr>
        <w:t>eir</w:t>
      </w:r>
      <w:r w:rsidR="00A606DC" w:rsidRPr="00812E8B">
        <w:rPr>
          <w:lang w:val="en-US"/>
        </w:rPr>
        <w:t xml:space="preserve"> hypothesis suggest</w:t>
      </w:r>
      <w:r w:rsidRPr="00812E8B">
        <w:rPr>
          <w:lang w:val="en-US"/>
        </w:rPr>
        <w:t>s</w:t>
      </w:r>
      <w:r w:rsidR="00A606DC" w:rsidRPr="00812E8B">
        <w:rPr>
          <w:lang w:val="en-US"/>
        </w:rPr>
        <w:t xml:space="preserve"> that profitability is influenced by </w:t>
      </w:r>
      <w:r w:rsidRPr="00812E8B">
        <w:rPr>
          <w:lang w:val="en-US"/>
        </w:rPr>
        <w:t>the</w:t>
      </w:r>
      <w:r w:rsidR="002C4EE4" w:rsidRPr="00812E8B">
        <w:rPr>
          <w:lang w:val="en-US"/>
        </w:rPr>
        <w:t xml:space="preserve"> ownership structure</w:t>
      </w:r>
      <w:r w:rsidR="00A606DC" w:rsidRPr="00812E8B">
        <w:rPr>
          <w:lang w:val="en-US"/>
        </w:rPr>
        <w:t xml:space="preserve">; it </w:t>
      </w:r>
      <w:r w:rsidRPr="00812E8B">
        <w:rPr>
          <w:lang w:val="en-US"/>
        </w:rPr>
        <w:t>assumes</w:t>
      </w:r>
      <w:r w:rsidR="00A606DC" w:rsidRPr="00812E8B">
        <w:rPr>
          <w:lang w:val="en-US"/>
        </w:rPr>
        <w:t xml:space="preserve"> that </w:t>
      </w:r>
      <w:r w:rsidR="00D17876" w:rsidRPr="00812E8B">
        <w:rPr>
          <w:lang w:val="en-US"/>
        </w:rPr>
        <w:t>shareholder</w:t>
      </w:r>
      <w:r w:rsidR="00A606DC" w:rsidRPr="00812E8B">
        <w:rPr>
          <w:lang w:val="en-US"/>
        </w:rPr>
        <w:t xml:space="preserve"> owned banks are more profitable than mutual, </w:t>
      </w:r>
      <w:r w:rsidR="002D7A25" w:rsidRPr="00812E8B">
        <w:rPr>
          <w:lang w:val="en-US"/>
        </w:rPr>
        <w:t>co-operative</w:t>
      </w:r>
      <w:r w:rsidR="00A606DC" w:rsidRPr="00812E8B">
        <w:rPr>
          <w:lang w:val="en-US"/>
        </w:rPr>
        <w:t xml:space="preserve"> and state-owned banks. </w:t>
      </w:r>
      <w:r w:rsidR="000D36D5" w:rsidRPr="00812E8B">
        <w:rPr>
          <w:lang w:val="en-US"/>
        </w:rPr>
        <w:t>F</w:t>
      </w:r>
      <w:r w:rsidR="00010678" w:rsidRPr="00812E8B">
        <w:rPr>
          <w:lang w:val="en-US"/>
        </w:rPr>
        <w:t xml:space="preserve">inally, </w:t>
      </w:r>
      <w:r w:rsidR="000556BD" w:rsidRPr="00812E8B">
        <w:rPr>
          <w:lang w:val="en-US"/>
        </w:rPr>
        <w:t xml:space="preserve">different theoretical explanations are used </w:t>
      </w:r>
      <w:r w:rsidR="00010678" w:rsidRPr="00812E8B">
        <w:rPr>
          <w:lang w:val="en-US"/>
        </w:rPr>
        <w:t xml:space="preserve">to test </w:t>
      </w:r>
      <w:r w:rsidR="000D36D5" w:rsidRPr="00812E8B">
        <w:rPr>
          <w:lang w:val="en-US"/>
        </w:rPr>
        <w:t xml:space="preserve">the relationship between several </w:t>
      </w:r>
      <w:r w:rsidR="00010678" w:rsidRPr="00812E8B">
        <w:rPr>
          <w:lang w:val="en-US"/>
        </w:rPr>
        <w:t>balance sheet ratios</w:t>
      </w:r>
      <w:r w:rsidR="000D36D5" w:rsidRPr="00812E8B">
        <w:rPr>
          <w:lang w:val="en-US"/>
        </w:rPr>
        <w:t xml:space="preserve"> and banks’ profitability</w:t>
      </w:r>
      <w:r w:rsidR="00DA04A4" w:rsidRPr="00812E8B">
        <w:rPr>
          <w:lang w:val="en-US"/>
        </w:rPr>
        <w:t>.</w:t>
      </w:r>
      <w:r w:rsidR="004D4378" w:rsidRPr="00812E8B">
        <w:rPr>
          <w:lang w:val="en-US"/>
        </w:rPr>
        <w:t xml:space="preserve"> For instance, for the relationship between the </w:t>
      </w:r>
      <w:r w:rsidR="00335EFC" w:rsidRPr="00812E8B">
        <w:rPr>
          <w:lang w:val="en-US"/>
        </w:rPr>
        <w:t>equity-to-asset ratio</w:t>
      </w:r>
      <w:r w:rsidR="004D4378" w:rsidRPr="00812E8B">
        <w:rPr>
          <w:lang w:val="en-US"/>
        </w:rPr>
        <w:t xml:space="preserve"> and profitability the signaling and bankruptcy cost hypothesis are contrasted against the risk-return hypothesis.</w:t>
      </w:r>
    </w:p>
    <w:p w:rsidR="000D36D5" w:rsidRPr="00812E8B" w:rsidRDefault="000D36D5" w:rsidP="00CE1B03">
      <w:pPr>
        <w:pStyle w:val="NoSpacing"/>
        <w:spacing w:line="276" w:lineRule="auto"/>
        <w:jc w:val="both"/>
        <w:rPr>
          <w:lang w:val="en-US"/>
        </w:rPr>
      </w:pPr>
    </w:p>
    <w:p w:rsidR="007F10D5" w:rsidRPr="00812E8B" w:rsidRDefault="000556BD" w:rsidP="00234533">
      <w:pPr>
        <w:pStyle w:val="NoSpacing"/>
        <w:spacing w:line="276" w:lineRule="auto"/>
        <w:jc w:val="both"/>
        <w:rPr>
          <w:lang w:val="en-US"/>
        </w:rPr>
      </w:pPr>
      <w:r w:rsidRPr="00812E8B">
        <w:rPr>
          <w:lang w:val="en-US"/>
        </w:rPr>
        <w:t>The research question is investigated using a</w:t>
      </w:r>
      <w:r w:rsidR="00C262B7" w:rsidRPr="00812E8B">
        <w:rPr>
          <w:lang w:val="en-US"/>
        </w:rPr>
        <w:t xml:space="preserve"> regression model based on the two-step system g</w:t>
      </w:r>
      <w:r w:rsidRPr="00812E8B">
        <w:rPr>
          <w:lang w:val="en-US"/>
        </w:rPr>
        <w:t xml:space="preserve">eneralized </w:t>
      </w:r>
      <w:r w:rsidR="00C262B7" w:rsidRPr="00812E8B">
        <w:rPr>
          <w:lang w:val="en-US"/>
        </w:rPr>
        <w:t>m</w:t>
      </w:r>
      <w:r w:rsidRPr="00812E8B">
        <w:rPr>
          <w:lang w:val="en-US"/>
        </w:rPr>
        <w:t xml:space="preserve">ethod of </w:t>
      </w:r>
      <w:r w:rsidR="00C262B7" w:rsidRPr="00812E8B">
        <w:rPr>
          <w:lang w:val="en-US"/>
        </w:rPr>
        <w:t>m</w:t>
      </w:r>
      <w:r w:rsidRPr="00812E8B">
        <w:rPr>
          <w:lang w:val="en-US"/>
        </w:rPr>
        <w:t>oments</w:t>
      </w:r>
      <w:r w:rsidR="00C262B7" w:rsidRPr="00812E8B">
        <w:rPr>
          <w:lang w:val="en-US"/>
        </w:rPr>
        <w:t xml:space="preserve"> (GMM) estimator</w:t>
      </w:r>
      <w:r w:rsidRPr="00812E8B">
        <w:rPr>
          <w:lang w:val="en-US"/>
        </w:rPr>
        <w:t xml:space="preserve">. Using </w:t>
      </w:r>
      <w:r w:rsidR="00C262B7" w:rsidRPr="00812E8B">
        <w:rPr>
          <w:lang w:val="en-US"/>
        </w:rPr>
        <w:t>an</w:t>
      </w:r>
      <w:r w:rsidRPr="00812E8B">
        <w:rPr>
          <w:lang w:val="en-US"/>
        </w:rPr>
        <w:t xml:space="preserve"> </w:t>
      </w:r>
      <w:r w:rsidR="00C262B7" w:rsidRPr="00812E8B">
        <w:rPr>
          <w:lang w:val="en-US"/>
        </w:rPr>
        <w:t>unbalanced panel</w:t>
      </w:r>
      <w:r w:rsidRPr="00812E8B">
        <w:rPr>
          <w:lang w:val="en-US"/>
        </w:rPr>
        <w:t xml:space="preserve"> of </w:t>
      </w:r>
      <w:r w:rsidR="00D917BC" w:rsidRPr="00812E8B">
        <w:rPr>
          <w:lang w:val="en-US"/>
        </w:rPr>
        <w:t>354</w:t>
      </w:r>
      <w:r w:rsidRPr="00812E8B">
        <w:rPr>
          <w:lang w:val="en-US"/>
        </w:rPr>
        <w:t xml:space="preserve"> European banks between </w:t>
      </w:r>
      <w:r w:rsidR="00C262B7" w:rsidRPr="00812E8B">
        <w:rPr>
          <w:lang w:val="en-US"/>
        </w:rPr>
        <w:t>2000</w:t>
      </w:r>
      <w:r w:rsidRPr="00812E8B">
        <w:rPr>
          <w:lang w:val="en-US"/>
        </w:rPr>
        <w:t xml:space="preserve"> and </w:t>
      </w:r>
      <w:r w:rsidR="00C262B7" w:rsidRPr="00812E8B">
        <w:rPr>
          <w:lang w:val="en-US"/>
        </w:rPr>
        <w:t>2009</w:t>
      </w:r>
      <w:r w:rsidRPr="00812E8B">
        <w:rPr>
          <w:lang w:val="en-US"/>
        </w:rPr>
        <w:t xml:space="preserve"> this thesis</w:t>
      </w:r>
      <w:r w:rsidR="004D4378" w:rsidRPr="00812E8B">
        <w:rPr>
          <w:lang w:val="en-US"/>
        </w:rPr>
        <w:t xml:space="preserve"> find little support that</w:t>
      </w:r>
      <w:r w:rsidR="007F10D5" w:rsidRPr="00812E8B">
        <w:rPr>
          <w:lang w:val="en-US"/>
        </w:rPr>
        <w:t xml:space="preserve"> the variable customer deposits to total funding and the variable liquid assets to short term funding (excluding derivatives) are determinants for banks’ </w:t>
      </w:r>
      <w:r w:rsidR="004D4378" w:rsidRPr="00812E8B">
        <w:rPr>
          <w:lang w:val="en-US"/>
        </w:rPr>
        <w:t xml:space="preserve">profitability. Both the liquidity and funding ratios are insignificant in </w:t>
      </w:r>
      <w:r w:rsidR="00BC7621" w:rsidRPr="00812E8B">
        <w:rPr>
          <w:lang w:val="en-US"/>
        </w:rPr>
        <w:t>all</w:t>
      </w:r>
      <w:r w:rsidR="004D4378" w:rsidRPr="00812E8B">
        <w:rPr>
          <w:lang w:val="en-US"/>
        </w:rPr>
        <w:t xml:space="preserve"> </w:t>
      </w:r>
      <w:r w:rsidR="004D4378" w:rsidRPr="00812E8B">
        <w:rPr>
          <w:lang w:val="en-US"/>
        </w:rPr>
        <w:lastRenderedPageBreak/>
        <w:t>periods</w:t>
      </w:r>
      <w:r w:rsidR="007F10D5" w:rsidRPr="00812E8B">
        <w:rPr>
          <w:lang w:val="en-US"/>
        </w:rPr>
        <w:t xml:space="preserve"> suggesting that future funding and liquidity requirements do not influence profitability, ceteris paribus</w:t>
      </w:r>
      <w:r w:rsidR="004D4378" w:rsidRPr="00812E8B">
        <w:rPr>
          <w:lang w:val="en-US"/>
        </w:rPr>
        <w:t>.</w:t>
      </w:r>
      <w:r w:rsidR="007F10D5" w:rsidRPr="00812E8B">
        <w:rPr>
          <w:lang w:val="en-US"/>
        </w:rPr>
        <w:t xml:space="preserve"> However, discussions between practitioners and supervisors indicate that requirements could influence future banking activities through different other mechanisms. </w:t>
      </w:r>
      <w:r w:rsidR="004D4378" w:rsidRPr="00812E8B">
        <w:rPr>
          <w:lang w:val="en-US"/>
        </w:rPr>
        <w:t xml:space="preserve"> Besides, t</w:t>
      </w:r>
      <w:r w:rsidR="00C262B7" w:rsidRPr="00812E8B">
        <w:rPr>
          <w:lang w:val="en-US"/>
        </w:rPr>
        <w:t>here is only some moderate evidence for the agency theory</w:t>
      </w:r>
      <w:r w:rsidR="004D4378" w:rsidRPr="00812E8B">
        <w:rPr>
          <w:lang w:val="en-US"/>
        </w:rPr>
        <w:t xml:space="preserve">; </w:t>
      </w:r>
      <w:r w:rsidR="007F10D5" w:rsidRPr="00812E8B">
        <w:rPr>
          <w:lang w:val="en-US"/>
        </w:rPr>
        <w:t xml:space="preserve">the parameter for the dummy variable of </w:t>
      </w:r>
      <w:r w:rsidR="00C262B7" w:rsidRPr="00812E8B">
        <w:rPr>
          <w:lang w:val="en-US"/>
        </w:rPr>
        <w:t>government</w:t>
      </w:r>
      <w:r w:rsidR="007F10D5" w:rsidRPr="00812E8B">
        <w:rPr>
          <w:lang w:val="en-US"/>
        </w:rPr>
        <w:t>-</w:t>
      </w:r>
      <w:r w:rsidR="00C262B7" w:rsidRPr="00812E8B">
        <w:rPr>
          <w:lang w:val="en-US"/>
        </w:rPr>
        <w:t xml:space="preserve">owned banks </w:t>
      </w:r>
      <w:r w:rsidR="007F10D5" w:rsidRPr="00812E8B">
        <w:rPr>
          <w:lang w:val="en-US"/>
        </w:rPr>
        <w:t>is significant and negative but only in the total sample and on a 10% level. The coefficient for stakeholder-</w:t>
      </w:r>
      <w:r w:rsidR="004D4378" w:rsidRPr="00812E8B">
        <w:rPr>
          <w:lang w:val="en-US"/>
        </w:rPr>
        <w:t xml:space="preserve">owned banks, however, is insignificant; </w:t>
      </w:r>
      <w:r w:rsidR="00BC7621" w:rsidRPr="00812E8B">
        <w:rPr>
          <w:lang w:val="en-US"/>
        </w:rPr>
        <w:t>indicating that</w:t>
      </w:r>
      <w:r w:rsidR="004D4378" w:rsidRPr="00812E8B">
        <w:rPr>
          <w:lang w:val="en-US"/>
        </w:rPr>
        <w:t xml:space="preserve"> there is no evidence that</w:t>
      </w:r>
      <w:r w:rsidR="00BC7621" w:rsidRPr="00812E8B">
        <w:rPr>
          <w:lang w:val="en-US"/>
        </w:rPr>
        <w:t xml:space="preserve"> stakeholder-owned banks </w:t>
      </w:r>
      <w:r w:rsidR="004D4378" w:rsidRPr="00812E8B">
        <w:rPr>
          <w:lang w:val="en-US"/>
        </w:rPr>
        <w:t xml:space="preserve">perform worse than their </w:t>
      </w:r>
      <w:r w:rsidR="00D17876" w:rsidRPr="00812E8B">
        <w:rPr>
          <w:lang w:val="en-US"/>
        </w:rPr>
        <w:t>shareholder</w:t>
      </w:r>
      <w:r w:rsidR="00D31A4A">
        <w:rPr>
          <w:lang w:val="en-US"/>
        </w:rPr>
        <w:t>-</w:t>
      </w:r>
      <w:r w:rsidR="004D4378" w:rsidRPr="00812E8B">
        <w:rPr>
          <w:lang w:val="en-US"/>
        </w:rPr>
        <w:t>owned counterparts.</w:t>
      </w:r>
      <w:r w:rsidR="00BC7621" w:rsidRPr="00812E8B">
        <w:rPr>
          <w:lang w:val="en-US"/>
        </w:rPr>
        <w:t xml:space="preserve"> </w:t>
      </w:r>
      <w:r w:rsidR="007F10D5" w:rsidRPr="00812E8B">
        <w:rPr>
          <w:lang w:val="en-US"/>
        </w:rPr>
        <w:t>The most explaining power</w:t>
      </w:r>
      <w:r w:rsidR="00D31A4A" w:rsidRPr="00D31A4A">
        <w:rPr>
          <w:lang w:val="en-US"/>
        </w:rPr>
        <w:t xml:space="preserve"> </w:t>
      </w:r>
      <w:r w:rsidR="00D31A4A" w:rsidRPr="00812E8B">
        <w:rPr>
          <w:lang w:val="en-US"/>
        </w:rPr>
        <w:t>for banks’ profitability</w:t>
      </w:r>
      <w:r w:rsidR="007F10D5" w:rsidRPr="00812E8B">
        <w:rPr>
          <w:lang w:val="en-US"/>
        </w:rPr>
        <w:t xml:space="preserve">, in the total sample, </w:t>
      </w:r>
      <w:r w:rsidR="004D4378" w:rsidRPr="00812E8B">
        <w:rPr>
          <w:lang w:val="en-US"/>
        </w:rPr>
        <w:t>is attributed to th</w:t>
      </w:r>
      <w:r w:rsidR="007F10D5" w:rsidRPr="00812E8B">
        <w:rPr>
          <w:lang w:val="en-US"/>
        </w:rPr>
        <w:t>e one-year lag of profitability justifying the dynamic nature of the model. Note, however,</w:t>
      </w:r>
      <w:r w:rsidR="004D4378" w:rsidRPr="00812E8B">
        <w:rPr>
          <w:lang w:val="en-US"/>
        </w:rPr>
        <w:t xml:space="preserve"> </w:t>
      </w:r>
      <w:r w:rsidR="007F10D5" w:rsidRPr="00812E8B">
        <w:rPr>
          <w:lang w:val="en-US"/>
        </w:rPr>
        <w:t xml:space="preserve">that profit persistence is not observed in both subsamples. </w:t>
      </w:r>
      <w:r w:rsidR="00BC7621" w:rsidRPr="00812E8B">
        <w:rPr>
          <w:lang w:val="en-US"/>
        </w:rPr>
        <w:t>Continuing to the bank-specific variables the equity-to-asset ratio positively explains banks’ profitability; supporting the signaling or bankruptcy cost hypothesis. Other interesting findings include (i) a positive and significant coefficient for non-interest income and (ii) an insignificant coefficient for funding costs. The first coefficient indicates that a bank generate a higher spread on non-interest activities or that income diversification is positive contributor to the profits. The second insignificant parameter indicates that banks are able to charge their funding costs on to customers.  Within the industry-speicifc variables the concentration and size variables are both insignificant not supporting the large consolidation and expansion in the banking sector over the last decade. Furthermore, f</w:t>
      </w:r>
      <w:r w:rsidR="007F10D5" w:rsidRPr="00812E8B">
        <w:rPr>
          <w:lang w:val="en-US"/>
        </w:rPr>
        <w:t xml:space="preserve">rom the macroeconomic variables only the business cycle is a determinant for banks’ profitability. </w:t>
      </w:r>
    </w:p>
    <w:p w:rsidR="00BC7621" w:rsidRPr="00812E8B" w:rsidRDefault="00BC7621" w:rsidP="00234533">
      <w:pPr>
        <w:pStyle w:val="NoSpacing"/>
        <w:spacing w:line="276" w:lineRule="auto"/>
        <w:jc w:val="both"/>
        <w:rPr>
          <w:lang w:val="en-US"/>
        </w:rPr>
      </w:pPr>
    </w:p>
    <w:p w:rsidR="00624BF9" w:rsidRPr="00812E8B" w:rsidRDefault="00624BF9" w:rsidP="00CE1B03">
      <w:pPr>
        <w:pStyle w:val="Heading2"/>
        <w:rPr>
          <w:color w:val="auto"/>
          <w:lang w:val="en-US"/>
        </w:rPr>
      </w:pPr>
      <w:bookmarkStart w:id="7" w:name="_Toc306359631"/>
      <w:r w:rsidRPr="00812E8B">
        <w:rPr>
          <w:color w:val="auto"/>
          <w:lang w:val="en-US"/>
        </w:rPr>
        <w:t>1.</w:t>
      </w:r>
      <w:r w:rsidR="00C37232" w:rsidRPr="00812E8B">
        <w:rPr>
          <w:color w:val="auto"/>
          <w:lang w:val="en-US"/>
        </w:rPr>
        <w:t>4</w:t>
      </w:r>
      <w:r w:rsidRPr="00812E8B">
        <w:rPr>
          <w:color w:val="auto"/>
          <w:lang w:val="en-US"/>
        </w:rPr>
        <w:t xml:space="preserve"> </w:t>
      </w:r>
      <w:r w:rsidR="006F4D1B" w:rsidRPr="00812E8B">
        <w:rPr>
          <w:color w:val="auto"/>
          <w:lang w:val="en-US"/>
        </w:rPr>
        <w:t>O</w:t>
      </w:r>
      <w:r w:rsidR="00FB0A28" w:rsidRPr="00812E8B">
        <w:rPr>
          <w:color w:val="auto"/>
          <w:sz w:val="20"/>
          <w:szCs w:val="20"/>
          <w:lang w:val="en-US"/>
        </w:rPr>
        <w:t>UTLINE</w:t>
      </w:r>
      <w:bookmarkEnd w:id="7"/>
      <w:r w:rsidR="006F4D1B" w:rsidRPr="00812E8B">
        <w:rPr>
          <w:color w:val="auto"/>
          <w:lang w:val="en-US"/>
        </w:rPr>
        <w:t xml:space="preserve"> </w:t>
      </w:r>
    </w:p>
    <w:p w:rsidR="00265DA8" w:rsidRPr="00812E8B" w:rsidRDefault="007A20DF" w:rsidP="00CE1B03">
      <w:pPr>
        <w:pStyle w:val="NoSpacing"/>
        <w:spacing w:line="276" w:lineRule="auto"/>
        <w:jc w:val="both"/>
        <w:rPr>
          <w:lang w:val="en-US"/>
        </w:rPr>
      </w:pPr>
      <w:r w:rsidRPr="00812E8B">
        <w:rPr>
          <w:lang w:val="en-US"/>
        </w:rPr>
        <w:t>The remainder of this thesis is structured as follows. The next chapter introduces underlying concepts of banking and provides a brief overview of the regulation to which banks are subject. Subsequently, in chapter three the empirical research on ba</w:t>
      </w:r>
      <w:r w:rsidR="000556BD" w:rsidRPr="00812E8B">
        <w:rPr>
          <w:lang w:val="en-US"/>
        </w:rPr>
        <w:t>nks’ profitability is reviewed</w:t>
      </w:r>
      <w:r w:rsidR="00DA04A4" w:rsidRPr="00812E8B">
        <w:rPr>
          <w:lang w:val="en-US"/>
        </w:rPr>
        <w:t xml:space="preserve"> by </w:t>
      </w:r>
      <w:r w:rsidRPr="00812E8B">
        <w:rPr>
          <w:lang w:val="en-US"/>
        </w:rPr>
        <w:t>present</w:t>
      </w:r>
      <w:r w:rsidR="00DA04A4" w:rsidRPr="00812E8B">
        <w:rPr>
          <w:lang w:val="en-US"/>
        </w:rPr>
        <w:t xml:space="preserve">ing </w:t>
      </w:r>
      <w:r w:rsidRPr="00812E8B">
        <w:rPr>
          <w:lang w:val="en-US"/>
        </w:rPr>
        <w:t xml:space="preserve">findings of research on regulation, ownership structure and other (mostly bank-specific) determinants of profitability. </w:t>
      </w:r>
      <w:r w:rsidR="00DA04A4" w:rsidRPr="00812E8B">
        <w:rPr>
          <w:lang w:val="en-US"/>
        </w:rPr>
        <w:t>C</w:t>
      </w:r>
      <w:r w:rsidRPr="00812E8B">
        <w:rPr>
          <w:lang w:val="en-US"/>
        </w:rPr>
        <w:t xml:space="preserve">hapter four selects the variables and determinants for banks’ profitability. This chapter also </w:t>
      </w:r>
      <w:r w:rsidR="002B0029" w:rsidRPr="00812E8B">
        <w:rPr>
          <w:lang w:val="en-US"/>
        </w:rPr>
        <w:t>presents hypotheses for</w:t>
      </w:r>
      <w:r w:rsidRPr="00812E8B">
        <w:rPr>
          <w:lang w:val="en-US"/>
        </w:rPr>
        <w:t xml:space="preserve"> the expected sign for the relationships between the explanatory variables and the dependent variable. Subsequently, chapter five</w:t>
      </w:r>
      <w:r w:rsidR="007F10D5" w:rsidRPr="00812E8B">
        <w:rPr>
          <w:lang w:val="en-US"/>
        </w:rPr>
        <w:t xml:space="preserve"> will </w:t>
      </w:r>
      <w:r w:rsidRPr="00812E8B">
        <w:rPr>
          <w:lang w:val="en-US"/>
        </w:rPr>
        <w:t xml:space="preserve">describe the </w:t>
      </w:r>
      <w:r w:rsidR="007F10D5" w:rsidRPr="00812E8B">
        <w:rPr>
          <w:lang w:val="en-US"/>
        </w:rPr>
        <w:t xml:space="preserve">sample and </w:t>
      </w:r>
      <w:r w:rsidRPr="00812E8B">
        <w:rPr>
          <w:lang w:val="en-US"/>
        </w:rPr>
        <w:t xml:space="preserve">the regression model. Consequently, chapter six presents the results of the regression analysis described in chapter five. </w:t>
      </w:r>
      <w:r w:rsidR="00972F90" w:rsidRPr="00812E8B">
        <w:rPr>
          <w:lang w:val="en-US"/>
        </w:rPr>
        <w:t>In addition</w:t>
      </w:r>
      <w:r w:rsidRPr="00812E8B">
        <w:rPr>
          <w:lang w:val="en-US"/>
        </w:rPr>
        <w:t xml:space="preserve">, chapter six also </w:t>
      </w:r>
      <w:r w:rsidR="000556BD" w:rsidRPr="00812E8B">
        <w:rPr>
          <w:lang w:val="en-US"/>
        </w:rPr>
        <w:t xml:space="preserve">report </w:t>
      </w:r>
      <w:r w:rsidRPr="00812E8B">
        <w:rPr>
          <w:lang w:val="en-US"/>
        </w:rPr>
        <w:t xml:space="preserve">robustness checks to validate results. Finally, chapter seven concludes </w:t>
      </w:r>
      <w:r w:rsidR="00BA26F6" w:rsidRPr="00812E8B">
        <w:rPr>
          <w:lang w:val="en-US"/>
        </w:rPr>
        <w:t>by summarizing the</w:t>
      </w:r>
      <w:r w:rsidRPr="00812E8B">
        <w:rPr>
          <w:lang w:val="en-US"/>
        </w:rPr>
        <w:t xml:space="preserve"> findings of this thesis </w:t>
      </w:r>
      <w:r w:rsidR="00BA26F6" w:rsidRPr="00812E8B">
        <w:rPr>
          <w:lang w:val="en-US"/>
        </w:rPr>
        <w:t xml:space="preserve">and </w:t>
      </w:r>
      <w:r w:rsidRPr="00812E8B">
        <w:rPr>
          <w:lang w:val="en-US"/>
        </w:rPr>
        <w:t>by answering the research question. Moreover, chapter seven also discusses the implications for further research and gives remarks and limit</w:t>
      </w:r>
      <w:r w:rsidR="00265DA8" w:rsidRPr="00812E8B">
        <w:rPr>
          <w:lang w:val="en-US"/>
        </w:rPr>
        <w:t>ations of the findings.</w:t>
      </w:r>
    </w:p>
    <w:p w:rsidR="00265DA8" w:rsidRPr="00812E8B" w:rsidRDefault="00265DA8" w:rsidP="00265DA8">
      <w:pPr>
        <w:pStyle w:val="NoSpacing"/>
        <w:jc w:val="both"/>
        <w:rPr>
          <w:lang w:val="en-US"/>
        </w:rPr>
      </w:pPr>
    </w:p>
    <w:p w:rsidR="00265DA8" w:rsidRPr="00812E8B" w:rsidRDefault="00265DA8" w:rsidP="00265DA8">
      <w:pPr>
        <w:pStyle w:val="NoSpacing"/>
        <w:jc w:val="both"/>
        <w:rPr>
          <w:lang w:val="en-US"/>
        </w:rPr>
        <w:sectPr w:rsidR="00265DA8" w:rsidRPr="00812E8B" w:rsidSect="007B2CB1">
          <w:headerReference w:type="default" r:id="rId16"/>
          <w:headerReference w:type="first" r:id="rId17"/>
          <w:endnotePr>
            <w:numFmt w:val="decimal"/>
          </w:endnotePr>
          <w:pgSz w:w="11906" w:h="16838"/>
          <w:pgMar w:top="1710" w:right="1417" w:bottom="1417" w:left="1417" w:header="708" w:footer="708" w:gutter="0"/>
          <w:pgNumType w:start="1"/>
          <w:cols w:space="708"/>
          <w:titlePg/>
          <w:docGrid w:linePitch="360"/>
        </w:sectPr>
      </w:pPr>
    </w:p>
    <w:p w:rsidR="00B93B64" w:rsidRPr="00812E8B" w:rsidRDefault="008D2467" w:rsidP="00C468F1">
      <w:pPr>
        <w:pStyle w:val="Heading1"/>
        <w:spacing w:line="240" w:lineRule="auto"/>
        <w:jc w:val="left"/>
        <w:rPr>
          <w:color w:val="auto"/>
          <w:lang w:val="en-US"/>
        </w:rPr>
      </w:pPr>
      <w:bookmarkStart w:id="8" w:name="_Toc306359632"/>
      <w:r w:rsidRPr="00812E8B">
        <w:rPr>
          <w:color w:val="auto"/>
          <w:lang w:val="en-US"/>
        </w:rPr>
        <w:lastRenderedPageBreak/>
        <w:t xml:space="preserve">2. </w:t>
      </w:r>
      <w:r w:rsidR="00B32AD2" w:rsidRPr="00812E8B">
        <w:rPr>
          <w:color w:val="auto"/>
          <w:lang w:val="en-US"/>
        </w:rPr>
        <w:t>T</w:t>
      </w:r>
      <w:r w:rsidR="004B7BFF" w:rsidRPr="00812E8B">
        <w:rPr>
          <w:color w:val="auto"/>
          <w:sz w:val="30"/>
          <w:szCs w:val="30"/>
          <w:lang w:val="en-US"/>
        </w:rPr>
        <w:t>HEORETICAL BACKGROUND</w:t>
      </w:r>
      <w:bookmarkEnd w:id="8"/>
    </w:p>
    <w:p w:rsidR="00BD5C9C" w:rsidRPr="00812E8B" w:rsidRDefault="00BD5C9C" w:rsidP="00CE1B03">
      <w:pPr>
        <w:pStyle w:val="NoSpacing"/>
        <w:spacing w:line="276" w:lineRule="auto"/>
        <w:rPr>
          <w:lang w:val="en-US"/>
        </w:rPr>
      </w:pPr>
    </w:p>
    <w:p w:rsidR="001B5B3D" w:rsidRPr="00812E8B" w:rsidRDefault="00F95487" w:rsidP="00CE1B03">
      <w:pPr>
        <w:pStyle w:val="NoSpacing"/>
        <w:spacing w:line="276" w:lineRule="auto"/>
        <w:jc w:val="both"/>
        <w:rPr>
          <w:lang w:val="en-US"/>
        </w:rPr>
      </w:pPr>
      <w:r w:rsidRPr="00812E8B">
        <w:rPr>
          <w:lang w:val="en-US"/>
        </w:rPr>
        <w:t>Several factors influence banks’ operations and banks’ profitability, r</w:t>
      </w:r>
      <w:r w:rsidR="002D360C" w:rsidRPr="00812E8B">
        <w:rPr>
          <w:lang w:val="en-US"/>
        </w:rPr>
        <w:t>ecognizing and understanding the underlying concepts</w:t>
      </w:r>
      <w:r w:rsidR="00C60A9E" w:rsidRPr="00812E8B">
        <w:rPr>
          <w:lang w:val="en-US"/>
        </w:rPr>
        <w:t xml:space="preserve"> and definitions</w:t>
      </w:r>
      <w:r w:rsidR="002D360C" w:rsidRPr="00812E8B">
        <w:rPr>
          <w:lang w:val="en-US"/>
        </w:rPr>
        <w:t xml:space="preserve"> </w:t>
      </w:r>
      <w:r w:rsidR="009663D9" w:rsidRPr="00812E8B">
        <w:rPr>
          <w:lang w:val="en-US"/>
        </w:rPr>
        <w:t xml:space="preserve">of </w:t>
      </w:r>
      <w:r w:rsidR="000556BD" w:rsidRPr="00812E8B">
        <w:rPr>
          <w:lang w:val="en-US"/>
        </w:rPr>
        <w:t>the banking sector</w:t>
      </w:r>
      <w:r w:rsidR="009663D9" w:rsidRPr="00812E8B">
        <w:rPr>
          <w:lang w:val="en-US"/>
        </w:rPr>
        <w:t xml:space="preserve"> </w:t>
      </w:r>
      <w:r w:rsidR="002D360C" w:rsidRPr="00812E8B">
        <w:rPr>
          <w:lang w:val="en-US"/>
        </w:rPr>
        <w:t xml:space="preserve">is </w:t>
      </w:r>
      <w:r w:rsidRPr="00812E8B">
        <w:rPr>
          <w:lang w:val="en-US"/>
        </w:rPr>
        <w:t>essential</w:t>
      </w:r>
      <w:r w:rsidR="002D360C" w:rsidRPr="00812E8B">
        <w:rPr>
          <w:lang w:val="en-US"/>
        </w:rPr>
        <w:t xml:space="preserve"> in order to vouch results and analyses. </w:t>
      </w:r>
      <w:r w:rsidR="006D22CC" w:rsidRPr="00812E8B">
        <w:rPr>
          <w:lang w:val="en-US"/>
        </w:rPr>
        <w:t>Hence</w:t>
      </w:r>
      <w:r w:rsidRPr="00812E8B">
        <w:rPr>
          <w:lang w:val="en-US"/>
        </w:rPr>
        <w:t xml:space="preserve">, </w:t>
      </w:r>
      <w:r w:rsidR="00DA04A4" w:rsidRPr="00812E8B">
        <w:rPr>
          <w:lang w:val="en-US"/>
        </w:rPr>
        <w:t>chapter</w:t>
      </w:r>
      <w:r w:rsidRPr="00812E8B">
        <w:rPr>
          <w:lang w:val="en-US"/>
        </w:rPr>
        <w:t xml:space="preserve"> </w:t>
      </w:r>
      <w:r w:rsidR="007F10D5" w:rsidRPr="00812E8B">
        <w:rPr>
          <w:lang w:val="en-US"/>
        </w:rPr>
        <w:t xml:space="preserve">two serves as background for this study </w:t>
      </w:r>
      <w:r w:rsidRPr="00812E8B">
        <w:rPr>
          <w:lang w:val="en-US"/>
        </w:rPr>
        <w:t xml:space="preserve">by describing </w:t>
      </w:r>
      <w:r w:rsidR="00476482" w:rsidRPr="00812E8B">
        <w:rPr>
          <w:lang w:val="en-US"/>
        </w:rPr>
        <w:t>concepts</w:t>
      </w:r>
      <w:r w:rsidR="00261C37" w:rsidRPr="00812E8B">
        <w:rPr>
          <w:lang w:val="en-US"/>
        </w:rPr>
        <w:t xml:space="preserve"> </w:t>
      </w:r>
      <w:r w:rsidR="005A4F9C" w:rsidRPr="00812E8B">
        <w:rPr>
          <w:lang w:val="en-US"/>
        </w:rPr>
        <w:t xml:space="preserve">of financial </w:t>
      </w:r>
      <w:r w:rsidR="00E701F1" w:rsidRPr="00812E8B">
        <w:rPr>
          <w:lang w:val="en-US"/>
        </w:rPr>
        <w:t>intermediation</w:t>
      </w:r>
      <w:r w:rsidRPr="00812E8B">
        <w:rPr>
          <w:lang w:val="en-US"/>
        </w:rPr>
        <w:t xml:space="preserve"> and factors that could influence banks’ profitability. </w:t>
      </w:r>
      <w:r w:rsidR="00261C37" w:rsidRPr="00812E8B">
        <w:rPr>
          <w:lang w:val="en-US"/>
        </w:rPr>
        <w:t>Subsequent chapters will build on concepts and definitions</w:t>
      </w:r>
      <w:r w:rsidR="00B66EC1" w:rsidRPr="00812E8B">
        <w:rPr>
          <w:lang w:val="en-US"/>
        </w:rPr>
        <w:t xml:space="preserve"> described </w:t>
      </w:r>
      <w:r w:rsidR="00321996" w:rsidRPr="00812E8B">
        <w:rPr>
          <w:lang w:val="en-US"/>
        </w:rPr>
        <w:t>here</w:t>
      </w:r>
      <w:r w:rsidR="00B66EC1" w:rsidRPr="00812E8B">
        <w:rPr>
          <w:lang w:val="en-US"/>
        </w:rPr>
        <w:t>.</w:t>
      </w:r>
      <w:r w:rsidR="000556BD" w:rsidRPr="00812E8B">
        <w:rPr>
          <w:lang w:val="en-US"/>
        </w:rPr>
        <w:t xml:space="preserve"> </w:t>
      </w:r>
      <w:r w:rsidR="007A141E" w:rsidRPr="00812E8B">
        <w:rPr>
          <w:lang w:val="en-US"/>
        </w:rPr>
        <w:t>First,</w:t>
      </w:r>
      <w:r w:rsidR="001B5B3D" w:rsidRPr="00812E8B">
        <w:rPr>
          <w:lang w:val="en-US"/>
        </w:rPr>
        <w:t xml:space="preserve"> </w:t>
      </w:r>
      <w:r w:rsidR="00DA04A4" w:rsidRPr="00812E8B">
        <w:rPr>
          <w:lang w:val="en-US"/>
        </w:rPr>
        <w:t>th</w:t>
      </w:r>
      <w:r w:rsidR="00321996" w:rsidRPr="00812E8B">
        <w:rPr>
          <w:lang w:val="en-US"/>
        </w:rPr>
        <w:t>is chapter discusses the</w:t>
      </w:r>
      <w:r w:rsidR="000D36D5" w:rsidRPr="00812E8B">
        <w:rPr>
          <w:lang w:val="en-US"/>
        </w:rPr>
        <w:t xml:space="preserve"> function </w:t>
      </w:r>
      <w:r w:rsidR="001B5B3D" w:rsidRPr="00812E8B">
        <w:rPr>
          <w:lang w:val="en-US"/>
        </w:rPr>
        <w:t>of banks</w:t>
      </w:r>
      <w:r w:rsidR="007A141E" w:rsidRPr="00812E8B">
        <w:rPr>
          <w:lang w:val="en-US"/>
        </w:rPr>
        <w:t>, f</w:t>
      </w:r>
      <w:r w:rsidRPr="00812E8B">
        <w:rPr>
          <w:lang w:val="en-US"/>
        </w:rPr>
        <w:t>o</w:t>
      </w:r>
      <w:r w:rsidR="001B5B3D" w:rsidRPr="00812E8B">
        <w:rPr>
          <w:lang w:val="en-US"/>
        </w:rPr>
        <w:t xml:space="preserve">llowed by </w:t>
      </w:r>
      <w:r w:rsidR="005A4F9C" w:rsidRPr="00812E8B">
        <w:rPr>
          <w:lang w:val="en-US"/>
        </w:rPr>
        <w:t xml:space="preserve">an outline </w:t>
      </w:r>
      <w:r w:rsidR="00F27098" w:rsidRPr="00812E8B">
        <w:rPr>
          <w:lang w:val="en-US"/>
        </w:rPr>
        <w:t>of</w:t>
      </w:r>
      <w:r w:rsidR="00650100" w:rsidRPr="00812E8B">
        <w:rPr>
          <w:lang w:val="en-US"/>
        </w:rPr>
        <w:t xml:space="preserve"> </w:t>
      </w:r>
      <w:r w:rsidR="000D36D5" w:rsidRPr="00812E8B">
        <w:rPr>
          <w:lang w:val="en-US"/>
        </w:rPr>
        <w:t xml:space="preserve">the </w:t>
      </w:r>
      <w:r w:rsidRPr="00812E8B">
        <w:rPr>
          <w:lang w:val="en-US"/>
        </w:rPr>
        <w:t>rational</w:t>
      </w:r>
      <w:r w:rsidR="000D36D5" w:rsidRPr="00812E8B">
        <w:rPr>
          <w:lang w:val="en-US"/>
        </w:rPr>
        <w:t xml:space="preserve"> for regulation</w:t>
      </w:r>
      <w:r w:rsidR="00F27098" w:rsidRPr="00812E8B">
        <w:rPr>
          <w:lang w:val="en-US"/>
        </w:rPr>
        <w:t xml:space="preserve"> and supervision</w:t>
      </w:r>
      <w:r w:rsidR="00650100" w:rsidRPr="00812E8B">
        <w:rPr>
          <w:lang w:val="en-US"/>
        </w:rPr>
        <w:t>.</w:t>
      </w:r>
      <w:r w:rsidR="001B5B3D" w:rsidRPr="00812E8B">
        <w:rPr>
          <w:lang w:val="en-US"/>
        </w:rPr>
        <w:t xml:space="preserve"> </w:t>
      </w:r>
      <w:r w:rsidR="00321996" w:rsidRPr="00812E8B">
        <w:rPr>
          <w:lang w:val="en-US"/>
        </w:rPr>
        <w:t xml:space="preserve">Subsequently </w:t>
      </w:r>
      <w:r w:rsidR="00DA04A4" w:rsidRPr="00812E8B">
        <w:rPr>
          <w:lang w:val="en-US"/>
        </w:rPr>
        <w:t xml:space="preserve">recent </w:t>
      </w:r>
      <w:r w:rsidR="00920C27" w:rsidRPr="00812E8B">
        <w:rPr>
          <w:lang w:val="en-US"/>
        </w:rPr>
        <w:t>development</w:t>
      </w:r>
      <w:r w:rsidR="00DA04A4" w:rsidRPr="00812E8B">
        <w:rPr>
          <w:lang w:val="en-US"/>
        </w:rPr>
        <w:t>s</w:t>
      </w:r>
      <w:r w:rsidR="00920C27" w:rsidRPr="00812E8B">
        <w:rPr>
          <w:lang w:val="en-US"/>
        </w:rPr>
        <w:t xml:space="preserve"> in the European banking sector</w:t>
      </w:r>
      <w:r w:rsidR="00321996" w:rsidRPr="00812E8B">
        <w:rPr>
          <w:lang w:val="en-US"/>
        </w:rPr>
        <w:t xml:space="preserve"> are reviewed</w:t>
      </w:r>
      <w:r w:rsidR="00920C27" w:rsidRPr="00812E8B">
        <w:rPr>
          <w:lang w:val="en-US"/>
        </w:rPr>
        <w:t xml:space="preserve">. </w:t>
      </w:r>
      <w:r w:rsidR="00112430" w:rsidRPr="00812E8B">
        <w:rPr>
          <w:lang w:val="en-US"/>
        </w:rPr>
        <w:t>Finally,</w:t>
      </w:r>
      <w:r w:rsidR="005A4F9C" w:rsidRPr="00812E8B">
        <w:rPr>
          <w:lang w:val="en-US"/>
        </w:rPr>
        <w:t xml:space="preserve"> </w:t>
      </w:r>
      <w:r w:rsidR="00BC43A5" w:rsidRPr="00812E8B">
        <w:rPr>
          <w:lang w:val="en-US"/>
        </w:rPr>
        <w:t xml:space="preserve">this chapter </w:t>
      </w:r>
      <w:r w:rsidR="00DA04A4" w:rsidRPr="00812E8B">
        <w:rPr>
          <w:lang w:val="en-US"/>
        </w:rPr>
        <w:t>explains</w:t>
      </w:r>
      <w:r w:rsidRPr="00812E8B">
        <w:rPr>
          <w:lang w:val="en-US"/>
        </w:rPr>
        <w:t xml:space="preserve"> some</w:t>
      </w:r>
      <w:r w:rsidR="001B5B3D" w:rsidRPr="00812E8B">
        <w:rPr>
          <w:lang w:val="en-US"/>
        </w:rPr>
        <w:t xml:space="preserve"> </w:t>
      </w:r>
      <w:r w:rsidRPr="00812E8B">
        <w:rPr>
          <w:lang w:val="en-US"/>
        </w:rPr>
        <w:t xml:space="preserve">theoretical </w:t>
      </w:r>
      <w:r w:rsidR="00EB146F" w:rsidRPr="00812E8B">
        <w:rPr>
          <w:lang w:val="en-US"/>
        </w:rPr>
        <w:t>frameworks that are he</w:t>
      </w:r>
      <w:r w:rsidR="00F27098" w:rsidRPr="00812E8B">
        <w:rPr>
          <w:lang w:val="en-US"/>
        </w:rPr>
        <w:t>lpful in assessing the relationship</w:t>
      </w:r>
      <w:r w:rsidR="00EB146F" w:rsidRPr="00812E8B">
        <w:rPr>
          <w:lang w:val="en-US"/>
        </w:rPr>
        <w:t xml:space="preserve"> between macroeconomic, industry-specific, bank-specific factors and banks’ profitability. </w:t>
      </w:r>
    </w:p>
    <w:p w:rsidR="00847FE6" w:rsidRPr="00812E8B" w:rsidRDefault="00847FE6" w:rsidP="00CE1B03">
      <w:pPr>
        <w:pStyle w:val="NoSpacing"/>
        <w:rPr>
          <w:sz w:val="16"/>
          <w:szCs w:val="16"/>
          <w:lang w:val="en-US"/>
        </w:rPr>
      </w:pPr>
    </w:p>
    <w:p w:rsidR="001B5B3D" w:rsidRPr="00812E8B" w:rsidRDefault="0051408B" w:rsidP="00CE1B03">
      <w:pPr>
        <w:pStyle w:val="Heading2"/>
        <w:rPr>
          <w:color w:val="auto"/>
          <w:lang w:val="en-US"/>
        </w:rPr>
      </w:pPr>
      <w:bookmarkStart w:id="9" w:name="_Toc306359633"/>
      <w:r w:rsidRPr="00812E8B">
        <w:rPr>
          <w:color w:val="auto"/>
          <w:lang w:val="en-US"/>
        </w:rPr>
        <w:t>2</w:t>
      </w:r>
      <w:r w:rsidR="001B5B3D" w:rsidRPr="00812E8B">
        <w:rPr>
          <w:color w:val="auto"/>
          <w:lang w:val="en-US"/>
        </w:rPr>
        <w:t xml:space="preserve">.1 </w:t>
      </w:r>
      <w:r w:rsidR="00D06E3C" w:rsidRPr="00812E8B">
        <w:rPr>
          <w:color w:val="auto"/>
          <w:lang w:val="en-US"/>
        </w:rPr>
        <w:t>F</w:t>
      </w:r>
      <w:r w:rsidR="00FB0A28" w:rsidRPr="00812E8B">
        <w:rPr>
          <w:color w:val="auto"/>
          <w:sz w:val="20"/>
          <w:szCs w:val="20"/>
          <w:lang w:val="en-US"/>
        </w:rPr>
        <w:t>UNCTION OF BANKS</w:t>
      </w:r>
      <w:bookmarkEnd w:id="9"/>
    </w:p>
    <w:p w:rsidR="00DF067B" w:rsidRPr="00812E8B" w:rsidRDefault="00B66EC1" w:rsidP="00CE1B03">
      <w:pPr>
        <w:pStyle w:val="NoSpacing"/>
        <w:spacing w:line="276" w:lineRule="auto"/>
        <w:jc w:val="both"/>
        <w:rPr>
          <w:lang w:val="en-US"/>
        </w:rPr>
      </w:pPr>
      <w:r w:rsidRPr="00812E8B">
        <w:rPr>
          <w:lang w:val="en-US"/>
        </w:rPr>
        <w:t>To start very basic</w:t>
      </w:r>
      <w:r w:rsidR="005A4F9C" w:rsidRPr="00812E8B">
        <w:rPr>
          <w:lang w:val="en-US"/>
        </w:rPr>
        <w:t xml:space="preserve">, </w:t>
      </w:r>
      <w:r w:rsidR="00320185" w:rsidRPr="00812E8B">
        <w:rPr>
          <w:lang w:val="en-US"/>
        </w:rPr>
        <w:t xml:space="preserve">this paragraph </w:t>
      </w:r>
      <w:r w:rsidR="0010218A" w:rsidRPr="00812E8B">
        <w:rPr>
          <w:lang w:val="en-US"/>
        </w:rPr>
        <w:t>discus</w:t>
      </w:r>
      <w:r w:rsidR="00112430" w:rsidRPr="00812E8B">
        <w:rPr>
          <w:lang w:val="en-US"/>
        </w:rPr>
        <w:t>ses</w:t>
      </w:r>
      <w:r w:rsidR="00320185" w:rsidRPr="00812E8B">
        <w:rPr>
          <w:lang w:val="en-US"/>
        </w:rPr>
        <w:t xml:space="preserve"> </w:t>
      </w:r>
      <w:r w:rsidR="0010218A" w:rsidRPr="00812E8B">
        <w:rPr>
          <w:lang w:val="en-US"/>
        </w:rPr>
        <w:t xml:space="preserve">the function of </w:t>
      </w:r>
      <w:r w:rsidR="006713B6" w:rsidRPr="00812E8B">
        <w:rPr>
          <w:lang w:val="en-US"/>
        </w:rPr>
        <w:t>banks</w:t>
      </w:r>
      <w:r w:rsidR="009663D9" w:rsidRPr="00812E8B">
        <w:rPr>
          <w:lang w:val="en-US"/>
        </w:rPr>
        <w:t xml:space="preserve"> in the economy</w:t>
      </w:r>
      <w:r w:rsidR="00D435F8" w:rsidRPr="00812E8B">
        <w:rPr>
          <w:lang w:val="en-US"/>
        </w:rPr>
        <w:t xml:space="preserve"> and </w:t>
      </w:r>
      <w:r w:rsidR="00C96E12" w:rsidRPr="00812E8B">
        <w:rPr>
          <w:lang w:val="en-US"/>
        </w:rPr>
        <w:t>examines</w:t>
      </w:r>
      <w:r w:rsidR="005A4F9C" w:rsidRPr="00812E8B">
        <w:rPr>
          <w:lang w:val="en-US"/>
        </w:rPr>
        <w:t xml:space="preserve"> the question why </w:t>
      </w:r>
      <w:r w:rsidR="00C96E12" w:rsidRPr="00812E8B">
        <w:rPr>
          <w:lang w:val="en-US"/>
        </w:rPr>
        <w:t>banks exist</w:t>
      </w:r>
      <w:r w:rsidR="005A4F9C" w:rsidRPr="00812E8B">
        <w:rPr>
          <w:lang w:val="en-US"/>
        </w:rPr>
        <w:t xml:space="preserve">. At first sight, the answer to this question is very </w:t>
      </w:r>
      <w:r w:rsidRPr="00812E8B">
        <w:rPr>
          <w:lang w:val="en-US"/>
        </w:rPr>
        <w:t xml:space="preserve">intuitive and </w:t>
      </w:r>
      <w:r w:rsidR="005A4F9C" w:rsidRPr="00812E8B">
        <w:rPr>
          <w:lang w:val="en-US"/>
        </w:rPr>
        <w:t>simple; banks act as an intermediary between</w:t>
      </w:r>
      <w:r w:rsidR="00C96E12" w:rsidRPr="00812E8B">
        <w:rPr>
          <w:lang w:val="en-US"/>
        </w:rPr>
        <w:t xml:space="preserve"> those who are in need for money and those who have excess of money. Looking more closely to this question there could be a more detailed explanation. </w:t>
      </w:r>
      <w:r w:rsidR="00972F90" w:rsidRPr="00812E8B">
        <w:rPr>
          <w:lang w:val="en-US"/>
        </w:rPr>
        <w:t xml:space="preserve">Namely, </w:t>
      </w:r>
      <w:r w:rsidR="008F1AC4" w:rsidRPr="00812E8B">
        <w:rPr>
          <w:lang w:val="en-US"/>
        </w:rPr>
        <w:t xml:space="preserve">in </w:t>
      </w:r>
      <w:r w:rsidR="00947DB6" w:rsidRPr="00812E8B">
        <w:rPr>
          <w:lang w:val="en-US"/>
        </w:rPr>
        <w:t>a</w:t>
      </w:r>
      <w:r w:rsidR="0068251E" w:rsidRPr="00812E8B">
        <w:rPr>
          <w:lang w:val="en-US"/>
        </w:rPr>
        <w:t xml:space="preserve"> </w:t>
      </w:r>
      <w:r w:rsidR="00C86EB5" w:rsidRPr="00812E8B">
        <w:rPr>
          <w:lang w:val="en-US"/>
        </w:rPr>
        <w:t xml:space="preserve">perfect </w:t>
      </w:r>
      <w:r w:rsidR="009B7DA8" w:rsidRPr="00812E8B">
        <w:rPr>
          <w:lang w:val="en-US"/>
        </w:rPr>
        <w:t>capital</w:t>
      </w:r>
      <w:r w:rsidR="008F1AC4" w:rsidRPr="00812E8B">
        <w:rPr>
          <w:lang w:val="en-US"/>
        </w:rPr>
        <w:t xml:space="preserve"> </w:t>
      </w:r>
      <w:r w:rsidR="00947DB6" w:rsidRPr="00812E8B">
        <w:rPr>
          <w:lang w:val="en-US"/>
        </w:rPr>
        <w:t>market</w:t>
      </w:r>
      <w:r w:rsidR="009B7DA8" w:rsidRPr="00812E8B">
        <w:rPr>
          <w:lang w:val="en-US"/>
        </w:rPr>
        <w:t xml:space="preserve"> of Modigliani-Miller (MM)</w:t>
      </w:r>
      <w:r w:rsidR="00FC2C77" w:rsidRPr="00812E8B">
        <w:rPr>
          <w:lang w:val="en-US"/>
        </w:rPr>
        <w:t>,</w:t>
      </w:r>
      <w:r w:rsidR="00282E84" w:rsidRPr="00812E8B">
        <w:rPr>
          <w:lang w:val="en-US"/>
        </w:rPr>
        <w:t xml:space="preserve"> f</w:t>
      </w:r>
      <w:r w:rsidRPr="00812E8B">
        <w:rPr>
          <w:lang w:val="en-US"/>
        </w:rPr>
        <w:t xml:space="preserve">inancial institutions are </w:t>
      </w:r>
      <w:r w:rsidR="00DA04A4" w:rsidRPr="00812E8B">
        <w:rPr>
          <w:lang w:val="en-US"/>
        </w:rPr>
        <w:t>superfluous</w:t>
      </w:r>
      <w:r w:rsidR="000D36D5" w:rsidRPr="00812E8B">
        <w:rPr>
          <w:lang w:val="en-US"/>
        </w:rPr>
        <w:t xml:space="preserve"> </w:t>
      </w:r>
      <w:r w:rsidR="00BA26F6" w:rsidRPr="00812E8B">
        <w:rPr>
          <w:color w:val="365F91" w:themeColor="accent1" w:themeShade="BF"/>
          <w:lang w:val="en-US"/>
        </w:rPr>
        <w:t>(Santos, 2001)</w:t>
      </w:r>
      <w:r w:rsidR="00321996" w:rsidRPr="00812E8B">
        <w:rPr>
          <w:lang w:val="en-US"/>
        </w:rPr>
        <w:t xml:space="preserve">; namely, </w:t>
      </w:r>
      <w:r w:rsidR="009B7DA8" w:rsidRPr="00812E8B">
        <w:rPr>
          <w:lang w:val="en-US"/>
        </w:rPr>
        <w:t>entities can borrow and save directly through the capital market</w:t>
      </w:r>
      <w:r w:rsidR="0053318D" w:rsidRPr="00812E8B">
        <w:rPr>
          <w:lang w:val="en-US"/>
        </w:rPr>
        <w:t xml:space="preserve">. </w:t>
      </w:r>
      <w:r w:rsidR="00EB146F" w:rsidRPr="00812E8B">
        <w:rPr>
          <w:lang w:val="en-US"/>
        </w:rPr>
        <w:t>I</w:t>
      </w:r>
      <w:r w:rsidR="00555CF1" w:rsidRPr="00812E8B">
        <w:rPr>
          <w:lang w:val="en-US"/>
        </w:rPr>
        <w:t xml:space="preserve">n </w:t>
      </w:r>
      <w:r w:rsidR="00780168" w:rsidRPr="00812E8B">
        <w:rPr>
          <w:lang w:val="en-US"/>
        </w:rPr>
        <w:t>reality,</w:t>
      </w:r>
      <w:r w:rsidR="00555CF1" w:rsidRPr="00812E8B">
        <w:rPr>
          <w:lang w:val="en-US"/>
        </w:rPr>
        <w:t xml:space="preserve"> such </w:t>
      </w:r>
      <w:r w:rsidR="009B7DA8" w:rsidRPr="00812E8B">
        <w:rPr>
          <w:lang w:val="en-US"/>
        </w:rPr>
        <w:t>perfect</w:t>
      </w:r>
      <w:r w:rsidR="00555CF1" w:rsidRPr="00812E8B">
        <w:rPr>
          <w:lang w:val="en-US"/>
        </w:rPr>
        <w:t xml:space="preserve"> market</w:t>
      </w:r>
      <w:r w:rsidR="00FC2C77" w:rsidRPr="00812E8B">
        <w:rPr>
          <w:lang w:val="en-US"/>
        </w:rPr>
        <w:t xml:space="preserve"> </w:t>
      </w:r>
      <w:r w:rsidR="00555CF1" w:rsidRPr="00812E8B">
        <w:rPr>
          <w:lang w:val="en-US"/>
        </w:rPr>
        <w:t>does not exist</w:t>
      </w:r>
      <w:r w:rsidRPr="00812E8B">
        <w:rPr>
          <w:lang w:val="en-US"/>
        </w:rPr>
        <w:t xml:space="preserve">; </w:t>
      </w:r>
      <w:r w:rsidR="000D36D5" w:rsidRPr="00812E8B">
        <w:rPr>
          <w:lang w:val="en-US"/>
        </w:rPr>
        <w:t xml:space="preserve">transaction costs and monitoring costs </w:t>
      </w:r>
      <w:r w:rsidR="00282E84" w:rsidRPr="00812E8B">
        <w:rPr>
          <w:lang w:val="en-US"/>
        </w:rPr>
        <w:t>distort</w:t>
      </w:r>
      <w:r w:rsidR="000D36D5" w:rsidRPr="00812E8B">
        <w:rPr>
          <w:lang w:val="en-US"/>
        </w:rPr>
        <w:t xml:space="preserve"> </w:t>
      </w:r>
      <w:r w:rsidR="009B7DA8" w:rsidRPr="00812E8B">
        <w:rPr>
          <w:lang w:val="en-US"/>
        </w:rPr>
        <w:t xml:space="preserve">capital </w:t>
      </w:r>
      <w:r w:rsidR="000D36D5" w:rsidRPr="00812E8B">
        <w:rPr>
          <w:lang w:val="en-US"/>
        </w:rPr>
        <w:t>market</w:t>
      </w:r>
      <w:r w:rsidR="009B7DA8" w:rsidRPr="00812E8B">
        <w:rPr>
          <w:lang w:val="en-US"/>
        </w:rPr>
        <w:t>s</w:t>
      </w:r>
      <w:r w:rsidR="000D36D5" w:rsidRPr="00812E8B">
        <w:rPr>
          <w:lang w:val="en-US"/>
        </w:rPr>
        <w:t>.</w:t>
      </w:r>
      <w:r w:rsidR="00282E84" w:rsidRPr="00812E8B">
        <w:rPr>
          <w:lang w:val="en-US"/>
        </w:rPr>
        <w:t xml:space="preserve"> </w:t>
      </w:r>
      <w:r w:rsidR="009663D9" w:rsidRPr="00812E8B">
        <w:rPr>
          <w:lang w:val="en-US"/>
        </w:rPr>
        <w:t>Furthermore,</w:t>
      </w:r>
      <w:r w:rsidR="00282E84" w:rsidRPr="00812E8B">
        <w:rPr>
          <w:lang w:val="en-US"/>
        </w:rPr>
        <w:t xml:space="preserve"> capital market</w:t>
      </w:r>
      <w:r w:rsidR="00FC2C77" w:rsidRPr="00812E8B">
        <w:rPr>
          <w:lang w:val="en-US"/>
        </w:rPr>
        <w:t>s</w:t>
      </w:r>
      <w:r w:rsidR="00282E84" w:rsidRPr="00812E8B">
        <w:rPr>
          <w:lang w:val="en-US"/>
        </w:rPr>
        <w:t xml:space="preserve"> </w:t>
      </w:r>
      <w:r w:rsidRPr="00812E8B">
        <w:rPr>
          <w:lang w:val="en-US"/>
        </w:rPr>
        <w:t>suffer</w:t>
      </w:r>
      <w:r w:rsidR="00E701F1" w:rsidRPr="00812E8B">
        <w:rPr>
          <w:lang w:val="en-US"/>
        </w:rPr>
        <w:t xml:space="preserve"> from </w:t>
      </w:r>
      <w:r w:rsidR="00972F90" w:rsidRPr="00812E8B">
        <w:rPr>
          <w:lang w:val="en-US"/>
        </w:rPr>
        <w:t xml:space="preserve">the </w:t>
      </w:r>
      <w:r w:rsidR="00282E84" w:rsidRPr="00812E8B">
        <w:rPr>
          <w:lang w:val="en-US"/>
        </w:rPr>
        <w:t xml:space="preserve">information asymmetry and the agency problem. </w:t>
      </w:r>
      <w:r w:rsidR="008F5011" w:rsidRPr="00812E8B">
        <w:rPr>
          <w:lang w:val="en-US"/>
        </w:rPr>
        <w:t xml:space="preserve">The agency problem </w:t>
      </w:r>
      <w:r w:rsidR="0053318D" w:rsidRPr="00812E8B">
        <w:rPr>
          <w:lang w:val="en-US"/>
        </w:rPr>
        <w:t>ref</w:t>
      </w:r>
      <w:r w:rsidR="00EB146F" w:rsidRPr="00812E8B">
        <w:rPr>
          <w:lang w:val="en-US"/>
        </w:rPr>
        <w:t xml:space="preserve">ers to </w:t>
      </w:r>
      <w:r w:rsidR="00972F90" w:rsidRPr="00812E8B">
        <w:rPr>
          <w:lang w:val="en-US"/>
        </w:rPr>
        <w:t xml:space="preserve">the </w:t>
      </w:r>
      <w:r w:rsidR="0053318D" w:rsidRPr="00812E8B">
        <w:rPr>
          <w:lang w:val="en-US"/>
        </w:rPr>
        <w:t>dissimilar incentives of borrower</w:t>
      </w:r>
      <w:r w:rsidRPr="00812E8B">
        <w:rPr>
          <w:lang w:val="en-US"/>
        </w:rPr>
        <w:t>s</w:t>
      </w:r>
      <w:r w:rsidR="008F5011" w:rsidRPr="00812E8B">
        <w:rPr>
          <w:lang w:val="en-US"/>
        </w:rPr>
        <w:t xml:space="preserve"> and </w:t>
      </w:r>
      <w:r w:rsidR="00DE1FF3" w:rsidRPr="00812E8B">
        <w:rPr>
          <w:lang w:val="en-US"/>
        </w:rPr>
        <w:t>savers</w:t>
      </w:r>
      <w:r w:rsidR="00EB146F" w:rsidRPr="00812E8B">
        <w:rPr>
          <w:lang w:val="en-US"/>
        </w:rPr>
        <w:t xml:space="preserve">, </w:t>
      </w:r>
      <w:r w:rsidR="00947DB6" w:rsidRPr="00812E8B">
        <w:rPr>
          <w:lang w:val="en-US"/>
        </w:rPr>
        <w:t>in a broader context</w:t>
      </w:r>
      <w:r w:rsidR="00EB146F" w:rsidRPr="00812E8B">
        <w:rPr>
          <w:lang w:val="en-US"/>
        </w:rPr>
        <w:t xml:space="preserve"> it refers to</w:t>
      </w:r>
      <w:r w:rsidR="00947DB6" w:rsidRPr="00812E8B">
        <w:rPr>
          <w:lang w:val="en-US"/>
        </w:rPr>
        <w:t xml:space="preserve"> the dissimilar incentives of</w:t>
      </w:r>
      <w:r w:rsidR="008F5011" w:rsidRPr="00812E8B">
        <w:rPr>
          <w:lang w:val="en-US"/>
        </w:rPr>
        <w:t xml:space="preserve"> </w:t>
      </w:r>
      <w:r w:rsidR="00321996" w:rsidRPr="00812E8B">
        <w:rPr>
          <w:lang w:val="en-US"/>
        </w:rPr>
        <w:t>principles</w:t>
      </w:r>
      <w:r w:rsidR="008F5011" w:rsidRPr="00812E8B">
        <w:rPr>
          <w:lang w:val="en-US"/>
        </w:rPr>
        <w:t xml:space="preserve"> and </w:t>
      </w:r>
      <w:r w:rsidR="00321996" w:rsidRPr="00812E8B">
        <w:rPr>
          <w:lang w:val="en-US"/>
        </w:rPr>
        <w:t>agents</w:t>
      </w:r>
      <w:r w:rsidR="00A94A8F" w:rsidRPr="00812E8B">
        <w:rPr>
          <w:lang w:val="en-US"/>
        </w:rPr>
        <w:t xml:space="preserve"> </w:t>
      </w:r>
      <w:r w:rsidR="007F1875" w:rsidRPr="00812E8B">
        <w:rPr>
          <w:color w:val="365F91" w:themeColor="accent1" w:themeShade="BF"/>
          <w:lang w:val="en-US"/>
        </w:rPr>
        <w:t>(Jensen and Meckling, 1976)</w:t>
      </w:r>
      <w:r w:rsidR="008F5011" w:rsidRPr="00812E8B">
        <w:rPr>
          <w:color w:val="365F91" w:themeColor="accent1" w:themeShade="BF"/>
          <w:lang w:val="en-US"/>
        </w:rPr>
        <w:t>.</w:t>
      </w:r>
      <w:r w:rsidR="00F11FAC" w:rsidRPr="00812E8B">
        <w:rPr>
          <w:color w:val="365F91" w:themeColor="accent1" w:themeShade="BF"/>
          <w:lang w:val="en-US"/>
        </w:rPr>
        <w:t xml:space="preserve"> </w:t>
      </w:r>
      <w:r w:rsidR="00F11FAC" w:rsidRPr="00812E8B">
        <w:rPr>
          <w:lang w:val="en-US"/>
        </w:rPr>
        <w:t xml:space="preserve">In a case of financial </w:t>
      </w:r>
      <w:r w:rsidR="000556BD" w:rsidRPr="00812E8B">
        <w:rPr>
          <w:lang w:val="en-US"/>
        </w:rPr>
        <w:t>distress,</w:t>
      </w:r>
      <w:r w:rsidR="00F11FAC" w:rsidRPr="00812E8B">
        <w:rPr>
          <w:lang w:val="en-US"/>
        </w:rPr>
        <w:t xml:space="preserve"> borrowers </w:t>
      </w:r>
      <w:r w:rsidR="00FC2C77" w:rsidRPr="00812E8B">
        <w:rPr>
          <w:lang w:val="en-US"/>
        </w:rPr>
        <w:t>are</w:t>
      </w:r>
      <w:r w:rsidR="00F11FAC" w:rsidRPr="00812E8B">
        <w:rPr>
          <w:lang w:val="en-US"/>
        </w:rPr>
        <w:t xml:space="preserve"> </w:t>
      </w:r>
      <w:r w:rsidR="00FC2C77" w:rsidRPr="00812E8B">
        <w:rPr>
          <w:lang w:val="en-US"/>
        </w:rPr>
        <w:t>limited liable</w:t>
      </w:r>
      <w:r w:rsidR="009B3C9A" w:rsidRPr="00812E8B">
        <w:rPr>
          <w:lang w:val="en-US"/>
        </w:rPr>
        <w:t xml:space="preserve">; </w:t>
      </w:r>
      <w:r w:rsidR="000556BD" w:rsidRPr="00812E8B">
        <w:rPr>
          <w:lang w:val="en-US"/>
        </w:rPr>
        <w:t xml:space="preserve">implying that </w:t>
      </w:r>
      <w:r w:rsidR="009B3C9A" w:rsidRPr="00812E8B">
        <w:rPr>
          <w:lang w:val="en-US"/>
        </w:rPr>
        <w:t xml:space="preserve">they </w:t>
      </w:r>
      <w:r w:rsidR="00F11FAC" w:rsidRPr="00812E8B">
        <w:rPr>
          <w:lang w:val="en-US"/>
        </w:rPr>
        <w:t>have incentives to</w:t>
      </w:r>
      <w:r w:rsidR="00BB22F6" w:rsidRPr="00812E8B">
        <w:rPr>
          <w:lang w:val="en-US"/>
        </w:rPr>
        <w:t xml:space="preserve"> alter their </w:t>
      </w:r>
      <w:r w:rsidR="007E6ECC" w:rsidRPr="00812E8B">
        <w:rPr>
          <w:lang w:val="en-US"/>
        </w:rPr>
        <w:t>behavior</w:t>
      </w:r>
      <w:r w:rsidR="009B3C9A" w:rsidRPr="00812E8B">
        <w:rPr>
          <w:lang w:val="en-US"/>
        </w:rPr>
        <w:t xml:space="preserve"> by taking </w:t>
      </w:r>
      <w:r w:rsidR="00F11FAC" w:rsidRPr="00812E8B">
        <w:rPr>
          <w:lang w:val="en-US"/>
        </w:rPr>
        <w:t>on more risk than</w:t>
      </w:r>
      <w:r w:rsidR="00DA04A4" w:rsidRPr="00812E8B">
        <w:rPr>
          <w:lang w:val="en-US"/>
        </w:rPr>
        <w:t xml:space="preserve"> savers are willing to accept. </w:t>
      </w:r>
      <w:r w:rsidR="008D777A" w:rsidRPr="00812E8B">
        <w:rPr>
          <w:lang w:val="en-US"/>
        </w:rPr>
        <w:t>Monitoring</w:t>
      </w:r>
      <w:r w:rsidRPr="00812E8B">
        <w:rPr>
          <w:lang w:val="en-US"/>
        </w:rPr>
        <w:t xml:space="preserve"> the borrowers’ behavior</w:t>
      </w:r>
      <w:r w:rsidR="008D777A" w:rsidRPr="00812E8B">
        <w:rPr>
          <w:lang w:val="en-US"/>
        </w:rPr>
        <w:t xml:space="preserve"> is time consuming</w:t>
      </w:r>
      <w:r w:rsidR="00E038EE" w:rsidRPr="00812E8B">
        <w:rPr>
          <w:lang w:val="en-US"/>
        </w:rPr>
        <w:t>, complex</w:t>
      </w:r>
      <w:r w:rsidR="008D777A" w:rsidRPr="00812E8B">
        <w:rPr>
          <w:lang w:val="en-US"/>
        </w:rPr>
        <w:t xml:space="preserve"> and expensive for individuals. </w:t>
      </w:r>
      <w:r w:rsidR="00F11FAC" w:rsidRPr="00812E8B">
        <w:rPr>
          <w:lang w:val="en-US"/>
        </w:rPr>
        <w:t xml:space="preserve">In inefficient </w:t>
      </w:r>
      <w:r w:rsidR="00FC2C77" w:rsidRPr="00812E8B">
        <w:rPr>
          <w:lang w:val="en-US"/>
        </w:rPr>
        <w:t>markets,</w:t>
      </w:r>
      <w:r w:rsidR="00F11FAC" w:rsidRPr="00812E8B">
        <w:rPr>
          <w:lang w:val="en-US"/>
        </w:rPr>
        <w:t xml:space="preserve"> f</w:t>
      </w:r>
      <w:r w:rsidR="00625AD8" w:rsidRPr="00812E8B">
        <w:rPr>
          <w:lang w:val="en-US"/>
        </w:rPr>
        <w:t xml:space="preserve">inancial intermediation is beneficial </w:t>
      </w:r>
      <w:r w:rsidR="000556BD" w:rsidRPr="00812E8B">
        <w:rPr>
          <w:lang w:val="en-US"/>
        </w:rPr>
        <w:t>since</w:t>
      </w:r>
      <w:r w:rsidR="001D78C0" w:rsidRPr="00812E8B">
        <w:rPr>
          <w:lang w:val="en-US"/>
        </w:rPr>
        <w:t xml:space="preserve"> banks</w:t>
      </w:r>
      <w:r w:rsidR="00E701F1" w:rsidRPr="00812E8B">
        <w:rPr>
          <w:lang w:val="en-US"/>
        </w:rPr>
        <w:t xml:space="preserve"> </w:t>
      </w:r>
      <w:r w:rsidR="000556BD" w:rsidRPr="00812E8B">
        <w:rPr>
          <w:lang w:val="en-US"/>
        </w:rPr>
        <w:t xml:space="preserve">have </w:t>
      </w:r>
      <w:r w:rsidR="00625AD8" w:rsidRPr="00812E8B">
        <w:rPr>
          <w:lang w:val="en-US"/>
        </w:rPr>
        <w:t xml:space="preserve">lower monitoring </w:t>
      </w:r>
      <w:r w:rsidR="008D777A" w:rsidRPr="00812E8B">
        <w:rPr>
          <w:lang w:val="en-US"/>
        </w:rPr>
        <w:t>and transaction costs</w:t>
      </w:r>
      <w:r w:rsidR="00E701F1" w:rsidRPr="00812E8B">
        <w:rPr>
          <w:lang w:val="en-US"/>
        </w:rPr>
        <w:t xml:space="preserve"> than individuals</w:t>
      </w:r>
      <w:r w:rsidR="00625AD8" w:rsidRPr="00812E8B">
        <w:rPr>
          <w:lang w:val="en-US"/>
        </w:rPr>
        <w:t>, due to economies of scale</w:t>
      </w:r>
      <w:r w:rsidR="00F11FAC" w:rsidRPr="00812E8B">
        <w:rPr>
          <w:lang w:val="en-US"/>
        </w:rPr>
        <w:t xml:space="preserve"> and </w:t>
      </w:r>
      <w:r w:rsidR="009B3C9A" w:rsidRPr="00812E8B">
        <w:rPr>
          <w:lang w:val="en-US"/>
        </w:rPr>
        <w:t>scope</w:t>
      </w:r>
      <w:r w:rsidR="001D78C0" w:rsidRPr="00812E8B">
        <w:rPr>
          <w:lang w:val="en-US"/>
        </w:rPr>
        <w:t xml:space="preserve">. </w:t>
      </w:r>
    </w:p>
    <w:p w:rsidR="008E7D04" w:rsidRPr="00812E8B" w:rsidRDefault="008E7D04" w:rsidP="00CE1B03">
      <w:pPr>
        <w:pStyle w:val="NoSpacing"/>
        <w:spacing w:line="276" w:lineRule="auto"/>
        <w:jc w:val="both"/>
        <w:rPr>
          <w:color w:val="FF0000"/>
          <w:lang w:val="en-US"/>
        </w:rPr>
      </w:pPr>
    </w:p>
    <w:p w:rsidR="00CE1B03" w:rsidRPr="00812E8B" w:rsidRDefault="00DF067B" w:rsidP="00CE1B03">
      <w:pPr>
        <w:pStyle w:val="NoSpacing"/>
        <w:spacing w:line="276" w:lineRule="auto"/>
        <w:jc w:val="both"/>
        <w:rPr>
          <w:lang w:val="en-US"/>
        </w:rPr>
      </w:pPr>
      <w:r w:rsidRPr="00812E8B">
        <w:rPr>
          <w:lang w:val="en-US"/>
        </w:rPr>
        <w:t xml:space="preserve">Another important </w:t>
      </w:r>
      <w:r w:rsidR="007D199F" w:rsidRPr="00812E8B">
        <w:rPr>
          <w:lang w:val="en-US"/>
        </w:rPr>
        <w:t xml:space="preserve">aspect of banking is the function of maturity transformation. </w:t>
      </w:r>
      <w:r w:rsidRPr="00812E8B">
        <w:rPr>
          <w:lang w:val="en-US"/>
        </w:rPr>
        <w:t xml:space="preserve">Banks receive </w:t>
      </w:r>
      <w:r w:rsidR="00742F4D" w:rsidRPr="00812E8B">
        <w:rPr>
          <w:lang w:val="en-US"/>
        </w:rPr>
        <w:t>short-term</w:t>
      </w:r>
      <w:r w:rsidRPr="00812E8B">
        <w:rPr>
          <w:lang w:val="en-US"/>
        </w:rPr>
        <w:t xml:space="preserve"> savings</w:t>
      </w:r>
      <w:r w:rsidR="008D777A" w:rsidRPr="00812E8B">
        <w:rPr>
          <w:lang w:val="en-US"/>
        </w:rPr>
        <w:t xml:space="preserve"> from </w:t>
      </w:r>
      <w:r w:rsidR="00D267F1" w:rsidRPr="00812E8B">
        <w:rPr>
          <w:lang w:val="en-US"/>
        </w:rPr>
        <w:t>depositors</w:t>
      </w:r>
      <w:r w:rsidRPr="00812E8B">
        <w:rPr>
          <w:lang w:val="en-US"/>
        </w:rPr>
        <w:t xml:space="preserve"> and </w:t>
      </w:r>
      <w:r w:rsidR="001B3435" w:rsidRPr="00812E8B">
        <w:rPr>
          <w:lang w:val="en-US"/>
        </w:rPr>
        <w:t>transform</w:t>
      </w:r>
      <w:r w:rsidRPr="00812E8B">
        <w:rPr>
          <w:lang w:val="en-US"/>
        </w:rPr>
        <w:t xml:space="preserve"> th</w:t>
      </w:r>
      <w:r w:rsidR="001B3435" w:rsidRPr="00812E8B">
        <w:rPr>
          <w:lang w:val="en-US"/>
        </w:rPr>
        <w:t>o</w:t>
      </w:r>
      <w:r w:rsidRPr="00812E8B">
        <w:rPr>
          <w:lang w:val="en-US"/>
        </w:rPr>
        <w:t>se savings in</w:t>
      </w:r>
      <w:r w:rsidR="0053318D" w:rsidRPr="00812E8B">
        <w:rPr>
          <w:lang w:val="en-US"/>
        </w:rPr>
        <w:t>to</w:t>
      </w:r>
      <w:r w:rsidRPr="00812E8B">
        <w:rPr>
          <w:lang w:val="en-US"/>
        </w:rPr>
        <w:t xml:space="preserve"> </w:t>
      </w:r>
      <w:r w:rsidR="00742F4D" w:rsidRPr="00812E8B">
        <w:rPr>
          <w:lang w:val="en-US"/>
        </w:rPr>
        <w:t>long-term</w:t>
      </w:r>
      <w:r w:rsidR="00004467" w:rsidRPr="00812E8B">
        <w:rPr>
          <w:lang w:val="en-US"/>
        </w:rPr>
        <w:t xml:space="preserve"> loans</w:t>
      </w:r>
      <w:r w:rsidR="00D267F1" w:rsidRPr="00812E8B">
        <w:rPr>
          <w:lang w:val="en-US"/>
        </w:rPr>
        <w:t xml:space="preserve"> to borrowers. </w:t>
      </w:r>
      <w:r w:rsidR="00F11FAC" w:rsidRPr="00812E8B">
        <w:rPr>
          <w:lang w:val="en-US"/>
        </w:rPr>
        <w:t>By holding a part of the short-term savings in liquid assets and cash, banks could withsta</w:t>
      </w:r>
      <w:r w:rsidR="00FC2C77" w:rsidRPr="00812E8B">
        <w:rPr>
          <w:lang w:val="en-US"/>
        </w:rPr>
        <w:t xml:space="preserve">nd daily </w:t>
      </w:r>
      <w:r w:rsidR="00F11FAC" w:rsidRPr="00812E8B">
        <w:rPr>
          <w:lang w:val="en-US"/>
        </w:rPr>
        <w:t>withdrawals from depositors</w:t>
      </w:r>
      <w:r w:rsidR="00DA04A4" w:rsidRPr="00812E8B">
        <w:rPr>
          <w:lang w:val="en-US"/>
        </w:rPr>
        <w:t>. Banks</w:t>
      </w:r>
      <w:r w:rsidR="00F11FAC" w:rsidRPr="00812E8B">
        <w:rPr>
          <w:lang w:val="en-US"/>
        </w:rPr>
        <w:t xml:space="preserve"> offer a unique service; lending long term while guaranteeing the liquidity of their liabilities to depositors, which can withdraw their money at any time without a decline in nominal value</w:t>
      </w:r>
      <w:r w:rsidR="00FC2C77" w:rsidRPr="00812E8B">
        <w:rPr>
          <w:lang w:val="en-US"/>
        </w:rPr>
        <w:t xml:space="preserve"> </w:t>
      </w:r>
      <w:r w:rsidR="00BA26F6" w:rsidRPr="00812E8B">
        <w:rPr>
          <w:color w:val="365F91" w:themeColor="accent1" w:themeShade="BF"/>
          <w:lang w:val="en-US"/>
        </w:rPr>
        <w:t>(Schooner and Talyor, 2010)</w:t>
      </w:r>
      <w:r w:rsidR="00F11FAC" w:rsidRPr="00812E8B">
        <w:rPr>
          <w:lang w:val="en-US"/>
        </w:rPr>
        <w:t>. Capital markets cannot achieve maturity transformation with the same benefits as banks can. Individual investors face liquidity</w:t>
      </w:r>
      <w:r w:rsidR="007E6ECC" w:rsidRPr="00812E8B">
        <w:rPr>
          <w:lang w:val="en-US"/>
        </w:rPr>
        <w:t>, price and credit r</w:t>
      </w:r>
      <w:r w:rsidR="00F11FAC" w:rsidRPr="00812E8B">
        <w:rPr>
          <w:lang w:val="en-US"/>
        </w:rPr>
        <w:t>isk</w:t>
      </w:r>
      <w:r w:rsidR="00CE1B03" w:rsidRPr="00812E8B">
        <w:rPr>
          <w:rStyle w:val="EndnoteReference"/>
          <w:lang w:val="en-US"/>
        </w:rPr>
        <w:endnoteReference w:id="1"/>
      </w:r>
      <w:r w:rsidR="00CE1B03" w:rsidRPr="00812E8B">
        <w:rPr>
          <w:lang w:val="en-US"/>
        </w:rPr>
        <w:t xml:space="preserve">, which they cannot diversify to the extent banks can. As savers do not withdraw their deposits at the same time, banks hold only a minor part of the savings in liquid cash. Thus, banks diversify liquidity risks over a large pool of savers. Individual savers can also diversify their investments in terms of credit and price risks but it remains unlikely that they could withdraw the investments at any time without facing liquidity issues. </w:t>
      </w:r>
    </w:p>
    <w:p w:rsidR="000556BD" w:rsidRPr="00812E8B" w:rsidRDefault="000556BD" w:rsidP="00CE1B03">
      <w:pPr>
        <w:pStyle w:val="NoSpacing"/>
        <w:spacing w:line="276" w:lineRule="auto"/>
        <w:jc w:val="both"/>
        <w:rPr>
          <w:lang w:val="en-US"/>
        </w:rPr>
      </w:pPr>
    </w:p>
    <w:p w:rsidR="00CE1B03" w:rsidRPr="00812E8B" w:rsidRDefault="00CE1B03" w:rsidP="00CE1B03">
      <w:pPr>
        <w:pStyle w:val="NoSpacing"/>
        <w:spacing w:line="276" w:lineRule="auto"/>
        <w:jc w:val="both"/>
        <w:rPr>
          <w:lang w:val="en-US"/>
        </w:rPr>
      </w:pPr>
      <w:r w:rsidRPr="00812E8B">
        <w:rPr>
          <w:lang w:val="en-US"/>
        </w:rPr>
        <w:lastRenderedPageBreak/>
        <w:t xml:space="preserve">Nowadays, bank activities are more diverse than ever. In the past decades, competition has increased and new activities have emerged. The traditional form of banking, receiving deposits and extending credits, has become less important. Ever since the complexity of balance sheet has increased, as did balance sheet and risk management </w:t>
      </w:r>
      <w:r w:rsidR="00BA26F6" w:rsidRPr="00812E8B">
        <w:rPr>
          <w:color w:val="365F91" w:themeColor="accent1" w:themeShade="BF"/>
          <w:lang w:val="en-US"/>
        </w:rPr>
        <w:t>(van Greuning and Bratanovic, 2009)</w:t>
      </w:r>
      <w:r w:rsidRPr="00812E8B">
        <w:rPr>
          <w:color w:val="365F91" w:themeColor="accent1" w:themeShade="BF"/>
          <w:lang w:val="en-US"/>
        </w:rPr>
        <w:t xml:space="preserve">. </w:t>
      </w:r>
      <w:r w:rsidRPr="00812E8B">
        <w:rPr>
          <w:lang w:val="en-US"/>
        </w:rPr>
        <w:t>Besides the incorporations of liquidity, price and credit risks in banking activities, banks increasingly faces market risks (e.g. interest rate risk and currency risk). One may assume that banks’ risk managers properly diversify these risks and closely monitor borrowers’ behavior to avoid bank failure or financial distress. Nevertheless, as the next paragraph points out</w:t>
      </w:r>
      <w:r w:rsidR="005C5585" w:rsidRPr="00812E8B">
        <w:rPr>
          <w:lang w:val="en-US"/>
        </w:rPr>
        <w:t>,</w:t>
      </w:r>
      <w:r w:rsidRPr="00812E8B">
        <w:rPr>
          <w:lang w:val="en-US"/>
        </w:rPr>
        <w:t xml:space="preserve"> monitoring bank behavior is required to safeguard the continuity and </w:t>
      </w:r>
      <w:r w:rsidR="005C5585" w:rsidRPr="00812E8B">
        <w:rPr>
          <w:lang w:val="en-US"/>
        </w:rPr>
        <w:t>stability of the banking sector</w:t>
      </w:r>
      <w:r w:rsidRPr="00812E8B">
        <w:rPr>
          <w:lang w:val="en-US"/>
        </w:rPr>
        <w:t xml:space="preserve"> due to moral hazard issues.</w:t>
      </w:r>
    </w:p>
    <w:p w:rsidR="00C468F1" w:rsidRPr="00812E8B" w:rsidRDefault="00C468F1" w:rsidP="00C468F1">
      <w:pPr>
        <w:pStyle w:val="NoSpacing"/>
        <w:rPr>
          <w:lang w:val="en-US"/>
        </w:rPr>
      </w:pPr>
    </w:p>
    <w:p w:rsidR="00CE1B03" w:rsidRPr="00812E8B" w:rsidRDefault="00CE1B03" w:rsidP="00CE1B03">
      <w:pPr>
        <w:pStyle w:val="Heading2"/>
        <w:rPr>
          <w:color w:val="auto"/>
          <w:lang w:val="en-US"/>
        </w:rPr>
      </w:pPr>
      <w:bookmarkStart w:id="11" w:name="_Toc306359634"/>
      <w:r w:rsidRPr="00812E8B">
        <w:rPr>
          <w:color w:val="auto"/>
          <w:lang w:val="en-US"/>
        </w:rPr>
        <w:t xml:space="preserve">2.2 </w:t>
      </w:r>
      <w:r w:rsidRPr="00812E8B">
        <w:rPr>
          <w:color w:val="auto"/>
          <w:szCs w:val="24"/>
          <w:lang w:val="en-US"/>
        </w:rPr>
        <w:t>R</w:t>
      </w:r>
      <w:r w:rsidR="00FB0A28" w:rsidRPr="00812E8B">
        <w:rPr>
          <w:color w:val="auto"/>
          <w:sz w:val="20"/>
          <w:szCs w:val="20"/>
          <w:lang w:val="en-US"/>
        </w:rPr>
        <w:t>ATIONAL FOR REGULATION AND SUPERVISION</w:t>
      </w:r>
      <w:bookmarkEnd w:id="11"/>
      <w:r w:rsidR="00FB0A28" w:rsidRPr="00812E8B">
        <w:rPr>
          <w:color w:val="auto"/>
          <w:sz w:val="20"/>
          <w:szCs w:val="20"/>
          <w:lang w:val="en-US"/>
        </w:rPr>
        <w:t xml:space="preserve"> </w:t>
      </w:r>
    </w:p>
    <w:p w:rsidR="00CE1B03" w:rsidRPr="00812E8B" w:rsidRDefault="00CE1B03" w:rsidP="00CE1B03">
      <w:pPr>
        <w:pStyle w:val="NoSpacing"/>
        <w:tabs>
          <w:tab w:val="left" w:pos="6547"/>
        </w:tabs>
        <w:spacing w:line="276" w:lineRule="auto"/>
        <w:jc w:val="both"/>
        <w:rPr>
          <w:lang w:val="en-US"/>
        </w:rPr>
      </w:pPr>
      <w:r w:rsidRPr="00812E8B">
        <w:rPr>
          <w:lang w:val="en-US"/>
        </w:rPr>
        <w:t xml:space="preserve">Moral hazard refers to changes in behavior when entities are insured or limited liable to losses. </w:t>
      </w:r>
      <w:r w:rsidR="00730D0F" w:rsidRPr="00812E8B">
        <w:rPr>
          <w:lang w:val="en-US"/>
        </w:rPr>
        <w:t>I</w:t>
      </w:r>
      <w:r w:rsidR="00C2097A" w:rsidRPr="00812E8B">
        <w:rPr>
          <w:lang w:val="en-US"/>
        </w:rPr>
        <w:t xml:space="preserve">n </w:t>
      </w:r>
      <w:r w:rsidR="00730D0F" w:rsidRPr="00812E8B">
        <w:rPr>
          <w:lang w:val="en-US"/>
        </w:rPr>
        <w:t xml:space="preserve">the context of </w:t>
      </w:r>
      <w:r w:rsidRPr="00812E8B">
        <w:rPr>
          <w:lang w:val="en-US"/>
        </w:rPr>
        <w:t>the banking sector</w:t>
      </w:r>
      <w:r w:rsidR="00C2097A" w:rsidRPr="00812E8B">
        <w:rPr>
          <w:lang w:val="en-US"/>
        </w:rPr>
        <w:t>,</w:t>
      </w:r>
      <w:r w:rsidR="00730D0F" w:rsidRPr="00812E8B">
        <w:rPr>
          <w:lang w:val="en-US"/>
        </w:rPr>
        <w:t xml:space="preserve"> it</w:t>
      </w:r>
      <w:r w:rsidRPr="00812E8B">
        <w:rPr>
          <w:lang w:val="en-US"/>
        </w:rPr>
        <w:t xml:space="preserve"> refers to a changing behavior in terms of risk taking </w:t>
      </w:r>
      <w:r w:rsidR="00730D0F" w:rsidRPr="00812E8B">
        <w:rPr>
          <w:lang w:val="en-US"/>
        </w:rPr>
        <w:t>since</w:t>
      </w:r>
      <w:r w:rsidRPr="00812E8B">
        <w:rPr>
          <w:lang w:val="en-US"/>
        </w:rPr>
        <w:t xml:space="preserve"> the downside losses for banks’ owners (</w:t>
      </w:r>
      <w:r w:rsidR="00730D0F" w:rsidRPr="00812E8B">
        <w:rPr>
          <w:lang w:val="en-US"/>
        </w:rPr>
        <w:t xml:space="preserve">e.g. </w:t>
      </w:r>
      <w:r w:rsidR="00D17876" w:rsidRPr="00812E8B">
        <w:rPr>
          <w:lang w:val="en-US"/>
        </w:rPr>
        <w:t>shareholder</w:t>
      </w:r>
      <w:r w:rsidR="00730D0F" w:rsidRPr="00812E8B">
        <w:rPr>
          <w:lang w:val="en-US"/>
        </w:rPr>
        <w:t xml:space="preserve">s and member) </w:t>
      </w:r>
      <w:r w:rsidRPr="00812E8B">
        <w:rPr>
          <w:lang w:val="en-US"/>
        </w:rPr>
        <w:t>are limited to</w:t>
      </w:r>
      <w:r w:rsidR="00730D0F" w:rsidRPr="00812E8B">
        <w:rPr>
          <w:lang w:val="en-US"/>
        </w:rPr>
        <w:t xml:space="preserve"> the amount of equity invested w</w:t>
      </w:r>
      <w:r w:rsidRPr="00812E8B">
        <w:rPr>
          <w:lang w:val="en-US"/>
        </w:rPr>
        <w:t>hilst the upside potential of risk taking is unrestricted.</w:t>
      </w:r>
      <w:r w:rsidR="00730D0F" w:rsidRPr="00812E8B">
        <w:rPr>
          <w:lang w:val="en-US"/>
        </w:rPr>
        <w:t xml:space="preserve"> </w:t>
      </w:r>
      <w:r w:rsidRPr="00812E8B">
        <w:rPr>
          <w:lang w:val="en-US"/>
        </w:rPr>
        <w:t xml:space="preserve">Given the fact that the downside losses are restricted by a put option value arising from the limited liability, banks could maximize shareholder value by taking on more risks than depositors are willing to accept. According to </w:t>
      </w:r>
      <w:r w:rsidR="00881610" w:rsidRPr="00812E8B">
        <w:rPr>
          <w:color w:val="365F91" w:themeColor="accent1" w:themeShade="BF"/>
          <w:lang w:val="en-US"/>
        </w:rPr>
        <w:t>Rime (2001)</w:t>
      </w:r>
      <w:r w:rsidRPr="00812E8B">
        <w:rPr>
          <w:lang w:val="en-US"/>
        </w:rPr>
        <w:t>, excessive risk taking and possible shortfalls</w:t>
      </w:r>
      <w:r w:rsidR="00730D0F" w:rsidRPr="00812E8B">
        <w:rPr>
          <w:lang w:val="en-US"/>
        </w:rPr>
        <w:t xml:space="preserve"> (bankruptcies) </w:t>
      </w:r>
      <w:r w:rsidRPr="00812E8B">
        <w:rPr>
          <w:lang w:val="en-US"/>
        </w:rPr>
        <w:t>are partly born by depositors and the deposit insurance</w:t>
      </w:r>
      <w:r w:rsidR="00730D0F" w:rsidRPr="00812E8B">
        <w:rPr>
          <w:lang w:val="en-US"/>
        </w:rPr>
        <w:t xml:space="preserve"> schemes</w:t>
      </w:r>
      <w:r w:rsidRPr="00812E8B">
        <w:rPr>
          <w:lang w:val="en-US"/>
        </w:rPr>
        <w:t xml:space="preserve">. </w:t>
      </w:r>
      <w:r w:rsidR="00730D0F" w:rsidRPr="00812E8B">
        <w:rPr>
          <w:lang w:val="en-US"/>
        </w:rPr>
        <w:t xml:space="preserve">Moreover, the past years have shown that owners are often supported by government interventions to avoid a collapse of the banking sector. </w:t>
      </w:r>
      <w:r w:rsidRPr="00812E8B">
        <w:rPr>
          <w:lang w:val="en-US"/>
        </w:rPr>
        <w:t xml:space="preserve">Monitoring banks would be necessary to avoid excessive risk taking and to prevent a bank failure or even a systematic failure of the banking sector </w:t>
      </w:r>
      <w:r w:rsidR="0043417A" w:rsidRPr="00812E8B">
        <w:rPr>
          <w:color w:val="365F91" w:themeColor="accent1" w:themeShade="BF"/>
          <w:lang w:val="en-US"/>
        </w:rPr>
        <w:t xml:space="preserve">(Saunders et al., 1990). </w:t>
      </w:r>
      <w:r w:rsidRPr="00812E8B">
        <w:rPr>
          <w:lang w:val="en-US"/>
        </w:rPr>
        <w:t>A systematic failure of the banking sector is highly undesirable given the central role of financial in</w:t>
      </w:r>
      <w:r w:rsidR="00730D0F" w:rsidRPr="00812E8B">
        <w:rPr>
          <w:lang w:val="en-US"/>
        </w:rPr>
        <w:t xml:space="preserve">stitutions in current economy. </w:t>
      </w:r>
      <w:r w:rsidRPr="00812E8B">
        <w:rPr>
          <w:lang w:val="en-US"/>
        </w:rPr>
        <w:t xml:space="preserve">Some researchers argue that the moral hazard problem is less important than regulators assume and state that the moral hazard problem does not fully explain the relationship between bank capital and risk taking. Following </w:t>
      </w:r>
      <w:r w:rsidR="00BA26F6" w:rsidRPr="00812E8B">
        <w:rPr>
          <w:color w:val="365F91" w:themeColor="accent1" w:themeShade="BF"/>
          <w:lang w:val="en-US"/>
        </w:rPr>
        <w:t>Milne and Whalley (2001</w:t>
      </w:r>
      <w:r w:rsidR="00483DDB" w:rsidRPr="00812E8B">
        <w:rPr>
          <w:color w:val="365F91" w:themeColor="accent1" w:themeShade="BF"/>
          <w:lang w:val="en-US"/>
        </w:rPr>
        <w:t>)</w:t>
      </w:r>
      <w:r w:rsidR="00483DDB" w:rsidRPr="00812E8B">
        <w:rPr>
          <w:lang w:val="en-US"/>
        </w:rPr>
        <w:t xml:space="preserve"> one</w:t>
      </w:r>
      <w:r w:rsidRPr="00812E8B">
        <w:rPr>
          <w:lang w:val="en-US"/>
        </w:rPr>
        <w:t xml:space="preserve"> should take into account possible future streams of income earnings and the fact that shareholders rarely extract maximum payouts from banks. These effects restrain the moral hazard problem. Despite this contrary explanation, supervisors, academic researchers and politicians address the moral hazard problem and finds supervision necessary. </w:t>
      </w:r>
      <w:r w:rsidR="00730D0F" w:rsidRPr="00812E8B">
        <w:rPr>
          <w:lang w:val="en-US"/>
        </w:rPr>
        <w:t>Note that regulation in the banking sector is not only introduced to reduce moral hazard issues but also, among other reasons, to</w:t>
      </w:r>
      <w:r w:rsidR="00C2097A" w:rsidRPr="00812E8B">
        <w:rPr>
          <w:lang w:val="en-US"/>
        </w:rPr>
        <w:t xml:space="preserve"> offer services to customers, who are financially illiterate, that meet several minimum requirements. </w:t>
      </w:r>
    </w:p>
    <w:p w:rsidR="00CE1B03" w:rsidRPr="00812E8B" w:rsidRDefault="00CE1B03" w:rsidP="00CE1B03">
      <w:pPr>
        <w:pStyle w:val="NoSpacing"/>
        <w:spacing w:line="276" w:lineRule="auto"/>
        <w:rPr>
          <w:lang w:val="en-US"/>
        </w:rPr>
      </w:pPr>
    </w:p>
    <w:p w:rsidR="00CE1B03" w:rsidRPr="00812E8B" w:rsidRDefault="00CE1B03" w:rsidP="00CE1B03">
      <w:pPr>
        <w:pStyle w:val="NoSpacing"/>
        <w:spacing w:line="276" w:lineRule="auto"/>
        <w:jc w:val="both"/>
        <w:rPr>
          <w:lang w:val="en-US"/>
        </w:rPr>
      </w:pPr>
      <w:r w:rsidRPr="00812E8B">
        <w:rPr>
          <w:lang w:val="en-US"/>
        </w:rPr>
        <w:t xml:space="preserve">Monitoring and supervision certainly reduce the moral hazard problem in the banking sector. However, some academics and practitioners argue that monitoring does not completely solve the moral hazard problem. Following </w:t>
      </w:r>
      <w:r w:rsidR="0043417A" w:rsidRPr="00812E8B">
        <w:rPr>
          <w:color w:val="365F91" w:themeColor="accent1" w:themeShade="BF"/>
          <w:lang w:val="en-US"/>
        </w:rPr>
        <w:t>Barth et al. (2004)</w:t>
      </w:r>
      <w:r w:rsidRPr="00812E8B">
        <w:rPr>
          <w:lang w:val="en-US"/>
        </w:rPr>
        <w:t xml:space="preserve">, neither private nor official entities can effectively monitor complex banks. Furthermore, </w:t>
      </w:r>
      <w:r w:rsidR="002E755D" w:rsidRPr="00812E8B">
        <w:rPr>
          <w:color w:val="365F91" w:themeColor="accent1" w:themeShade="BF"/>
          <w:lang w:val="en-US"/>
        </w:rPr>
        <w:t>Blum (2008)</w:t>
      </w:r>
      <w:r w:rsidRPr="00812E8B">
        <w:rPr>
          <w:color w:val="365F91" w:themeColor="accent1" w:themeShade="BF"/>
          <w:lang w:val="en-US"/>
        </w:rPr>
        <w:t xml:space="preserve"> </w:t>
      </w:r>
      <w:r w:rsidRPr="00812E8B">
        <w:rPr>
          <w:lang w:val="en-US"/>
        </w:rPr>
        <w:t>state</w:t>
      </w:r>
      <w:r w:rsidR="002E755D" w:rsidRPr="00812E8B">
        <w:rPr>
          <w:lang w:val="en-US"/>
        </w:rPr>
        <w:t>s</w:t>
      </w:r>
      <w:r w:rsidRPr="00812E8B">
        <w:rPr>
          <w:lang w:val="en-US"/>
        </w:rPr>
        <w:t xml:space="preserve"> that supervisors cannot validate banks’ risk assessments. According to </w:t>
      </w:r>
      <w:r w:rsidR="0043417A" w:rsidRPr="00812E8B">
        <w:rPr>
          <w:color w:val="365F91" w:themeColor="accent1" w:themeShade="BF"/>
          <w:lang w:val="en-US"/>
        </w:rPr>
        <w:t>Barth et al. (2004)</w:t>
      </w:r>
      <w:r w:rsidRPr="00812E8B">
        <w:rPr>
          <w:lang w:val="en-US"/>
        </w:rPr>
        <w:t xml:space="preserve"> and </w:t>
      </w:r>
      <w:r w:rsidR="002E755D" w:rsidRPr="00812E8B">
        <w:rPr>
          <w:color w:val="365F91" w:themeColor="accent1" w:themeShade="BF"/>
          <w:lang w:val="en-US"/>
        </w:rPr>
        <w:t>Blum (2008)</w:t>
      </w:r>
      <w:r w:rsidRPr="00812E8B">
        <w:rPr>
          <w:lang w:val="en-US"/>
        </w:rPr>
        <w:t xml:space="preserve">, information asymmetries mainly cause the above-mentioned inabilities. Information asymmetries will lead to undesirable outcomes given the fact that banks have incentives to understate their risk, as reporting higher risk will lead to higher minimal capital ratios </w:t>
      </w:r>
      <w:r w:rsidR="002E755D" w:rsidRPr="00812E8B">
        <w:rPr>
          <w:color w:val="365F91" w:themeColor="accent1" w:themeShade="BF"/>
          <w:lang w:val="en-US"/>
        </w:rPr>
        <w:t>(Blum, 2008)</w:t>
      </w:r>
      <w:r w:rsidRPr="00812E8B">
        <w:rPr>
          <w:lang w:val="en-US"/>
        </w:rPr>
        <w:t xml:space="preserve">. Assessing risk management principles is very difficult for supervisors; </w:t>
      </w:r>
      <w:r w:rsidR="006D22CC" w:rsidRPr="00812E8B">
        <w:rPr>
          <w:lang w:val="en-US"/>
        </w:rPr>
        <w:t>hence</w:t>
      </w:r>
      <w:r w:rsidRPr="00812E8B">
        <w:rPr>
          <w:lang w:val="en-US"/>
        </w:rPr>
        <w:t xml:space="preserve">, regulation is adapted and focused towards the balance sheet structure of banks. In this context, the balance sheet serves as proxy for supervisors to test sound </w:t>
      </w:r>
      <w:r w:rsidRPr="00812E8B">
        <w:rPr>
          <w:lang w:val="en-US"/>
        </w:rPr>
        <w:lastRenderedPageBreak/>
        <w:t>and adequate risk management principles. The next paragraph discusses regulation and guidelines for banks. Its purpose is to describe which constrains regulators places on bank’s activities and balance sheet structures in order to understand how regulation could affect determinants of banks’ profitability.</w:t>
      </w:r>
    </w:p>
    <w:p w:rsidR="00730D0F" w:rsidRPr="00812E8B" w:rsidRDefault="00730D0F" w:rsidP="00C2097A">
      <w:pPr>
        <w:pStyle w:val="NoSpacing"/>
        <w:rPr>
          <w:sz w:val="18"/>
          <w:szCs w:val="18"/>
          <w:lang w:val="en-US"/>
        </w:rPr>
      </w:pPr>
    </w:p>
    <w:p w:rsidR="00CE1B03" w:rsidRPr="00812E8B" w:rsidRDefault="00CE1B03" w:rsidP="00CE1B03">
      <w:pPr>
        <w:pStyle w:val="Heading3"/>
        <w:rPr>
          <w:color w:val="auto"/>
          <w:lang w:val="en-US"/>
        </w:rPr>
      </w:pPr>
      <w:r w:rsidRPr="00812E8B">
        <w:rPr>
          <w:color w:val="auto"/>
          <w:lang w:val="en-US"/>
        </w:rPr>
        <w:t>2.2.1 R</w:t>
      </w:r>
      <w:r w:rsidR="00FB0A28" w:rsidRPr="00812E8B">
        <w:rPr>
          <w:color w:val="auto"/>
          <w:sz w:val="19"/>
          <w:szCs w:val="19"/>
          <w:lang w:val="en-US"/>
        </w:rPr>
        <w:t>ECENT DEVELOPMENTS IN INTERNATIONAL BANK REGULATION</w:t>
      </w:r>
    </w:p>
    <w:p w:rsidR="00CE1B03" w:rsidRPr="00812E8B" w:rsidRDefault="00CE1B03" w:rsidP="00CE1B03">
      <w:pPr>
        <w:pStyle w:val="NoSpacing"/>
        <w:spacing w:line="276" w:lineRule="auto"/>
        <w:jc w:val="both"/>
        <w:rPr>
          <w:color w:val="FF0000"/>
          <w:lang w:val="en-US"/>
        </w:rPr>
      </w:pPr>
      <w:r w:rsidRPr="00812E8B">
        <w:rPr>
          <w:lang w:val="en-US"/>
        </w:rPr>
        <w:t xml:space="preserve">In 1988, the Basel Committee on Banking Supervision introduced the first broadly accepted international accord on banking supervision; the Basle Capital Accord </w:t>
      </w:r>
      <w:r w:rsidR="005C5585" w:rsidRPr="00812E8B">
        <w:rPr>
          <w:lang w:val="en-US"/>
        </w:rPr>
        <w:t xml:space="preserve">- </w:t>
      </w:r>
      <w:r w:rsidRPr="00812E8B">
        <w:rPr>
          <w:lang w:val="en-US"/>
        </w:rPr>
        <w:t xml:space="preserve">also known as </w:t>
      </w:r>
      <w:r w:rsidR="005C5585" w:rsidRPr="00812E8B">
        <w:rPr>
          <w:lang w:val="en-US"/>
        </w:rPr>
        <w:t>Basel I</w:t>
      </w:r>
      <w:r w:rsidRPr="00812E8B">
        <w:rPr>
          <w:lang w:val="en-US"/>
        </w:rPr>
        <w:t xml:space="preserve">. Originally, the accord focused on credit risk as </w:t>
      </w:r>
      <w:r w:rsidR="00483631" w:rsidRPr="00812E8B">
        <w:rPr>
          <w:lang w:val="en-US"/>
        </w:rPr>
        <w:t>it</w:t>
      </w:r>
      <w:r w:rsidRPr="00812E8B">
        <w:rPr>
          <w:lang w:val="en-US"/>
        </w:rPr>
        <w:t xml:space="preserve"> is the most important risk driver for banks </w:t>
      </w:r>
      <w:r w:rsidR="00BA26F6" w:rsidRPr="00812E8B">
        <w:rPr>
          <w:color w:val="365F91" w:themeColor="accent1" w:themeShade="BF"/>
          <w:lang w:val="en-US"/>
        </w:rPr>
        <w:t>(Santos, 2001)</w:t>
      </w:r>
      <w:r w:rsidRPr="00812E8B">
        <w:rPr>
          <w:lang w:val="en-US"/>
        </w:rPr>
        <w:t xml:space="preserve">. Later on, the Basel Committee also incorporated market risks (e.g. interest rate risk and foreign exchange risk) from the trading book in calculating risk weighted assets and capital requirements </w:t>
      </w:r>
      <w:r w:rsidR="006029C5" w:rsidRPr="00812E8B">
        <w:rPr>
          <w:color w:val="365F91" w:themeColor="accent1" w:themeShade="BF"/>
          <w:lang w:val="en-US"/>
        </w:rPr>
        <w:t>(Basel Committee on Banking Supervision, 1997)</w:t>
      </w:r>
      <w:r w:rsidRPr="00812E8B">
        <w:rPr>
          <w:lang w:val="en-US"/>
        </w:rPr>
        <w:t>. Basel I defined minimum requirements for the ratio between capital and risk weighted assets to ensure a sound capital position,</w:t>
      </w:r>
      <w:r w:rsidR="00BC7621" w:rsidRPr="00812E8B">
        <w:rPr>
          <w:lang w:val="en-US"/>
        </w:rPr>
        <w:t xml:space="preserve"> table 1</w:t>
      </w:r>
      <w:r w:rsidRPr="00812E8B">
        <w:rPr>
          <w:color w:val="E36C0A" w:themeColor="accent6" w:themeShade="BF"/>
          <w:lang w:val="en-US"/>
        </w:rPr>
        <w:t xml:space="preserve"> </w:t>
      </w:r>
      <w:r w:rsidRPr="00812E8B">
        <w:rPr>
          <w:lang w:val="en-US"/>
        </w:rPr>
        <w:t>presents the minimum capital ratios under Basel I. Note that the minimum capital requirements ar</w:t>
      </w:r>
      <w:r w:rsidR="00BC7621" w:rsidRPr="00812E8B">
        <w:rPr>
          <w:lang w:val="en-US"/>
        </w:rPr>
        <w:t xml:space="preserve">e divided into different tiers that </w:t>
      </w:r>
      <w:r w:rsidRPr="00812E8B">
        <w:rPr>
          <w:lang w:val="en-US"/>
        </w:rPr>
        <w:t>are described in</w:t>
      </w:r>
      <w:r w:rsidR="004D4378" w:rsidRPr="00812E8B">
        <w:rPr>
          <w:lang w:val="en-US"/>
        </w:rPr>
        <w:t xml:space="preserve"> appendix II.</w:t>
      </w:r>
      <w:r w:rsidRPr="00812E8B">
        <w:rPr>
          <w:lang w:val="en-US"/>
        </w:rPr>
        <w:t xml:space="preserve">    </w:t>
      </w:r>
    </w:p>
    <w:p w:rsidR="00CE1B03" w:rsidRPr="00812E8B" w:rsidRDefault="00CE1B03" w:rsidP="00C2097A">
      <w:pPr>
        <w:pStyle w:val="NoSpacing"/>
        <w:spacing w:line="276" w:lineRule="auto"/>
        <w:jc w:val="both"/>
        <w:rPr>
          <w:sz w:val="20"/>
          <w:szCs w:val="20"/>
          <w:lang w:val="en-US"/>
        </w:rPr>
      </w:pPr>
    </w:p>
    <w:p w:rsidR="00CE1B03" w:rsidRPr="00812E8B" w:rsidRDefault="00CE1B03" w:rsidP="00CE1B03">
      <w:pPr>
        <w:pStyle w:val="NoSpacing"/>
        <w:spacing w:line="276" w:lineRule="auto"/>
        <w:jc w:val="both"/>
        <w:rPr>
          <w:lang w:val="en-US"/>
        </w:rPr>
      </w:pPr>
      <w:r w:rsidRPr="00812E8B">
        <w:rPr>
          <w:lang w:val="en-US"/>
        </w:rPr>
        <w:t xml:space="preserve">In 2004, the Basel Committee revised the original framework and introduced Basel II. Following </w:t>
      </w:r>
      <w:r w:rsidRPr="00812E8B">
        <w:rPr>
          <w:color w:val="365F91" w:themeColor="accent1" w:themeShade="BF"/>
          <w:lang w:val="en-US"/>
        </w:rPr>
        <w:t xml:space="preserve">Allen et al. </w:t>
      </w:r>
      <w:r w:rsidR="0043417A" w:rsidRPr="00812E8B">
        <w:rPr>
          <w:color w:val="365F91" w:themeColor="accent1" w:themeShade="BF"/>
          <w:lang w:val="en-US"/>
        </w:rPr>
        <w:t>(2010)</w:t>
      </w:r>
      <w:r w:rsidRPr="00812E8B">
        <w:rPr>
          <w:color w:val="365F91" w:themeColor="accent1" w:themeShade="BF"/>
          <w:lang w:val="en-US"/>
        </w:rPr>
        <w:t xml:space="preserve"> </w:t>
      </w:r>
      <w:r w:rsidRPr="00812E8B">
        <w:rPr>
          <w:lang w:val="en-US"/>
        </w:rPr>
        <w:t xml:space="preserve">moral hazard and regulatory arbitrage formed the main reasons for </w:t>
      </w:r>
      <w:r w:rsidR="00483631" w:rsidRPr="00812E8B">
        <w:rPr>
          <w:lang w:val="en-US"/>
        </w:rPr>
        <w:t>the</w:t>
      </w:r>
      <w:r w:rsidRPr="00812E8B">
        <w:rPr>
          <w:lang w:val="en-US"/>
        </w:rPr>
        <w:t xml:space="preserve"> revision. Basel II rel</w:t>
      </w:r>
      <w:r w:rsidR="006029C5" w:rsidRPr="00812E8B">
        <w:rPr>
          <w:lang w:val="en-US"/>
        </w:rPr>
        <w:t>ies</w:t>
      </w:r>
      <w:r w:rsidR="00483631" w:rsidRPr="00812E8B">
        <w:rPr>
          <w:lang w:val="en-US"/>
        </w:rPr>
        <w:t xml:space="preserve"> </w:t>
      </w:r>
      <w:r w:rsidRPr="00812E8B">
        <w:rPr>
          <w:lang w:val="en-US"/>
        </w:rPr>
        <w:t xml:space="preserve">on a three-pillar system </w:t>
      </w:r>
      <w:r w:rsidR="006029C5" w:rsidRPr="00812E8B">
        <w:rPr>
          <w:color w:val="365F91" w:themeColor="accent1" w:themeShade="BF"/>
          <w:lang w:val="en-US"/>
        </w:rPr>
        <w:t>(Basel Committee on Banking Supervision, 2004)</w:t>
      </w:r>
      <w:r w:rsidRPr="00812E8B">
        <w:rPr>
          <w:lang w:val="en-US"/>
        </w:rPr>
        <w:t>. The first pillar incorporate</w:t>
      </w:r>
      <w:r w:rsidR="00483631" w:rsidRPr="00812E8B">
        <w:rPr>
          <w:lang w:val="en-US"/>
        </w:rPr>
        <w:t>s</w:t>
      </w:r>
      <w:r w:rsidRPr="00812E8B">
        <w:rPr>
          <w:lang w:val="en-US"/>
        </w:rPr>
        <w:t xml:space="preserve"> minimal capital requirements, similar to those in Basel I. Subseque</w:t>
      </w:r>
      <w:r w:rsidR="00483631" w:rsidRPr="00812E8B">
        <w:rPr>
          <w:lang w:val="en-US"/>
        </w:rPr>
        <w:t>ntly, the second pillar presents</w:t>
      </w:r>
      <w:r w:rsidRPr="00812E8B">
        <w:rPr>
          <w:lang w:val="en-US"/>
        </w:rPr>
        <w:t xml:space="preserve"> guidelines for sound risk management and capture</w:t>
      </w:r>
      <w:r w:rsidR="00483631" w:rsidRPr="00812E8B">
        <w:rPr>
          <w:lang w:val="en-US"/>
        </w:rPr>
        <w:t>s</w:t>
      </w:r>
      <w:r w:rsidRPr="00812E8B">
        <w:rPr>
          <w:lang w:val="en-US"/>
        </w:rPr>
        <w:t xml:space="preserve"> residual risks that are not described in the first pillar. In this context, the </w:t>
      </w:r>
      <w:r w:rsidR="00483631" w:rsidRPr="00812E8B">
        <w:rPr>
          <w:lang w:val="en-US"/>
        </w:rPr>
        <w:t xml:space="preserve">Basel Committee mainly transfers </w:t>
      </w:r>
      <w:r w:rsidRPr="00812E8B">
        <w:rPr>
          <w:lang w:val="en-US"/>
        </w:rPr>
        <w:t>the responsibility of the residual risks to the banking sector, without setting any specific target ratio. Finally, the third pillar set</w:t>
      </w:r>
      <w:r w:rsidR="00483631" w:rsidRPr="00812E8B">
        <w:rPr>
          <w:lang w:val="en-US"/>
        </w:rPr>
        <w:t>s</w:t>
      </w:r>
      <w:r w:rsidRPr="00812E8B">
        <w:rPr>
          <w:lang w:val="en-US"/>
        </w:rPr>
        <w:t xml:space="preserve"> out requirements for market discipline and disclosures on risk management. Thus, this final pillar serve</w:t>
      </w:r>
      <w:r w:rsidR="00483631" w:rsidRPr="00812E8B">
        <w:rPr>
          <w:lang w:val="en-US"/>
        </w:rPr>
        <w:t>s</w:t>
      </w:r>
      <w:r w:rsidRPr="00812E8B">
        <w:rPr>
          <w:lang w:val="en-US"/>
        </w:rPr>
        <w:t xml:space="preserve"> as control to the first two pillars by requiring adequate disclosures of risk management controllable by supervisors and other stakeholders. According to </w:t>
      </w:r>
      <w:r w:rsidR="006029C5" w:rsidRPr="00812E8B">
        <w:rPr>
          <w:color w:val="365F91" w:themeColor="accent1" w:themeShade="BF"/>
          <w:lang w:val="en-US"/>
        </w:rPr>
        <w:t>Basel Committee on Banking Supervision (2004)</w:t>
      </w:r>
      <w:r w:rsidRPr="00812E8B">
        <w:rPr>
          <w:color w:val="365F91" w:themeColor="accent1" w:themeShade="BF"/>
          <w:lang w:val="en-US"/>
        </w:rPr>
        <w:t xml:space="preserve"> </w:t>
      </w:r>
      <w:r w:rsidRPr="00812E8B">
        <w:rPr>
          <w:lang w:val="en-US"/>
        </w:rPr>
        <w:t xml:space="preserve">the objectives of Basel II </w:t>
      </w:r>
      <w:r w:rsidR="00483631" w:rsidRPr="00812E8B">
        <w:rPr>
          <w:lang w:val="en-US"/>
        </w:rPr>
        <w:t>a</w:t>
      </w:r>
      <w:r w:rsidRPr="00812E8B">
        <w:rPr>
          <w:lang w:val="en-US"/>
        </w:rPr>
        <w:t>re to strengthen the stability and soundness of the financial sector. Moreover, Basel II aim</w:t>
      </w:r>
      <w:r w:rsidR="00483631" w:rsidRPr="00812E8B">
        <w:rPr>
          <w:lang w:val="en-US"/>
        </w:rPr>
        <w:t>s</w:t>
      </w:r>
      <w:r w:rsidRPr="00812E8B">
        <w:rPr>
          <w:lang w:val="en-US"/>
        </w:rPr>
        <w:t xml:space="preserve"> to be more risk-sensitive and</w:t>
      </w:r>
      <w:r w:rsidRPr="00812E8B">
        <w:rPr>
          <w:color w:val="365F91" w:themeColor="accent1" w:themeShade="BF"/>
          <w:lang w:val="en-US"/>
        </w:rPr>
        <w:t xml:space="preserve"> </w:t>
      </w:r>
      <w:r w:rsidRPr="00812E8B">
        <w:rPr>
          <w:lang w:val="en-US"/>
        </w:rPr>
        <w:t xml:space="preserve">to make greater use of banks’ internal models and risk management principles in calculating capital ratios. With the introduction of Basel II interaction and disclosures to national supervisors </w:t>
      </w:r>
      <w:r w:rsidR="00483631" w:rsidRPr="00812E8B">
        <w:rPr>
          <w:lang w:val="en-US"/>
        </w:rPr>
        <w:t>a</w:t>
      </w:r>
      <w:r w:rsidRPr="00812E8B">
        <w:rPr>
          <w:lang w:val="en-US"/>
        </w:rPr>
        <w:t>re intensified.</w:t>
      </w:r>
    </w:p>
    <w:p w:rsidR="00CE1B03" w:rsidRPr="00812E8B" w:rsidRDefault="00CE1B03" w:rsidP="00C2097A">
      <w:pPr>
        <w:pStyle w:val="NoSpacing"/>
        <w:rPr>
          <w:sz w:val="20"/>
          <w:szCs w:val="20"/>
          <w:lang w:val="en-US"/>
        </w:rPr>
      </w:pPr>
    </w:p>
    <w:p w:rsidR="00CE1B03" w:rsidRPr="00812E8B" w:rsidRDefault="00CE1B03" w:rsidP="00A63AC0">
      <w:pPr>
        <w:pStyle w:val="Caption"/>
        <w:rPr>
          <w:b w:val="0"/>
          <w:color w:val="auto"/>
          <w:lang w:val="en-US"/>
        </w:rPr>
      </w:pPr>
      <w:bookmarkStart w:id="12" w:name="_Ref295978306"/>
      <w:bookmarkStart w:id="13" w:name="_Ref295978246"/>
      <w:bookmarkStart w:id="14" w:name="_Toc305410553"/>
      <w:r w:rsidRPr="00812E8B">
        <w:rPr>
          <w:lang w:val="en-US"/>
        </w:rPr>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1</w:t>
      </w:r>
      <w:r w:rsidR="00D46A7F" w:rsidRPr="00812E8B">
        <w:rPr>
          <w:lang w:val="en-US"/>
        </w:rPr>
        <w:fldChar w:fldCharType="end"/>
      </w:r>
      <w:bookmarkEnd w:id="12"/>
      <w:bookmarkEnd w:id="13"/>
      <w:r w:rsidR="003D292D" w:rsidRPr="00812E8B">
        <w:rPr>
          <w:lang w:val="en-US"/>
        </w:rPr>
        <w:br/>
      </w:r>
      <w:r w:rsidR="003D292D" w:rsidRPr="00812E8B">
        <w:rPr>
          <w:b w:val="0"/>
          <w:color w:val="auto"/>
          <w:lang w:val="en-US"/>
        </w:rPr>
        <w:t>Differences between minimum capital requirements</w:t>
      </w:r>
      <w:bookmarkEnd w:id="14"/>
    </w:p>
    <w:tbl>
      <w:tblPr>
        <w:tblStyle w:val="Lichtearcering1"/>
        <w:tblW w:w="9918" w:type="dxa"/>
        <w:tblInd w:w="-342" w:type="dxa"/>
        <w:tblLook w:val="04A0"/>
      </w:tblPr>
      <w:tblGrid>
        <w:gridCol w:w="1548"/>
        <w:gridCol w:w="3870"/>
        <w:gridCol w:w="1260"/>
        <w:gridCol w:w="1620"/>
        <w:gridCol w:w="1620"/>
      </w:tblGrid>
      <w:tr w:rsidR="005C3E83" w:rsidRPr="00812E8B" w:rsidTr="00731A94">
        <w:trPr>
          <w:cnfStyle w:val="100000000000"/>
          <w:trHeight w:val="606"/>
        </w:trPr>
        <w:tc>
          <w:tcPr>
            <w:cnfStyle w:val="001000000000"/>
            <w:tcW w:w="1548" w:type="dxa"/>
            <w:shd w:val="clear" w:color="auto" w:fill="auto"/>
            <w:vAlign w:val="bottom"/>
          </w:tcPr>
          <w:p w:rsidR="005C3E83" w:rsidRPr="00812E8B" w:rsidRDefault="005C3E83" w:rsidP="00731A94">
            <w:pPr>
              <w:rPr>
                <w:lang w:val="en-US"/>
              </w:rPr>
            </w:pPr>
            <w:r w:rsidRPr="00812E8B">
              <w:rPr>
                <w:lang w:val="en-US"/>
              </w:rPr>
              <w:t>Regulation</w:t>
            </w:r>
          </w:p>
          <w:p w:rsidR="00731A94" w:rsidRPr="00812E8B" w:rsidRDefault="00731A94" w:rsidP="00731A94">
            <w:pPr>
              <w:rPr>
                <w:lang w:val="en-US"/>
              </w:rPr>
            </w:pPr>
          </w:p>
        </w:tc>
        <w:tc>
          <w:tcPr>
            <w:tcW w:w="3870" w:type="dxa"/>
            <w:shd w:val="clear" w:color="auto" w:fill="auto"/>
            <w:vAlign w:val="bottom"/>
          </w:tcPr>
          <w:p w:rsidR="005C3E83" w:rsidRPr="00812E8B" w:rsidRDefault="005C3E83" w:rsidP="00731A94">
            <w:pPr>
              <w:cnfStyle w:val="100000000000"/>
              <w:rPr>
                <w:lang w:val="en-US"/>
              </w:rPr>
            </w:pPr>
            <w:r w:rsidRPr="00812E8B">
              <w:rPr>
                <w:lang w:val="en-US"/>
              </w:rPr>
              <w:t>Requirements</w:t>
            </w:r>
          </w:p>
          <w:p w:rsidR="00731A94" w:rsidRPr="00812E8B" w:rsidRDefault="00731A94" w:rsidP="00731A94">
            <w:pPr>
              <w:cnfStyle w:val="100000000000"/>
              <w:rPr>
                <w:lang w:val="en-US"/>
              </w:rPr>
            </w:pPr>
          </w:p>
        </w:tc>
        <w:tc>
          <w:tcPr>
            <w:tcW w:w="1260" w:type="dxa"/>
            <w:shd w:val="clear" w:color="auto" w:fill="auto"/>
            <w:vAlign w:val="bottom"/>
          </w:tcPr>
          <w:p w:rsidR="005C3E83" w:rsidRPr="00812E8B" w:rsidRDefault="005C3E83" w:rsidP="00731A94">
            <w:pPr>
              <w:jc w:val="center"/>
              <w:cnfStyle w:val="100000000000"/>
              <w:rPr>
                <w:lang w:val="en-US"/>
              </w:rPr>
            </w:pPr>
            <w:r w:rsidRPr="00812E8B">
              <w:rPr>
                <w:lang w:val="en-US"/>
              </w:rPr>
              <w:t>Tier 1 (core equity)</w:t>
            </w:r>
          </w:p>
        </w:tc>
        <w:tc>
          <w:tcPr>
            <w:tcW w:w="1620" w:type="dxa"/>
            <w:shd w:val="clear" w:color="auto" w:fill="auto"/>
            <w:vAlign w:val="bottom"/>
          </w:tcPr>
          <w:p w:rsidR="005C3E83" w:rsidRPr="00812E8B" w:rsidRDefault="005C3E83" w:rsidP="00731A94">
            <w:pPr>
              <w:jc w:val="center"/>
              <w:cnfStyle w:val="100000000000"/>
              <w:rPr>
                <w:lang w:val="en-US"/>
              </w:rPr>
            </w:pPr>
            <w:r w:rsidRPr="00812E8B">
              <w:rPr>
                <w:lang w:val="en-US"/>
              </w:rPr>
              <w:t>Tier</w:t>
            </w:r>
          </w:p>
          <w:p w:rsidR="00731A94" w:rsidRPr="00812E8B" w:rsidRDefault="00731A94" w:rsidP="00731A94">
            <w:pPr>
              <w:jc w:val="center"/>
              <w:cnfStyle w:val="100000000000"/>
              <w:rPr>
                <w:lang w:val="en-US"/>
              </w:rPr>
            </w:pPr>
          </w:p>
        </w:tc>
        <w:tc>
          <w:tcPr>
            <w:tcW w:w="1620" w:type="dxa"/>
            <w:shd w:val="clear" w:color="auto" w:fill="auto"/>
            <w:vAlign w:val="bottom"/>
          </w:tcPr>
          <w:p w:rsidR="005C3E83" w:rsidRPr="00812E8B" w:rsidRDefault="005C3E83" w:rsidP="00731A94">
            <w:pPr>
              <w:jc w:val="center"/>
              <w:cnfStyle w:val="100000000000"/>
              <w:rPr>
                <w:lang w:val="en-US"/>
              </w:rPr>
            </w:pPr>
            <w:r w:rsidRPr="00812E8B">
              <w:rPr>
                <w:lang w:val="en-US"/>
              </w:rPr>
              <w:t>Total capital</w:t>
            </w:r>
          </w:p>
          <w:p w:rsidR="00731A94" w:rsidRPr="00812E8B" w:rsidRDefault="00731A94" w:rsidP="00731A94">
            <w:pPr>
              <w:jc w:val="center"/>
              <w:cnfStyle w:val="100000000000"/>
              <w:rPr>
                <w:lang w:val="en-US"/>
              </w:rPr>
            </w:pPr>
          </w:p>
        </w:tc>
      </w:tr>
      <w:tr w:rsidR="005C3E83" w:rsidRPr="00812E8B" w:rsidTr="005C3E83">
        <w:trPr>
          <w:cnfStyle w:val="000000100000"/>
          <w:trHeight w:val="365"/>
        </w:trPr>
        <w:tc>
          <w:tcPr>
            <w:cnfStyle w:val="001000000000"/>
            <w:tcW w:w="1548" w:type="dxa"/>
            <w:shd w:val="clear" w:color="auto" w:fill="auto"/>
          </w:tcPr>
          <w:p w:rsidR="005C3E83" w:rsidRPr="00812E8B" w:rsidRDefault="005C3E83" w:rsidP="00C2097A">
            <w:pPr>
              <w:spacing w:line="276" w:lineRule="auto"/>
              <w:rPr>
                <w:lang w:val="en-US"/>
              </w:rPr>
            </w:pPr>
            <w:r w:rsidRPr="00812E8B">
              <w:rPr>
                <w:lang w:val="en-US"/>
              </w:rPr>
              <w:t>Basel I</w:t>
            </w:r>
          </w:p>
        </w:tc>
        <w:tc>
          <w:tcPr>
            <w:tcW w:w="3870" w:type="dxa"/>
            <w:shd w:val="clear" w:color="auto" w:fill="auto"/>
          </w:tcPr>
          <w:p w:rsidR="005C3E83" w:rsidRPr="00812E8B" w:rsidRDefault="005C3E83" w:rsidP="00C2097A">
            <w:pPr>
              <w:spacing w:line="276" w:lineRule="auto"/>
              <w:cnfStyle w:val="000000100000"/>
              <w:rPr>
                <w:lang w:val="en-US"/>
              </w:rPr>
            </w:pPr>
            <w:r w:rsidRPr="00812E8B">
              <w:rPr>
                <w:lang w:val="en-US"/>
              </w:rPr>
              <w:t>Minimum</w:t>
            </w:r>
          </w:p>
        </w:tc>
        <w:tc>
          <w:tcPr>
            <w:tcW w:w="1260" w:type="dxa"/>
            <w:shd w:val="clear" w:color="auto" w:fill="auto"/>
          </w:tcPr>
          <w:p w:rsidR="005C3E83" w:rsidRPr="00812E8B" w:rsidRDefault="005C3E83" w:rsidP="00C2097A">
            <w:pPr>
              <w:spacing w:line="276" w:lineRule="auto"/>
              <w:jc w:val="center"/>
              <w:cnfStyle w:val="000000100000"/>
              <w:rPr>
                <w:lang w:val="en-US"/>
              </w:rPr>
            </w:pPr>
          </w:p>
        </w:tc>
        <w:tc>
          <w:tcPr>
            <w:tcW w:w="1620" w:type="dxa"/>
            <w:shd w:val="clear" w:color="auto" w:fill="auto"/>
          </w:tcPr>
          <w:p w:rsidR="005C3E83" w:rsidRPr="00812E8B" w:rsidRDefault="005C3E83" w:rsidP="00C2097A">
            <w:pPr>
              <w:spacing w:line="276" w:lineRule="auto"/>
              <w:jc w:val="center"/>
              <w:cnfStyle w:val="000000100000"/>
              <w:rPr>
                <w:lang w:val="en-US"/>
              </w:rPr>
            </w:pPr>
            <w:r w:rsidRPr="00812E8B">
              <w:rPr>
                <w:lang w:val="en-US"/>
              </w:rPr>
              <w:t>4.00%</w:t>
            </w:r>
          </w:p>
        </w:tc>
        <w:tc>
          <w:tcPr>
            <w:tcW w:w="1620" w:type="dxa"/>
            <w:shd w:val="clear" w:color="auto" w:fill="auto"/>
          </w:tcPr>
          <w:p w:rsidR="005C3E83" w:rsidRPr="00812E8B" w:rsidRDefault="005C3E83" w:rsidP="00C2097A">
            <w:pPr>
              <w:spacing w:line="276" w:lineRule="auto"/>
              <w:jc w:val="center"/>
              <w:cnfStyle w:val="000000100000"/>
              <w:rPr>
                <w:lang w:val="en-US"/>
              </w:rPr>
            </w:pPr>
            <w:r w:rsidRPr="00812E8B">
              <w:rPr>
                <w:lang w:val="en-US"/>
              </w:rPr>
              <w:t>8.00%</w:t>
            </w:r>
          </w:p>
        </w:tc>
      </w:tr>
      <w:tr w:rsidR="005C3E83" w:rsidRPr="00812E8B" w:rsidTr="005C3E83">
        <w:trPr>
          <w:trHeight w:val="365"/>
        </w:trPr>
        <w:tc>
          <w:tcPr>
            <w:cnfStyle w:val="001000000000"/>
            <w:tcW w:w="1548" w:type="dxa"/>
            <w:shd w:val="clear" w:color="auto" w:fill="auto"/>
          </w:tcPr>
          <w:p w:rsidR="005C3E83" w:rsidRPr="00812E8B" w:rsidRDefault="005C3E83" w:rsidP="005C3E83">
            <w:pPr>
              <w:rPr>
                <w:lang w:val="en-US"/>
              </w:rPr>
            </w:pPr>
            <w:r w:rsidRPr="00812E8B">
              <w:rPr>
                <w:lang w:val="en-US"/>
              </w:rPr>
              <w:t>Basel II</w:t>
            </w:r>
          </w:p>
        </w:tc>
        <w:tc>
          <w:tcPr>
            <w:tcW w:w="3870" w:type="dxa"/>
            <w:shd w:val="clear" w:color="auto" w:fill="auto"/>
          </w:tcPr>
          <w:p w:rsidR="005C3E83" w:rsidRPr="00812E8B" w:rsidRDefault="005C3E83" w:rsidP="005C3E83">
            <w:pPr>
              <w:cnfStyle w:val="000000000000"/>
              <w:rPr>
                <w:lang w:val="en-US"/>
              </w:rPr>
            </w:pPr>
            <w:r w:rsidRPr="00812E8B">
              <w:rPr>
                <w:lang w:val="en-US"/>
              </w:rPr>
              <w:t>Minimum</w:t>
            </w:r>
          </w:p>
        </w:tc>
        <w:tc>
          <w:tcPr>
            <w:tcW w:w="1260" w:type="dxa"/>
            <w:shd w:val="clear" w:color="auto" w:fill="auto"/>
          </w:tcPr>
          <w:p w:rsidR="005C3E83" w:rsidRPr="00812E8B" w:rsidRDefault="005C3E83" w:rsidP="005C3E83">
            <w:pPr>
              <w:jc w:val="center"/>
              <w:cnfStyle w:val="000000000000"/>
              <w:rPr>
                <w:lang w:val="en-US"/>
              </w:rPr>
            </w:pPr>
            <w:r w:rsidRPr="00812E8B">
              <w:rPr>
                <w:lang w:val="en-US"/>
              </w:rPr>
              <w:t>2.00%</w:t>
            </w:r>
          </w:p>
        </w:tc>
        <w:tc>
          <w:tcPr>
            <w:tcW w:w="1620" w:type="dxa"/>
            <w:shd w:val="clear" w:color="auto" w:fill="auto"/>
          </w:tcPr>
          <w:p w:rsidR="005C3E83" w:rsidRPr="00812E8B" w:rsidRDefault="005C3E83" w:rsidP="005C3E83">
            <w:pPr>
              <w:jc w:val="center"/>
              <w:cnfStyle w:val="000000000000"/>
              <w:rPr>
                <w:lang w:val="en-US"/>
              </w:rPr>
            </w:pPr>
            <w:r w:rsidRPr="00812E8B">
              <w:rPr>
                <w:lang w:val="en-US"/>
              </w:rPr>
              <w:t>4.00%</w:t>
            </w:r>
          </w:p>
        </w:tc>
        <w:tc>
          <w:tcPr>
            <w:tcW w:w="1620" w:type="dxa"/>
            <w:shd w:val="clear" w:color="auto" w:fill="auto"/>
          </w:tcPr>
          <w:p w:rsidR="005C3E83" w:rsidRPr="00812E8B" w:rsidRDefault="005C3E83" w:rsidP="005C3E83">
            <w:pPr>
              <w:jc w:val="center"/>
              <w:cnfStyle w:val="000000000000"/>
              <w:rPr>
                <w:lang w:val="en-US"/>
              </w:rPr>
            </w:pPr>
            <w:r w:rsidRPr="00812E8B">
              <w:rPr>
                <w:lang w:val="en-US"/>
              </w:rPr>
              <w:t>8.00%</w:t>
            </w:r>
          </w:p>
        </w:tc>
      </w:tr>
      <w:tr w:rsidR="005C3E83" w:rsidRPr="00812E8B" w:rsidTr="005C3E83">
        <w:trPr>
          <w:cnfStyle w:val="000000100000"/>
        </w:trPr>
        <w:tc>
          <w:tcPr>
            <w:cnfStyle w:val="001000000000"/>
            <w:tcW w:w="1548" w:type="dxa"/>
            <w:shd w:val="clear" w:color="auto" w:fill="auto"/>
          </w:tcPr>
          <w:p w:rsidR="005C3E83" w:rsidRPr="00812E8B" w:rsidRDefault="005C3E83" w:rsidP="00F45A8D">
            <w:pPr>
              <w:spacing w:line="300" w:lineRule="auto"/>
              <w:rPr>
                <w:lang w:val="en-US"/>
              </w:rPr>
            </w:pPr>
            <w:r w:rsidRPr="00812E8B">
              <w:rPr>
                <w:lang w:val="en-US"/>
              </w:rPr>
              <w:t>Basel III</w:t>
            </w:r>
          </w:p>
        </w:tc>
        <w:tc>
          <w:tcPr>
            <w:tcW w:w="3870" w:type="dxa"/>
            <w:shd w:val="clear" w:color="auto" w:fill="auto"/>
          </w:tcPr>
          <w:p w:rsidR="005C3E83" w:rsidRPr="00812E8B" w:rsidRDefault="005C3E83" w:rsidP="00F45A8D">
            <w:pPr>
              <w:spacing w:line="300" w:lineRule="auto"/>
              <w:cnfStyle w:val="000000100000"/>
              <w:rPr>
                <w:lang w:val="en-US"/>
              </w:rPr>
            </w:pPr>
            <w:r w:rsidRPr="00812E8B">
              <w:rPr>
                <w:lang w:val="en-US"/>
              </w:rPr>
              <w:t>Minimum</w:t>
            </w:r>
          </w:p>
          <w:p w:rsidR="005C3E83" w:rsidRPr="00812E8B" w:rsidRDefault="005C3E83" w:rsidP="00F45A8D">
            <w:pPr>
              <w:spacing w:line="300" w:lineRule="auto"/>
              <w:cnfStyle w:val="000000100000"/>
              <w:rPr>
                <w:lang w:val="en-US"/>
              </w:rPr>
            </w:pPr>
            <w:r w:rsidRPr="00812E8B">
              <w:rPr>
                <w:lang w:val="en-US"/>
              </w:rPr>
              <w:t>Capital Conservation Buffer</w:t>
            </w:r>
          </w:p>
          <w:p w:rsidR="005C3E83" w:rsidRPr="00812E8B" w:rsidRDefault="005C3E83" w:rsidP="00F45A8D">
            <w:pPr>
              <w:spacing w:line="300" w:lineRule="auto"/>
              <w:cnfStyle w:val="000000100000"/>
              <w:rPr>
                <w:lang w:val="en-US"/>
              </w:rPr>
            </w:pPr>
            <w:r w:rsidRPr="00812E8B">
              <w:rPr>
                <w:lang w:val="en-US"/>
              </w:rPr>
              <w:t>Minimum + Capital Conservation Buffer</w:t>
            </w:r>
          </w:p>
          <w:p w:rsidR="005C3E83" w:rsidRPr="00812E8B" w:rsidRDefault="005C3E83" w:rsidP="00F45A8D">
            <w:pPr>
              <w:spacing w:line="300" w:lineRule="auto"/>
              <w:cnfStyle w:val="000000100000"/>
              <w:rPr>
                <w:lang w:val="en-US"/>
              </w:rPr>
            </w:pPr>
            <w:r w:rsidRPr="00812E8B">
              <w:rPr>
                <w:lang w:val="en-US"/>
              </w:rPr>
              <w:t>Countercyclical buffer</w:t>
            </w:r>
          </w:p>
        </w:tc>
        <w:tc>
          <w:tcPr>
            <w:tcW w:w="1260" w:type="dxa"/>
            <w:shd w:val="clear" w:color="auto" w:fill="auto"/>
          </w:tcPr>
          <w:p w:rsidR="005C3E83" w:rsidRPr="00812E8B" w:rsidRDefault="005C3E83" w:rsidP="00F45A8D">
            <w:pPr>
              <w:spacing w:line="300" w:lineRule="auto"/>
              <w:jc w:val="center"/>
              <w:cnfStyle w:val="000000100000"/>
              <w:rPr>
                <w:lang w:val="en-US"/>
              </w:rPr>
            </w:pPr>
            <w:r w:rsidRPr="00812E8B">
              <w:rPr>
                <w:lang w:val="en-US"/>
              </w:rPr>
              <w:t>4.50%</w:t>
            </w:r>
          </w:p>
          <w:p w:rsidR="005C3E83" w:rsidRPr="00812E8B" w:rsidRDefault="005C3E83" w:rsidP="00F45A8D">
            <w:pPr>
              <w:spacing w:line="300" w:lineRule="auto"/>
              <w:jc w:val="center"/>
              <w:cnfStyle w:val="000000100000"/>
              <w:rPr>
                <w:lang w:val="en-US"/>
              </w:rPr>
            </w:pPr>
          </w:p>
          <w:p w:rsidR="005C3E83" w:rsidRPr="00812E8B" w:rsidRDefault="005C3E83" w:rsidP="00F45A8D">
            <w:pPr>
              <w:spacing w:line="300" w:lineRule="auto"/>
              <w:jc w:val="center"/>
              <w:cnfStyle w:val="000000100000"/>
              <w:rPr>
                <w:lang w:val="en-US"/>
              </w:rPr>
            </w:pPr>
            <w:r w:rsidRPr="00812E8B">
              <w:rPr>
                <w:lang w:val="en-US"/>
              </w:rPr>
              <w:t>7.00%</w:t>
            </w:r>
          </w:p>
        </w:tc>
        <w:tc>
          <w:tcPr>
            <w:tcW w:w="1620" w:type="dxa"/>
            <w:shd w:val="clear" w:color="auto" w:fill="auto"/>
          </w:tcPr>
          <w:p w:rsidR="005C3E83" w:rsidRPr="00812E8B" w:rsidRDefault="005C3E83" w:rsidP="00F45A8D">
            <w:pPr>
              <w:spacing w:line="300" w:lineRule="auto"/>
              <w:jc w:val="center"/>
              <w:cnfStyle w:val="000000100000"/>
              <w:rPr>
                <w:lang w:val="en-US"/>
              </w:rPr>
            </w:pPr>
            <w:r w:rsidRPr="00812E8B">
              <w:rPr>
                <w:lang w:val="en-US"/>
              </w:rPr>
              <w:t>6.00%</w:t>
            </w:r>
          </w:p>
          <w:p w:rsidR="005C3E83" w:rsidRPr="00812E8B" w:rsidRDefault="005C3E83" w:rsidP="00F45A8D">
            <w:pPr>
              <w:spacing w:line="300" w:lineRule="auto"/>
              <w:jc w:val="center"/>
              <w:cnfStyle w:val="000000100000"/>
              <w:rPr>
                <w:lang w:val="en-US"/>
              </w:rPr>
            </w:pPr>
            <w:r w:rsidRPr="00812E8B">
              <w:rPr>
                <w:lang w:val="en-US"/>
              </w:rPr>
              <w:t>2.50%</w:t>
            </w:r>
          </w:p>
          <w:p w:rsidR="005C3E83" w:rsidRPr="00812E8B" w:rsidRDefault="005C3E83" w:rsidP="00F45A8D">
            <w:pPr>
              <w:spacing w:line="300" w:lineRule="auto"/>
              <w:jc w:val="center"/>
              <w:cnfStyle w:val="000000100000"/>
              <w:rPr>
                <w:lang w:val="en-US"/>
              </w:rPr>
            </w:pPr>
            <w:r w:rsidRPr="00812E8B">
              <w:rPr>
                <w:lang w:val="en-US"/>
              </w:rPr>
              <w:t>8.50%</w:t>
            </w:r>
          </w:p>
          <w:p w:rsidR="005C3E83" w:rsidRPr="00812E8B" w:rsidRDefault="005C3E83" w:rsidP="00F45A8D">
            <w:pPr>
              <w:spacing w:line="300" w:lineRule="auto"/>
              <w:jc w:val="center"/>
              <w:cnfStyle w:val="000000100000"/>
              <w:rPr>
                <w:lang w:val="en-US"/>
              </w:rPr>
            </w:pPr>
            <w:r w:rsidRPr="00812E8B">
              <w:rPr>
                <w:lang w:val="en-US"/>
              </w:rPr>
              <w:t>0%  -  2.50%</w:t>
            </w:r>
          </w:p>
        </w:tc>
        <w:tc>
          <w:tcPr>
            <w:tcW w:w="1620" w:type="dxa"/>
            <w:shd w:val="clear" w:color="auto" w:fill="auto"/>
          </w:tcPr>
          <w:p w:rsidR="005C3E83" w:rsidRPr="00812E8B" w:rsidRDefault="005C3E83" w:rsidP="00F45A8D">
            <w:pPr>
              <w:spacing w:line="300" w:lineRule="auto"/>
              <w:jc w:val="center"/>
              <w:cnfStyle w:val="000000100000"/>
              <w:rPr>
                <w:lang w:val="en-US"/>
              </w:rPr>
            </w:pPr>
            <w:r w:rsidRPr="00812E8B">
              <w:rPr>
                <w:lang w:val="en-US"/>
              </w:rPr>
              <w:t>8.00%</w:t>
            </w:r>
          </w:p>
          <w:p w:rsidR="005C3E83" w:rsidRPr="00812E8B" w:rsidRDefault="005C3E83" w:rsidP="00F45A8D">
            <w:pPr>
              <w:spacing w:line="300" w:lineRule="auto"/>
              <w:jc w:val="center"/>
              <w:cnfStyle w:val="000000100000"/>
              <w:rPr>
                <w:lang w:val="en-US"/>
              </w:rPr>
            </w:pPr>
          </w:p>
          <w:p w:rsidR="005C3E83" w:rsidRPr="00812E8B" w:rsidRDefault="005C3E83" w:rsidP="00F45A8D">
            <w:pPr>
              <w:spacing w:line="300" w:lineRule="auto"/>
              <w:jc w:val="center"/>
              <w:cnfStyle w:val="000000100000"/>
              <w:rPr>
                <w:lang w:val="en-US"/>
              </w:rPr>
            </w:pPr>
            <w:r w:rsidRPr="00812E8B">
              <w:rPr>
                <w:lang w:val="en-US"/>
              </w:rPr>
              <w:t>10.50%</w:t>
            </w:r>
          </w:p>
          <w:p w:rsidR="005C3E83" w:rsidRPr="00812E8B" w:rsidRDefault="005C3E83" w:rsidP="00F45A8D">
            <w:pPr>
              <w:spacing w:line="300" w:lineRule="auto"/>
              <w:jc w:val="center"/>
              <w:cnfStyle w:val="000000100000"/>
              <w:rPr>
                <w:lang w:val="en-US"/>
              </w:rPr>
            </w:pPr>
          </w:p>
        </w:tc>
      </w:tr>
    </w:tbl>
    <w:p w:rsidR="00CE1B03" w:rsidRPr="00812E8B" w:rsidRDefault="006029C5" w:rsidP="006B3340">
      <w:pPr>
        <w:pStyle w:val="NoSpacing"/>
        <w:rPr>
          <w:sz w:val="18"/>
          <w:szCs w:val="18"/>
          <w:lang w:val="en-US"/>
        </w:rPr>
      </w:pPr>
      <w:r w:rsidRPr="00812E8B">
        <w:rPr>
          <w:b/>
          <w:sz w:val="18"/>
          <w:szCs w:val="18"/>
          <w:lang w:val="en-US"/>
        </w:rPr>
        <w:t>Source:</w:t>
      </w:r>
      <w:r w:rsidR="00BC7621" w:rsidRPr="00812E8B">
        <w:rPr>
          <w:b/>
          <w:sz w:val="18"/>
          <w:szCs w:val="18"/>
          <w:lang w:val="en-US"/>
        </w:rPr>
        <w:t xml:space="preserve"> </w:t>
      </w:r>
      <w:r w:rsidRPr="00812E8B">
        <w:rPr>
          <w:color w:val="365F91" w:themeColor="accent1" w:themeShade="BF"/>
          <w:sz w:val="18"/>
          <w:szCs w:val="18"/>
          <w:lang w:val="en-US"/>
        </w:rPr>
        <w:t>Basel Committee (1988), Basel C</w:t>
      </w:r>
      <w:r w:rsidR="00D31A4A">
        <w:rPr>
          <w:color w:val="365F91" w:themeColor="accent1" w:themeShade="BF"/>
          <w:sz w:val="18"/>
          <w:szCs w:val="18"/>
          <w:lang w:val="en-US"/>
        </w:rPr>
        <w:t>ommittee on Banking Supervision (2</w:t>
      </w:r>
      <w:r w:rsidRPr="00812E8B">
        <w:rPr>
          <w:color w:val="365F91" w:themeColor="accent1" w:themeShade="BF"/>
          <w:sz w:val="18"/>
          <w:szCs w:val="18"/>
          <w:lang w:val="en-US"/>
        </w:rPr>
        <w:t>004</w:t>
      </w:r>
      <w:r w:rsidR="00D31A4A">
        <w:rPr>
          <w:color w:val="365F91" w:themeColor="accent1" w:themeShade="BF"/>
          <w:sz w:val="18"/>
          <w:szCs w:val="18"/>
          <w:lang w:val="en-US"/>
        </w:rPr>
        <w:t>)</w:t>
      </w:r>
      <w:r w:rsidR="006B3340" w:rsidRPr="00812E8B">
        <w:rPr>
          <w:sz w:val="18"/>
          <w:szCs w:val="18"/>
          <w:lang w:val="en-US"/>
        </w:rPr>
        <w:t xml:space="preserve"> and </w:t>
      </w:r>
      <w:r w:rsidRPr="00812E8B">
        <w:rPr>
          <w:color w:val="365F91" w:themeColor="accent1" w:themeShade="BF"/>
          <w:sz w:val="18"/>
          <w:szCs w:val="18"/>
          <w:lang w:val="en-US"/>
        </w:rPr>
        <w:t>Basel Committee on Banking Supervision (2010)</w:t>
      </w:r>
      <w:r w:rsidR="00731A94" w:rsidRPr="00812E8B">
        <w:rPr>
          <w:color w:val="365F91" w:themeColor="accent1" w:themeShade="BF"/>
          <w:sz w:val="18"/>
          <w:szCs w:val="18"/>
          <w:lang w:val="en-US"/>
        </w:rPr>
        <w:t xml:space="preserve"> </w:t>
      </w:r>
      <w:r w:rsidR="006B3340" w:rsidRPr="00812E8B">
        <w:rPr>
          <w:sz w:val="18"/>
          <w:szCs w:val="18"/>
          <w:lang w:val="en-US"/>
        </w:rPr>
        <w:t xml:space="preserve"> </w:t>
      </w:r>
      <w:r w:rsidR="006B3340" w:rsidRPr="00812E8B">
        <w:rPr>
          <w:b/>
          <w:sz w:val="18"/>
          <w:szCs w:val="18"/>
          <w:lang w:val="en-US"/>
        </w:rPr>
        <w:t>Notes</w:t>
      </w:r>
      <w:r w:rsidR="006B3340" w:rsidRPr="00812E8B">
        <w:rPr>
          <w:sz w:val="18"/>
          <w:szCs w:val="18"/>
          <w:lang w:val="en-US"/>
        </w:rPr>
        <w:t xml:space="preserve">: the definition of Tier 1 Capital could differ between the different Basel frameworks; see also </w:t>
      </w:r>
      <w:r w:rsidR="004D4378" w:rsidRPr="00812E8B">
        <w:rPr>
          <w:sz w:val="18"/>
          <w:szCs w:val="18"/>
          <w:lang w:val="en-US"/>
        </w:rPr>
        <w:t xml:space="preserve">appendix II </w:t>
      </w:r>
      <w:r w:rsidR="006B3340" w:rsidRPr="00812E8B">
        <w:rPr>
          <w:sz w:val="18"/>
          <w:szCs w:val="18"/>
          <w:lang w:val="en-US"/>
        </w:rPr>
        <w:t>for a review of the</w:t>
      </w:r>
      <w:r w:rsidR="00C66E72" w:rsidRPr="00812E8B">
        <w:rPr>
          <w:sz w:val="18"/>
          <w:szCs w:val="18"/>
          <w:lang w:val="en-US"/>
        </w:rPr>
        <w:t xml:space="preserve"> definitions for the different Tier capital forms</w:t>
      </w:r>
      <w:r w:rsidR="006B3340" w:rsidRPr="00812E8B">
        <w:rPr>
          <w:sz w:val="18"/>
          <w:szCs w:val="18"/>
          <w:lang w:val="en-US"/>
        </w:rPr>
        <w:t xml:space="preserve"> under </w:t>
      </w:r>
      <w:r w:rsidR="00C66E72" w:rsidRPr="00812E8B">
        <w:rPr>
          <w:sz w:val="18"/>
          <w:szCs w:val="18"/>
          <w:lang w:val="en-US"/>
        </w:rPr>
        <w:t xml:space="preserve">the </w:t>
      </w:r>
      <w:r w:rsidR="006B3340" w:rsidRPr="00812E8B">
        <w:rPr>
          <w:sz w:val="18"/>
          <w:szCs w:val="18"/>
          <w:lang w:val="en-US"/>
        </w:rPr>
        <w:t>Basel</w:t>
      </w:r>
      <w:r w:rsidR="00C66E72" w:rsidRPr="00812E8B">
        <w:rPr>
          <w:sz w:val="18"/>
          <w:szCs w:val="18"/>
          <w:lang w:val="en-US"/>
        </w:rPr>
        <w:t xml:space="preserve"> frameworks</w:t>
      </w:r>
      <w:r w:rsidR="00CE1B03" w:rsidRPr="00812E8B">
        <w:rPr>
          <w:color w:val="FF0000"/>
          <w:sz w:val="18"/>
          <w:szCs w:val="18"/>
          <w:lang w:val="en-US"/>
        </w:rPr>
        <w:t>.</w:t>
      </w:r>
      <w:r w:rsidR="00CE1B03" w:rsidRPr="00812E8B">
        <w:rPr>
          <w:sz w:val="18"/>
          <w:szCs w:val="18"/>
          <w:lang w:val="en-US"/>
        </w:rPr>
        <w:t xml:space="preserve">    </w:t>
      </w:r>
    </w:p>
    <w:p w:rsidR="00EA7658" w:rsidRPr="00812E8B" w:rsidRDefault="00CE1B03" w:rsidP="00CE1B03">
      <w:pPr>
        <w:pStyle w:val="NoSpacing"/>
        <w:spacing w:line="276" w:lineRule="auto"/>
        <w:jc w:val="both"/>
        <w:rPr>
          <w:color w:val="365F91" w:themeColor="accent1" w:themeShade="BF"/>
          <w:lang w:val="en-US"/>
        </w:rPr>
      </w:pPr>
      <w:r w:rsidRPr="00812E8B">
        <w:rPr>
          <w:lang w:val="en-US"/>
        </w:rPr>
        <w:lastRenderedPageBreak/>
        <w:t>More recently</w:t>
      </w:r>
      <w:r w:rsidR="00C66E72" w:rsidRPr="00812E8B">
        <w:rPr>
          <w:lang w:val="en-US"/>
        </w:rPr>
        <w:t>,</w:t>
      </w:r>
      <w:r w:rsidRPr="00812E8B">
        <w:rPr>
          <w:lang w:val="en-US"/>
        </w:rPr>
        <w:t xml:space="preserve"> new revisions to the current Basel II accord were initiated</w:t>
      </w:r>
      <w:r w:rsidR="00C66E72" w:rsidRPr="00812E8B">
        <w:rPr>
          <w:lang w:val="en-US"/>
        </w:rPr>
        <w:t xml:space="preserve"> that</w:t>
      </w:r>
      <w:r w:rsidRPr="00812E8B">
        <w:rPr>
          <w:lang w:val="en-US"/>
        </w:rPr>
        <w:t xml:space="preserve"> will impose new liquidity restrictions, funding requirements and substantially tighte</w:t>
      </w:r>
      <w:r w:rsidR="00483631" w:rsidRPr="00812E8B">
        <w:rPr>
          <w:lang w:val="en-US"/>
        </w:rPr>
        <w:t xml:space="preserve">n minimum capital requirements, </w:t>
      </w:r>
      <w:r w:rsidR="00304525" w:rsidRPr="00812E8B">
        <w:rPr>
          <w:color w:val="365F91" w:themeColor="accent1" w:themeShade="BF"/>
          <w:lang w:val="en-US"/>
        </w:rPr>
        <w:t>(Basel Committee on Banking Supervision, 2010)</w:t>
      </w:r>
      <w:r w:rsidRPr="00812E8B">
        <w:rPr>
          <w:lang w:val="en-US"/>
        </w:rPr>
        <w:t xml:space="preserve">. These latest revisions of the prior </w:t>
      </w:r>
      <w:r w:rsidR="00483631" w:rsidRPr="00812E8B">
        <w:rPr>
          <w:lang w:val="en-US"/>
        </w:rPr>
        <w:t xml:space="preserve">framework, </w:t>
      </w:r>
      <w:r w:rsidRPr="00812E8B">
        <w:rPr>
          <w:lang w:val="en-US"/>
        </w:rPr>
        <w:t>known as Basel III</w:t>
      </w:r>
      <w:r w:rsidR="00483631" w:rsidRPr="00812E8B">
        <w:rPr>
          <w:lang w:val="en-US"/>
        </w:rPr>
        <w:t xml:space="preserve">, </w:t>
      </w:r>
      <w:r w:rsidRPr="00812E8B">
        <w:rPr>
          <w:lang w:val="en-US"/>
        </w:rPr>
        <w:t>will have profound effect on the balance sheet structure and business decisions of banks.</w:t>
      </w:r>
      <w:r w:rsidR="00EA7658" w:rsidRPr="00812E8B">
        <w:rPr>
          <w:lang w:val="en-US"/>
        </w:rPr>
        <w:t xml:space="preserve"> According to</w:t>
      </w:r>
      <w:r w:rsidRPr="00812E8B">
        <w:rPr>
          <w:lang w:val="en-US"/>
        </w:rPr>
        <w:t xml:space="preserve"> </w:t>
      </w:r>
      <w:r w:rsidR="0043417A" w:rsidRPr="00812E8B">
        <w:rPr>
          <w:color w:val="365F91" w:themeColor="accent1" w:themeShade="BF"/>
          <w:lang w:val="en-US"/>
        </w:rPr>
        <w:t>Allen et al. (2010)</w:t>
      </w:r>
      <w:r w:rsidRPr="00812E8B">
        <w:rPr>
          <w:color w:val="365F91" w:themeColor="accent1" w:themeShade="BF"/>
          <w:lang w:val="en-US"/>
        </w:rPr>
        <w:t xml:space="preserve"> </w:t>
      </w:r>
      <w:r w:rsidR="00EA7658" w:rsidRPr="00812E8B">
        <w:rPr>
          <w:lang w:val="en-US"/>
        </w:rPr>
        <w:t>the introduction of new regulation will shift future risk management more and more to complex assets and liability decisions in which business decisions are restricted by funding and liquidity constraints.</w:t>
      </w:r>
    </w:p>
    <w:p w:rsidR="00EA7658" w:rsidRPr="00812E8B" w:rsidRDefault="00EA7658" w:rsidP="00CE1B03">
      <w:pPr>
        <w:pStyle w:val="NoSpacing"/>
        <w:spacing w:line="276" w:lineRule="auto"/>
        <w:jc w:val="both"/>
        <w:rPr>
          <w:color w:val="365F91" w:themeColor="accent1" w:themeShade="BF"/>
          <w:lang w:val="en-US"/>
        </w:rPr>
      </w:pPr>
    </w:p>
    <w:p w:rsidR="00CE1B03" w:rsidRPr="00812E8B" w:rsidRDefault="00CE1B03" w:rsidP="00CE1B03">
      <w:pPr>
        <w:pStyle w:val="NoSpacing"/>
        <w:spacing w:line="276" w:lineRule="auto"/>
        <w:jc w:val="both"/>
        <w:rPr>
          <w:lang w:val="en-US"/>
        </w:rPr>
      </w:pPr>
      <w:r w:rsidRPr="00812E8B">
        <w:rPr>
          <w:lang w:val="en-US"/>
        </w:rPr>
        <w:t xml:space="preserve">In the upcoming years, national governments will implement Basel III, which will impose new constraints on banks’ activities. </w:t>
      </w:r>
      <w:r w:rsidR="006029C5" w:rsidRPr="00812E8B">
        <w:rPr>
          <w:lang w:val="en-US"/>
        </w:rPr>
        <w:t xml:space="preserve">Table 1 </w:t>
      </w:r>
      <w:r w:rsidRPr="00812E8B">
        <w:rPr>
          <w:lang w:val="en-US"/>
        </w:rPr>
        <w:t xml:space="preserve">presents the differences between the different Basel frameworks with respect to the minimum capital requirements; </w:t>
      </w:r>
      <w:r w:rsidR="00483631" w:rsidRPr="00812E8B">
        <w:rPr>
          <w:lang w:val="en-US"/>
        </w:rPr>
        <w:t>the table illustrates that</w:t>
      </w:r>
      <w:r w:rsidRPr="00812E8B">
        <w:rPr>
          <w:lang w:val="en-US"/>
        </w:rPr>
        <w:t xml:space="preserve"> the minimum capital ratios are strengthened over time. Note that the Basel Committee revised the definition of tier 1, tier 2 and tier 3 capital </w:t>
      </w:r>
      <w:r w:rsidR="00483631" w:rsidRPr="00812E8B">
        <w:rPr>
          <w:lang w:val="en-US"/>
        </w:rPr>
        <w:t>under the different frameworks</w:t>
      </w:r>
      <w:r w:rsidRPr="00812E8B">
        <w:rPr>
          <w:lang w:val="en-US"/>
        </w:rPr>
        <w:t xml:space="preserve">, by excluding some forms of hybrid and innovative capital instruments </w:t>
      </w:r>
      <w:r w:rsidR="006029C5" w:rsidRPr="00812E8B">
        <w:rPr>
          <w:color w:val="365F91" w:themeColor="accent1" w:themeShade="BF"/>
          <w:lang w:val="en-US"/>
        </w:rPr>
        <w:t>(Basel Committee on Banking Supervision, 2010)</w:t>
      </w:r>
      <w:r w:rsidRPr="00812E8B">
        <w:rPr>
          <w:lang w:val="en-US"/>
        </w:rPr>
        <w:t xml:space="preserve">. Besides the minimum capital requirements, Basel III consists of a capital conservation buffer and a countercyclical buffer. The Basel Committee designed the capital conservation buffer to require banks to build up extra buffers outside periods of stress of up to 2.5% above Tier 1 ratio. The buffer does not constrain bank operations but only affect capital distributions and dividend payments by restricting dividend payouts when banks have less than 2.5% of a capital conservation buffer. The countercyclical buffer is designed to avoid system-wide bank failure that can arise by excessive aggregate credit growth. The countercyclical buffer is set within national jurisdictions, and varies between zero and 2.5%. </w:t>
      </w:r>
    </w:p>
    <w:p w:rsidR="00CE1B03" w:rsidRPr="00812E8B" w:rsidRDefault="00CE1B03" w:rsidP="00C468F1">
      <w:pPr>
        <w:pStyle w:val="NoSpacing"/>
        <w:spacing w:line="360" w:lineRule="auto"/>
        <w:rPr>
          <w:lang w:val="en-US"/>
        </w:rPr>
      </w:pPr>
    </w:p>
    <w:p w:rsidR="00CE1B03" w:rsidRPr="00812E8B" w:rsidRDefault="00CE1B03" w:rsidP="00CE1B03">
      <w:pPr>
        <w:pStyle w:val="NoSpacing"/>
        <w:spacing w:line="276" w:lineRule="auto"/>
        <w:jc w:val="both"/>
        <w:rPr>
          <w:lang w:val="en-US"/>
        </w:rPr>
      </w:pPr>
      <w:r w:rsidRPr="00812E8B">
        <w:rPr>
          <w:lang w:val="en-US"/>
        </w:rPr>
        <w:t xml:space="preserve">Furthermore, Basel III will also impose funding and liquidity restrictions. The Liquidity Coverage Ratio (LCR) </w:t>
      </w:r>
      <w:r w:rsidR="00BC7621" w:rsidRPr="00812E8B">
        <w:rPr>
          <w:lang w:val="en-US"/>
        </w:rPr>
        <w:t>identifies</w:t>
      </w:r>
      <w:r w:rsidRPr="00812E8B">
        <w:rPr>
          <w:lang w:val="en-US"/>
        </w:rPr>
        <w:t xml:space="preserve"> the amount of high quality liquid assets</w:t>
      </w:r>
      <w:r w:rsidR="00483631" w:rsidRPr="00812E8B">
        <w:rPr>
          <w:lang w:val="en-US"/>
        </w:rPr>
        <w:t xml:space="preserve"> that</w:t>
      </w:r>
      <w:r w:rsidRPr="00812E8B">
        <w:rPr>
          <w:lang w:val="en-US"/>
        </w:rPr>
        <w:t xml:space="preserve"> a bank should hold in order to meet its liquidity needs over a thirty day horizon under a severe period of stress </w:t>
      </w:r>
      <w:r w:rsidR="006029C5" w:rsidRPr="00812E8B">
        <w:rPr>
          <w:color w:val="365F91" w:themeColor="accent1" w:themeShade="BF"/>
          <w:lang w:val="en-US"/>
        </w:rPr>
        <w:t>(Basel Committee on Banking Supervision, 2010)</w:t>
      </w:r>
      <w:r w:rsidRPr="00812E8B">
        <w:rPr>
          <w:color w:val="365F91" w:themeColor="accent1" w:themeShade="BF"/>
          <w:lang w:val="en-US"/>
        </w:rPr>
        <w:t xml:space="preserve"> .</w:t>
      </w:r>
      <w:r w:rsidRPr="00812E8B">
        <w:rPr>
          <w:lang w:val="en-US"/>
        </w:rPr>
        <w:t xml:space="preserve"> The Net Stable Funding Ratio (NSFR) focuses on a longer horizon by examining a one-year period to complement the LCR. The </w:t>
      </w:r>
      <w:r w:rsidR="00483631" w:rsidRPr="00812E8B">
        <w:rPr>
          <w:lang w:val="en-US"/>
        </w:rPr>
        <w:t xml:space="preserve">objectives of </w:t>
      </w:r>
      <w:r w:rsidRPr="00812E8B">
        <w:rPr>
          <w:lang w:val="en-US"/>
        </w:rPr>
        <w:t xml:space="preserve">NSFR </w:t>
      </w:r>
      <w:r w:rsidR="00483631" w:rsidRPr="00812E8B">
        <w:rPr>
          <w:lang w:val="en-US"/>
        </w:rPr>
        <w:t>are</w:t>
      </w:r>
      <w:r w:rsidRPr="00812E8B">
        <w:rPr>
          <w:lang w:val="en-US"/>
        </w:rPr>
        <w:t xml:space="preserve"> to restrict over-reliance on short-term wholesale funding and to promote more stable medium and long term funding of the assets </w:t>
      </w:r>
      <w:r w:rsidR="006029C5" w:rsidRPr="00812E8B">
        <w:rPr>
          <w:color w:val="365F91" w:themeColor="accent1" w:themeShade="BF"/>
          <w:lang w:val="en-US"/>
        </w:rPr>
        <w:t>(Basel Committee on Banking Supervision, 2010)</w:t>
      </w:r>
      <w:r w:rsidRPr="00812E8B">
        <w:rPr>
          <w:lang w:val="en-US"/>
        </w:rPr>
        <w:t xml:space="preserve">. The LCR and NSFR will likely impact business decisions and affect the </w:t>
      </w:r>
      <w:r w:rsidR="005C5585" w:rsidRPr="00812E8B">
        <w:rPr>
          <w:lang w:val="en-US"/>
        </w:rPr>
        <w:t>funding structure and liquidity structure</w:t>
      </w:r>
      <w:r w:rsidR="005C5585" w:rsidRPr="00812E8B">
        <w:rPr>
          <w:rStyle w:val="EndnoteReference"/>
          <w:lang w:val="en-US"/>
        </w:rPr>
        <w:endnoteReference w:id="2"/>
      </w:r>
      <w:r w:rsidR="005C5585" w:rsidRPr="00812E8B">
        <w:rPr>
          <w:lang w:val="en-US"/>
        </w:rPr>
        <w:t>.</w:t>
      </w:r>
      <w:r w:rsidRPr="00812E8B">
        <w:rPr>
          <w:lang w:val="en-US"/>
        </w:rPr>
        <w:t xml:space="preserve"> </w:t>
      </w:r>
      <w:r w:rsidR="005C5585" w:rsidRPr="00812E8B">
        <w:rPr>
          <w:lang w:val="en-US"/>
        </w:rPr>
        <w:t xml:space="preserve">In the empirical part of </w:t>
      </w:r>
      <w:r w:rsidRPr="00812E8B">
        <w:rPr>
          <w:lang w:val="en-US"/>
        </w:rPr>
        <w:t xml:space="preserve">this thesis </w:t>
      </w:r>
      <w:r w:rsidR="005C5585" w:rsidRPr="00812E8B">
        <w:rPr>
          <w:lang w:val="en-US"/>
        </w:rPr>
        <w:t>it is investigated</w:t>
      </w:r>
      <w:r w:rsidRPr="00812E8B">
        <w:rPr>
          <w:lang w:val="en-US"/>
        </w:rPr>
        <w:t xml:space="preserve"> </w:t>
      </w:r>
      <w:r w:rsidR="005C5585" w:rsidRPr="00812E8B">
        <w:rPr>
          <w:lang w:val="en-US"/>
        </w:rPr>
        <w:t xml:space="preserve">whether </w:t>
      </w:r>
      <w:r w:rsidRPr="00812E8B">
        <w:rPr>
          <w:lang w:val="en-US"/>
        </w:rPr>
        <w:t xml:space="preserve">funding and liquidity ratios are determinants for banks’ profitability.  </w:t>
      </w:r>
    </w:p>
    <w:p w:rsidR="00CE1B03" w:rsidRPr="00812E8B" w:rsidRDefault="00CE1B03" w:rsidP="00C468F1">
      <w:pPr>
        <w:rPr>
          <w:lang w:val="en-US"/>
        </w:rPr>
      </w:pPr>
    </w:p>
    <w:p w:rsidR="00CE1B03" w:rsidRPr="00812E8B" w:rsidRDefault="00CE1B03" w:rsidP="00CE1B03">
      <w:pPr>
        <w:pStyle w:val="Heading2"/>
        <w:rPr>
          <w:color w:val="auto"/>
          <w:lang w:val="en-US"/>
        </w:rPr>
      </w:pPr>
      <w:bookmarkStart w:id="15" w:name="_Toc306359635"/>
      <w:r w:rsidRPr="00812E8B">
        <w:rPr>
          <w:color w:val="auto"/>
          <w:lang w:val="en-US"/>
        </w:rPr>
        <w:t>2.3 E</w:t>
      </w:r>
      <w:r w:rsidR="00FB0A28" w:rsidRPr="00812E8B">
        <w:rPr>
          <w:color w:val="auto"/>
          <w:sz w:val="20"/>
          <w:szCs w:val="20"/>
          <w:lang w:val="en-US"/>
        </w:rPr>
        <w:t>UROPEAN BANKING SECTOR</w:t>
      </w:r>
      <w:bookmarkEnd w:id="15"/>
    </w:p>
    <w:p w:rsidR="00CE1B03" w:rsidRPr="00812E8B" w:rsidRDefault="00CE1B03" w:rsidP="00CE1B03">
      <w:pPr>
        <w:pStyle w:val="NoSpacing"/>
        <w:spacing w:line="276" w:lineRule="auto"/>
        <w:jc w:val="both"/>
        <w:rPr>
          <w:lang w:val="en-US"/>
        </w:rPr>
      </w:pPr>
      <w:r w:rsidRPr="00812E8B">
        <w:rPr>
          <w:lang w:val="en-US"/>
        </w:rPr>
        <w:t xml:space="preserve">Besides the international convergence in regulation, </w:t>
      </w:r>
      <w:r w:rsidR="00483631" w:rsidRPr="00812E8B">
        <w:rPr>
          <w:lang w:val="en-US"/>
        </w:rPr>
        <w:t xml:space="preserve">there could </w:t>
      </w:r>
      <w:r w:rsidR="00BC7621" w:rsidRPr="00812E8B">
        <w:rPr>
          <w:lang w:val="en-US"/>
        </w:rPr>
        <w:t>also</w:t>
      </w:r>
      <w:r w:rsidR="00483631" w:rsidRPr="00812E8B">
        <w:rPr>
          <w:lang w:val="en-US"/>
        </w:rPr>
        <w:t xml:space="preserve"> be observed a convergence of </w:t>
      </w:r>
      <w:r w:rsidRPr="00812E8B">
        <w:rPr>
          <w:lang w:val="en-US"/>
        </w:rPr>
        <w:t xml:space="preserve">accounting standards. European listed banks are required to prepare their financial statements in accordance with the International Financial Reporting Standards (IFRS) as from January 1, 2005. Before the introduction of IFRS, banks prepared their statements in accordance with the national Generalized Accepted Accounting Principles (GAAP). </w:t>
      </w:r>
      <w:r w:rsidR="00483631" w:rsidRPr="00812E8B">
        <w:rPr>
          <w:lang w:val="en-US"/>
        </w:rPr>
        <w:t>T</w:t>
      </w:r>
      <w:r w:rsidRPr="00812E8B">
        <w:rPr>
          <w:lang w:val="en-US"/>
        </w:rPr>
        <w:t xml:space="preserve">he comparability of the banks’ annual statements </w:t>
      </w:r>
      <w:r w:rsidR="00483631" w:rsidRPr="00812E8B">
        <w:rPr>
          <w:lang w:val="en-US"/>
        </w:rPr>
        <w:t>has increased due to the introduction of IFRS</w:t>
      </w:r>
      <w:r w:rsidRPr="00812E8B">
        <w:rPr>
          <w:lang w:val="en-US"/>
        </w:rPr>
        <w:t xml:space="preserve">. Furthermore, there are several other developments </w:t>
      </w:r>
      <w:r w:rsidR="005C5585" w:rsidRPr="00812E8B">
        <w:rPr>
          <w:lang w:val="en-US"/>
        </w:rPr>
        <w:t xml:space="preserve">in the European banking sector that </w:t>
      </w:r>
      <w:r w:rsidRPr="00812E8B">
        <w:rPr>
          <w:lang w:val="en-US"/>
        </w:rPr>
        <w:t xml:space="preserve">increased the comparability. These developments, together with some characteristics of the European banking sector, are described here, </w:t>
      </w:r>
      <w:r w:rsidR="005C5585" w:rsidRPr="00812E8B">
        <w:rPr>
          <w:lang w:val="en-US"/>
        </w:rPr>
        <w:t>since</w:t>
      </w:r>
      <w:r w:rsidRPr="00812E8B">
        <w:rPr>
          <w:lang w:val="en-US"/>
        </w:rPr>
        <w:t xml:space="preserve"> Europe is the object of study. </w:t>
      </w:r>
    </w:p>
    <w:p w:rsidR="00CE1B03" w:rsidRPr="00812E8B" w:rsidRDefault="00CE1B03" w:rsidP="00CE1B03">
      <w:pPr>
        <w:pStyle w:val="NoSpacing"/>
        <w:spacing w:line="276" w:lineRule="auto"/>
        <w:jc w:val="both"/>
        <w:rPr>
          <w:lang w:val="en-US"/>
        </w:rPr>
      </w:pPr>
      <w:r w:rsidRPr="00812E8B">
        <w:rPr>
          <w:lang w:val="en-US"/>
        </w:rPr>
        <w:lastRenderedPageBreak/>
        <w:t>Historically, the European banking sector is fragmented and financial markets are highly domestically orientated. However, in the last decades the introduction of more legislation on EU level,</w:t>
      </w:r>
      <w:r w:rsidR="00483631" w:rsidRPr="00812E8B">
        <w:rPr>
          <w:lang w:val="en-US"/>
        </w:rPr>
        <w:t xml:space="preserve"> has led</w:t>
      </w:r>
      <w:r w:rsidRPr="00812E8B">
        <w:rPr>
          <w:lang w:val="en-US"/>
        </w:rPr>
        <w:t xml:space="preserve"> to an integration of financial markets. Nowadays, bond, equity and money markets are highly integrated </w:t>
      </w:r>
      <w:r w:rsidR="005C5585" w:rsidRPr="00812E8B">
        <w:rPr>
          <w:lang w:val="en-US"/>
        </w:rPr>
        <w:t xml:space="preserve">partly </w:t>
      </w:r>
      <w:r w:rsidRPr="00812E8B">
        <w:rPr>
          <w:lang w:val="en-US"/>
        </w:rPr>
        <w:t>due</w:t>
      </w:r>
      <w:r w:rsidR="005C5585" w:rsidRPr="00812E8B">
        <w:rPr>
          <w:lang w:val="en-US"/>
        </w:rPr>
        <w:t xml:space="preserve"> to</w:t>
      </w:r>
      <w:r w:rsidRPr="00812E8B">
        <w:rPr>
          <w:lang w:val="en-US"/>
        </w:rPr>
        <w:t xml:space="preserve"> the introduction of </w:t>
      </w:r>
      <w:r w:rsidR="005C5585" w:rsidRPr="00812E8B">
        <w:rPr>
          <w:lang w:val="en-US"/>
        </w:rPr>
        <w:t xml:space="preserve">a single </w:t>
      </w:r>
      <w:r w:rsidRPr="00812E8B">
        <w:rPr>
          <w:lang w:val="en-US"/>
        </w:rPr>
        <w:t xml:space="preserve">currency for most European countries. According to </w:t>
      </w:r>
      <w:r w:rsidR="00AE700C" w:rsidRPr="00812E8B">
        <w:rPr>
          <w:color w:val="365F91" w:themeColor="accent1" w:themeShade="BF"/>
          <w:lang w:val="en-US"/>
        </w:rPr>
        <w:t>Schildbach (2011)</w:t>
      </w:r>
      <w:r w:rsidRPr="00812E8B">
        <w:rPr>
          <w:lang w:val="en-US"/>
        </w:rPr>
        <w:t xml:space="preserve">, two developments symbolize the internationalization of the European banking sector; the growing interrelationship between domestic and foreign wholesale banks and the growing customers’ relationship in foreign countries. The first development is mainly visible in highly integrated equity, bond and capital markets in which wholesale transactions, interbank lending and interbank funding increased. The latter development arises by cross-border merger and acquisitions in which foreign banks acquired a stake in domestic banks and took over existing clients of the former bank. Nevertheless, several analysts state that significant barriers to the harmonization of the banking sector still exist </w:t>
      </w:r>
      <w:r w:rsidR="00AE700C" w:rsidRPr="00812E8B">
        <w:rPr>
          <w:color w:val="365F91" w:themeColor="accent1" w:themeShade="BF"/>
          <w:lang w:val="en-US"/>
        </w:rPr>
        <w:t>(Goddard, Molyneux, Wilson and Tavakoli, 2007)</w:t>
      </w:r>
      <w:r w:rsidRPr="00812E8B">
        <w:rPr>
          <w:lang w:val="en-US"/>
        </w:rPr>
        <w:t xml:space="preserve">. According to </w:t>
      </w:r>
      <w:r w:rsidR="00AE700C" w:rsidRPr="00812E8B">
        <w:rPr>
          <w:color w:val="365F91" w:themeColor="accent1" w:themeShade="BF"/>
          <w:lang w:val="en-US"/>
        </w:rPr>
        <w:t>Schildbach (2011)</w:t>
      </w:r>
      <w:r w:rsidRPr="00812E8B">
        <w:rPr>
          <w:color w:val="365F91" w:themeColor="accent1" w:themeShade="BF"/>
          <w:lang w:val="en-US"/>
        </w:rPr>
        <w:t xml:space="preserve"> </w:t>
      </w:r>
      <w:r w:rsidRPr="00812E8B">
        <w:rPr>
          <w:lang w:val="en-US"/>
        </w:rPr>
        <w:t xml:space="preserve">those barriers are more visible in the retail market than in the wholesale market. The retail market suffers more from culture and language differences and by a lack of customers’ confidence in foreign banks </w:t>
      </w:r>
      <w:r w:rsidR="00AE700C" w:rsidRPr="00812E8B">
        <w:rPr>
          <w:color w:val="365F91" w:themeColor="accent1" w:themeShade="BF"/>
          <w:lang w:val="en-US"/>
        </w:rPr>
        <w:t>(Goddard. et al</w:t>
      </w:r>
      <w:r w:rsidR="00D31A4A">
        <w:rPr>
          <w:color w:val="365F91" w:themeColor="accent1" w:themeShade="BF"/>
          <w:lang w:val="en-US"/>
        </w:rPr>
        <w:t>.</w:t>
      </w:r>
      <w:r w:rsidR="00AE700C" w:rsidRPr="00812E8B">
        <w:rPr>
          <w:color w:val="365F91" w:themeColor="accent1" w:themeShade="BF"/>
          <w:lang w:val="en-US"/>
        </w:rPr>
        <w:t>, 2007)</w:t>
      </w:r>
      <w:r w:rsidRPr="00812E8B">
        <w:rPr>
          <w:lang w:val="en-US"/>
        </w:rPr>
        <w:t>.</w:t>
      </w:r>
      <w:r w:rsidRPr="00812E8B">
        <w:rPr>
          <w:color w:val="FF0000"/>
          <w:lang w:val="en-US"/>
        </w:rPr>
        <w:t xml:space="preserve"> </w:t>
      </w:r>
      <w:r w:rsidRPr="00812E8B">
        <w:rPr>
          <w:lang w:val="en-US"/>
        </w:rPr>
        <w:t>Furthermore, during the financial crisis banks returned to the core banking activities and increasingly focused on the domestic market.</w:t>
      </w:r>
    </w:p>
    <w:p w:rsidR="00CE1B03" w:rsidRPr="00812E8B" w:rsidRDefault="00CE1B03" w:rsidP="00CE1B03">
      <w:pPr>
        <w:pStyle w:val="NoSpacing"/>
        <w:spacing w:line="276" w:lineRule="auto"/>
        <w:jc w:val="both"/>
        <w:rPr>
          <w:lang w:val="en-US"/>
        </w:rPr>
      </w:pPr>
    </w:p>
    <w:p w:rsidR="00CE1B03" w:rsidRPr="00812E8B" w:rsidRDefault="00CE1B03" w:rsidP="00CE1B03">
      <w:pPr>
        <w:pStyle w:val="NoSpacing"/>
        <w:spacing w:line="276" w:lineRule="auto"/>
        <w:jc w:val="both"/>
        <w:rPr>
          <w:lang w:val="en-US"/>
        </w:rPr>
      </w:pPr>
      <w:r w:rsidRPr="00812E8B">
        <w:rPr>
          <w:lang w:val="en-US"/>
        </w:rPr>
        <w:t>More broadly, three developments in the last decades h</w:t>
      </w:r>
      <w:r w:rsidR="00483631" w:rsidRPr="00812E8B">
        <w:rPr>
          <w:lang w:val="en-US"/>
        </w:rPr>
        <w:t>ave h</w:t>
      </w:r>
      <w:r w:rsidRPr="00812E8B">
        <w:rPr>
          <w:lang w:val="en-US"/>
        </w:rPr>
        <w:t xml:space="preserve">ad a substantial impact on world’s banking sector; globalization, technological innovation and deregulation </w:t>
      </w:r>
      <w:r w:rsidR="006029C5" w:rsidRPr="00812E8B">
        <w:rPr>
          <w:color w:val="365F91" w:themeColor="accent1" w:themeShade="BF"/>
          <w:lang w:val="en-US"/>
        </w:rPr>
        <w:t>(Matthews and Thompson, 2008)</w:t>
      </w:r>
      <w:r w:rsidRPr="00812E8B">
        <w:rPr>
          <w:lang w:val="en-US"/>
        </w:rPr>
        <w:t>.</w:t>
      </w:r>
      <w:r w:rsidRPr="00812E8B">
        <w:rPr>
          <w:color w:val="365F91" w:themeColor="accent1" w:themeShade="BF"/>
          <w:lang w:val="en-US"/>
        </w:rPr>
        <w:t xml:space="preserve"> </w:t>
      </w:r>
      <w:r w:rsidRPr="00812E8B">
        <w:rPr>
          <w:lang w:val="en-US"/>
        </w:rPr>
        <w:t>Deregulation mainly refers to a convergence in international banking supervision, which lowered barriers and increased competition. Developments in this direction are already discussed in the previous p</w:t>
      </w:r>
      <w:r w:rsidR="00483631" w:rsidRPr="00812E8B">
        <w:rPr>
          <w:lang w:val="en-US"/>
        </w:rPr>
        <w:t>aragraph. Globalization has led</w:t>
      </w:r>
      <w:r w:rsidRPr="00812E8B">
        <w:rPr>
          <w:lang w:val="en-US"/>
        </w:rPr>
        <w:t xml:space="preserve"> to increased competition in the banking </w:t>
      </w:r>
      <w:r w:rsidR="00483631" w:rsidRPr="00812E8B">
        <w:rPr>
          <w:lang w:val="en-US"/>
        </w:rPr>
        <w:t>sector</w:t>
      </w:r>
      <w:r w:rsidRPr="00812E8B">
        <w:rPr>
          <w:lang w:val="en-US"/>
        </w:rPr>
        <w:t xml:space="preserve"> and </w:t>
      </w:r>
      <w:r w:rsidR="00483631" w:rsidRPr="00812E8B">
        <w:rPr>
          <w:lang w:val="en-US"/>
        </w:rPr>
        <w:t xml:space="preserve">has </w:t>
      </w:r>
      <w:r w:rsidRPr="00812E8B">
        <w:rPr>
          <w:lang w:val="en-US"/>
        </w:rPr>
        <w:t xml:space="preserve">led to a growth of financial institutions. Banks expanded their activities to new regions, partly to resist increased competition. Moreover, to withstand increased competition, large mergers and acquisitions in the banking sector </w:t>
      </w:r>
      <w:r w:rsidR="00483631" w:rsidRPr="00812E8B">
        <w:rPr>
          <w:lang w:val="en-US"/>
        </w:rPr>
        <w:t>are</w:t>
      </w:r>
      <w:r w:rsidRPr="00812E8B">
        <w:rPr>
          <w:lang w:val="en-US"/>
        </w:rPr>
        <w:t xml:space="preserve"> present to achieve economies of scale and synergies </w:t>
      </w:r>
      <w:r w:rsidR="00AE700C" w:rsidRPr="00812E8B">
        <w:rPr>
          <w:color w:val="365F91" w:themeColor="accent1" w:themeShade="BF"/>
          <w:lang w:val="en-US"/>
        </w:rPr>
        <w:t>(Goddard et al., 2007)</w:t>
      </w:r>
      <w:r w:rsidRPr="00812E8B">
        <w:rPr>
          <w:lang w:val="en-US"/>
        </w:rPr>
        <w:t xml:space="preserve">. Diversifying activities, such as off-balance sheet transactions (fees and commissions) and insurance, </w:t>
      </w:r>
      <w:r w:rsidR="00483631" w:rsidRPr="00812E8B">
        <w:rPr>
          <w:lang w:val="en-US"/>
        </w:rPr>
        <w:t>has also</w:t>
      </w:r>
      <w:r w:rsidRPr="00812E8B">
        <w:rPr>
          <w:lang w:val="en-US"/>
        </w:rPr>
        <w:t xml:space="preserve"> led</w:t>
      </w:r>
      <w:r w:rsidR="00483631" w:rsidRPr="00812E8B">
        <w:rPr>
          <w:lang w:val="en-US"/>
        </w:rPr>
        <w:t xml:space="preserve"> t</w:t>
      </w:r>
      <w:r w:rsidRPr="00812E8B">
        <w:rPr>
          <w:lang w:val="en-US"/>
        </w:rPr>
        <w:t xml:space="preserve">o a growth of financial institutions. Finally, technological innovation </w:t>
      </w:r>
      <w:r w:rsidR="00483631" w:rsidRPr="00812E8B">
        <w:rPr>
          <w:lang w:val="en-US"/>
        </w:rPr>
        <w:t xml:space="preserve">have resulted in </w:t>
      </w:r>
      <w:r w:rsidRPr="00812E8B">
        <w:rPr>
          <w:lang w:val="en-US"/>
        </w:rPr>
        <w:t xml:space="preserve">better processing of customers’ information and </w:t>
      </w:r>
      <w:r w:rsidR="00483631" w:rsidRPr="00812E8B">
        <w:rPr>
          <w:lang w:val="en-US"/>
        </w:rPr>
        <w:t>have</w:t>
      </w:r>
      <w:r w:rsidRPr="00812E8B">
        <w:rPr>
          <w:lang w:val="en-US"/>
        </w:rPr>
        <w:t xml:space="preserve"> in</w:t>
      </w:r>
      <w:r w:rsidR="00483631" w:rsidRPr="00812E8B">
        <w:rPr>
          <w:lang w:val="en-US"/>
        </w:rPr>
        <w:t>creased banks’ efficiency by the use of</w:t>
      </w:r>
      <w:r w:rsidRPr="00812E8B">
        <w:rPr>
          <w:lang w:val="en-US"/>
        </w:rPr>
        <w:t xml:space="preserve"> Automated Teller Machines (ATMs), electronic payment methods and electronic banking.</w:t>
      </w:r>
      <w:r w:rsidR="00483631" w:rsidRPr="00812E8B">
        <w:rPr>
          <w:lang w:val="en-US"/>
        </w:rPr>
        <w:t xml:space="preserve"> Nowadays, b</w:t>
      </w:r>
      <w:r w:rsidRPr="00812E8B">
        <w:rPr>
          <w:lang w:val="en-US"/>
        </w:rPr>
        <w:t xml:space="preserve">anks are increasingly communicating with clients via internet </w:t>
      </w:r>
      <w:r w:rsidR="00483631" w:rsidRPr="00812E8B">
        <w:rPr>
          <w:lang w:val="en-US"/>
        </w:rPr>
        <w:t xml:space="preserve">that reduce the costs of a large branch </w:t>
      </w:r>
      <w:r w:rsidR="006029C5" w:rsidRPr="00812E8B">
        <w:rPr>
          <w:lang w:val="en-US"/>
        </w:rPr>
        <w:t>network and</w:t>
      </w:r>
      <w:r w:rsidR="00483631" w:rsidRPr="00812E8B">
        <w:rPr>
          <w:lang w:val="en-US"/>
        </w:rPr>
        <w:t xml:space="preserve"> </w:t>
      </w:r>
      <w:r w:rsidRPr="00812E8B">
        <w:rPr>
          <w:lang w:val="en-US"/>
        </w:rPr>
        <w:t xml:space="preserve">front offices. </w:t>
      </w:r>
      <w:r w:rsidR="00483631" w:rsidRPr="00812E8B">
        <w:rPr>
          <w:lang w:val="en-US"/>
        </w:rPr>
        <w:t>Furthermore, d</w:t>
      </w:r>
      <w:r w:rsidRPr="00812E8B">
        <w:rPr>
          <w:lang w:val="en-US"/>
        </w:rPr>
        <w:t xml:space="preserve">irect banking </w:t>
      </w:r>
      <w:r w:rsidR="00483631" w:rsidRPr="00812E8B">
        <w:rPr>
          <w:lang w:val="en-US"/>
        </w:rPr>
        <w:t xml:space="preserve">activities (banking solely via internet) have </w:t>
      </w:r>
      <w:r w:rsidRPr="00812E8B">
        <w:rPr>
          <w:lang w:val="en-US"/>
        </w:rPr>
        <w:t xml:space="preserve">improved the accessibility to foreign saving and mortgage markets by offering higher savings rates and lower lending rates. </w:t>
      </w:r>
    </w:p>
    <w:p w:rsidR="00CE1B03" w:rsidRPr="00812E8B" w:rsidRDefault="00CE1B03" w:rsidP="00CE1B03">
      <w:pPr>
        <w:pStyle w:val="NoSpacing"/>
        <w:spacing w:line="276" w:lineRule="auto"/>
        <w:jc w:val="both"/>
        <w:rPr>
          <w:lang w:val="en-US"/>
        </w:rPr>
      </w:pPr>
    </w:p>
    <w:p w:rsidR="00CE1B03" w:rsidRPr="00812E8B" w:rsidRDefault="00CE1B03" w:rsidP="00CE1B03">
      <w:pPr>
        <w:pStyle w:val="Heading2"/>
        <w:rPr>
          <w:color w:val="auto"/>
          <w:lang w:val="en-US"/>
        </w:rPr>
      </w:pPr>
      <w:bookmarkStart w:id="16" w:name="_Toc306359636"/>
      <w:r w:rsidRPr="00812E8B">
        <w:rPr>
          <w:color w:val="auto"/>
          <w:lang w:val="en-US"/>
        </w:rPr>
        <w:t>2.4 G</w:t>
      </w:r>
      <w:r w:rsidR="00FB0A28" w:rsidRPr="00812E8B">
        <w:rPr>
          <w:color w:val="auto"/>
          <w:sz w:val="20"/>
          <w:szCs w:val="20"/>
          <w:lang w:val="en-US"/>
        </w:rPr>
        <w:t>ENERAL INFLUENCES ON BANKS’ PROFITABILITY</w:t>
      </w:r>
      <w:bookmarkEnd w:id="16"/>
    </w:p>
    <w:p w:rsidR="00CE1B03" w:rsidRPr="00812E8B" w:rsidRDefault="00CE1B03" w:rsidP="00CE1B03">
      <w:pPr>
        <w:pStyle w:val="NoSpacing"/>
        <w:spacing w:line="276" w:lineRule="auto"/>
        <w:jc w:val="both"/>
        <w:rPr>
          <w:lang w:val="en-US"/>
        </w:rPr>
      </w:pPr>
      <w:r w:rsidRPr="00812E8B">
        <w:rPr>
          <w:lang w:val="en-US"/>
        </w:rPr>
        <w:t>The introduction and this chapter already mentioned that determinants of banks’ profitability are often visible in banks’ balance sheet structures. In addition, the balance sheet structure and other banking activities are often shaped by regulation and ownership structure. Presenting a broader context in which regulation, ownership structure and the balance sheet structure are present could give more insight on how banks’ performance is affected. This section presents theoretical explanations for relationships between regulation, ownership structure, balance sheet structure and profitability. Nevertheless, it should be mentioned that this thesis focuses on a broader model combining macroeconomic, industry-specific and bank-specific determinants of banks’ profitability.</w:t>
      </w:r>
    </w:p>
    <w:p w:rsidR="00CE1B03" w:rsidRPr="00812E8B" w:rsidRDefault="00F6510F" w:rsidP="00CE1B03">
      <w:pPr>
        <w:pStyle w:val="NoSpacing"/>
        <w:tabs>
          <w:tab w:val="left" w:pos="6547"/>
        </w:tabs>
        <w:spacing w:line="276" w:lineRule="auto"/>
        <w:jc w:val="both"/>
        <w:rPr>
          <w:lang w:val="en-US"/>
        </w:rPr>
      </w:pPr>
      <w:r w:rsidRPr="00812E8B">
        <w:rPr>
          <w:lang w:val="en-US"/>
        </w:rPr>
        <w:lastRenderedPageBreak/>
        <w:t xml:space="preserve">Besides other objectives, </w:t>
      </w:r>
      <w:r w:rsidR="00483631" w:rsidRPr="00812E8B">
        <w:rPr>
          <w:lang w:val="en-US"/>
        </w:rPr>
        <w:t>t</w:t>
      </w:r>
      <w:r w:rsidR="00CE1B03" w:rsidRPr="00812E8B">
        <w:rPr>
          <w:lang w:val="en-US"/>
        </w:rPr>
        <w:t xml:space="preserve">he aim of regulation and supervision is to overcome the moral hazard problem in the banking sector. Without any regulation, politicians assume that value-maximizing banks take on more risks than which is optimal and acceptable for depositors. Whilst risk taking is beneficial for average individual banks, one bank failure is highly undesirable for depositors and may spill over to the entire banking sector. Regulation that requires minimum capital ratios would likely negatively influence profitability as regulation constrains value-maximizing banks in risk taking and in reaching an optimal capital structure. Furthermore, according to </w:t>
      </w:r>
      <w:r w:rsidR="00AE700C" w:rsidRPr="00812E8B">
        <w:rPr>
          <w:color w:val="365F91" w:themeColor="accent1" w:themeShade="BF"/>
          <w:lang w:val="en-US"/>
        </w:rPr>
        <w:t>Saunders and Cornett (2008)</w:t>
      </w:r>
      <w:r w:rsidR="00CE1B03" w:rsidRPr="00812E8B">
        <w:rPr>
          <w:color w:val="365F91" w:themeColor="accent1" w:themeShade="BF"/>
          <w:lang w:val="en-US"/>
        </w:rPr>
        <w:t xml:space="preserve"> </w:t>
      </w:r>
      <w:r w:rsidR="00CE1B03" w:rsidRPr="00812E8B">
        <w:rPr>
          <w:lang w:val="en-US"/>
        </w:rPr>
        <w:t xml:space="preserve">the net regulatory burden could also negatively influence bank performance. The net regulatory burden equals the cost minus the benefits of regulation. Costs of regulation are e.g. compliance costs, referring to the costs of preparing reports and statements to regulators, or costs of being restricted from an optimal portfolio or capital structure. </w:t>
      </w:r>
    </w:p>
    <w:p w:rsidR="00CE1B03" w:rsidRPr="00812E8B" w:rsidRDefault="00CE1B03" w:rsidP="00BC7621">
      <w:pPr>
        <w:pStyle w:val="NoSpacing"/>
        <w:rPr>
          <w:lang w:val="en-US"/>
        </w:rPr>
      </w:pPr>
    </w:p>
    <w:p w:rsidR="00C576AF" w:rsidRPr="00812E8B" w:rsidRDefault="00CE1B03" w:rsidP="00CE1B03">
      <w:pPr>
        <w:pStyle w:val="NoSpacing"/>
        <w:spacing w:line="276" w:lineRule="auto"/>
        <w:jc w:val="both"/>
        <w:rPr>
          <w:lang w:val="en-US"/>
        </w:rPr>
      </w:pPr>
      <w:r w:rsidRPr="00812E8B">
        <w:rPr>
          <w:lang w:val="en-US"/>
        </w:rPr>
        <w:t>The main theoretical explanation for the relationship between</w:t>
      </w:r>
      <w:r w:rsidR="00F6510F" w:rsidRPr="00812E8B">
        <w:rPr>
          <w:lang w:val="en-US"/>
        </w:rPr>
        <w:t xml:space="preserve"> the</w:t>
      </w:r>
      <w:r w:rsidRPr="00812E8B">
        <w:rPr>
          <w:lang w:val="en-US"/>
        </w:rPr>
        <w:t xml:space="preserve"> ownership structure and profitability is based on the agency theory, first formalized by </w:t>
      </w:r>
      <w:r w:rsidR="007F1875" w:rsidRPr="00812E8B">
        <w:rPr>
          <w:color w:val="365F91" w:themeColor="accent1" w:themeShade="BF"/>
          <w:lang w:val="en-US"/>
        </w:rPr>
        <w:t xml:space="preserve">Jensen and Meckling (1976). </w:t>
      </w:r>
      <w:r w:rsidRPr="00812E8B">
        <w:rPr>
          <w:lang w:val="en-US"/>
        </w:rPr>
        <w:t>Their research explains why managers of entities with different capital structures, choose different activities. In a relations</w:t>
      </w:r>
      <w:r w:rsidR="000E054F" w:rsidRPr="00812E8B">
        <w:rPr>
          <w:lang w:val="en-US"/>
        </w:rPr>
        <w:t xml:space="preserve">hip between owners and managers, </w:t>
      </w:r>
      <w:r w:rsidRPr="00812E8B">
        <w:rPr>
          <w:lang w:val="en-US"/>
        </w:rPr>
        <w:t xml:space="preserve">a principal-agent relationship, both differs in needs and preferences. In this context, an obvious theoretical argument for the relationship between </w:t>
      </w:r>
      <w:r w:rsidR="00F6510F" w:rsidRPr="00812E8B">
        <w:rPr>
          <w:lang w:val="en-US"/>
        </w:rPr>
        <w:t xml:space="preserve">the </w:t>
      </w:r>
      <w:r w:rsidRPr="00812E8B">
        <w:rPr>
          <w:lang w:val="en-US"/>
        </w:rPr>
        <w:t xml:space="preserve">ownership structure and profitability arise: capital market discipline could strengthen owner’s control over management, giving banks’ management more incentives to be efficient and profitable. Following </w:t>
      </w:r>
      <w:r w:rsidR="00026D7B" w:rsidRPr="00812E8B">
        <w:rPr>
          <w:color w:val="365F91" w:themeColor="accent1" w:themeShade="BF"/>
          <w:lang w:val="en-US"/>
        </w:rPr>
        <w:t xml:space="preserve">Jensen and Meckling (1976) </w:t>
      </w:r>
      <w:r w:rsidRPr="00812E8B">
        <w:rPr>
          <w:lang w:val="en-US"/>
        </w:rPr>
        <w:t xml:space="preserve">their results has implications for banks’ profitability as results suggest that </w:t>
      </w:r>
      <w:r w:rsidR="00F6510F" w:rsidRPr="00812E8B">
        <w:rPr>
          <w:lang w:val="en-US"/>
        </w:rPr>
        <w:t xml:space="preserve">the </w:t>
      </w:r>
      <w:r w:rsidRPr="00812E8B">
        <w:rPr>
          <w:lang w:val="en-US"/>
        </w:rPr>
        <w:t>ownership structure and corporate governance</w:t>
      </w:r>
      <w:r w:rsidR="00F6510F" w:rsidRPr="00812E8B">
        <w:rPr>
          <w:lang w:val="en-US"/>
        </w:rPr>
        <w:t xml:space="preserve"> structure influence performance</w:t>
      </w:r>
      <w:r w:rsidR="00F6510F" w:rsidRPr="00812E8B">
        <w:rPr>
          <w:rStyle w:val="EndnoteReference"/>
          <w:lang w:val="en-US"/>
        </w:rPr>
        <w:t xml:space="preserve"> </w:t>
      </w:r>
      <w:r w:rsidRPr="00812E8B">
        <w:rPr>
          <w:rStyle w:val="EndnoteReference"/>
          <w:lang w:val="en-US"/>
        </w:rPr>
        <w:endnoteReference w:id="3"/>
      </w:r>
      <w:r w:rsidR="00CB0992" w:rsidRPr="00812E8B">
        <w:rPr>
          <w:lang w:val="en-US"/>
        </w:rPr>
        <w:t>.</w:t>
      </w:r>
      <w:r w:rsidR="00DD1F0C" w:rsidRPr="00812E8B">
        <w:rPr>
          <w:lang w:val="en-US"/>
        </w:rPr>
        <w:t xml:space="preserve"> Banks with more stringent and value based owners will likely have better profitability than</w:t>
      </w:r>
      <w:r w:rsidR="000E054F" w:rsidRPr="00812E8B">
        <w:rPr>
          <w:lang w:val="en-US"/>
        </w:rPr>
        <w:t xml:space="preserve"> mutual</w:t>
      </w:r>
      <w:r w:rsidR="002C1209" w:rsidRPr="00812E8B">
        <w:rPr>
          <w:lang w:val="en-US"/>
        </w:rPr>
        <w:t xml:space="preserve">, </w:t>
      </w:r>
      <w:r w:rsidR="002D7A25" w:rsidRPr="00812E8B">
        <w:rPr>
          <w:lang w:val="en-US"/>
        </w:rPr>
        <w:t>co-operative</w:t>
      </w:r>
      <w:r w:rsidR="002C1209" w:rsidRPr="00812E8B">
        <w:rPr>
          <w:lang w:val="en-US"/>
        </w:rPr>
        <w:t xml:space="preserve"> or</w:t>
      </w:r>
      <w:r w:rsidR="00DD1F0C" w:rsidRPr="00812E8B">
        <w:rPr>
          <w:lang w:val="en-US"/>
        </w:rPr>
        <w:t xml:space="preserve"> </w:t>
      </w:r>
      <w:r w:rsidR="000E054F" w:rsidRPr="00812E8B">
        <w:rPr>
          <w:lang w:val="en-US"/>
        </w:rPr>
        <w:t xml:space="preserve">state-owned </w:t>
      </w:r>
      <w:r w:rsidR="00DD1F0C" w:rsidRPr="00812E8B">
        <w:rPr>
          <w:lang w:val="en-US"/>
        </w:rPr>
        <w:t>banks.</w:t>
      </w:r>
      <w:r w:rsidR="00CB0992" w:rsidRPr="00812E8B">
        <w:rPr>
          <w:lang w:val="en-US"/>
        </w:rPr>
        <w:t xml:space="preserve"> </w:t>
      </w:r>
    </w:p>
    <w:p w:rsidR="00DD1F0C" w:rsidRPr="00812E8B" w:rsidRDefault="00DD1F0C" w:rsidP="00BC7621">
      <w:pPr>
        <w:pStyle w:val="NoSpacing"/>
        <w:rPr>
          <w:lang w:val="en-US"/>
        </w:rPr>
      </w:pPr>
    </w:p>
    <w:p w:rsidR="005556DA" w:rsidRPr="00812E8B" w:rsidRDefault="005556DA" w:rsidP="00CE1B03">
      <w:pPr>
        <w:pStyle w:val="NoSpacing"/>
        <w:spacing w:line="276" w:lineRule="auto"/>
        <w:jc w:val="both"/>
        <w:rPr>
          <w:lang w:val="en-US"/>
        </w:rPr>
      </w:pPr>
      <w:r w:rsidRPr="00812E8B">
        <w:rPr>
          <w:lang w:val="en-US"/>
        </w:rPr>
        <w:t>Finally, the balance sheet structure could also influence banks’ profitability</w:t>
      </w:r>
      <w:r w:rsidR="00321996" w:rsidRPr="00812E8B">
        <w:rPr>
          <w:lang w:val="en-US"/>
        </w:rPr>
        <w:t>; in this context</w:t>
      </w:r>
      <w:r w:rsidRPr="00812E8B">
        <w:rPr>
          <w:lang w:val="en-US"/>
        </w:rPr>
        <w:t xml:space="preserve">, </w:t>
      </w:r>
      <w:r w:rsidR="00321996" w:rsidRPr="00812E8B">
        <w:rPr>
          <w:lang w:val="en-US"/>
        </w:rPr>
        <w:t xml:space="preserve">the </w:t>
      </w:r>
      <w:r w:rsidR="00F6510F" w:rsidRPr="00812E8B">
        <w:rPr>
          <w:lang w:val="en-US"/>
        </w:rPr>
        <w:t>equity-</w:t>
      </w:r>
      <w:r w:rsidR="00321996" w:rsidRPr="00812E8B">
        <w:rPr>
          <w:lang w:val="en-US"/>
        </w:rPr>
        <w:t>to</w:t>
      </w:r>
      <w:r w:rsidR="00F6510F" w:rsidRPr="00812E8B">
        <w:rPr>
          <w:lang w:val="en-US"/>
        </w:rPr>
        <w:t>-</w:t>
      </w:r>
      <w:r w:rsidR="00321996" w:rsidRPr="00812E8B">
        <w:rPr>
          <w:lang w:val="en-US"/>
        </w:rPr>
        <w:t xml:space="preserve">asset ratio is </w:t>
      </w:r>
      <w:r w:rsidRPr="00812E8B">
        <w:rPr>
          <w:lang w:val="en-US"/>
        </w:rPr>
        <w:t xml:space="preserve">an important balance sheet ratio </w:t>
      </w:r>
      <w:r w:rsidR="00321996" w:rsidRPr="00812E8B">
        <w:rPr>
          <w:lang w:val="en-US"/>
        </w:rPr>
        <w:t>that</w:t>
      </w:r>
      <w:r w:rsidRPr="00812E8B">
        <w:rPr>
          <w:lang w:val="en-US"/>
        </w:rPr>
        <w:t xml:space="preserve"> </w:t>
      </w:r>
      <w:r w:rsidR="00321996" w:rsidRPr="00812E8B">
        <w:rPr>
          <w:lang w:val="en-US"/>
        </w:rPr>
        <w:t>received</w:t>
      </w:r>
      <w:r w:rsidRPr="00812E8B">
        <w:rPr>
          <w:lang w:val="en-US"/>
        </w:rPr>
        <w:t xml:space="preserve"> much attention</w:t>
      </w:r>
      <w:r w:rsidR="00475E2E" w:rsidRPr="00812E8B">
        <w:rPr>
          <w:lang w:val="en-US"/>
        </w:rPr>
        <w:t xml:space="preserve">. </w:t>
      </w:r>
      <w:r w:rsidR="00D07D9E" w:rsidRPr="00812E8B">
        <w:rPr>
          <w:lang w:val="en-US"/>
        </w:rPr>
        <w:t>For this ratio, theoretical explanations assume different sign</w:t>
      </w:r>
      <w:r w:rsidR="00321996" w:rsidRPr="00812E8B">
        <w:rPr>
          <w:lang w:val="en-US"/>
        </w:rPr>
        <w:t>s</w:t>
      </w:r>
      <w:r w:rsidR="00D07D9E" w:rsidRPr="00812E8B">
        <w:rPr>
          <w:lang w:val="en-US"/>
        </w:rPr>
        <w:t xml:space="preserve"> of the relationship</w:t>
      </w:r>
      <w:r w:rsidR="00475E2E" w:rsidRPr="00812E8B">
        <w:rPr>
          <w:lang w:val="en-US"/>
        </w:rPr>
        <w:t xml:space="preserve"> with profitability</w:t>
      </w:r>
      <w:r w:rsidR="009B7DA8" w:rsidRPr="00812E8B">
        <w:rPr>
          <w:lang w:val="en-US"/>
        </w:rPr>
        <w:t xml:space="preserve">. According to </w:t>
      </w:r>
      <w:r w:rsidR="005F6D22" w:rsidRPr="00812E8B">
        <w:rPr>
          <w:lang w:val="en-US"/>
        </w:rPr>
        <w:t xml:space="preserve">the </w:t>
      </w:r>
      <w:r w:rsidR="009B7DA8" w:rsidRPr="00812E8B">
        <w:rPr>
          <w:lang w:val="en-US"/>
        </w:rPr>
        <w:t>Modigliani-</w:t>
      </w:r>
      <w:r w:rsidR="00D07D9E" w:rsidRPr="00812E8B">
        <w:rPr>
          <w:lang w:val="en-US"/>
        </w:rPr>
        <w:t>Mill</w:t>
      </w:r>
      <w:r w:rsidR="009B7DA8" w:rsidRPr="00812E8B">
        <w:rPr>
          <w:lang w:val="en-US"/>
        </w:rPr>
        <w:t>e</w:t>
      </w:r>
      <w:r w:rsidR="00D07D9E" w:rsidRPr="00812E8B">
        <w:rPr>
          <w:lang w:val="en-US"/>
        </w:rPr>
        <w:t xml:space="preserve">r </w:t>
      </w:r>
      <w:r w:rsidR="005F6D22" w:rsidRPr="00812E8B">
        <w:rPr>
          <w:lang w:val="en-US"/>
        </w:rPr>
        <w:t xml:space="preserve">theorem </w:t>
      </w:r>
      <w:r w:rsidR="00D07D9E" w:rsidRPr="00812E8B">
        <w:rPr>
          <w:lang w:val="en-US"/>
        </w:rPr>
        <w:t xml:space="preserve">there exists no relationship between the capital structure (debt or equity financing) and </w:t>
      </w:r>
      <w:r w:rsidR="00A97CD5" w:rsidRPr="00812E8B">
        <w:rPr>
          <w:lang w:val="en-US"/>
        </w:rPr>
        <w:t xml:space="preserve">the market value of a bank </w:t>
      </w:r>
      <w:r w:rsidR="00AE700C" w:rsidRPr="00812E8B">
        <w:rPr>
          <w:color w:val="365F91" w:themeColor="accent1" w:themeShade="BF"/>
          <w:lang w:val="en-US"/>
        </w:rPr>
        <w:t>(Modigliani and Miller, 1958)</w:t>
      </w:r>
      <w:r w:rsidR="005F6D22" w:rsidRPr="00812E8B">
        <w:rPr>
          <w:lang w:val="en-US"/>
        </w:rPr>
        <w:t>.</w:t>
      </w:r>
      <w:r w:rsidR="00A97CD5" w:rsidRPr="00812E8B">
        <w:rPr>
          <w:lang w:val="en-US"/>
        </w:rPr>
        <w:t xml:space="preserve"> In this context, there </w:t>
      </w:r>
      <w:r w:rsidR="00F6510F" w:rsidRPr="00812E8B">
        <w:rPr>
          <w:lang w:val="en-US"/>
        </w:rPr>
        <w:t>does not</w:t>
      </w:r>
      <w:r w:rsidR="00A97CD5" w:rsidRPr="00812E8B">
        <w:rPr>
          <w:lang w:val="en-US"/>
        </w:rPr>
        <w:t xml:space="preserve"> exist </w:t>
      </w:r>
      <w:r w:rsidR="00F6510F" w:rsidRPr="00812E8B">
        <w:rPr>
          <w:lang w:val="en-US"/>
        </w:rPr>
        <w:t>a</w:t>
      </w:r>
      <w:r w:rsidR="00A97CD5" w:rsidRPr="00812E8B">
        <w:rPr>
          <w:lang w:val="en-US"/>
        </w:rPr>
        <w:t xml:space="preserve"> relationship between the </w:t>
      </w:r>
      <w:r w:rsidR="00F6510F" w:rsidRPr="00812E8B">
        <w:rPr>
          <w:lang w:val="en-US"/>
        </w:rPr>
        <w:t>equity-to-asset</w:t>
      </w:r>
      <w:r w:rsidR="00A97CD5" w:rsidRPr="00812E8B">
        <w:rPr>
          <w:lang w:val="en-US"/>
        </w:rPr>
        <w:t xml:space="preserve"> ratio and funding costs or profitability.</w:t>
      </w:r>
      <w:r w:rsidR="005F6D22" w:rsidRPr="00812E8B">
        <w:rPr>
          <w:lang w:val="en-US"/>
        </w:rPr>
        <w:t xml:space="preserve"> </w:t>
      </w:r>
      <w:r w:rsidR="00D07D9E" w:rsidRPr="00812E8B">
        <w:rPr>
          <w:lang w:val="en-US"/>
        </w:rPr>
        <w:t>Nevertheless, as this chapter already mentioned</w:t>
      </w:r>
      <w:r w:rsidR="00321996" w:rsidRPr="00812E8B">
        <w:rPr>
          <w:lang w:val="en-US"/>
        </w:rPr>
        <w:t xml:space="preserve"> the agency problem, information asymmetry</w:t>
      </w:r>
      <w:r w:rsidR="00D07D9E" w:rsidRPr="00812E8B">
        <w:rPr>
          <w:lang w:val="en-US"/>
        </w:rPr>
        <w:t xml:space="preserve"> and transaction costs distort </w:t>
      </w:r>
      <w:r w:rsidR="00321996" w:rsidRPr="00812E8B">
        <w:rPr>
          <w:lang w:val="en-US"/>
        </w:rPr>
        <w:t>MM’s</w:t>
      </w:r>
      <w:r w:rsidR="00D07D9E" w:rsidRPr="00812E8B">
        <w:rPr>
          <w:lang w:val="en-US"/>
        </w:rPr>
        <w:t xml:space="preserve"> perfect market.</w:t>
      </w:r>
      <w:r w:rsidR="0099574A" w:rsidRPr="00812E8B">
        <w:rPr>
          <w:lang w:val="en-US"/>
        </w:rPr>
        <w:t xml:space="preserve"> </w:t>
      </w:r>
      <w:r w:rsidR="00321996" w:rsidRPr="00812E8B">
        <w:rPr>
          <w:lang w:val="en-US"/>
        </w:rPr>
        <w:t xml:space="preserve">Thus, when the perfect market does not hold there could be a possible explanations for a negative relationship. Financing theory suggest that increasing risks, </w:t>
      </w:r>
      <w:r w:rsidR="0099574A" w:rsidRPr="00812E8B">
        <w:rPr>
          <w:lang w:val="en-US"/>
        </w:rPr>
        <w:t xml:space="preserve">by increasing leverage and thus lowering the </w:t>
      </w:r>
      <w:r w:rsidR="00F6510F" w:rsidRPr="00812E8B">
        <w:rPr>
          <w:lang w:val="en-US"/>
        </w:rPr>
        <w:t>equity-to-asset</w:t>
      </w:r>
      <w:r w:rsidR="0099574A" w:rsidRPr="00812E8B">
        <w:rPr>
          <w:lang w:val="en-US"/>
        </w:rPr>
        <w:t xml:space="preserve"> ratio</w:t>
      </w:r>
      <w:r w:rsidR="00F6510F" w:rsidRPr="00812E8B">
        <w:rPr>
          <w:lang w:val="en-US"/>
        </w:rPr>
        <w:t xml:space="preserve"> (increasing leverage)</w:t>
      </w:r>
      <w:r w:rsidR="00321996" w:rsidRPr="00812E8B">
        <w:rPr>
          <w:lang w:val="en-US"/>
        </w:rPr>
        <w:t>,</w:t>
      </w:r>
      <w:r w:rsidR="0099574A" w:rsidRPr="00812E8B">
        <w:rPr>
          <w:lang w:val="en-US"/>
        </w:rPr>
        <w:t xml:space="preserve"> leads to a higher expected return</w:t>
      </w:r>
      <w:r w:rsidR="00321996" w:rsidRPr="00812E8B">
        <w:rPr>
          <w:lang w:val="en-US"/>
        </w:rPr>
        <w:t xml:space="preserve"> as e</w:t>
      </w:r>
      <w:r w:rsidR="0099574A" w:rsidRPr="00812E8B">
        <w:rPr>
          <w:lang w:val="en-US"/>
        </w:rPr>
        <w:t>nt</w:t>
      </w:r>
      <w:r w:rsidR="0073321E" w:rsidRPr="00812E8B">
        <w:rPr>
          <w:lang w:val="en-US"/>
        </w:rPr>
        <w:t xml:space="preserve">ities </w:t>
      </w:r>
      <w:r w:rsidRPr="00812E8B">
        <w:rPr>
          <w:lang w:val="en-US"/>
        </w:rPr>
        <w:t>will o</w:t>
      </w:r>
      <w:r w:rsidR="0073321E" w:rsidRPr="00812E8B">
        <w:rPr>
          <w:lang w:val="en-US"/>
        </w:rPr>
        <w:t xml:space="preserve">nly </w:t>
      </w:r>
      <w:r w:rsidRPr="00812E8B">
        <w:rPr>
          <w:lang w:val="en-US"/>
        </w:rPr>
        <w:t xml:space="preserve">take on more </w:t>
      </w:r>
      <w:r w:rsidR="0073321E" w:rsidRPr="00812E8B">
        <w:rPr>
          <w:lang w:val="en-US"/>
        </w:rPr>
        <w:t xml:space="preserve">risks </w:t>
      </w:r>
      <w:r w:rsidRPr="00812E8B">
        <w:rPr>
          <w:lang w:val="en-US"/>
        </w:rPr>
        <w:t>when expected returns will increase; otherwise, increasing risks have no benefits.</w:t>
      </w:r>
      <w:r w:rsidR="00EA7658" w:rsidRPr="00812E8B">
        <w:rPr>
          <w:lang w:val="en-US"/>
        </w:rPr>
        <w:t xml:space="preserve"> This </w:t>
      </w:r>
      <w:r w:rsidR="000B15F8" w:rsidRPr="00812E8B">
        <w:rPr>
          <w:lang w:val="en-US"/>
        </w:rPr>
        <w:t xml:space="preserve">theoretical explanation </w:t>
      </w:r>
      <w:r w:rsidR="00EA7658" w:rsidRPr="00812E8B">
        <w:rPr>
          <w:lang w:val="en-US"/>
        </w:rPr>
        <w:t xml:space="preserve">is known as the risk-return trade off.  </w:t>
      </w:r>
    </w:p>
    <w:p w:rsidR="008F7E0F" w:rsidRPr="00812E8B" w:rsidRDefault="008F7E0F" w:rsidP="00BC7621">
      <w:pPr>
        <w:pStyle w:val="NoSpacing"/>
        <w:rPr>
          <w:lang w:val="en-US"/>
        </w:rPr>
      </w:pPr>
    </w:p>
    <w:p w:rsidR="00EB0B2A" w:rsidRPr="00812E8B" w:rsidRDefault="0099574A" w:rsidP="00CE1B03">
      <w:pPr>
        <w:pStyle w:val="NoSpacing"/>
        <w:spacing w:line="276" w:lineRule="auto"/>
        <w:jc w:val="both"/>
        <w:rPr>
          <w:lang w:val="en-US"/>
        </w:rPr>
      </w:pPr>
      <w:r w:rsidRPr="00812E8B">
        <w:rPr>
          <w:lang w:val="en-US"/>
        </w:rPr>
        <w:t>There</w:t>
      </w:r>
      <w:r w:rsidR="001E3290" w:rsidRPr="00812E8B">
        <w:rPr>
          <w:lang w:val="en-US"/>
        </w:rPr>
        <w:t xml:space="preserve"> are also theoretical explanations for the opposite relationship</w:t>
      </w:r>
      <w:r w:rsidRPr="00812E8B">
        <w:rPr>
          <w:lang w:val="en-US"/>
        </w:rPr>
        <w:t xml:space="preserve"> that </w:t>
      </w:r>
      <w:r w:rsidR="00A85C6F" w:rsidRPr="00812E8B">
        <w:rPr>
          <w:lang w:val="en-US"/>
        </w:rPr>
        <w:t xml:space="preserve">a higher </w:t>
      </w:r>
      <w:r w:rsidR="00F6510F" w:rsidRPr="00812E8B">
        <w:rPr>
          <w:lang w:val="en-US"/>
        </w:rPr>
        <w:t>equity-to-asset</w:t>
      </w:r>
      <w:r w:rsidR="00A85C6F" w:rsidRPr="00812E8B">
        <w:rPr>
          <w:lang w:val="en-US"/>
        </w:rPr>
        <w:t xml:space="preserve"> ratio has</w:t>
      </w:r>
      <w:r w:rsidRPr="00812E8B">
        <w:rPr>
          <w:lang w:val="en-US"/>
        </w:rPr>
        <w:t xml:space="preserve"> a positive effect on profitability. These explanations are based on the signaling and bankruptcy cost hypothesis. The</w:t>
      </w:r>
      <w:r w:rsidR="001E3290" w:rsidRPr="00812E8B">
        <w:rPr>
          <w:lang w:val="en-US"/>
        </w:rPr>
        <w:t xml:space="preserve"> first</w:t>
      </w:r>
      <w:r w:rsidR="00AD3344" w:rsidRPr="00812E8B">
        <w:rPr>
          <w:lang w:val="en-US"/>
        </w:rPr>
        <w:t xml:space="preserve"> hypothesis states that a higher equity ratio is a positive signal </w:t>
      </w:r>
      <w:r w:rsidR="001E3290" w:rsidRPr="00812E8B">
        <w:rPr>
          <w:lang w:val="en-US"/>
        </w:rPr>
        <w:t xml:space="preserve">to the market </w:t>
      </w:r>
      <w:r w:rsidR="00AD3344" w:rsidRPr="00812E8B">
        <w:rPr>
          <w:lang w:val="en-US"/>
        </w:rPr>
        <w:t xml:space="preserve">of the value of a bank </w:t>
      </w:r>
      <w:r w:rsidR="00881610" w:rsidRPr="00812E8B">
        <w:rPr>
          <w:color w:val="365F91" w:themeColor="accent1" w:themeShade="BF"/>
          <w:lang w:val="en-US"/>
        </w:rPr>
        <w:t>(Heid, Porath and</w:t>
      </w:r>
      <w:r w:rsidR="00AE700C" w:rsidRPr="00812E8B">
        <w:rPr>
          <w:color w:val="365F91" w:themeColor="accent1" w:themeShade="BF"/>
          <w:lang w:val="en-US"/>
        </w:rPr>
        <w:t xml:space="preserve"> Stolz, 2004)</w:t>
      </w:r>
      <w:r w:rsidR="008D228B" w:rsidRPr="00812E8B">
        <w:rPr>
          <w:lang w:val="en-US"/>
        </w:rPr>
        <w:t>.</w:t>
      </w:r>
      <w:r w:rsidR="008D228B" w:rsidRPr="00812E8B">
        <w:rPr>
          <w:color w:val="365F91" w:themeColor="accent1" w:themeShade="BF"/>
          <w:lang w:val="en-US"/>
        </w:rPr>
        <w:t xml:space="preserve"> </w:t>
      </w:r>
      <w:r w:rsidR="00AD3344" w:rsidRPr="00812E8B">
        <w:rPr>
          <w:lang w:val="en-US"/>
        </w:rPr>
        <w:t xml:space="preserve">Less profitable banks cannot achieve such a </w:t>
      </w:r>
      <w:r w:rsidR="00D31A4A">
        <w:rPr>
          <w:lang w:val="en-US"/>
        </w:rPr>
        <w:t xml:space="preserve">signal since </w:t>
      </w:r>
      <w:r w:rsidR="00AD3344" w:rsidRPr="00812E8B">
        <w:rPr>
          <w:lang w:val="en-US"/>
        </w:rPr>
        <w:t xml:space="preserve">this will further deteriorate their earnings. </w:t>
      </w:r>
      <w:r w:rsidRPr="00812E8B">
        <w:rPr>
          <w:lang w:val="en-US"/>
        </w:rPr>
        <w:t xml:space="preserve">In this way a </w:t>
      </w:r>
      <w:r w:rsidR="00F6510F" w:rsidRPr="00812E8B">
        <w:rPr>
          <w:lang w:val="en-US"/>
        </w:rPr>
        <w:t>lower leverage</w:t>
      </w:r>
      <w:r w:rsidR="005556DA" w:rsidRPr="00812E8B">
        <w:rPr>
          <w:lang w:val="en-US"/>
        </w:rPr>
        <w:t>,</w:t>
      </w:r>
      <w:r w:rsidR="00F6510F" w:rsidRPr="00812E8B">
        <w:rPr>
          <w:lang w:val="en-US"/>
        </w:rPr>
        <w:t xml:space="preserve"> indicates</w:t>
      </w:r>
      <w:r w:rsidRPr="00812E8B">
        <w:rPr>
          <w:lang w:val="en-US"/>
        </w:rPr>
        <w:t xml:space="preserve"> that banks perform better than their competitors who cannot raise their equity without </w:t>
      </w:r>
      <w:r w:rsidRPr="00812E8B">
        <w:rPr>
          <w:lang w:val="en-US"/>
        </w:rPr>
        <w:lastRenderedPageBreak/>
        <w:t xml:space="preserve">further deteriorating the profitability. </w:t>
      </w:r>
      <w:r w:rsidR="00AD3344" w:rsidRPr="00812E8B">
        <w:rPr>
          <w:lang w:val="en-US"/>
        </w:rPr>
        <w:t>Th</w:t>
      </w:r>
      <w:r w:rsidR="001E3290" w:rsidRPr="00812E8B">
        <w:rPr>
          <w:lang w:val="en-US"/>
        </w:rPr>
        <w:t>e latter</w:t>
      </w:r>
      <w:r w:rsidR="00AD3344" w:rsidRPr="00812E8B">
        <w:rPr>
          <w:lang w:val="en-US"/>
        </w:rPr>
        <w:t xml:space="preserve"> hypothesis</w:t>
      </w:r>
      <w:r w:rsidR="001E3290" w:rsidRPr="00812E8B">
        <w:rPr>
          <w:lang w:val="en-US"/>
        </w:rPr>
        <w:t xml:space="preserve"> suggest</w:t>
      </w:r>
      <w:r w:rsidR="00AD3344" w:rsidRPr="00812E8B">
        <w:rPr>
          <w:lang w:val="en-US"/>
        </w:rPr>
        <w:t>s</w:t>
      </w:r>
      <w:r w:rsidR="001E3290" w:rsidRPr="00812E8B">
        <w:rPr>
          <w:lang w:val="en-US"/>
        </w:rPr>
        <w:t xml:space="preserve"> that </w:t>
      </w:r>
      <w:r w:rsidRPr="00812E8B">
        <w:rPr>
          <w:lang w:val="en-US"/>
        </w:rPr>
        <w:t>in a case where</w:t>
      </w:r>
      <w:r w:rsidR="001E3290" w:rsidRPr="00812E8B">
        <w:rPr>
          <w:lang w:val="en-US"/>
        </w:rPr>
        <w:t xml:space="preserve"> bankruptcy cost are unexpected high a bank hold more equity to avoid period of distress</w:t>
      </w:r>
      <w:r w:rsidR="00F64DE6" w:rsidRPr="00812E8B">
        <w:rPr>
          <w:lang w:val="en-US"/>
        </w:rPr>
        <w:t xml:space="preserve"> </w:t>
      </w:r>
      <w:r w:rsidR="00026D7B" w:rsidRPr="00812E8B">
        <w:rPr>
          <w:color w:val="365F91" w:themeColor="accent1" w:themeShade="BF"/>
          <w:lang w:val="en-US"/>
        </w:rPr>
        <w:t>(Berger, 1995)</w:t>
      </w:r>
      <w:r w:rsidR="00F64DE6" w:rsidRPr="00812E8B">
        <w:rPr>
          <w:lang w:val="en-US"/>
        </w:rPr>
        <w:t>.</w:t>
      </w:r>
    </w:p>
    <w:p w:rsidR="00483631" w:rsidRPr="00812E8B" w:rsidRDefault="00483631" w:rsidP="00CE1B03">
      <w:pPr>
        <w:pStyle w:val="NoSpacing"/>
        <w:spacing w:line="276" w:lineRule="auto"/>
        <w:jc w:val="both"/>
        <w:rPr>
          <w:color w:val="FF0000"/>
          <w:lang w:val="en-US"/>
        </w:rPr>
      </w:pPr>
    </w:p>
    <w:p w:rsidR="00EF3000" w:rsidRPr="00812E8B" w:rsidRDefault="00EF3000" w:rsidP="00CE1B03">
      <w:pPr>
        <w:pStyle w:val="Heading2"/>
        <w:rPr>
          <w:color w:val="auto"/>
          <w:lang w:val="en-US"/>
        </w:rPr>
      </w:pPr>
      <w:bookmarkStart w:id="17" w:name="_Toc306359637"/>
      <w:r w:rsidRPr="00812E8B">
        <w:rPr>
          <w:color w:val="auto"/>
          <w:lang w:val="en-US"/>
        </w:rPr>
        <w:t>2.</w:t>
      </w:r>
      <w:r w:rsidR="00920C27" w:rsidRPr="00812E8B">
        <w:rPr>
          <w:color w:val="auto"/>
          <w:lang w:val="en-US"/>
        </w:rPr>
        <w:t>5</w:t>
      </w:r>
      <w:r w:rsidRPr="00812E8B">
        <w:rPr>
          <w:color w:val="auto"/>
          <w:lang w:val="en-US"/>
        </w:rPr>
        <w:t xml:space="preserve"> S</w:t>
      </w:r>
      <w:r w:rsidR="00FB0A28" w:rsidRPr="00812E8B">
        <w:rPr>
          <w:color w:val="auto"/>
          <w:sz w:val="20"/>
          <w:szCs w:val="20"/>
          <w:lang w:val="en-US"/>
        </w:rPr>
        <w:t>UMMARY</w:t>
      </w:r>
      <w:bookmarkEnd w:id="17"/>
    </w:p>
    <w:p w:rsidR="005E3BAF" w:rsidRPr="00812E8B" w:rsidRDefault="00F80DEC" w:rsidP="00CE1B03">
      <w:pPr>
        <w:pStyle w:val="NoSpacing"/>
        <w:spacing w:line="276" w:lineRule="auto"/>
        <w:jc w:val="both"/>
        <w:rPr>
          <w:color w:val="FF0000"/>
          <w:lang w:val="en-US"/>
        </w:rPr>
      </w:pPr>
      <w:r w:rsidRPr="00812E8B">
        <w:rPr>
          <w:lang w:val="en-US"/>
        </w:rPr>
        <w:t>T</w:t>
      </w:r>
      <w:r w:rsidR="00AF6FAA" w:rsidRPr="00812E8B">
        <w:rPr>
          <w:lang w:val="en-US"/>
        </w:rPr>
        <w:t>his chapter</w:t>
      </w:r>
      <w:r w:rsidRPr="00812E8B">
        <w:rPr>
          <w:lang w:val="en-US"/>
        </w:rPr>
        <w:t xml:space="preserve"> </w:t>
      </w:r>
      <w:r w:rsidR="00321996" w:rsidRPr="00812E8B">
        <w:rPr>
          <w:lang w:val="en-US"/>
        </w:rPr>
        <w:t>started with a description of</w:t>
      </w:r>
      <w:r w:rsidR="00AF6FAA" w:rsidRPr="00812E8B">
        <w:rPr>
          <w:lang w:val="en-US"/>
        </w:rPr>
        <w:t xml:space="preserve"> </w:t>
      </w:r>
      <w:r w:rsidR="002C4EE4" w:rsidRPr="00812E8B">
        <w:rPr>
          <w:lang w:val="en-US"/>
        </w:rPr>
        <w:t xml:space="preserve">the </w:t>
      </w:r>
      <w:r w:rsidR="00AF6FAA" w:rsidRPr="00812E8B">
        <w:rPr>
          <w:lang w:val="en-US"/>
        </w:rPr>
        <w:t>underlying concept</w:t>
      </w:r>
      <w:r w:rsidR="00321996" w:rsidRPr="00812E8B">
        <w:rPr>
          <w:lang w:val="en-US"/>
        </w:rPr>
        <w:t>s</w:t>
      </w:r>
      <w:r w:rsidR="00AF6FAA" w:rsidRPr="00812E8B">
        <w:rPr>
          <w:lang w:val="en-US"/>
        </w:rPr>
        <w:t xml:space="preserve"> of banking </w:t>
      </w:r>
      <w:r w:rsidRPr="00812E8B">
        <w:rPr>
          <w:lang w:val="en-US"/>
        </w:rPr>
        <w:t xml:space="preserve">and rational for supervision and regulation. Banks are only valuable </w:t>
      </w:r>
      <w:r w:rsidR="00F6510F" w:rsidRPr="00812E8B">
        <w:rPr>
          <w:lang w:val="en-US"/>
        </w:rPr>
        <w:t>since</w:t>
      </w:r>
      <w:r w:rsidRPr="00812E8B">
        <w:rPr>
          <w:lang w:val="en-US"/>
        </w:rPr>
        <w:t xml:space="preserve"> capital markets are </w:t>
      </w:r>
      <w:r w:rsidR="000861D2" w:rsidRPr="00812E8B">
        <w:rPr>
          <w:lang w:val="en-US"/>
        </w:rPr>
        <w:t xml:space="preserve">imperfect in terms of the Modigliani and Miller </w:t>
      </w:r>
      <w:r w:rsidR="00DF398A" w:rsidRPr="00812E8B">
        <w:rPr>
          <w:lang w:val="en-US"/>
        </w:rPr>
        <w:t>theorem. Financial intermediation is only beneficial for borrowers and savers</w:t>
      </w:r>
      <w:r w:rsidRPr="00812E8B">
        <w:rPr>
          <w:lang w:val="en-US"/>
        </w:rPr>
        <w:t xml:space="preserve"> when the cost</w:t>
      </w:r>
      <w:r w:rsidR="00DF398A" w:rsidRPr="00812E8B">
        <w:rPr>
          <w:lang w:val="en-US"/>
        </w:rPr>
        <w:t>s</w:t>
      </w:r>
      <w:r w:rsidRPr="00812E8B">
        <w:rPr>
          <w:lang w:val="en-US"/>
        </w:rPr>
        <w:t xml:space="preserve"> of financial intermediation </w:t>
      </w:r>
      <w:r w:rsidR="00DF398A" w:rsidRPr="00812E8B">
        <w:rPr>
          <w:lang w:val="en-US"/>
        </w:rPr>
        <w:t>are</w:t>
      </w:r>
      <w:r w:rsidRPr="00812E8B">
        <w:rPr>
          <w:lang w:val="en-US"/>
        </w:rPr>
        <w:t xml:space="preserve"> lower </w:t>
      </w:r>
      <w:r w:rsidR="00475E2E" w:rsidRPr="00812E8B">
        <w:rPr>
          <w:lang w:val="en-US"/>
        </w:rPr>
        <w:t>tha</w:t>
      </w:r>
      <w:r w:rsidR="000861D2" w:rsidRPr="00812E8B">
        <w:rPr>
          <w:lang w:val="en-US"/>
        </w:rPr>
        <w:t xml:space="preserve">n the </w:t>
      </w:r>
      <w:r w:rsidR="00DF398A" w:rsidRPr="00812E8B">
        <w:rPr>
          <w:lang w:val="en-US"/>
        </w:rPr>
        <w:t>cost for a direct market tr</w:t>
      </w:r>
      <w:r w:rsidR="00F6510F" w:rsidRPr="00812E8B">
        <w:rPr>
          <w:lang w:val="en-US"/>
        </w:rPr>
        <w:t xml:space="preserve">ansaction (costs of monitoring and </w:t>
      </w:r>
      <w:r w:rsidR="00DF398A" w:rsidRPr="00812E8B">
        <w:rPr>
          <w:lang w:val="en-US"/>
        </w:rPr>
        <w:t>gathering information</w:t>
      </w:r>
      <w:r w:rsidR="00F6510F" w:rsidRPr="00812E8B">
        <w:rPr>
          <w:lang w:val="en-US"/>
        </w:rPr>
        <w:t>, which</w:t>
      </w:r>
      <w:r w:rsidR="00DF398A" w:rsidRPr="00812E8B">
        <w:rPr>
          <w:lang w:val="en-US"/>
        </w:rPr>
        <w:t xml:space="preserve"> aris</w:t>
      </w:r>
      <w:r w:rsidR="00F6510F" w:rsidRPr="00812E8B">
        <w:rPr>
          <w:lang w:val="en-US"/>
        </w:rPr>
        <w:t>e</w:t>
      </w:r>
      <w:r w:rsidR="00DF398A" w:rsidRPr="00812E8B">
        <w:rPr>
          <w:lang w:val="en-US"/>
        </w:rPr>
        <w:t xml:space="preserve"> from distortion effects </w:t>
      </w:r>
      <w:r w:rsidR="00F6510F" w:rsidRPr="00812E8B">
        <w:rPr>
          <w:lang w:val="en-US"/>
        </w:rPr>
        <w:t>of</w:t>
      </w:r>
      <w:r w:rsidR="00DF398A" w:rsidRPr="00812E8B">
        <w:rPr>
          <w:lang w:val="en-US"/>
        </w:rPr>
        <w:t xml:space="preserve"> the capital market)</w:t>
      </w:r>
      <w:r w:rsidR="000861D2" w:rsidRPr="00812E8B">
        <w:rPr>
          <w:lang w:val="en-US"/>
        </w:rPr>
        <w:t>.</w:t>
      </w:r>
      <w:r w:rsidR="000861D2" w:rsidRPr="00812E8B">
        <w:rPr>
          <w:color w:val="FF0000"/>
          <w:lang w:val="en-US"/>
        </w:rPr>
        <w:t xml:space="preserve"> </w:t>
      </w:r>
      <w:r w:rsidRPr="00812E8B">
        <w:rPr>
          <w:lang w:val="en-US"/>
        </w:rPr>
        <w:t xml:space="preserve">However, </w:t>
      </w:r>
      <w:r w:rsidR="00F6510F" w:rsidRPr="00812E8B">
        <w:rPr>
          <w:lang w:val="en-US"/>
        </w:rPr>
        <w:t xml:space="preserve">supervision of </w:t>
      </w:r>
      <w:r w:rsidRPr="00812E8B">
        <w:rPr>
          <w:lang w:val="en-US"/>
        </w:rPr>
        <w:t>financial intermediaries is necessary due to moral hazard</w:t>
      </w:r>
      <w:r w:rsidR="00F6510F" w:rsidRPr="00812E8B">
        <w:rPr>
          <w:lang w:val="en-US"/>
        </w:rPr>
        <w:t xml:space="preserve"> among other reasons</w:t>
      </w:r>
      <w:r w:rsidRPr="00812E8B">
        <w:rPr>
          <w:lang w:val="en-US"/>
        </w:rPr>
        <w:t>.</w:t>
      </w:r>
      <w:r w:rsidR="00475E2E" w:rsidRPr="00812E8B">
        <w:rPr>
          <w:lang w:val="en-US"/>
        </w:rPr>
        <w:t xml:space="preserve"> </w:t>
      </w:r>
      <w:r w:rsidR="0080256E" w:rsidRPr="00812E8B">
        <w:rPr>
          <w:lang w:val="en-US"/>
        </w:rPr>
        <w:t>In</w:t>
      </w:r>
      <w:r w:rsidR="0073321E" w:rsidRPr="00812E8B">
        <w:rPr>
          <w:lang w:val="en-US"/>
        </w:rPr>
        <w:t xml:space="preserve"> case </w:t>
      </w:r>
      <w:r w:rsidR="0080256E" w:rsidRPr="00812E8B">
        <w:rPr>
          <w:lang w:val="en-US"/>
        </w:rPr>
        <w:t>of bankruptcy, bank owners</w:t>
      </w:r>
      <w:r w:rsidR="0073321E" w:rsidRPr="00812E8B">
        <w:rPr>
          <w:lang w:val="en-US"/>
        </w:rPr>
        <w:t xml:space="preserve"> only </w:t>
      </w:r>
      <w:r w:rsidR="0080256E" w:rsidRPr="00812E8B">
        <w:rPr>
          <w:lang w:val="en-US"/>
        </w:rPr>
        <w:t>lose</w:t>
      </w:r>
      <w:r w:rsidR="0073321E" w:rsidRPr="00812E8B">
        <w:rPr>
          <w:lang w:val="en-US"/>
        </w:rPr>
        <w:t xml:space="preserve"> their equity invested</w:t>
      </w:r>
      <w:r w:rsidR="00F6510F" w:rsidRPr="00812E8B">
        <w:rPr>
          <w:lang w:val="en-US"/>
        </w:rPr>
        <w:t xml:space="preserve">, under the assumption that no government interventions take place, </w:t>
      </w:r>
      <w:r w:rsidR="0073321E" w:rsidRPr="00812E8B">
        <w:rPr>
          <w:lang w:val="en-US"/>
        </w:rPr>
        <w:t xml:space="preserve">due to </w:t>
      </w:r>
      <w:r w:rsidR="0080256E" w:rsidRPr="00812E8B">
        <w:rPr>
          <w:lang w:val="en-US"/>
        </w:rPr>
        <w:t>the limited</w:t>
      </w:r>
      <w:r w:rsidR="0073321E" w:rsidRPr="00812E8B">
        <w:rPr>
          <w:lang w:val="en-US"/>
        </w:rPr>
        <w:t xml:space="preserve"> liability,</w:t>
      </w:r>
      <w:r w:rsidR="00475E2E" w:rsidRPr="00812E8B">
        <w:rPr>
          <w:lang w:val="en-US"/>
        </w:rPr>
        <w:t xml:space="preserve"> while large </w:t>
      </w:r>
      <w:r w:rsidR="00382AC0" w:rsidRPr="00812E8B">
        <w:rPr>
          <w:lang w:val="en-US"/>
        </w:rPr>
        <w:t xml:space="preserve">part of </w:t>
      </w:r>
      <w:r w:rsidR="0073321E" w:rsidRPr="00812E8B">
        <w:rPr>
          <w:lang w:val="en-US"/>
        </w:rPr>
        <w:t xml:space="preserve">the bankruptcy costs </w:t>
      </w:r>
      <w:r w:rsidR="00382AC0" w:rsidRPr="00812E8B">
        <w:rPr>
          <w:lang w:val="en-US"/>
        </w:rPr>
        <w:t>is</w:t>
      </w:r>
      <w:r w:rsidR="00475E2E" w:rsidRPr="00812E8B">
        <w:rPr>
          <w:lang w:val="en-US"/>
        </w:rPr>
        <w:t xml:space="preserve"> born by depositors</w:t>
      </w:r>
      <w:r w:rsidR="00F6510F" w:rsidRPr="00812E8B">
        <w:rPr>
          <w:lang w:val="en-US"/>
        </w:rPr>
        <w:t xml:space="preserve"> or deposit insurance schemes</w:t>
      </w:r>
      <w:r w:rsidR="00475E2E" w:rsidRPr="00812E8B">
        <w:rPr>
          <w:lang w:val="en-US"/>
        </w:rPr>
        <w:t>. Monitoring and supervision are enhanced by new developments in international bank regulation. Traditionally</w:t>
      </w:r>
      <w:r w:rsidRPr="00812E8B">
        <w:rPr>
          <w:lang w:val="en-US"/>
        </w:rPr>
        <w:t xml:space="preserve">, regulation only incorporated credit risks but </w:t>
      </w:r>
      <w:r w:rsidR="00A31CFD" w:rsidRPr="00812E8B">
        <w:rPr>
          <w:lang w:val="en-US"/>
        </w:rPr>
        <w:t xml:space="preserve">have </w:t>
      </w:r>
      <w:r w:rsidRPr="00812E8B">
        <w:rPr>
          <w:lang w:val="en-US"/>
        </w:rPr>
        <w:t>increasingly focus</w:t>
      </w:r>
      <w:r w:rsidR="00A31CFD" w:rsidRPr="00812E8B">
        <w:rPr>
          <w:lang w:val="en-US"/>
        </w:rPr>
        <w:t>ed</w:t>
      </w:r>
      <w:r w:rsidRPr="00812E8B">
        <w:rPr>
          <w:lang w:val="en-US"/>
        </w:rPr>
        <w:t xml:space="preserve"> on market risks and systematic banking risks (funding and liquidity risks). As said supervisors are unable to control the complex risks of banks directly, thus their supervision focus on ratios and minimum capital requirements mostly obtained from the balance sheet. </w:t>
      </w:r>
      <w:r w:rsidR="000861D2" w:rsidRPr="00812E8B">
        <w:rPr>
          <w:lang w:val="en-US"/>
        </w:rPr>
        <w:t xml:space="preserve">Subsequently the chapter also described </w:t>
      </w:r>
      <w:r w:rsidR="00DF398A" w:rsidRPr="00812E8B">
        <w:rPr>
          <w:lang w:val="en-US"/>
        </w:rPr>
        <w:t>characteristics and</w:t>
      </w:r>
      <w:r w:rsidR="000861D2" w:rsidRPr="00812E8B">
        <w:rPr>
          <w:lang w:val="en-US"/>
        </w:rPr>
        <w:t xml:space="preserve"> devel</w:t>
      </w:r>
      <w:r w:rsidR="00DF398A" w:rsidRPr="00812E8B">
        <w:rPr>
          <w:lang w:val="en-US"/>
        </w:rPr>
        <w:t xml:space="preserve">opments </w:t>
      </w:r>
      <w:r w:rsidR="002C4EE4" w:rsidRPr="00812E8B">
        <w:rPr>
          <w:lang w:val="en-US"/>
        </w:rPr>
        <w:t>of</w:t>
      </w:r>
      <w:r w:rsidR="00DF398A" w:rsidRPr="00812E8B">
        <w:rPr>
          <w:lang w:val="en-US"/>
        </w:rPr>
        <w:t xml:space="preserve"> the European banking</w:t>
      </w:r>
      <w:r w:rsidR="000861D2" w:rsidRPr="00812E8B">
        <w:rPr>
          <w:lang w:val="en-US"/>
        </w:rPr>
        <w:t xml:space="preserve">. The European banking sector is more integrated than ever, resulting from international convergence in </w:t>
      </w:r>
      <w:r w:rsidR="00A31CFD" w:rsidRPr="00812E8B">
        <w:rPr>
          <w:lang w:val="en-US"/>
        </w:rPr>
        <w:t>regulation</w:t>
      </w:r>
      <w:r w:rsidR="000861D2" w:rsidRPr="00812E8B">
        <w:rPr>
          <w:lang w:val="en-US"/>
        </w:rPr>
        <w:t xml:space="preserve"> and accounting standards. Moreover three trends are </w:t>
      </w:r>
      <w:r w:rsidR="00A31CFD" w:rsidRPr="00812E8B">
        <w:rPr>
          <w:lang w:val="en-US"/>
        </w:rPr>
        <w:t xml:space="preserve">mentioned that resulted in a harmonization of </w:t>
      </w:r>
      <w:r w:rsidR="000861D2" w:rsidRPr="00812E8B">
        <w:rPr>
          <w:lang w:val="en-US"/>
        </w:rPr>
        <w:t xml:space="preserve">world’s banking sector; globalization, deregulation and technological innovation. </w:t>
      </w:r>
      <w:r w:rsidRPr="00812E8B">
        <w:rPr>
          <w:lang w:val="en-US"/>
        </w:rPr>
        <w:t>Finally, a more detailed</w:t>
      </w:r>
      <w:r w:rsidR="005E3BAF" w:rsidRPr="00812E8B">
        <w:rPr>
          <w:lang w:val="en-US"/>
        </w:rPr>
        <w:t xml:space="preserve"> theoretical</w:t>
      </w:r>
      <w:r w:rsidRPr="00812E8B">
        <w:rPr>
          <w:lang w:val="en-US"/>
        </w:rPr>
        <w:t xml:space="preserve"> description is given on the factors that influence banks’ profitability. </w:t>
      </w:r>
    </w:p>
    <w:p w:rsidR="005E3BAF" w:rsidRPr="00812E8B" w:rsidRDefault="005E3BAF" w:rsidP="00CE1B03">
      <w:pPr>
        <w:pStyle w:val="NoSpacing"/>
        <w:spacing w:line="276" w:lineRule="auto"/>
        <w:jc w:val="both"/>
        <w:rPr>
          <w:lang w:val="en-US"/>
        </w:rPr>
      </w:pPr>
    </w:p>
    <w:p w:rsidR="00F564A8" w:rsidRPr="00812E8B" w:rsidRDefault="00AF6FAA" w:rsidP="00CE1B03">
      <w:pPr>
        <w:pStyle w:val="NoSpacing"/>
        <w:spacing w:line="276" w:lineRule="auto"/>
        <w:jc w:val="both"/>
        <w:rPr>
          <w:lang w:val="en-US"/>
        </w:rPr>
      </w:pPr>
      <w:r w:rsidRPr="00812E8B">
        <w:rPr>
          <w:lang w:val="en-US"/>
        </w:rPr>
        <w:t>The</w:t>
      </w:r>
      <w:r w:rsidR="0085505A" w:rsidRPr="00812E8B">
        <w:rPr>
          <w:lang w:val="en-US"/>
        </w:rPr>
        <w:t xml:space="preserve"> next chapter will review empirical</w:t>
      </w:r>
      <w:r w:rsidRPr="00812E8B">
        <w:rPr>
          <w:lang w:val="en-US"/>
        </w:rPr>
        <w:t xml:space="preserve"> research</w:t>
      </w:r>
      <w:r w:rsidR="005E3BAF" w:rsidRPr="00812E8B">
        <w:rPr>
          <w:lang w:val="en-US"/>
        </w:rPr>
        <w:t xml:space="preserve"> towards banks’ profitability</w:t>
      </w:r>
      <w:r w:rsidR="0085505A" w:rsidRPr="00812E8B">
        <w:rPr>
          <w:lang w:val="en-US"/>
        </w:rPr>
        <w:t>,</w:t>
      </w:r>
      <w:r w:rsidR="005E3BAF" w:rsidRPr="00812E8B">
        <w:rPr>
          <w:lang w:val="en-US"/>
        </w:rPr>
        <w:t xml:space="preserve"> focusing on macroeconomic, industry-specific and bank-specific determinants.  In addition, this thesis examines some important factors that received attention in theoretical research; regulation, ownership structure and the balance sheet structure.</w:t>
      </w:r>
      <w:r w:rsidR="000861D2" w:rsidRPr="00812E8B">
        <w:rPr>
          <w:lang w:val="en-US"/>
        </w:rPr>
        <w:t xml:space="preserve"> S</w:t>
      </w:r>
      <w:r w:rsidR="0085505A" w:rsidRPr="00812E8B">
        <w:rPr>
          <w:lang w:val="en-US"/>
        </w:rPr>
        <w:t>ho</w:t>
      </w:r>
      <w:r w:rsidR="00DE404C" w:rsidRPr="00812E8B">
        <w:rPr>
          <w:lang w:val="en-US"/>
        </w:rPr>
        <w:t xml:space="preserve">rtcomings </w:t>
      </w:r>
      <w:r w:rsidR="005E3BAF" w:rsidRPr="00812E8B">
        <w:rPr>
          <w:lang w:val="en-US"/>
        </w:rPr>
        <w:t>and possible contradictions in findings of existing</w:t>
      </w:r>
      <w:r w:rsidR="00DE404C" w:rsidRPr="00812E8B">
        <w:rPr>
          <w:lang w:val="en-US"/>
        </w:rPr>
        <w:t xml:space="preserve"> studies</w:t>
      </w:r>
      <w:r w:rsidR="000861D2" w:rsidRPr="00812E8B">
        <w:rPr>
          <w:lang w:val="en-US"/>
        </w:rPr>
        <w:t xml:space="preserve"> will also be discussed in subsequent </w:t>
      </w:r>
      <w:r w:rsidR="00DF398A" w:rsidRPr="00812E8B">
        <w:rPr>
          <w:lang w:val="en-US"/>
        </w:rPr>
        <w:t>chapter</w:t>
      </w:r>
      <w:r w:rsidR="00DE404C" w:rsidRPr="00812E8B">
        <w:rPr>
          <w:lang w:val="en-US"/>
        </w:rPr>
        <w:t>.</w:t>
      </w:r>
    </w:p>
    <w:p w:rsidR="00A97CD5" w:rsidRPr="00812E8B" w:rsidRDefault="00A97CD5" w:rsidP="00A97CD5">
      <w:pPr>
        <w:pStyle w:val="NoSpacing"/>
        <w:jc w:val="both"/>
        <w:rPr>
          <w:lang w:val="en-US"/>
        </w:rPr>
        <w:sectPr w:rsidR="00A97CD5" w:rsidRPr="00812E8B" w:rsidSect="00D911B8">
          <w:headerReference w:type="default" r:id="rId18"/>
          <w:headerReference w:type="first" r:id="rId19"/>
          <w:endnotePr>
            <w:numFmt w:val="decimal"/>
          </w:endnotePr>
          <w:pgSz w:w="11906" w:h="16838"/>
          <w:pgMar w:top="1417" w:right="1417" w:bottom="1417" w:left="1417" w:header="708" w:footer="708" w:gutter="0"/>
          <w:cols w:space="708"/>
          <w:titlePg/>
          <w:docGrid w:linePitch="360"/>
        </w:sectPr>
      </w:pPr>
    </w:p>
    <w:p w:rsidR="00AB1B03" w:rsidRPr="00812E8B" w:rsidRDefault="008D2467" w:rsidP="00C468F1">
      <w:pPr>
        <w:pStyle w:val="Heading1"/>
        <w:jc w:val="left"/>
        <w:rPr>
          <w:rStyle w:val="Strong"/>
          <w:rFonts w:asciiTheme="majorHAnsi" w:hAnsiTheme="majorHAnsi"/>
          <w:color w:val="auto"/>
          <w:lang w:val="en-US"/>
        </w:rPr>
      </w:pPr>
      <w:bookmarkStart w:id="18" w:name="_Toc306359638"/>
      <w:r w:rsidRPr="00812E8B">
        <w:rPr>
          <w:color w:val="auto"/>
          <w:lang w:val="en-US"/>
        </w:rPr>
        <w:lastRenderedPageBreak/>
        <w:t xml:space="preserve">3. </w:t>
      </w:r>
      <w:r w:rsidR="0053069C" w:rsidRPr="00812E8B">
        <w:rPr>
          <w:color w:val="auto"/>
          <w:lang w:val="en-US"/>
        </w:rPr>
        <w:t>L</w:t>
      </w:r>
      <w:r w:rsidR="004B7BFF" w:rsidRPr="00812E8B">
        <w:rPr>
          <w:color w:val="auto"/>
          <w:sz w:val="30"/>
          <w:szCs w:val="30"/>
          <w:lang w:val="en-US"/>
        </w:rPr>
        <w:t>ITERATURE REVIEW</w:t>
      </w:r>
      <w:bookmarkEnd w:id="18"/>
    </w:p>
    <w:p w:rsidR="008169F2" w:rsidRPr="00812E8B" w:rsidRDefault="008169F2" w:rsidP="00CE1B03">
      <w:pPr>
        <w:pStyle w:val="NoSpacing"/>
        <w:spacing w:line="276" w:lineRule="auto"/>
        <w:rPr>
          <w:lang w:val="en-US"/>
        </w:rPr>
      </w:pPr>
    </w:p>
    <w:p w:rsidR="00935B4B" w:rsidRPr="00812E8B" w:rsidRDefault="00400C13" w:rsidP="00CE1B03">
      <w:pPr>
        <w:pStyle w:val="NoSpacing"/>
        <w:spacing w:line="276" w:lineRule="auto"/>
        <w:jc w:val="both"/>
        <w:rPr>
          <w:lang w:val="en-US"/>
        </w:rPr>
      </w:pPr>
      <w:r w:rsidRPr="00812E8B">
        <w:rPr>
          <w:lang w:val="en-US"/>
        </w:rPr>
        <w:t xml:space="preserve">This chapter reviews existing </w:t>
      </w:r>
      <w:r w:rsidR="007A4B15" w:rsidRPr="00812E8B">
        <w:rPr>
          <w:lang w:val="en-US"/>
        </w:rPr>
        <w:t xml:space="preserve">empirical research </w:t>
      </w:r>
      <w:r w:rsidRPr="00812E8B">
        <w:rPr>
          <w:lang w:val="en-US"/>
        </w:rPr>
        <w:t xml:space="preserve">regarding the </w:t>
      </w:r>
      <w:r w:rsidR="0052655F" w:rsidRPr="00812E8B">
        <w:rPr>
          <w:lang w:val="en-US"/>
        </w:rPr>
        <w:t>profitability</w:t>
      </w:r>
      <w:r w:rsidRPr="00812E8B">
        <w:rPr>
          <w:lang w:val="en-US"/>
        </w:rPr>
        <w:t xml:space="preserve"> of a bank. </w:t>
      </w:r>
      <w:r w:rsidR="007A4B15" w:rsidRPr="00812E8B">
        <w:rPr>
          <w:lang w:val="en-US"/>
        </w:rPr>
        <w:t>The aim of this literature review is to give</w:t>
      </w:r>
      <w:r w:rsidRPr="00812E8B">
        <w:rPr>
          <w:lang w:val="en-US"/>
        </w:rPr>
        <w:t xml:space="preserve"> a comprehensive overview of </w:t>
      </w:r>
      <w:r w:rsidR="00E2540B" w:rsidRPr="00812E8B">
        <w:rPr>
          <w:lang w:val="en-US"/>
        </w:rPr>
        <w:t>important findings</w:t>
      </w:r>
      <w:r w:rsidR="00641BCE" w:rsidRPr="00812E8B">
        <w:rPr>
          <w:lang w:val="en-US"/>
        </w:rPr>
        <w:t xml:space="preserve"> of other </w:t>
      </w:r>
      <w:r w:rsidR="00935B4B" w:rsidRPr="00812E8B">
        <w:rPr>
          <w:lang w:val="en-US"/>
        </w:rPr>
        <w:t>studies</w:t>
      </w:r>
      <w:r w:rsidR="00641BCE" w:rsidRPr="00812E8B">
        <w:rPr>
          <w:lang w:val="en-US"/>
        </w:rPr>
        <w:t xml:space="preserve"> and </w:t>
      </w:r>
      <w:r w:rsidR="00DF398A" w:rsidRPr="00812E8B">
        <w:rPr>
          <w:lang w:val="en-US"/>
        </w:rPr>
        <w:t xml:space="preserve">to </w:t>
      </w:r>
      <w:r w:rsidR="00641BCE" w:rsidRPr="00812E8B">
        <w:rPr>
          <w:lang w:val="en-US"/>
        </w:rPr>
        <w:t>provide</w:t>
      </w:r>
      <w:r w:rsidR="00DF398A" w:rsidRPr="00812E8B">
        <w:rPr>
          <w:lang w:val="en-US"/>
        </w:rPr>
        <w:t xml:space="preserve"> understanding of </w:t>
      </w:r>
      <w:r w:rsidRPr="00812E8B">
        <w:rPr>
          <w:lang w:val="en-US"/>
        </w:rPr>
        <w:t xml:space="preserve">potential contradictions and shortcomings </w:t>
      </w:r>
      <w:r w:rsidR="00641BCE" w:rsidRPr="00812E8B">
        <w:rPr>
          <w:lang w:val="en-US"/>
        </w:rPr>
        <w:t>of</w:t>
      </w:r>
      <w:r w:rsidRPr="00812E8B">
        <w:rPr>
          <w:lang w:val="en-US"/>
        </w:rPr>
        <w:t xml:space="preserve"> current literature</w:t>
      </w:r>
      <w:r w:rsidR="0052655F" w:rsidRPr="00812E8B">
        <w:rPr>
          <w:lang w:val="en-US"/>
        </w:rPr>
        <w:t>. Furthermore,</w:t>
      </w:r>
      <w:r w:rsidR="00DA04A4" w:rsidRPr="00812E8B">
        <w:rPr>
          <w:lang w:val="en-US"/>
        </w:rPr>
        <w:t xml:space="preserve"> </w:t>
      </w:r>
      <w:r w:rsidR="0052655F" w:rsidRPr="00812E8B">
        <w:rPr>
          <w:lang w:val="en-US"/>
        </w:rPr>
        <w:t>relevant studies</w:t>
      </w:r>
      <w:r w:rsidR="00641BCE" w:rsidRPr="00812E8B">
        <w:rPr>
          <w:lang w:val="en-US"/>
        </w:rPr>
        <w:t xml:space="preserve"> and models</w:t>
      </w:r>
      <w:r w:rsidR="00DA04A4" w:rsidRPr="00812E8B">
        <w:rPr>
          <w:lang w:val="en-US"/>
        </w:rPr>
        <w:t xml:space="preserve"> are discussed</w:t>
      </w:r>
      <w:r w:rsidR="0052655F" w:rsidRPr="00812E8B">
        <w:rPr>
          <w:lang w:val="en-US"/>
        </w:rPr>
        <w:t xml:space="preserve"> on which this thesis can build.</w:t>
      </w:r>
      <w:r w:rsidR="00935B4B" w:rsidRPr="00812E8B">
        <w:rPr>
          <w:lang w:val="en-US"/>
        </w:rPr>
        <w:t xml:space="preserve"> </w:t>
      </w:r>
      <w:r w:rsidR="0052655F" w:rsidRPr="00812E8B">
        <w:rPr>
          <w:lang w:val="en-US"/>
        </w:rPr>
        <w:t xml:space="preserve"> </w:t>
      </w:r>
      <w:r w:rsidR="00935B4B" w:rsidRPr="00812E8B">
        <w:rPr>
          <w:lang w:val="en-US"/>
        </w:rPr>
        <w:t xml:space="preserve">The structure of this chapter is as followed, first studies on </w:t>
      </w:r>
      <w:r w:rsidR="00DF398A" w:rsidRPr="00812E8B">
        <w:rPr>
          <w:lang w:val="en-US"/>
        </w:rPr>
        <w:t xml:space="preserve">banks’ profitability </w:t>
      </w:r>
      <w:r w:rsidR="007A4B15" w:rsidRPr="00812E8B">
        <w:rPr>
          <w:lang w:val="en-US"/>
        </w:rPr>
        <w:t>that examine</w:t>
      </w:r>
      <w:r w:rsidR="00935B4B" w:rsidRPr="00812E8B">
        <w:rPr>
          <w:lang w:val="en-US"/>
        </w:rPr>
        <w:t xml:space="preserve"> regulation, ownership structure and the balance sheet structure</w:t>
      </w:r>
      <w:r w:rsidR="00DF398A" w:rsidRPr="00812E8B">
        <w:rPr>
          <w:lang w:val="en-US"/>
        </w:rPr>
        <w:t>, are analyzed</w:t>
      </w:r>
      <w:r w:rsidR="00935B4B" w:rsidRPr="00812E8B">
        <w:rPr>
          <w:lang w:val="en-US"/>
        </w:rPr>
        <w:t>.</w:t>
      </w:r>
      <w:r w:rsidR="00DF398A" w:rsidRPr="00812E8B">
        <w:rPr>
          <w:lang w:val="en-US"/>
        </w:rPr>
        <w:t xml:space="preserve"> Second</w:t>
      </w:r>
      <w:r w:rsidR="007A4B15" w:rsidRPr="00812E8B">
        <w:rPr>
          <w:lang w:val="en-US"/>
        </w:rPr>
        <w:t xml:space="preserve">, </w:t>
      </w:r>
      <w:r w:rsidR="0073321E" w:rsidRPr="00812E8B">
        <w:rPr>
          <w:lang w:val="en-US"/>
        </w:rPr>
        <w:t>this chapter</w:t>
      </w:r>
      <w:r w:rsidR="007A4B15" w:rsidRPr="00812E8B">
        <w:rPr>
          <w:lang w:val="en-US"/>
        </w:rPr>
        <w:t xml:space="preserve"> </w:t>
      </w:r>
      <w:r w:rsidR="00935B4B" w:rsidRPr="00812E8B">
        <w:rPr>
          <w:lang w:val="en-US"/>
        </w:rPr>
        <w:t>review</w:t>
      </w:r>
      <w:r w:rsidR="0073321E" w:rsidRPr="00812E8B">
        <w:rPr>
          <w:lang w:val="en-US"/>
        </w:rPr>
        <w:t>s</w:t>
      </w:r>
      <w:r w:rsidR="00935B4B" w:rsidRPr="00812E8B">
        <w:rPr>
          <w:lang w:val="en-US"/>
        </w:rPr>
        <w:t xml:space="preserve"> </w:t>
      </w:r>
      <w:r w:rsidR="007A4B15" w:rsidRPr="00812E8B">
        <w:rPr>
          <w:lang w:val="en-US"/>
        </w:rPr>
        <w:t>empirical research that use</w:t>
      </w:r>
      <w:r w:rsidR="00DF398A" w:rsidRPr="00812E8B">
        <w:rPr>
          <w:lang w:val="en-US"/>
        </w:rPr>
        <w:t>d</w:t>
      </w:r>
      <w:r w:rsidR="007A4B15" w:rsidRPr="00812E8B">
        <w:rPr>
          <w:lang w:val="en-US"/>
        </w:rPr>
        <w:t xml:space="preserve"> a</w:t>
      </w:r>
      <w:r w:rsidR="00935B4B" w:rsidRPr="00812E8B">
        <w:rPr>
          <w:lang w:val="en-US"/>
        </w:rPr>
        <w:t xml:space="preserve"> comprehensive model of bank determinants utilizing </w:t>
      </w:r>
      <w:r w:rsidR="00EA7658" w:rsidRPr="00812E8B">
        <w:rPr>
          <w:lang w:val="en-US"/>
        </w:rPr>
        <w:t>bank-specific</w:t>
      </w:r>
      <w:r w:rsidR="00935B4B" w:rsidRPr="00812E8B">
        <w:rPr>
          <w:lang w:val="en-US"/>
        </w:rPr>
        <w:t>, industry-specific and</w:t>
      </w:r>
      <w:r w:rsidR="00EA7658" w:rsidRPr="00812E8B">
        <w:rPr>
          <w:lang w:val="en-US"/>
        </w:rPr>
        <w:t xml:space="preserve"> macroeconomic</w:t>
      </w:r>
      <w:r w:rsidR="00935B4B" w:rsidRPr="00812E8B">
        <w:rPr>
          <w:lang w:val="en-US"/>
        </w:rPr>
        <w:t xml:space="preserve"> factors.</w:t>
      </w:r>
    </w:p>
    <w:p w:rsidR="00CB710D" w:rsidRPr="00812E8B" w:rsidRDefault="00F564A8" w:rsidP="00CE1B03">
      <w:pPr>
        <w:pStyle w:val="NoSpacing"/>
        <w:spacing w:line="276" w:lineRule="auto"/>
        <w:jc w:val="both"/>
        <w:rPr>
          <w:lang w:val="en-US"/>
        </w:rPr>
      </w:pPr>
      <w:r w:rsidRPr="00812E8B">
        <w:rPr>
          <w:lang w:val="en-US"/>
        </w:rPr>
        <w:t xml:space="preserve"> </w:t>
      </w:r>
    </w:p>
    <w:p w:rsidR="007A0A4A" w:rsidRPr="00812E8B" w:rsidRDefault="007A0A4A" w:rsidP="00CE1B03">
      <w:pPr>
        <w:pStyle w:val="Heading2"/>
        <w:rPr>
          <w:color w:val="auto"/>
          <w:lang w:val="en-US"/>
        </w:rPr>
      </w:pPr>
      <w:bookmarkStart w:id="19" w:name="_Toc306359639"/>
      <w:r w:rsidRPr="00812E8B">
        <w:rPr>
          <w:color w:val="auto"/>
          <w:lang w:val="en-US"/>
        </w:rPr>
        <w:t>3.</w:t>
      </w:r>
      <w:r w:rsidR="00E21D5B" w:rsidRPr="00812E8B">
        <w:rPr>
          <w:color w:val="auto"/>
          <w:lang w:val="en-US"/>
        </w:rPr>
        <w:t>1</w:t>
      </w:r>
      <w:r w:rsidRPr="00812E8B">
        <w:rPr>
          <w:color w:val="auto"/>
          <w:lang w:val="en-US"/>
        </w:rPr>
        <w:t xml:space="preserve"> </w:t>
      </w:r>
      <w:r w:rsidR="00641BCE" w:rsidRPr="00812E8B">
        <w:rPr>
          <w:color w:val="auto"/>
          <w:lang w:val="en-US"/>
        </w:rPr>
        <w:t>L</w:t>
      </w:r>
      <w:r w:rsidR="00FB0A28" w:rsidRPr="00812E8B">
        <w:rPr>
          <w:color w:val="auto"/>
          <w:sz w:val="20"/>
          <w:szCs w:val="20"/>
          <w:lang w:val="en-US"/>
        </w:rPr>
        <w:t>ITERATURE ON REGULATION AND PROFITABILITY</w:t>
      </w:r>
      <w:bookmarkEnd w:id="19"/>
    </w:p>
    <w:p w:rsidR="004635B7" w:rsidRPr="00812E8B" w:rsidRDefault="00674EDD" w:rsidP="00CE1B03">
      <w:pPr>
        <w:pStyle w:val="NoSpacing"/>
        <w:spacing w:line="276" w:lineRule="auto"/>
        <w:jc w:val="both"/>
        <w:rPr>
          <w:lang w:val="en-US"/>
        </w:rPr>
      </w:pPr>
      <w:r w:rsidRPr="00812E8B">
        <w:rPr>
          <w:lang w:val="en-US"/>
        </w:rPr>
        <w:t>The p</w:t>
      </w:r>
      <w:r w:rsidR="00641BCE" w:rsidRPr="00812E8B">
        <w:rPr>
          <w:lang w:val="en-US"/>
        </w:rPr>
        <w:t xml:space="preserve">revious </w:t>
      </w:r>
      <w:r w:rsidRPr="00812E8B">
        <w:rPr>
          <w:lang w:val="en-US"/>
        </w:rPr>
        <w:t xml:space="preserve">chapter </w:t>
      </w:r>
      <w:r w:rsidR="00B17079" w:rsidRPr="00812E8B">
        <w:rPr>
          <w:lang w:val="en-US"/>
        </w:rPr>
        <w:t>indicated</w:t>
      </w:r>
      <w:r w:rsidR="00641BCE" w:rsidRPr="00812E8B">
        <w:rPr>
          <w:lang w:val="en-US"/>
        </w:rPr>
        <w:t xml:space="preserve"> that regulation has </w:t>
      </w:r>
      <w:r w:rsidR="00A12C00" w:rsidRPr="00812E8B">
        <w:rPr>
          <w:lang w:val="en-US"/>
        </w:rPr>
        <w:t xml:space="preserve">a </w:t>
      </w:r>
      <w:r w:rsidR="00641BCE" w:rsidRPr="00812E8B">
        <w:rPr>
          <w:lang w:val="en-US"/>
        </w:rPr>
        <w:t xml:space="preserve">profound impact on banks’ balance sheet structures by setting </w:t>
      </w:r>
      <w:r w:rsidR="00A31CFD" w:rsidRPr="00812E8B">
        <w:rPr>
          <w:lang w:val="en-US"/>
        </w:rPr>
        <w:t>capital</w:t>
      </w:r>
      <w:r w:rsidR="00A12C00" w:rsidRPr="00812E8B">
        <w:rPr>
          <w:lang w:val="en-US"/>
        </w:rPr>
        <w:t>, liquidity and funding</w:t>
      </w:r>
      <w:r w:rsidR="00DF398A" w:rsidRPr="00812E8B">
        <w:rPr>
          <w:lang w:val="en-US"/>
        </w:rPr>
        <w:t xml:space="preserve"> requirements</w:t>
      </w:r>
      <w:r w:rsidR="00A12C00" w:rsidRPr="00812E8B">
        <w:rPr>
          <w:lang w:val="en-US"/>
        </w:rPr>
        <w:t>. Consequently,</w:t>
      </w:r>
      <w:r w:rsidR="00641BCE" w:rsidRPr="00812E8B">
        <w:rPr>
          <w:lang w:val="en-US"/>
        </w:rPr>
        <w:t xml:space="preserve"> regulation constrain</w:t>
      </w:r>
      <w:r w:rsidR="00DF398A" w:rsidRPr="00812E8B">
        <w:rPr>
          <w:lang w:val="en-US"/>
        </w:rPr>
        <w:t>s</w:t>
      </w:r>
      <w:r w:rsidR="00641BCE" w:rsidRPr="00812E8B">
        <w:rPr>
          <w:lang w:val="en-US"/>
        </w:rPr>
        <w:t xml:space="preserve"> daily business decisions </w:t>
      </w:r>
      <w:r w:rsidRPr="00812E8B">
        <w:rPr>
          <w:lang w:val="en-US"/>
        </w:rPr>
        <w:t>when</w:t>
      </w:r>
      <w:r w:rsidR="00C34919" w:rsidRPr="00812E8B">
        <w:rPr>
          <w:lang w:val="en-US"/>
        </w:rPr>
        <w:t xml:space="preserve"> banks are close to these</w:t>
      </w:r>
      <w:r w:rsidRPr="00812E8B">
        <w:rPr>
          <w:lang w:val="en-US"/>
        </w:rPr>
        <w:t xml:space="preserve"> </w:t>
      </w:r>
      <w:r w:rsidR="00641BCE" w:rsidRPr="00812E8B">
        <w:rPr>
          <w:lang w:val="en-US"/>
        </w:rPr>
        <w:t>m</w:t>
      </w:r>
      <w:r w:rsidRPr="00812E8B">
        <w:rPr>
          <w:lang w:val="en-US"/>
        </w:rPr>
        <w:t>inimum requirements.</w:t>
      </w:r>
      <w:r w:rsidR="00A12C00" w:rsidRPr="00812E8B">
        <w:rPr>
          <w:lang w:val="en-US"/>
        </w:rPr>
        <w:t xml:space="preserve"> </w:t>
      </w:r>
      <w:r w:rsidR="00DF398A" w:rsidRPr="00812E8B">
        <w:rPr>
          <w:lang w:val="en-US"/>
        </w:rPr>
        <w:t xml:space="preserve">Research </w:t>
      </w:r>
      <w:r w:rsidR="00A12C00" w:rsidRPr="00812E8B">
        <w:rPr>
          <w:lang w:val="en-US"/>
        </w:rPr>
        <w:t xml:space="preserve">generally focuses on the impact of regulation on risk taking and to a less extent on </w:t>
      </w:r>
      <w:r w:rsidR="00DF398A" w:rsidRPr="00812E8B">
        <w:rPr>
          <w:lang w:val="en-US"/>
        </w:rPr>
        <w:t>impact on profitability</w:t>
      </w:r>
      <w:r w:rsidR="00A12C00" w:rsidRPr="00812E8B">
        <w:rPr>
          <w:lang w:val="en-US"/>
        </w:rPr>
        <w:t>. Nevertheless,</w:t>
      </w:r>
      <w:r w:rsidR="007A0A4A" w:rsidRPr="00812E8B">
        <w:rPr>
          <w:lang w:val="en-US"/>
        </w:rPr>
        <w:t xml:space="preserve"> </w:t>
      </w:r>
      <w:r w:rsidR="00881610" w:rsidRPr="00812E8B">
        <w:rPr>
          <w:color w:val="365F91" w:themeColor="accent1" w:themeShade="BF"/>
          <w:lang w:val="en-US"/>
        </w:rPr>
        <w:t>Barth, Nolle and Rice (1997)</w:t>
      </w:r>
      <w:r w:rsidR="007A0A4A" w:rsidRPr="00812E8B">
        <w:rPr>
          <w:lang w:val="en-US"/>
        </w:rPr>
        <w:t xml:space="preserve"> examine </w:t>
      </w:r>
      <w:r w:rsidR="00A12C00" w:rsidRPr="00812E8B">
        <w:rPr>
          <w:lang w:val="en-US"/>
        </w:rPr>
        <w:t xml:space="preserve">regulation, </w:t>
      </w:r>
      <w:r w:rsidR="007A0A4A" w:rsidRPr="00812E8B">
        <w:rPr>
          <w:lang w:val="en-US"/>
        </w:rPr>
        <w:t xml:space="preserve">the structure and performance of </w:t>
      </w:r>
      <w:r w:rsidR="004635B7" w:rsidRPr="00812E8B">
        <w:rPr>
          <w:lang w:val="en-US"/>
        </w:rPr>
        <w:t xml:space="preserve">the </w:t>
      </w:r>
      <w:r w:rsidR="007A0A4A" w:rsidRPr="00812E8B">
        <w:rPr>
          <w:lang w:val="en-US"/>
        </w:rPr>
        <w:t xml:space="preserve">banking </w:t>
      </w:r>
      <w:r w:rsidR="004635B7" w:rsidRPr="00812E8B">
        <w:rPr>
          <w:lang w:val="en-US"/>
        </w:rPr>
        <w:t xml:space="preserve">sector </w:t>
      </w:r>
      <w:r w:rsidR="007A0A4A" w:rsidRPr="00812E8B">
        <w:rPr>
          <w:lang w:val="en-US"/>
        </w:rPr>
        <w:t>in the EU and G-10 countries</w:t>
      </w:r>
      <w:r w:rsidRPr="00812E8B">
        <w:rPr>
          <w:lang w:val="en-US"/>
        </w:rPr>
        <w:t xml:space="preserve"> using data </w:t>
      </w:r>
      <w:r w:rsidR="00C34919" w:rsidRPr="00812E8B">
        <w:rPr>
          <w:lang w:val="en-US"/>
        </w:rPr>
        <w:t>from</w:t>
      </w:r>
      <w:r w:rsidRPr="00812E8B">
        <w:rPr>
          <w:lang w:val="en-US"/>
        </w:rPr>
        <w:t xml:space="preserve"> 1993</w:t>
      </w:r>
      <w:r w:rsidR="007A0A4A" w:rsidRPr="00812E8B">
        <w:rPr>
          <w:lang w:val="en-US"/>
        </w:rPr>
        <w:t>.</w:t>
      </w:r>
      <w:r w:rsidR="00A12C00" w:rsidRPr="00812E8B">
        <w:rPr>
          <w:lang w:val="en-US"/>
        </w:rPr>
        <w:t xml:space="preserve"> </w:t>
      </w:r>
      <w:r w:rsidRPr="00812E8B">
        <w:rPr>
          <w:lang w:val="en-US"/>
        </w:rPr>
        <w:t>Carrying out</w:t>
      </w:r>
      <w:r w:rsidR="007A0A4A" w:rsidRPr="00812E8B">
        <w:rPr>
          <w:lang w:val="en-US"/>
        </w:rPr>
        <w:t xml:space="preserve"> a cross-section analysis they </w:t>
      </w:r>
      <w:r w:rsidR="00A31CFD" w:rsidRPr="00812E8B">
        <w:rPr>
          <w:lang w:val="en-US"/>
        </w:rPr>
        <w:t>find</w:t>
      </w:r>
      <w:r w:rsidR="007A0A4A" w:rsidRPr="00812E8B">
        <w:rPr>
          <w:lang w:val="en-US"/>
        </w:rPr>
        <w:t xml:space="preserve"> that there is significant variation in bank </w:t>
      </w:r>
      <w:r w:rsidR="00A12C00" w:rsidRPr="00812E8B">
        <w:rPr>
          <w:lang w:val="en-US"/>
        </w:rPr>
        <w:t xml:space="preserve">regulation, </w:t>
      </w:r>
      <w:r w:rsidR="007A0A4A" w:rsidRPr="00812E8B">
        <w:rPr>
          <w:lang w:val="en-US"/>
        </w:rPr>
        <w:t>structure and performa</w:t>
      </w:r>
      <w:r w:rsidR="007A141E" w:rsidRPr="00812E8B">
        <w:rPr>
          <w:lang w:val="en-US"/>
        </w:rPr>
        <w:t>nce.</w:t>
      </w:r>
      <w:r w:rsidR="00A12C00" w:rsidRPr="00812E8B">
        <w:rPr>
          <w:lang w:val="en-US"/>
        </w:rPr>
        <w:t xml:space="preserve"> </w:t>
      </w:r>
    </w:p>
    <w:p w:rsidR="00DF398A" w:rsidRPr="00812E8B" w:rsidRDefault="00DF398A" w:rsidP="00CE1B03">
      <w:pPr>
        <w:pStyle w:val="NoSpacing"/>
        <w:spacing w:line="276" w:lineRule="auto"/>
        <w:jc w:val="both"/>
        <w:rPr>
          <w:lang w:val="en-US"/>
        </w:rPr>
      </w:pPr>
    </w:p>
    <w:p w:rsidR="00A12C00" w:rsidRPr="00812E8B" w:rsidRDefault="00A12C00" w:rsidP="00CE1B03">
      <w:pPr>
        <w:pStyle w:val="NoSpacing"/>
        <w:spacing w:line="276" w:lineRule="auto"/>
        <w:jc w:val="both"/>
        <w:rPr>
          <w:lang w:val="en-US"/>
        </w:rPr>
      </w:pPr>
      <w:r w:rsidRPr="00812E8B">
        <w:rPr>
          <w:lang w:val="en-US"/>
        </w:rPr>
        <w:t xml:space="preserve">Their research regarding regulation, banking structure and performance </w:t>
      </w:r>
      <w:r w:rsidR="00A31CFD" w:rsidRPr="00812E8B">
        <w:rPr>
          <w:lang w:val="en-US"/>
        </w:rPr>
        <w:t>is</w:t>
      </w:r>
      <w:r w:rsidRPr="00812E8B">
        <w:rPr>
          <w:lang w:val="en-US"/>
        </w:rPr>
        <w:t xml:space="preserve"> based on a </w:t>
      </w:r>
      <w:r w:rsidR="0073321E" w:rsidRPr="00812E8B">
        <w:rPr>
          <w:lang w:val="en-US"/>
        </w:rPr>
        <w:t>theoretical</w:t>
      </w:r>
      <w:r w:rsidR="00DF398A" w:rsidRPr="00812E8B">
        <w:rPr>
          <w:lang w:val="en-US"/>
        </w:rPr>
        <w:t xml:space="preserve"> analysis </w:t>
      </w:r>
      <w:r w:rsidR="002C4EE4" w:rsidRPr="00812E8B">
        <w:rPr>
          <w:lang w:val="en-US"/>
        </w:rPr>
        <w:t>of</w:t>
      </w:r>
      <w:r w:rsidR="00935524" w:rsidRPr="00812E8B">
        <w:rPr>
          <w:lang w:val="en-US"/>
        </w:rPr>
        <w:t xml:space="preserve"> differences in the </w:t>
      </w:r>
      <w:r w:rsidR="00DF398A" w:rsidRPr="00812E8B">
        <w:rPr>
          <w:lang w:val="en-US"/>
        </w:rPr>
        <w:t xml:space="preserve">European </w:t>
      </w:r>
      <w:r w:rsidR="00935524" w:rsidRPr="00812E8B">
        <w:rPr>
          <w:lang w:val="en-US"/>
        </w:rPr>
        <w:t xml:space="preserve">banking sector. </w:t>
      </w:r>
      <w:r w:rsidR="00381ED5" w:rsidRPr="00812E8B">
        <w:rPr>
          <w:lang w:val="en-US"/>
        </w:rPr>
        <w:t>Th</w:t>
      </w:r>
      <w:r w:rsidR="00A31CFD" w:rsidRPr="00812E8B">
        <w:rPr>
          <w:lang w:val="en-US"/>
        </w:rPr>
        <w:t xml:space="preserve">e </w:t>
      </w:r>
      <w:r w:rsidR="00DF398A" w:rsidRPr="00812E8B">
        <w:rPr>
          <w:lang w:val="en-US"/>
        </w:rPr>
        <w:t>descriptive research</w:t>
      </w:r>
      <w:r w:rsidR="00A31CFD" w:rsidRPr="00812E8B">
        <w:rPr>
          <w:lang w:val="en-US"/>
        </w:rPr>
        <w:t xml:space="preserve"> of </w:t>
      </w:r>
      <w:r w:rsidR="00881610" w:rsidRPr="00812E8B">
        <w:rPr>
          <w:color w:val="365F91" w:themeColor="accent1" w:themeShade="BF"/>
          <w:lang w:val="en-US"/>
        </w:rPr>
        <w:t>Barth et al. (1997)</w:t>
      </w:r>
      <w:r w:rsidR="00A31CFD" w:rsidRPr="00812E8B">
        <w:rPr>
          <w:color w:val="365F91" w:themeColor="accent1" w:themeShade="BF"/>
          <w:lang w:val="en-US"/>
        </w:rPr>
        <w:t xml:space="preserve"> </w:t>
      </w:r>
      <w:r w:rsidR="00DF398A" w:rsidRPr="00812E8B">
        <w:rPr>
          <w:lang w:val="en-US"/>
        </w:rPr>
        <w:t>point out</w:t>
      </w:r>
      <w:r w:rsidR="00381ED5" w:rsidRPr="00812E8B">
        <w:rPr>
          <w:lang w:val="en-US"/>
        </w:rPr>
        <w:t xml:space="preserve"> that there are </w:t>
      </w:r>
      <w:r w:rsidR="00A31CFD" w:rsidRPr="00812E8B">
        <w:rPr>
          <w:lang w:val="en-US"/>
        </w:rPr>
        <w:t xml:space="preserve">still some </w:t>
      </w:r>
      <w:r w:rsidR="005E3BAF" w:rsidRPr="00812E8B">
        <w:rPr>
          <w:lang w:val="en-US"/>
        </w:rPr>
        <w:t>substantial</w:t>
      </w:r>
      <w:r w:rsidR="00381ED5" w:rsidRPr="00812E8B">
        <w:rPr>
          <w:lang w:val="en-US"/>
        </w:rPr>
        <w:t xml:space="preserve"> differences in banking regulation between countries</w:t>
      </w:r>
      <w:r w:rsidR="00A31CFD" w:rsidRPr="00812E8B">
        <w:rPr>
          <w:lang w:val="en-US"/>
        </w:rPr>
        <w:t>,</w:t>
      </w:r>
      <w:r w:rsidR="00381ED5" w:rsidRPr="00812E8B">
        <w:rPr>
          <w:lang w:val="en-US"/>
        </w:rPr>
        <w:t xml:space="preserve"> a</w:t>
      </w:r>
      <w:r w:rsidR="00962DE6" w:rsidRPr="00812E8B">
        <w:rPr>
          <w:lang w:val="en-US"/>
        </w:rPr>
        <w:t>lthough</w:t>
      </w:r>
      <w:r w:rsidR="00A31CFD" w:rsidRPr="00812E8B">
        <w:rPr>
          <w:lang w:val="en-US"/>
        </w:rPr>
        <w:t>,</w:t>
      </w:r>
      <w:r w:rsidR="00962DE6" w:rsidRPr="00812E8B">
        <w:rPr>
          <w:lang w:val="en-US"/>
        </w:rPr>
        <w:t xml:space="preserve"> there is a movement to more uniform international </w:t>
      </w:r>
      <w:r w:rsidR="00381ED5" w:rsidRPr="00812E8B">
        <w:rPr>
          <w:lang w:val="en-US"/>
        </w:rPr>
        <w:t>regulation</w:t>
      </w:r>
      <w:r w:rsidR="00935524" w:rsidRPr="00812E8B">
        <w:rPr>
          <w:lang w:val="en-US"/>
        </w:rPr>
        <w:t>.</w:t>
      </w:r>
      <w:r w:rsidR="00381ED5" w:rsidRPr="00812E8B">
        <w:rPr>
          <w:lang w:val="en-US"/>
        </w:rPr>
        <w:t xml:space="preserve"> </w:t>
      </w:r>
      <w:r w:rsidR="00935524" w:rsidRPr="00812E8B">
        <w:rPr>
          <w:lang w:val="en-US"/>
        </w:rPr>
        <w:t xml:space="preserve">Ultimately, </w:t>
      </w:r>
      <w:r w:rsidR="00A31CFD" w:rsidRPr="00812E8B">
        <w:rPr>
          <w:lang w:val="en-US"/>
        </w:rPr>
        <w:t>they perform</w:t>
      </w:r>
      <w:r w:rsidR="00935524" w:rsidRPr="00812E8B">
        <w:rPr>
          <w:lang w:val="en-US"/>
        </w:rPr>
        <w:t xml:space="preserve"> an exploratory analysis of individual bank performance, measured by return on equity (ROE)</w:t>
      </w:r>
      <w:r w:rsidR="00A31CFD" w:rsidRPr="00812E8B">
        <w:rPr>
          <w:lang w:val="en-US"/>
        </w:rPr>
        <w:t>, i</w:t>
      </w:r>
      <w:r w:rsidR="00962DE6" w:rsidRPr="00812E8B">
        <w:rPr>
          <w:lang w:val="en-US"/>
        </w:rPr>
        <w:t>ncluding bank-specific, country-specific an</w:t>
      </w:r>
      <w:r w:rsidR="00A31CFD" w:rsidRPr="00812E8B">
        <w:rPr>
          <w:lang w:val="en-US"/>
        </w:rPr>
        <w:t>d regulatory-specific variables. T</w:t>
      </w:r>
      <w:r w:rsidR="00962DE6" w:rsidRPr="00812E8B">
        <w:rPr>
          <w:lang w:val="en-US"/>
        </w:rPr>
        <w:t>hey f</w:t>
      </w:r>
      <w:r w:rsidR="00A31CFD" w:rsidRPr="00812E8B">
        <w:rPr>
          <w:lang w:val="en-US"/>
        </w:rPr>
        <w:t>i</w:t>
      </w:r>
      <w:r w:rsidR="00962DE6" w:rsidRPr="00812E8B">
        <w:rPr>
          <w:lang w:val="en-US"/>
        </w:rPr>
        <w:t>nd significance relationships of several bank-specific variables.</w:t>
      </w:r>
      <w:r w:rsidR="00935524" w:rsidRPr="00812E8B">
        <w:rPr>
          <w:lang w:val="en-US"/>
        </w:rPr>
        <w:t xml:space="preserve"> </w:t>
      </w:r>
      <w:r w:rsidR="00381ED5" w:rsidRPr="00812E8B">
        <w:rPr>
          <w:lang w:val="en-US"/>
        </w:rPr>
        <w:t xml:space="preserve">More interesting, they </w:t>
      </w:r>
      <w:r w:rsidR="00A31CFD" w:rsidRPr="00812E8B">
        <w:rPr>
          <w:lang w:val="en-US"/>
        </w:rPr>
        <w:t>find</w:t>
      </w:r>
      <w:r w:rsidR="00962DE6" w:rsidRPr="00812E8B">
        <w:rPr>
          <w:lang w:val="en-US"/>
        </w:rPr>
        <w:t xml:space="preserve"> </w:t>
      </w:r>
      <w:r w:rsidR="00381ED5" w:rsidRPr="00812E8B">
        <w:rPr>
          <w:lang w:val="en-US"/>
        </w:rPr>
        <w:t xml:space="preserve">that </w:t>
      </w:r>
      <w:r w:rsidR="00962DE6" w:rsidRPr="00812E8B">
        <w:rPr>
          <w:lang w:val="en-US"/>
        </w:rPr>
        <w:t xml:space="preserve">the regulatory regime under which banks operates, could partly explain the variation in individual bank performance between countries. </w:t>
      </w:r>
    </w:p>
    <w:p w:rsidR="007A141E" w:rsidRPr="00812E8B" w:rsidRDefault="00A12C00" w:rsidP="00CE1B03">
      <w:pPr>
        <w:pStyle w:val="NoSpacing"/>
        <w:spacing w:line="276" w:lineRule="auto"/>
        <w:jc w:val="both"/>
        <w:rPr>
          <w:lang w:val="en-US"/>
        </w:rPr>
      </w:pPr>
      <w:r w:rsidRPr="00812E8B">
        <w:rPr>
          <w:lang w:val="en-US"/>
        </w:rPr>
        <w:br/>
      </w:r>
      <w:r w:rsidR="00AF293D" w:rsidRPr="00812E8B">
        <w:rPr>
          <w:lang w:val="en-US"/>
        </w:rPr>
        <w:t>One should be cautious to generalize the r</w:t>
      </w:r>
      <w:r w:rsidR="00962DE6" w:rsidRPr="00812E8B">
        <w:rPr>
          <w:lang w:val="en-US"/>
        </w:rPr>
        <w:t>esults from the study of</w:t>
      </w:r>
      <w:r w:rsidR="00881610" w:rsidRPr="00812E8B">
        <w:rPr>
          <w:lang w:val="en-US"/>
        </w:rPr>
        <w:t xml:space="preserve"> </w:t>
      </w:r>
      <w:r w:rsidR="00881610" w:rsidRPr="00812E8B">
        <w:rPr>
          <w:color w:val="365F91" w:themeColor="accent1" w:themeShade="BF"/>
          <w:lang w:val="en-US"/>
        </w:rPr>
        <w:t xml:space="preserve">Barth et al. (1997) </w:t>
      </w:r>
      <w:r w:rsidR="00AF293D" w:rsidRPr="00812E8B">
        <w:rPr>
          <w:lang w:val="en-US"/>
        </w:rPr>
        <w:t>because</w:t>
      </w:r>
      <w:r w:rsidR="00962DE6" w:rsidRPr="00812E8B">
        <w:rPr>
          <w:lang w:val="en-US"/>
        </w:rPr>
        <w:t xml:space="preserve"> </w:t>
      </w:r>
      <w:r w:rsidR="00DF398A" w:rsidRPr="00812E8B">
        <w:rPr>
          <w:lang w:val="en-US"/>
        </w:rPr>
        <w:t>th</w:t>
      </w:r>
      <w:r w:rsidR="00A31CFD" w:rsidRPr="00812E8B">
        <w:rPr>
          <w:lang w:val="en-US"/>
        </w:rPr>
        <w:t>e</w:t>
      </w:r>
      <w:r w:rsidR="00DF398A" w:rsidRPr="00812E8B">
        <w:rPr>
          <w:lang w:val="en-US"/>
        </w:rPr>
        <w:t xml:space="preserve"> results are based on an</w:t>
      </w:r>
      <w:r w:rsidR="00962DE6" w:rsidRPr="00812E8B">
        <w:rPr>
          <w:lang w:val="en-US"/>
        </w:rPr>
        <w:t xml:space="preserve"> exploratory analysis. U</w:t>
      </w:r>
      <w:r w:rsidR="007A141E" w:rsidRPr="00812E8B">
        <w:rPr>
          <w:lang w:val="en-US"/>
        </w:rPr>
        <w:t xml:space="preserve">sing a </w:t>
      </w:r>
      <w:r w:rsidR="00C34919" w:rsidRPr="00812E8B">
        <w:rPr>
          <w:lang w:val="en-US"/>
        </w:rPr>
        <w:t xml:space="preserve">newer </w:t>
      </w:r>
      <w:r w:rsidR="007A141E" w:rsidRPr="00812E8B">
        <w:rPr>
          <w:lang w:val="en-US"/>
        </w:rPr>
        <w:t>dataset</w:t>
      </w:r>
      <w:r w:rsidR="00EC01C2" w:rsidRPr="00812E8B">
        <w:rPr>
          <w:lang w:val="en-US"/>
        </w:rPr>
        <w:t xml:space="preserve"> of 107 countries in the world,</w:t>
      </w:r>
      <w:r w:rsidR="007A141E" w:rsidRPr="00812E8B">
        <w:rPr>
          <w:lang w:val="en-US"/>
        </w:rPr>
        <w:t xml:space="preserve"> </w:t>
      </w:r>
      <w:r w:rsidR="0043417A" w:rsidRPr="00812E8B">
        <w:rPr>
          <w:color w:val="365F91" w:themeColor="accent1" w:themeShade="BF"/>
          <w:lang w:val="en-US"/>
        </w:rPr>
        <w:t>Barth et al. (2004)</w:t>
      </w:r>
      <w:r w:rsidR="007A141E" w:rsidRPr="00812E8B">
        <w:rPr>
          <w:lang w:val="en-US"/>
        </w:rPr>
        <w:t xml:space="preserve"> </w:t>
      </w:r>
      <w:r w:rsidR="00962DE6" w:rsidRPr="00812E8B">
        <w:rPr>
          <w:lang w:val="en-US"/>
        </w:rPr>
        <w:t>extend</w:t>
      </w:r>
      <w:r w:rsidR="00A31CFD" w:rsidRPr="00812E8B">
        <w:rPr>
          <w:lang w:val="en-US"/>
        </w:rPr>
        <w:t xml:space="preserve"> </w:t>
      </w:r>
      <w:r w:rsidR="00EC01C2" w:rsidRPr="00812E8B">
        <w:rPr>
          <w:lang w:val="en-US"/>
        </w:rPr>
        <w:t>above-mentioned</w:t>
      </w:r>
      <w:r w:rsidR="007A141E" w:rsidRPr="00812E8B">
        <w:rPr>
          <w:lang w:val="en-US"/>
        </w:rPr>
        <w:t xml:space="preserve"> research. They assess whether there is a relationship be</w:t>
      </w:r>
      <w:r w:rsidR="00EC01C2" w:rsidRPr="00812E8B">
        <w:rPr>
          <w:lang w:val="en-US"/>
        </w:rPr>
        <w:t xml:space="preserve">tween regulatory </w:t>
      </w:r>
      <w:r w:rsidR="00DB0EDD" w:rsidRPr="00812E8B">
        <w:rPr>
          <w:lang w:val="en-US"/>
        </w:rPr>
        <w:t>regimes</w:t>
      </w:r>
      <w:r w:rsidR="00EC01C2" w:rsidRPr="00812E8B">
        <w:rPr>
          <w:lang w:val="en-US"/>
        </w:rPr>
        <w:t xml:space="preserve"> and the </w:t>
      </w:r>
      <w:r w:rsidR="00DB0EDD" w:rsidRPr="00812E8B">
        <w:rPr>
          <w:lang w:val="en-US"/>
        </w:rPr>
        <w:t xml:space="preserve">performance, </w:t>
      </w:r>
      <w:r w:rsidR="007A141E" w:rsidRPr="00812E8B">
        <w:rPr>
          <w:lang w:val="en-US"/>
        </w:rPr>
        <w:t>stability</w:t>
      </w:r>
      <w:r w:rsidR="00DB0EDD" w:rsidRPr="00812E8B">
        <w:rPr>
          <w:lang w:val="en-US"/>
        </w:rPr>
        <w:t xml:space="preserve"> and development</w:t>
      </w:r>
      <w:r w:rsidR="007A141E" w:rsidRPr="00812E8B">
        <w:rPr>
          <w:lang w:val="en-US"/>
        </w:rPr>
        <w:t xml:space="preserve"> </w:t>
      </w:r>
      <w:r w:rsidR="00EC01C2" w:rsidRPr="00812E8B">
        <w:rPr>
          <w:lang w:val="en-US"/>
        </w:rPr>
        <w:t>of</w:t>
      </w:r>
      <w:r w:rsidR="007A141E" w:rsidRPr="00812E8B">
        <w:rPr>
          <w:lang w:val="en-US"/>
        </w:rPr>
        <w:t xml:space="preserve"> the banking sector.</w:t>
      </w:r>
      <w:r w:rsidR="00EC01C2" w:rsidRPr="00812E8B">
        <w:rPr>
          <w:lang w:val="en-US"/>
        </w:rPr>
        <w:t xml:space="preserve"> With respec</w:t>
      </w:r>
      <w:r w:rsidR="00A31CFD" w:rsidRPr="00812E8B">
        <w:rPr>
          <w:lang w:val="en-US"/>
        </w:rPr>
        <w:t>t to performance, they do</w:t>
      </w:r>
      <w:r w:rsidR="00381ED5" w:rsidRPr="00812E8B">
        <w:rPr>
          <w:lang w:val="en-US"/>
        </w:rPr>
        <w:t xml:space="preserve"> not fi</w:t>
      </w:r>
      <w:r w:rsidR="00EC01C2" w:rsidRPr="00812E8B">
        <w:rPr>
          <w:lang w:val="en-US"/>
        </w:rPr>
        <w:t xml:space="preserve">nd </w:t>
      </w:r>
      <w:r w:rsidR="00C34919" w:rsidRPr="00812E8B">
        <w:rPr>
          <w:lang w:val="en-US"/>
        </w:rPr>
        <w:t xml:space="preserve">a </w:t>
      </w:r>
      <w:r w:rsidR="00EC01C2" w:rsidRPr="00812E8B">
        <w:rPr>
          <w:lang w:val="en-US"/>
        </w:rPr>
        <w:t xml:space="preserve">significance relationship </w:t>
      </w:r>
      <w:r w:rsidR="00DF398A" w:rsidRPr="00812E8B">
        <w:rPr>
          <w:lang w:val="en-US"/>
        </w:rPr>
        <w:t>of restrictions on</w:t>
      </w:r>
      <w:r w:rsidR="00EC01C2" w:rsidRPr="00812E8B">
        <w:rPr>
          <w:lang w:val="en-US"/>
        </w:rPr>
        <w:t xml:space="preserve"> bank entry,</w:t>
      </w:r>
      <w:r w:rsidR="00C34919" w:rsidRPr="00812E8B">
        <w:rPr>
          <w:lang w:val="en-US"/>
        </w:rPr>
        <w:t xml:space="preserve"> banking activities</w:t>
      </w:r>
      <w:r w:rsidR="00DB0EDD" w:rsidRPr="00812E8B">
        <w:rPr>
          <w:lang w:val="en-US"/>
        </w:rPr>
        <w:t xml:space="preserve"> or </w:t>
      </w:r>
      <w:r w:rsidR="00C34919" w:rsidRPr="00812E8B">
        <w:rPr>
          <w:lang w:val="en-US"/>
        </w:rPr>
        <w:t>on capital ratios</w:t>
      </w:r>
      <w:r w:rsidR="00EC01C2" w:rsidRPr="00812E8B">
        <w:rPr>
          <w:lang w:val="en-US"/>
        </w:rPr>
        <w:t>.</w:t>
      </w:r>
      <w:r w:rsidR="00DB0EDD" w:rsidRPr="00812E8B">
        <w:rPr>
          <w:lang w:val="en-US"/>
        </w:rPr>
        <w:t xml:space="preserve"> In addition</w:t>
      </w:r>
      <w:r w:rsidR="00721EA8" w:rsidRPr="00812E8B">
        <w:rPr>
          <w:lang w:val="en-US"/>
        </w:rPr>
        <w:t>, t</w:t>
      </w:r>
      <w:r w:rsidR="00EC01C2" w:rsidRPr="00812E8B">
        <w:rPr>
          <w:lang w:val="en-US"/>
        </w:rPr>
        <w:t xml:space="preserve">heir results suggest </w:t>
      </w:r>
      <w:r w:rsidR="00DA04A4" w:rsidRPr="00812E8B">
        <w:rPr>
          <w:lang w:val="en-US"/>
        </w:rPr>
        <w:t xml:space="preserve">that supervision and regulation, which </w:t>
      </w:r>
      <w:r w:rsidR="00EC01C2" w:rsidRPr="00812E8B">
        <w:rPr>
          <w:lang w:val="en-US"/>
        </w:rPr>
        <w:t xml:space="preserve">focus on accurate disclosures and on incentives for </w:t>
      </w:r>
      <w:r w:rsidR="00A31CFD" w:rsidRPr="00812E8B">
        <w:rPr>
          <w:lang w:val="en-US"/>
        </w:rPr>
        <w:t>self-control</w:t>
      </w:r>
      <w:r w:rsidR="00EC01C2" w:rsidRPr="00812E8B">
        <w:rPr>
          <w:lang w:val="en-US"/>
        </w:rPr>
        <w:t xml:space="preserve"> work best in promoting bank performance. </w:t>
      </w:r>
    </w:p>
    <w:p w:rsidR="007A141E" w:rsidRPr="00812E8B" w:rsidRDefault="007A141E" w:rsidP="00CE1B03">
      <w:pPr>
        <w:pStyle w:val="NoSpacing"/>
        <w:spacing w:line="276" w:lineRule="auto"/>
        <w:jc w:val="both"/>
        <w:rPr>
          <w:lang w:val="en-US"/>
        </w:rPr>
      </w:pPr>
    </w:p>
    <w:p w:rsidR="007A0A4A" w:rsidRPr="00812E8B" w:rsidRDefault="00DF398A" w:rsidP="00CE1B03">
      <w:pPr>
        <w:pStyle w:val="NoSpacing"/>
        <w:spacing w:line="276" w:lineRule="auto"/>
        <w:jc w:val="both"/>
        <w:rPr>
          <w:lang w:val="en-US"/>
        </w:rPr>
      </w:pPr>
      <w:r w:rsidRPr="00812E8B">
        <w:rPr>
          <w:lang w:val="en-US"/>
        </w:rPr>
        <w:t>As mentioned theoretical literature suggests</w:t>
      </w:r>
      <w:r w:rsidR="00515B73" w:rsidRPr="00812E8B">
        <w:rPr>
          <w:lang w:val="en-US"/>
        </w:rPr>
        <w:t xml:space="preserve"> that risk taking has a positive impact on banks’ profitability. The previous chapter </w:t>
      </w:r>
      <w:r w:rsidR="00A31CFD" w:rsidRPr="00812E8B">
        <w:rPr>
          <w:lang w:val="en-US"/>
        </w:rPr>
        <w:t>mentioned</w:t>
      </w:r>
      <w:r w:rsidR="00515B73" w:rsidRPr="00812E8B">
        <w:rPr>
          <w:lang w:val="en-US"/>
        </w:rPr>
        <w:t xml:space="preserve"> that an important</w:t>
      </w:r>
      <w:r w:rsidR="00914597" w:rsidRPr="00812E8B">
        <w:rPr>
          <w:lang w:val="en-US"/>
        </w:rPr>
        <w:t xml:space="preserve"> aim of regulation is to </w:t>
      </w:r>
      <w:r w:rsidR="00515B73" w:rsidRPr="00812E8B">
        <w:rPr>
          <w:lang w:val="en-US"/>
        </w:rPr>
        <w:t xml:space="preserve">assure a solvent banking sector and to </w:t>
      </w:r>
      <w:r w:rsidR="00914597" w:rsidRPr="00812E8B">
        <w:rPr>
          <w:lang w:val="en-US"/>
        </w:rPr>
        <w:t xml:space="preserve">restrict banks from excessive risk taking, unsurprisingly several studies </w:t>
      </w:r>
      <w:r w:rsidR="00A31CFD" w:rsidRPr="00812E8B">
        <w:rPr>
          <w:lang w:val="en-US"/>
        </w:rPr>
        <w:t xml:space="preserve">have </w:t>
      </w:r>
      <w:r w:rsidR="00914597" w:rsidRPr="00812E8B">
        <w:rPr>
          <w:lang w:val="en-US"/>
        </w:rPr>
        <w:t>focused on risk taking by banks. However, r</w:t>
      </w:r>
      <w:r w:rsidR="00640C6C" w:rsidRPr="00812E8B">
        <w:rPr>
          <w:lang w:val="en-US"/>
        </w:rPr>
        <w:t xml:space="preserve">esearch of </w:t>
      </w:r>
      <w:r w:rsidR="00881610" w:rsidRPr="00812E8B">
        <w:rPr>
          <w:color w:val="365F91" w:themeColor="accent1" w:themeShade="BF"/>
          <w:lang w:val="en-US"/>
        </w:rPr>
        <w:t>Rime (2001)</w:t>
      </w:r>
      <w:r w:rsidR="00640C6C" w:rsidRPr="00812E8B">
        <w:rPr>
          <w:lang w:val="en-US"/>
        </w:rPr>
        <w:t xml:space="preserve"> </w:t>
      </w:r>
      <w:r w:rsidR="00381ED5" w:rsidRPr="00812E8B">
        <w:rPr>
          <w:lang w:val="en-US"/>
        </w:rPr>
        <w:t>indicat</w:t>
      </w:r>
      <w:r w:rsidR="00A31CFD" w:rsidRPr="00812E8B">
        <w:rPr>
          <w:lang w:val="en-US"/>
        </w:rPr>
        <w:t>es</w:t>
      </w:r>
      <w:r w:rsidR="00381ED5" w:rsidRPr="00812E8B">
        <w:rPr>
          <w:lang w:val="en-US"/>
        </w:rPr>
        <w:t xml:space="preserve"> that there is</w:t>
      </w:r>
      <w:r w:rsidR="00640C6C" w:rsidRPr="00812E8B">
        <w:rPr>
          <w:lang w:val="en-US"/>
        </w:rPr>
        <w:t xml:space="preserve"> no </w:t>
      </w:r>
      <w:r w:rsidR="00640C6C" w:rsidRPr="00812E8B">
        <w:rPr>
          <w:lang w:val="en-US"/>
        </w:rPr>
        <w:lastRenderedPageBreak/>
        <w:t>significant impact of regulatory pressure on bank</w:t>
      </w:r>
      <w:r w:rsidR="004635B7" w:rsidRPr="00812E8B">
        <w:rPr>
          <w:lang w:val="en-US"/>
        </w:rPr>
        <w:t xml:space="preserve">s’ risk taking </w:t>
      </w:r>
      <w:r w:rsidRPr="00812E8B">
        <w:rPr>
          <w:lang w:val="en-US"/>
        </w:rPr>
        <w:t>by</w:t>
      </w:r>
      <w:r w:rsidR="004635B7" w:rsidRPr="00812E8B">
        <w:rPr>
          <w:lang w:val="en-US"/>
        </w:rPr>
        <w:t xml:space="preserve"> Swiss banks between 1989 and </w:t>
      </w:r>
      <w:r w:rsidR="00640C6C" w:rsidRPr="00812E8B">
        <w:rPr>
          <w:lang w:val="en-US"/>
        </w:rPr>
        <w:t xml:space="preserve">1995. </w:t>
      </w:r>
      <w:r w:rsidR="00A31CFD" w:rsidRPr="00812E8B">
        <w:rPr>
          <w:lang w:val="en-US"/>
        </w:rPr>
        <w:t xml:space="preserve">He </w:t>
      </w:r>
      <w:r w:rsidR="00381ED5" w:rsidRPr="00812E8B">
        <w:rPr>
          <w:lang w:val="en-US"/>
        </w:rPr>
        <w:t>also f</w:t>
      </w:r>
      <w:r w:rsidR="00A31CFD" w:rsidRPr="00812E8B">
        <w:rPr>
          <w:lang w:val="en-US"/>
        </w:rPr>
        <w:t>i</w:t>
      </w:r>
      <w:r w:rsidR="00381ED5" w:rsidRPr="00812E8B">
        <w:rPr>
          <w:lang w:val="en-US"/>
        </w:rPr>
        <w:t xml:space="preserve">nd that </w:t>
      </w:r>
      <w:r w:rsidR="00640C6C" w:rsidRPr="00812E8B">
        <w:rPr>
          <w:lang w:val="en-US"/>
        </w:rPr>
        <w:t xml:space="preserve">regulation </w:t>
      </w:r>
      <w:r w:rsidR="00381ED5" w:rsidRPr="00812E8B">
        <w:rPr>
          <w:lang w:val="en-US"/>
        </w:rPr>
        <w:t>has</w:t>
      </w:r>
      <w:r w:rsidR="00640C6C" w:rsidRPr="00812E8B">
        <w:rPr>
          <w:lang w:val="en-US"/>
        </w:rPr>
        <w:t xml:space="preserve"> a</w:t>
      </w:r>
      <w:r w:rsidR="004635B7" w:rsidRPr="00812E8B">
        <w:rPr>
          <w:lang w:val="en-US"/>
        </w:rPr>
        <w:t xml:space="preserve"> significant positive impact on the</w:t>
      </w:r>
      <w:r w:rsidR="006C2EF1" w:rsidRPr="00812E8B">
        <w:rPr>
          <w:lang w:val="en-US"/>
        </w:rPr>
        <w:t xml:space="preserve"> (regulatory)</w:t>
      </w:r>
      <w:r w:rsidR="004635B7" w:rsidRPr="00812E8B">
        <w:rPr>
          <w:lang w:val="en-US"/>
        </w:rPr>
        <w:t xml:space="preserve"> </w:t>
      </w:r>
      <w:r w:rsidR="00640C6C" w:rsidRPr="00812E8B">
        <w:rPr>
          <w:lang w:val="en-US"/>
        </w:rPr>
        <w:t>capital to asset ratio, indicating t</w:t>
      </w:r>
      <w:r w:rsidR="004635B7" w:rsidRPr="00812E8B">
        <w:rPr>
          <w:lang w:val="en-US"/>
        </w:rPr>
        <w:t>hat banks increase their</w:t>
      </w:r>
      <w:r w:rsidR="006C2EF1" w:rsidRPr="00812E8B">
        <w:rPr>
          <w:lang w:val="en-US"/>
        </w:rPr>
        <w:t xml:space="preserve"> Tier</w:t>
      </w:r>
      <w:r w:rsidR="004635B7" w:rsidRPr="00812E8B">
        <w:rPr>
          <w:lang w:val="en-US"/>
        </w:rPr>
        <w:t xml:space="preserve"> capital under stricter regulatory pressure. </w:t>
      </w:r>
      <w:r w:rsidR="00D2653C" w:rsidRPr="00812E8B">
        <w:rPr>
          <w:lang w:val="en-US"/>
        </w:rPr>
        <w:t xml:space="preserve">This relationship suggests that </w:t>
      </w:r>
      <w:r w:rsidR="004635B7" w:rsidRPr="00812E8B">
        <w:rPr>
          <w:lang w:val="en-US"/>
        </w:rPr>
        <w:t>imposing</w:t>
      </w:r>
      <w:r w:rsidR="00D2653C" w:rsidRPr="00812E8B">
        <w:rPr>
          <w:lang w:val="en-US"/>
        </w:rPr>
        <w:t xml:space="preserve"> regulation </w:t>
      </w:r>
      <w:r w:rsidR="004635B7" w:rsidRPr="00812E8B">
        <w:rPr>
          <w:lang w:val="en-US"/>
        </w:rPr>
        <w:t xml:space="preserve">give </w:t>
      </w:r>
      <w:r w:rsidR="00AF293D" w:rsidRPr="00812E8B">
        <w:rPr>
          <w:lang w:val="en-US"/>
        </w:rPr>
        <w:t>the</w:t>
      </w:r>
      <w:r w:rsidR="00D2653C" w:rsidRPr="00812E8B">
        <w:rPr>
          <w:lang w:val="en-US"/>
        </w:rPr>
        <w:t xml:space="preserve"> desired outcome; banks hold more capital for periods of stress </w:t>
      </w:r>
      <w:r w:rsidR="006D22CC" w:rsidRPr="00812E8B">
        <w:rPr>
          <w:lang w:val="en-US"/>
        </w:rPr>
        <w:t>and are</w:t>
      </w:r>
      <w:r w:rsidR="00D2653C" w:rsidRPr="00812E8B">
        <w:rPr>
          <w:lang w:val="en-US"/>
        </w:rPr>
        <w:t xml:space="preserve"> less vulnerable.</w:t>
      </w:r>
      <w:r w:rsidR="00640C6C" w:rsidRPr="00812E8B">
        <w:rPr>
          <w:lang w:val="en-US"/>
        </w:rPr>
        <w:t xml:space="preserve"> </w:t>
      </w:r>
      <w:r w:rsidR="00D2653C" w:rsidRPr="00812E8B">
        <w:rPr>
          <w:lang w:val="en-US"/>
        </w:rPr>
        <w:t xml:space="preserve">Moreover, </w:t>
      </w:r>
      <w:r w:rsidR="00A31CFD" w:rsidRPr="00812E8B">
        <w:rPr>
          <w:lang w:val="en-US"/>
        </w:rPr>
        <w:t xml:space="preserve">similar results are found by a </w:t>
      </w:r>
      <w:r w:rsidR="00D2653C" w:rsidRPr="00812E8B">
        <w:rPr>
          <w:lang w:val="en-US"/>
        </w:rPr>
        <w:t xml:space="preserve">research of </w:t>
      </w:r>
      <w:r w:rsidR="00881610" w:rsidRPr="00812E8B">
        <w:rPr>
          <w:color w:val="365F91" w:themeColor="accent1" w:themeShade="BF"/>
          <w:lang w:val="en-US"/>
        </w:rPr>
        <w:t>Heid et al. (2004)</w:t>
      </w:r>
      <w:r w:rsidR="00D2653C" w:rsidRPr="00812E8B">
        <w:rPr>
          <w:color w:val="365F91" w:themeColor="accent1" w:themeShade="BF"/>
          <w:lang w:val="en-US"/>
        </w:rPr>
        <w:t xml:space="preserve"> </w:t>
      </w:r>
      <w:r w:rsidR="00A31CFD" w:rsidRPr="00812E8B">
        <w:rPr>
          <w:lang w:val="en-US"/>
        </w:rPr>
        <w:t>towards the</w:t>
      </w:r>
      <w:r w:rsidR="00D2653C" w:rsidRPr="00812E8B">
        <w:rPr>
          <w:lang w:val="en-US"/>
        </w:rPr>
        <w:t xml:space="preserve"> German</w:t>
      </w:r>
      <w:r w:rsidR="00A31CFD" w:rsidRPr="00812E8B">
        <w:rPr>
          <w:lang w:val="en-US"/>
        </w:rPr>
        <w:t xml:space="preserve"> banking sector </w:t>
      </w:r>
      <w:r w:rsidR="004635B7" w:rsidRPr="00812E8B">
        <w:rPr>
          <w:lang w:val="en-US"/>
        </w:rPr>
        <w:t>between 1993 and 2000</w:t>
      </w:r>
      <w:r w:rsidR="00D2653C" w:rsidRPr="00812E8B">
        <w:rPr>
          <w:lang w:val="en-US"/>
        </w:rPr>
        <w:t xml:space="preserve">. </w:t>
      </w:r>
      <w:r w:rsidR="004635B7" w:rsidRPr="00812E8B">
        <w:rPr>
          <w:lang w:val="en-US"/>
        </w:rPr>
        <w:t xml:space="preserve">They </w:t>
      </w:r>
      <w:r w:rsidR="00381ED5" w:rsidRPr="00812E8B">
        <w:rPr>
          <w:lang w:val="en-US"/>
        </w:rPr>
        <w:t>notice</w:t>
      </w:r>
      <w:r w:rsidR="004635B7" w:rsidRPr="00812E8B">
        <w:rPr>
          <w:lang w:val="en-US"/>
        </w:rPr>
        <w:t xml:space="preserve"> that b</w:t>
      </w:r>
      <w:r w:rsidR="00D2653C" w:rsidRPr="00812E8B">
        <w:rPr>
          <w:lang w:val="en-US"/>
        </w:rPr>
        <w:t>anks with lower capital buffers</w:t>
      </w:r>
      <w:r w:rsidR="004635B7" w:rsidRPr="00812E8B">
        <w:rPr>
          <w:lang w:val="en-US"/>
        </w:rPr>
        <w:t xml:space="preserve"> (capital in excess of regulatory minima)</w:t>
      </w:r>
      <w:r w:rsidR="00D2653C" w:rsidRPr="00812E8B">
        <w:rPr>
          <w:lang w:val="en-US"/>
        </w:rPr>
        <w:t xml:space="preserve"> </w:t>
      </w:r>
      <w:r w:rsidR="00381ED5" w:rsidRPr="00812E8B">
        <w:rPr>
          <w:lang w:val="en-US"/>
        </w:rPr>
        <w:t>try</w:t>
      </w:r>
      <w:r w:rsidR="004635B7" w:rsidRPr="00812E8B">
        <w:rPr>
          <w:lang w:val="en-US"/>
        </w:rPr>
        <w:t xml:space="preserve"> to increase capital and </w:t>
      </w:r>
      <w:r w:rsidR="00381ED5" w:rsidRPr="00812E8B">
        <w:rPr>
          <w:lang w:val="en-US"/>
        </w:rPr>
        <w:t>try</w:t>
      </w:r>
      <w:r w:rsidR="004635B7" w:rsidRPr="00812E8B">
        <w:rPr>
          <w:lang w:val="en-US"/>
        </w:rPr>
        <w:t xml:space="preserve"> to</w:t>
      </w:r>
      <w:r w:rsidR="00D2653C" w:rsidRPr="00812E8B">
        <w:rPr>
          <w:lang w:val="en-US"/>
        </w:rPr>
        <w:t xml:space="preserve"> lower </w:t>
      </w:r>
      <w:r w:rsidR="004635B7" w:rsidRPr="00812E8B">
        <w:rPr>
          <w:lang w:val="en-US"/>
        </w:rPr>
        <w:t xml:space="preserve">their </w:t>
      </w:r>
      <w:r w:rsidR="00D2653C" w:rsidRPr="00812E8B">
        <w:rPr>
          <w:lang w:val="en-US"/>
        </w:rPr>
        <w:t>risk</w:t>
      </w:r>
      <w:r w:rsidR="004635B7" w:rsidRPr="00812E8B">
        <w:rPr>
          <w:lang w:val="en-US"/>
        </w:rPr>
        <w:t xml:space="preserve"> exposures. In contrary, banks with higher capital buffers tend</w:t>
      </w:r>
      <w:r w:rsidR="00D2653C" w:rsidRPr="00812E8B">
        <w:rPr>
          <w:lang w:val="en-US"/>
        </w:rPr>
        <w:t xml:space="preserve"> to maintain their buffe</w:t>
      </w:r>
      <w:r w:rsidR="004635B7" w:rsidRPr="00812E8B">
        <w:rPr>
          <w:lang w:val="en-US"/>
        </w:rPr>
        <w:t>rs by increasing risks when capital increases.</w:t>
      </w:r>
      <w:r w:rsidR="00757FF0" w:rsidRPr="00812E8B">
        <w:rPr>
          <w:lang w:val="en-US"/>
        </w:rPr>
        <w:t xml:space="preserve"> </w:t>
      </w:r>
      <w:r w:rsidR="00D2653C" w:rsidRPr="00812E8B">
        <w:rPr>
          <w:lang w:val="en-US"/>
        </w:rPr>
        <w:t xml:space="preserve"> </w:t>
      </w:r>
      <w:r w:rsidR="00A31CFD" w:rsidRPr="00812E8B">
        <w:rPr>
          <w:lang w:val="en-US"/>
        </w:rPr>
        <w:t xml:space="preserve">Unfortunately, </w:t>
      </w:r>
      <w:r w:rsidR="00881610" w:rsidRPr="00812E8B">
        <w:rPr>
          <w:color w:val="365F91" w:themeColor="accent1" w:themeShade="BF"/>
          <w:lang w:val="en-US"/>
        </w:rPr>
        <w:t>Rime (2001)</w:t>
      </w:r>
      <w:r w:rsidR="00A31CFD" w:rsidRPr="00812E8B">
        <w:rPr>
          <w:lang w:val="en-US"/>
        </w:rPr>
        <w:t xml:space="preserve"> and </w:t>
      </w:r>
      <w:r w:rsidR="00881610" w:rsidRPr="00812E8B">
        <w:rPr>
          <w:color w:val="365F91" w:themeColor="accent1" w:themeShade="BF"/>
          <w:lang w:val="en-US"/>
        </w:rPr>
        <w:t>Heid et al. (2004)</w:t>
      </w:r>
      <w:r w:rsidR="00A31CFD" w:rsidRPr="00812E8B">
        <w:rPr>
          <w:lang w:val="en-US"/>
        </w:rPr>
        <w:t xml:space="preserve"> do not test the impact of regulatory pressure on banks’ profitability. </w:t>
      </w:r>
      <w:r w:rsidRPr="00812E8B">
        <w:rPr>
          <w:lang w:val="en-US"/>
        </w:rPr>
        <w:t xml:space="preserve">Later on, this chapter </w:t>
      </w:r>
      <w:r w:rsidR="0073321E" w:rsidRPr="00812E8B">
        <w:rPr>
          <w:lang w:val="en-US"/>
        </w:rPr>
        <w:t>will examine whether higher capital ratios positively or negatively influence profitability.</w:t>
      </w:r>
    </w:p>
    <w:p w:rsidR="00483CBB" w:rsidRPr="00812E8B" w:rsidRDefault="00483CBB" w:rsidP="00CE1B03">
      <w:pPr>
        <w:pStyle w:val="NoSpacing"/>
        <w:spacing w:line="276" w:lineRule="auto"/>
        <w:jc w:val="both"/>
        <w:rPr>
          <w:lang w:val="en-US"/>
        </w:rPr>
      </w:pPr>
    </w:p>
    <w:p w:rsidR="00CF06D4" w:rsidRPr="00812E8B" w:rsidRDefault="007A0A4A" w:rsidP="00CE1B03">
      <w:pPr>
        <w:pStyle w:val="NoSpacing"/>
        <w:spacing w:line="276" w:lineRule="auto"/>
        <w:jc w:val="both"/>
        <w:rPr>
          <w:lang w:val="en-US"/>
        </w:rPr>
      </w:pPr>
      <w:r w:rsidRPr="00812E8B">
        <w:rPr>
          <w:lang w:val="en-US"/>
        </w:rPr>
        <w:t>O</w:t>
      </w:r>
      <w:r w:rsidR="00DA04A4" w:rsidRPr="00812E8B">
        <w:rPr>
          <w:lang w:val="en-US"/>
        </w:rPr>
        <w:t xml:space="preserve">ne could broaden the view of the </w:t>
      </w:r>
      <w:r w:rsidRPr="00812E8B">
        <w:rPr>
          <w:lang w:val="en-US"/>
        </w:rPr>
        <w:t xml:space="preserve">research </w:t>
      </w:r>
      <w:r w:rsidR="00DF398A" w:rsidRPr="00812E8B">
        <w:rPr>
          <w:lang w:val="en-US"/>
        </w:rPr>
        <w:t>towards r</w:t>
      </w:r>
      <w:r w:rsidR="00DA04A4" w:rsidRPr="00812E8B">
        <w:rPr>
          <w:lang w:val="en-US"/>
        </w:rPr>
        <w:t>egulation</w:t>
      </w:r>
      <w:r w:rsidRPr="00812E8B">
        <w:rPr>
          <w:lang w:val="en-US"/>
        </w:rPr>
        <w:t xml:space="preserve"> by incorporating </w:t>
      </w:r>
      <w:r w:rsidR="00DA04A4" w:rsidRPr="00812E8B">
        <w:rPr>
          <w:lang w:val="en-US"/>
        </w:rPr>
        <w:t>ownership structure</w:t>
      </w:r>
      <w:r w:rsidRPr="00812E8B">
        <w:rPr>
          <w:lang w:val="en-US"/>
        </w:rPr>
        <w:t xml:space="preserve"> issues.</w:t>
      </w:r>
      <w:r w:rsidR="0065336D" w:rsidRPr="00812E8B">
        <w:rPr>
          <w:lang w:val="en-US"/>
        </w:rPr>
        <w:t xml:space="preserve"> Pioneering this research direction, </w:t>
      </w:r>
      <w:r w:rsidR="0043417A" w:rsidRPr="00812E8B">
        <w:rPr>
          <w:color w:val="365F91" w:themeColor="accent1" w:themeShade="BF"/>
          <w:lang w:val="en-US"/>
        </w:rPr>
        <w:t xml:space="preserve">Laeven &amp; Levine (2009) </w:t>
      </w:r>
      <w:r w:rsidRPr="00812E8B">
        <w:rPr>
          <w:lang w:val="en-US"/>
        </w:rPr>
        <w:t>empirical</w:t>
      </w:r>
      <w:r w:rsidR="008B0DF7" w:rsidRPr="00812E8B">
        <w:rPr>
          <w:lang w:val="en-US"/>
        </w:rPr>
        <w:t>ly</w:t>
      </w:r>
      <w:r w:rsidR="00A31CFD" w:rsidRPr="00812E8B">
        <w:rPr>
          <w:lang w:val="en-US"/>
        </w:rPr>
        <w:t xml:space="preserve"> assess</w:t>
      </w:r>
      <w:r w:rsidRPr="00812E8B">
        <w:rPr>
          <w:lang w:val="en-US"/>
        </w:rPr>
        <w:t xml:space="preserve"> </w:t>
      </w:r>
      <w:r w:rsidR="00381ED5" w:rsidRPr="00812E8B">
        <w:rPr>
          <w:lang w:val="en-US"/>
        </w:rPr>
        <w:t>the</w:t>
      </w:r>
      <w:r w:rsidRPr="00812E8B">
        <w:rPr>
          <w:lang w:val="en-US"/>
        </w:rPr>
        <w:t xml:space="preserve"> </w:t>
      </w:r>
      <w:r w:rsidR="00381ED5" w:rsidRPr="00812E8B">
        <w:rPr>
          <w:lang w:val="en-US"/>
        </w:rPr>
        <w:t xml:space="preserve">impact of </w:t>
      </w:r>
      <w:r w:rsidRPr="00812E8B">
        <w:rPr>
          <w:lang w:val="en-US"/>
        </w:rPr>
        <w:t>ownership structure as</w:t>
      </w:r>
      <w:r w:rsidR="002D7A25" w:rsidRPr="00812E8B">
        <w:rPr>
          <w:lang w:val="en-US"/>
        </w:rPr>
        <w:t xml:space="preserve"> well as</w:t>
      </w:r>
      <w:r w:rsidRPr="00812E8B">
        <w:rPr>
          <w:lang w:val="en-US"/>
        </w:rPr>
        <w:t xml:space="preserve"> </w:t>
      </w:r>
      <w:r w:rsidR="00381ED5" w:rsidRPr="00812E8B">
        <w:rPr>
          <w:lang w:val="en-US"/>
        </w:rPr>
        <w:t>regulation on</w:t>
      </w:r>
      <w:r w:rsidRPr="00812E8B">
        <w:rPr>
          <w:lang w:val="en-US"/>
        </w:rPr>
        <w:t xml:space="preserve"> risk taking </w:t>
      </w:r>
      <w:r w:rsidR="00381ED5" w:rsidRPr="00812E8B">
        <w:rPr>
          <w:lang w:val="en-US"/>
        </w:rPr>
        <w:t>by</w:t>
      </w:r>
      <w:r w:rsidR="008B0DF7" w:rsidRPr="00812E8B">
        <w:rPr>
          <w:lang w:val="en-US"/>
        </w:rPr>
        <w:t xml:space="preserve"> banks</w:t>
      </w:r>
      <w:r w:rsidR="00381ED5" w:rsidRPr="00812E8B">
        <w:rPr>
          <w:lang w:val="en-US"/>
        </w:rPr>
        <w:t xml:space="preserve">. </w:t>
      </w:r>
      <w:r w:rsidR="00DA04A4" w:rsidRPr="00812E8B">
        <w:rPr>
          <w:lang w:val="en-US"/>
        </w:rPr>
        <w:t>Findings suggest</w:t>
      </w:r>
      <w:r w:rsidRPr="00812E8B">
        <w:rPr>
          <w:lang w:val="en-US"/>
        </w:rPr>
        <w:t xml:space="preserve"> that bank risk taking </w:t>
      </w:r>
      <w:r w:rsidR="00BB2C48" w:rsidRPr="00812E8B">
        <w:rPr>
          <w:lang w:val="en-US"/>
        </w:rPr>
        <w:t xml:space="preserve">increase when the owners have more voting power (higher cash flow rights) than banks owned and governed by managers or debt holders </w:t>
      </w:r>
      <w:r w:rsidR="00420116" w:rsidRPr="00812E8B">
        <w:rPr>
          <w:lang w:val="en-US"/>
        </w:rPr>
        <w:t xml:space="preserve">in a sample of </w:t>
      </w:r>
      <w:r w:rsidR="0065336D" w:rsidRPr="00812E8B">
        <w:rPr>
          <w:lang w:val="en-US"/>
        </w:rPr>
        <w:t>all</w:t>
      </w:r>
      <w:r w:rsidR="00420116" w:rsidRPr="00812E8B">
        <w:rPr>
          <w:lang w:val="en-US"/>
        </w:rPr>
        <w:t xml:space="preserve"> ten largest publicly listed banks in the world between 1996 and 2001</w:t>
      </w:r>
      <w:r w:rsidRPr="00812E8B">
        <w:rPr>
          <w:lang w:val="en-US"/>
        </w:rPr>
        <w:t xml:space="preserve">. Moreover, they </w:t>
      </w:r>
      <w:r w:rsidR="00A31CFD" w:rsidRPr="00812E8B">
        <w:rPr>
          <w:lang w:val="en-US"/>
        </w:rPr>
        <w:t>find</w:t>
      </w:r>
      <w:r w:rsidRPr="00812E8B">
        <w:rPr>
          <w:lang w:val="en-US"/>
        </w:rPr>
        <w:t xml:space="preserve"> that regulation has different effects on bank risk taking depending on the ownership structure. The study of </w:t>
      </w:r>
      <w:r w:rsidR="0043417A" w:rsidRPr="00812E8B">
        <w:rPr>
          <w:color w:val="365F91" w:themeColor="accent1" w:themeShade="BF"/>
          <w:lang w:val="en-US"/>
        </w:rPr>
        <w:t xml:space="preserve">Laeven &amp; Levine (2009) </w:t>
      </w:r>
      <w:r w:rsidRPr="00812E8B">
        <w:rPr>
          <w:lang w:val="en-US"/>
        </w:rPr>
        <w:t>contribut</w:t>
      </w:r>
      <w:r w:rsidR="00A31CFD" w:rsidRPr="00812E8B">
        <w:rPr>
          <w:lang w:val="en-US"/>
        </w:rPr>
        <w:t>es</w:t>
      </w:r>
      <w:r w:rsidRPr="00812E8B">
        <w:rPr>
          <w:lang w:val="en-US"/>
        </w:rPr>
        <w:t xml:space="preserve"> to existing literature by </w:t>
      </w:r>
      <w:r w:rsidR="00A31CFD" w:rsidRPr="00812E8B">
        <w:rPr>
          <w:lang w:val="en-US"/>
        </w:rPr>
        <w:t>presenting</w:t>
      </w:r>
      <w:r w:rsidRPr="00812E8B">
        <w:rPr>
          <w:lang w:val="en-US"/>
        </w:rPr>
        <w:t xml:space="preserve"> how ownership structures</w:t>
      </w:r>
      <w:r w:rsidRPr="00812E8B">
        <w:rPr>
          <w:color w:val="FF0000"/>
          <w:lang w:val="en-US"/>
        </w:rPr>
        <w:t xml:space="preserve"> </w:t>
      </w:r>
      <w:r w:rsidR="00A31CFD" w:rsidRPr="00812E8B">
        <w:rPr>
          <w:lang w:val="en-US"/>
        </w:rPr>
        <w:t>interact with regulation</w:t>
      </w:r>
      <w:r w:rsidRPr="00812E8B">
        <w:rPr>
          <w:lang w:val="en-US"/>
        </w:rPr>
        <w:t xml:space="preserve"> with respect to risk taking behavior of banks. This research direction has not gained much attention neither from academic research nor from policy makers</w:t>
      </w:r>
      <w:r w:rsidR="00DF398A" w:rsidRPr="00812E8B">
        <w:rPr>
          <w:lang w:val="en-US"/>
        </w:rPr>
        <w:t>, w</w:t>
      </w:r>
      <w:r w:rsidRPr="00812E8B">
        <w:rPr>
          <w:lang w:val="en-US"/>
        </w:rPr>
        <w:t>hilst it is very important for regulators to gain insight in the mechanisms</w:t>
      </w:r>
      <w:r w:rsidR="00381ED5" w:rsidRPr="00812E8B">
        <w:rPr>
          <w:lang w:val="en-US"/>
        </w:rPr>
        <w:t xml:space="preserve"> that</w:t>
      </w:r>
      <w:r w:rsidRPr="00812E8B">
        <w:rPr>
          <w:lang w:val="en-US"/>
        </w:rPr>
        <w:t xml:space="preserve"> drive risk-taking.</w:t>
      </w:r>
    </w:p>
    <w:p w:rsidR="0065336D" w:rsidRPr="00812E8B" w:rsidRDefault="0065336D" w:rsidP="00CE1B03">
      <w:pPr>
        <w:pStyle w:val="NoSpacing"/>
        <w:spacing w:line="276" w:lineRule="auto"/>
        <w:jc w:val="both"/>
        <w:rPr>
          <w:lang w:val="en-US"/>
        </w:rPr>
      </w:pPr>
    </w:p>
    <w:p w:rsidR="00E029DD" w:rsidRPr="00812E8B" w:rsidRDefault="00E029DD" w:rsidP="00CE1B03">
      <w:pPr>
        <w:pStyle w:val="Heading2"/>
        <w:rPr>
          <w:color w:val="auto"/>
          <w:lang w:val="en-US"/>
        </w:rPr>
      </w:pPr>
      <w:bookmarkStart w:id="20" w:name="_Toc306359640"/>
      <w:r w:rsidRPr="00812E8B">
        <w:rPr>
          <w:color w:val="auto"/>
          <w:lang w:val="en-US"/>
        </w:rPr>
        <w:t>3.</w:t>
      </w:r>
      <w:r w:rsidR="00D32EAA" w:rsidRPr="00812E8B">
        <w:rPr>
          <w:color w:val="auto"/>
          <w:lang w:val="en-US"/>
        </w:rPr>
        <w:t>2</w:t>
      </w:r>
      <w:r w:rsidR="008027D4" w:rsidRPr="00812E8B">
        <w:rPr>
          <w:color w:val="auto"/>
          <w:lang w:val="en-US"/>
        </w:rPr>
        <w:t xml:space="preserve"> </w:t>
      </w:r>
      <w:r w:rsidR="00641BCE" w:rsidRPr="00812E8B">
        <w:rPr>
          <w:color w:val="auto"/>
          <w:lang w:val="en-US"/>
        </w:rPr>
        <w:t>L</w:t>
      </w:r>
      <w:r w:rsidR="00FB0A28" w:rsidRPr="00812E8B">
        <w:rPr>
          <w:color w:val="auto"/>
          <w:sz w:val="20"/>
          <w:szCs w:val="20"/>
          <w:lang w:val="en-US"/>
        </w:rPr>
        <w:t>ITERATURE ON OWNERSHIP STRUCTURE AND PROFITABILITY</w:t>
      </w:r>
      <w:bookmarkEnd w:id="20"/>
    </w:p>
    <w:p w:rsidR="00CB0992" w:rsidRPr="00812E8B" w:rsidRDefault="00FD0E28" w:rsidP="00CE1B03">
      <w:pPr>
        <w:pStyle w:val="NoSpacing"/>
        <w:tabs>
          <w:tab w:val="left" w:pos="6547"/>
        </w:tabs>
        <w:spacing w:line="276" w:lineRule="auto"/>
        <w:jc w:val="both"/>
        <w:rPr>
          <w:lang w:val="en-US"/>
        </w:rPr>
      </w:pPr>
      <w:r w:rsidRPr="00812E8B">
        <w:rPr>
          <w:lang w:val="en-US"/>
        </w:rPr>
        <w:t>A considerable amount of studies has</w:t>
      </w:r>
      <w:r w:rsidR="00A31CFD" w:rsidRPr="00812E8B">
        <w:rPr>
          <w:lang w:val="en-US"/>
        </w:rPr>
        <w:t xml:space="preserve"> </w:t>
      </w:r>
      <w:r w:rsidR="00CB0992" w:rsidRPr="00812E8B">
        <w:rPr>
          <w:lang w:val="en-US"/>
        </w:rPr>
        <w:t>investigated the infl</w:t>
      </w:r>
      <w:r w:rsidR="002C4EE4" w:rsidRPr="00812E8B">
        <w:rPr>
          <w:lang w:val="en-US"/>
        </w:rPr>
        <w:t xml:space="preserve">uence of ownership structure on banks’ </w:t>
      </w:r>
      <w:r w:rsidR="00DF398A" w:rsidRPr="00812E8B">
        <w:rPr>
          <w:lang w:val="en-US"/>
        </w:rPr>
        <w:t>profitability, b</w:t>
      </w:r>
      <w:r w:rsidR="00CB0992" w:rsidRPr="00812E8B">
        <w:rPr>
          <w:lang w:val="en-US"/>
        </w:rPr>
        <w:t xml:space="preserve">oth for the non-banking sector as for the banking sector. Theoretical </w:t>
      </w:r>
      <w:r w:rsidR="00DF398A" w:rsidRPr="00812E8B">
        <w:rPr>
          <w:lang w:val="en-US"/>
        </w:rPr>
        <w:t>literature</w:t>
      </w:r>
      <w:r w:rsidR="00CB0992" w:rsidRPr="00812E8B">
        <w:rPr>
          <w:lang w:val="en-US"/>
        </w:rPr>
        <w:t xml:space="preserve"> suggests that, co</w:t>
      </w:r>
      <w:r w:rsidR="002D7A25" w:rsidRPr="00812E8B">
        <w:rPr>
          <w:lang w:val="en-US"/>
        </w:rPr>
        <w:t>-</w:t>
      </w:r>
      <w:r w:rsidR="00DF398A" w:rsidRPr="00812E8B">
        <w:rPr>
          <w:lang w:val="en-US"/>
        </w:rPr>
        <w:t xml:space="preserve">operative entities, </w:t>
      </w:r>
      <w:r w:rsidR="001C196F" w:rsidRPr="00812E8B">
        <w:rPr>
          <w:lang w:val="en-US"/>
        </w:rPr>
        <w:t>state-</w:t>
      </w:r>
      <w:r w:rsidR="00CB0992" w:rsidRPr="00812E8B">
        <w:rPr>
          <w:lang w:val="en-US"/>
        </w:rPr>
        <w:t>owned entities have fewer incentives for profit maximizing than private entities by dif</w:t>
      </w:r>
      <w:r w:rsidR="0073321E" w:rsidRPr="00812E8B">
        <w:rPr>
          <w:lang w:val="en-US"/>
        </w:rPr>
        <w:t>ferences in market discipline and</w:t>
      </w:r>
      <w:r w:rsidR="00CB0992" w:rsidRPr="00812E8B">
        <w:rPr>
          <w:lang w:val="en-US"/>
        </w:rPr>
        <w:t xml:space="preserve"> </w:t>
      </w:r>
      <w:r w:rsidR="00420116" w:rsidRPr="00812E8B">
        <w:rPr>
          <w:lang w:val="en-US"/>
        </w:rPr>
        <w:t>objectives</w:t>
      </w:r>
      <w:r w:rsidR="00CB0992" w:rsidRPr="00812E8B">
        <w:rPr>
          <w:lang w:val="en-US"/>
        </w:rPr>
        <w:t xml:space="preserve">. However, there is no strong </w:t>
      </w:r>
      <w:r w:rsidR="00757FF0" w:rsidRPr="00812E8B">
        <w:rPr>
          <w:lang w:val="en-US"/>
        </w:rPr>
        <w:t xml:space="preserve">empirical </w:t>
      </w:r>
      <w:r w:rsidR="00CB0992" w:rsidRPr="00812E8B">
        <w:rPr>
          <w:lang w:val="en-US"/>
        </w:rPr>
        <w:t>evidence for the underlying theoretical explanations that ownership structure affect</w:t>
      </w:r>
      <w:r w:rsidR="002D7A25" w:rsidRPr="00812E8B">
        <w:rPr>
          <w:lang w:val="en-US"/>
        </w:rPr>
        <w:t>s</w:t>
      </w:r>
      <w:r w:rsidR="00CB0992" w:rsidRPr="00812E8B">
        <w:rPr>
          <w:lang w:val="en-US"/>
        </w:rPr>
        <w:t xml:space="preserve"> performance</w:t>
      </w:r>
      <w:r w:rsidR="00757FF0" w:rsidRPr="00812E8B">
        <w:rPr>
          <w:lang w:val="en-US"/>
        </w:rPr>
        <w:t xml:space="preserve"> as proposed in chapter two</w:t>
      </w:r>
      <w:r w:rsidR="00CB0992" w:rsidRPr="00812E8B">
        <w:rPr>
          <w:lang w:val="en-US"/>
        </w:rPr>
        <w:t xml:space="preserve">. Results for both the non-banking sector and banking sector are mixed, depending on </w:t>
      </w:r>
      <w:r w:rsidR="00483CBB" w:rsidRPr="00812E8B">
        <w:rPr>
          <w:lang w:val="en-US"/>
        </w:rPr>
        <w:t>period</w:t>
      </w:r>
      <w:r w:rsidR="00CB0992" w:rsidRPr="00812E8B">
        <w:rPr>
          <w:lang w:val="en-US"/>
        </w:rPr>
        <w:t xml:space="preserve"> of study and region</w:t>
      </w:r>
      <w:r w:rsidR="00483CBB" w:rsidRPr="00812E8B">
        <w:rPr>
          <w:lang w:val="en-US"/>
        </w:rPr>
        <w:t xml:space="preserve"> in which the study is performed</w:t>
      </w:r>
      <w:r w:rsidR="00CB0992" w:rsidRPr="00812E8B">
        <w:rPr>
          <w:lang w:val="en-US"/>
        </w:rPr>
        <w:t xml:space="preserve">. </w:t>
      </w:r>
      <w:r w:rsidR="0073321E" w:rsidRPr="00812E8B">
        <w:rPr>
          <w:lang w:val="en-US"/>
        </w:rPr>
        <w:t>Nevertheless</w:t>
      </w:r>
      <w:r w:rsidR="00CB0992" w:rsidRPr="00812E8B">
        <w:rPr>
          <w:lang w:val="en-US"/>
        </w:rPr>
        <w:t>, as</w:t>
      </w:r>
      <w:r w:rsidR="00483CBB" w:rsidRPr="00812E8B">
        <w:rPr>
          <w:lang w:val="en-US"/>
        </w:rPr>
        <w:t xml:space="preserve"> theoretical literature suggests, </w:t>
      </w:r>
      <w:r w:rsidR="00CB0992" w:rsidRPr="00812E8B">
        <w:rPr>
          <w:lang w:val="en-US"/>
        </w:rPr>
        <w:t xml:space="preserve">ownership </w:t>
      </w:r>
      <w:r w:rsidR="00483CBB" w:rsidRPr="00812E8B">
        <w:rPr>
          <w:lang w:val="en-US"/>
        </w:rPr>
        <w:t>could</w:t>
      </w:r>
      <w:r w:rsidR="00CB0992" w:rsidRPr="00812E8B">
        <w:rPr>
          <w:lang w:val="en-US"/>
        </w:rPr>
        <w:t xml:space="preserve"> be important </w:t>
      </w:r>
      <w:r w:rsidR="0073321E" w:rsidRPr="00812E8B">
        <w:rPr>
          <w:lang w:val="en-US"/>
        </w:rPr>
        <w:t xml:space="preserve">determinants of profitability </w:t>
      </w:r>
      <w:r w:rsidR="00483CBB" w:rsidRPr="00812E8B">
        <w:rPr>
          <w:lang w:val="en-US"/>
        </w:rPr>
        <w:t xml:space="preserve">and therefore </w:t>
      </w:r>
      <w:r w:rsidR="00CB0992" w:rsidRPr="00812E8B">
        <w:rPr>
          <w:lang w:val="en-US"/>
        </w:rPr>
        <w:t xml:space="preserve">some interesting studies are worth to mention. </w:t>
      </w:r>
    </w:p>
    <w:p w:rsidR="0010773E" w:rsidRPr="00812E8B" w:rsidRDefault="0010773E" w:rsidP="00CE1B03">
      <w:pPr>
        <w:pStyle w:val="NoSpacing"/>
        <w:spacing w:line="276" w:lineRule="auto"/>
        <w:rPr>
          <w:lang w:val="en-US"/>
        </w:rPr>
      </w:pPr>
    </w:p>
    <w:p w:rsidR="00DD54DC" w:rsidRPr="00812E8B" w:rsidRDefault="007F04FA" w:rsidP="00CE1B03">
      <w:pPr>
        <w:pStyle w:val="NoSpacing"/>
        <w:tabs>
          <w:tab w:val="left" w:pos="6547"/>
        </w:tabs>
        <w:spacing w:line="276" w:lineRule="auto"/>
        <w:jc w:val="both"/>
        <w:rPr>
          <w:lang w:val="en-US"/>
        </w:rPr>
      </w:pPr>
      <w:r w:rsidRPr="00812E8B">
        <w:rPr>
          <w:lang w:val="en-US"/>
        </w:rPr>
        <w:t>A</w:t>
      </w:r>
      <w:r w:rsidR="00DD54DC" w:rsidRPr="00812E8B">
        <w:rPr>
          <w:lang w:val="en-US"/>
        </w:rPr>
        <w:t>n oft-cited s</w:t>
      </w:r>
      <w:r w:rsidR="001009C4" w:rsidRPr="00812E8B">
        <w:rPr>
          <w:lang w:val="en-US"/>
        </w:rPr>
        <w:t xml:space="preserve">tudy of </w:t>
      </w:r>
      <w:r w:rsidR="006029C5" w:rsidRPr="00812E8B">
        <w:rPr>
          <w:color w:val="365F91" w:themeColor="accent1" w:themeShade="BF"/>
          <w:lang w:val="en-US"/>
        </w:rPr>
        <w:t>Gompers, Ishi and Metrick (2003)</w:t>
      </w:r>
      <w:r w:rsidR="001009C4" w:rsidRPr="00812E8B">
        <w:rPr>
          <w:color w:val="365F91" w:themeColor="accent1" w:themeShade="BF"/>
          <w:lang w:val="en-US"/>
        </w:rPr>
        <w:t xml:space="preserve"> </w:t>
      </w:r>
      <w:r w:rsidR="00A31CFD" w:rsidRPr="00812E8B">
        <w:rPr>
          <w:lang w:val="en-US"/>
        </w:rPr>
        <w:t>state</w:t>
      </w:r>
      <w:r w:rsidR="001009C4" w:rsidRPr="00812E8B">
        <w:rPr>
          <w:lang w:val="en-US"/>
        </w:rPr>
        <w:t xml:space="preserve"> </w:t>
      </w:r>
      <w:r w:rsidR="000C3DC8" w:rsidRPr="00812E8B">
        <w:rPr>
          <w:lang w:val="en-US"/>
        </w:rPr>
        <w:t xml:space="preserve">that firms </w:t>
      </w:r>
      <w:r w:rsidR="002D7A25" w:rsidRPr="00812E8B">
        <w:rPr>
          <w:lang w:val="en-US"/>
        </w:rPr>
        <w:t xml:space="preserve">in the non-banking sector </w:t>
      </w:r>
      <w:r w:rsidR="000C3DC8" w:rsidRPr="00812E8B">
        <w:rPr>
          <w:lang w:val="en-US"/>
        </w:rPr>
        <w:t>with stronger shareho</w:t>
      </w:r>
      <w:r w:rsidR="002D7A25" w:rsidRPr="00812E8B">
        <w:rPr>
          <w:lang w:val="en-US"/>
        </w:rPr>
        <w:t>lders rights had higher profits</w:t>
      </w:r>
      <w:r w:rsidR="001C196F" w:rsidRPr="00812E8B">
        <w:rPr>
          <w:lang w:val="en-US"/>
        </w:rPr>
        <w:t>. They</w:t>
      </w:r>
      <w:r w:rsidR="00F64461" w:rsidRPr="00812E8B">
        <w:rPr>
          <w:lang w:val="en-US"/>
        </w:rPr>
        <w:t xml:space="preserve"> us</w:t>
      </w:r>
      <w:r w:rsidR="001C196F" w:rsidRPr="00812E8B">
        <w:rPr>
          <w:lang w:val="en-US"/>
        </w:rPr>
        <w:t>ed</w:t>
      </w:r>
      <w:r w:rsidR="00F64461" w:rsidRPr="00812E8B">
        <w:rPr>
          <w:lang w:val="en-US"/>
        </w:rPr>
        <w:t xml:space="preserve"> a large dataset of </w:t>
      </w:r>
      <w:r w:rsidR="00DD54DC" w:rsidRPr="00812E8B">
        <w:rPr>
          <w:lang w:val="en-US"/>
        </w:rPr>
        <w:t>1500 firms</w:t>
      </w:r>
      <w:r w:rsidR="001009C4" w:rsidRPr="00812E8B">
        <w:rPr>
          <w:lang w:val="en-US"/>
        </w:rPr>
        <w:t xml:space="preserve"> </w:t>
      </w:r>
      <w:r w:rsidR="00F64461" w:rsidRPr="00812E8B">
        <w:rPr>
          <w:lang w:val="en-US"/>
        </w:rPr>
        <w:t xml:space="preserve">with observations in </w:t>
      </w:r>
      <w:r w:rsidR="001009C4" w:rsidRPr="00812E8B">
        <w:rPr>
          <w:lang w:val="en-US"/>
        </w:rPr>
        <w:t>the 1990’s</w:t>
      </w:r>
      <w:r w:rsidR="00AB314A" w:rsidRPr="00812E8B">
        <w:rPr>
          <w:lang w:val="en-US"/>
        </w:rPr>
        <w:t>. In addition, they fou</w:t>
      </w:r>
      <w:r w:rsidR="00F64461" w:rsidRPr="00812E8B">
        <w:rPr>
          <w:lang w:val="en-US"/>
        </w:rPr>
        <w:t>nd that i</w:t>
      </w:r>
      <w:r w:rsidR="000C3DC8" w:rsidRPr="00812E8B">
        <w:rPr>
          <w:lang w:val="en-US"/>
        </w:rPr>
        <w:t>nvestment portfolios of firms with stronge</w:t>
      </w:r>
      <w:r w:rsidR="00BC22F5" w:rsidRPr="00812E8B">
        <w:rPr>
          <w:lang w:val="en-US"/>
        </w:rPr>
        <w:t>st</w:t>
      </w:r>
      <w:r w:rsidR="000C3DC8" w:rsidRPr="00812E8B">
        <w:rPr>
          <w:lang w:val="en-US"/>
        </w:rPr>
        <w:t xml:space="preserve"> shareholder rights earned abnormal returns </w:t>
      </w:r>
      <w:r w:rsidR="002D7A25" w:rsidRPr="00812E8B">
        <w:rPr>
          <w:lang w:val="en-US"/>
        </w:rPr>
        <w:t>of 8.</w:t>
      </w:r>
      <w:r w:rsidR="00BC22F5" w:rsidRPr="00812E8B">
        <w:rPr>
          <w:lang w:val="en-US"/>
        </w:rPr>
        <w:t xml:space="preserve">5% </w:t>
      </w:r>
      <w:r w:rsidR="000C3DC8" w:rsidRPr="00812E8B">
        <w:rPr>
          <w:lang w:val="en-US"/>
        </w:rPr>
        <w:t xml:space="preserve">compared to firms with weakest rights. </w:t>
      </w:r>
      <w:r w:rsidR="00A13EEF" w:rsidRPr="00812E8B">
        <w:rPr>
          <w:lang w:val="en-US"/>
        </w:rPr>
        <w:t xml:space="preserve">This findings stand in sharp contrast to </w:t>
      </w:r>
      <w:r w:rsidR="006029C5" w:rsidRPr="00812E8B">
        <w:rPr>
          <w:color w:val="365F91" w:themeColor="accent1" w:themeShade="BF"/>
          <w:lang w:val="en-US"/>
        </w:rPr>
        <w:t>Demsetz and Villalonga (2001)</w:t>
      </w:r>
      <w:r w:rsidR="004E4B59" w:rsidRPr="00812E8B">
        <w:rPr>
          <w:color w:val="365F91" w:themeColor="accent1" w:themeShade="BF"/>
          <w:lang w:val="en-US"/>
        </w:rPr>
        <w:t xml:space="preserve"> </w:t>
      </w:r>
      <w:r w:rsidR="001C196F" w:rsidRPr="00812E8B">
        <w:rPr>
          <w:lang w:val="en-US"/>
        </w:rPr>
        <w:t xml:space="preserve">who </w:t>
      </w:r>
      <w:r w:rsidR="00A31CFD" w:rsidRPr="00812E8B">
        <w:rPr>
          <w:lang w:val="en-US"/>
        </w:rPr>
        <w:t>do</w:t>
      </w:r>
      <w:r w:rsidR="001C196F" w:rsidRPr="00812E8B">
        <w:rPr>
          <w:lang w:val="en-US"/>
        </w:rPr>
        <w:t xml:space="preserve"> not</w:t>
      </w:r>
      <w:r w:rsidR="002D7A25" w:rsidRPr="00812E8B">
        <w:rPr>
          <w:lang w:val="en-US"/>
        </w:rPr>
        <w:t xml:space="preserve"> </w:t>
      </w:r>
      <w:r w:rsidR="00A31CFD" w:rsidRPr="00812E8B">
        <w:rPr>
          <w:lang w:val="en-US"/>
        </w:rPr>
        <w:t>find</w:t>
      </w:r>
      <w:r w:rsidR="001C196F" w:rsidRPr="00812E8B">
        <w:rPr>
          <w:lang w:val="en-US"/>
        </w:rPr>
        <w:t xml:space="preserve"> a</w:t>
      </w:r>
      <w:r w:rsidR="004E4B59" w:rsidRPr="00812E8B">
        <w:rPr>
          <w:lang w:val="en-US"/>
        </w:rPr>
        <w:t xml:space="preserve"> significant relation</w:t>
      </w:r>
      <w:r w:rsidR="002C4EE4" w:rsidRPr="00812E8B">
        <w:rPr>
          <w:lang w:val="en-US"/>
        </w:rPr>
        <w:t>ship</w:t>
      </w:r>
      <w:r w:rsidR="004E4B59" w:rsidRPr="00812E8B">
        <w:rPr>
          <w:lang w:val="en-US"/>
        </w:rPr>
        <w:t xml:space="preserve"> between ownership structure and firm performance</w:t>
      </w:r>
      <w:r w:rsidR="00A13EEF" w:rsidRPr="00812E8B">
        <w:rPr>
          <w:lang w:val="en-US"/>
        </w:rPr>
        <w:t>.</w:t>
      </w:r>
      <w:r w:rsidR="0077720D" w:rsidRPr="00812E8B">
        <w:rPr>
          <w:lang w:val="en-US"/>
        </w:rPr>
        <w:t xml:space="preserve"> They </w:t>
      </w:r>
      <w:r w:rsidR="00A31CFD" w:rsidRPr="00812E8B">
        <w:rPr>
          <w:lang w:val="en-US"/>
        </w:rPr>
        <w:t>assess</w:t>
      </w:r>
      <w:r w:rsidR="0077720D" w:rsidRPr="00812E8B">
        <w:rPr>
          <w:lang w:val="en-US"/>
        </w:rPr>
        <w:t xml:space="preserve"> 223 firms in the U.S.</w:t>
      </w:r>
      <w:r w:rsidR="00A31CFD" w:rsidRPr="00812E8B">
        <w:rPr>
          <w:lang w:val="en-US"/>
        </w:rPr>
        <w:t>A.</w:t>
      </w:r>
      <w:r w:rsidR="0077720D" w:rsidRPr="00812E8B">
        <w:rPr>
          <w:lang w:val="en-US"/>
        </w:rPr>
        <w:t xml:space="preserve">  </w:t>
      </w:r>
      <w:r w:rsidR="00A31CFD" w:rsidRPr="00812E8B">
        <w:rPr>
          <w:lang w:val="en-US"/>
        </w:rPr>
        <w:t xml:space="preserve">between </w:t>
      </w:r>
      <w:r w:rsidR="0077720D" w:rsidRPr="00812E8B">
        <w:rPr>
          <w:lang w:val="en-US"/>
        </w:rPr>
        <w:t>1976</w:t>
      </w:r>
      <w:r w:rsidR="00A31CFD" w:rsidRPr="00812E8B">
        <w:rPr>
          <w:lang w:val="en-US"/>
        </w:rPr>
        <w:t xml:space="preserve"> and </w:t>
      </w:r>
      <w:r w:rsidR="0077720D" w:rsidRPr="00812E8B">
        <w:rPr>
          <w:lang w:val="en-US"/>
        </w:rPr>
        <w:t>1980.</w:t>
      </w:r>
      <w:r w:rsidR="00A13EEF" w:rsidRPr="00812E8B">
        <w:rPr>
          <w:lang w:val="en-US"/>
        </w:rPr>
        <w:t xml:space="preserve"> </w:t>
      </w:r>
      <w:r w:rsidR="0043417A" w:rsidRPr="00812E8B">
        <w:rPr>
          <w:color w:val="365F91" w:themeColor="accent1" w:themeShade="BF"/>
          <w:lang w:val="en-US"/>
        </w:rPr>
        <w:t xml:space="preserve">Saunders et al. (1990) </w:t>
      </w:r>
      <w:r w:rsidR="00A31CFD" w:rsidRPr="00812E8B">
        <w:rPr>
          <w:lang w:val="en-US"/>
        </w:rPr>
        <w:t>extend</w:t>
      </w:r>
      <w:r w:rsidR="0073321E" w:rsidRPr="00812E8B">
        <w:rPr>
          <w:lang w:val="en-US"/>
        </w:rPr>
        <w:t xml:space="preserve"> the studies on ownership structure </w:t>
      </w:r>
      <w:r w:rsidR="00DD54DC" w:rsidRPr="00812E8B">
        <w:rPr>
          <w:lang w:val="en-US"/>
        </w:rPr>
        <w:t xml:space="preserve">to the banking sector, in which third party agents set rules and regulation regarding risk taking. Following </w:t>
      </w:r>
      <w:r w:rsidR="00AB6E42" w:rsidRPr="00812E8B">
        <w:rPr>
          <w:lang w:val="en-US"/>
        </w:rPr>
        <w:lastRenderedPageBreak/>
        <w:t>their</w:t>
      </w:r>
      <w:r w:rsidR="00DD54DC" w:rsidRPr="00812E8B">
        <w:rPr>
          <w:lang w:val="en-US"/>
        </w:rPr>
        <w:t xml:space="preserve"> article the presence of regulators could, unlike non-banking firms, </w:t>
      </w:r>
      <w:r w:rsidR="00BB2C48" w:rsidRPr="00812E8B">
        <w:rPr>
          <w:lang w:val="en-US"/>
        </w:rPr>
        <w:t>increase</w:t>
      </w:r>
      <w:r w:rsidR="00DD54DC" w:rsidRPr="00812E8B">
        <w:rPr>
          <w:lang w:val="en-US"/>
        </w:rPr>
        <w:t xml:space="preserve"> or </w:t>
      </w:r>
      <w:r w:rsidR="00BB2C48" w:rsidRPr="00812E8B">
        <w:rPr>
          <w:lang w:val="en-US"/>
        </w:rPr>
        <w:t>decrease bank risk-</w:t>
      </w:r>
      <w:r w:rsidR="00DD54DC" w:rsidRPr="00812E8B">
        <w:rPr>
          <w:lang w:val="en-US"/>
        </w:rPr>
        <w:t xml:space="preserve">taking incentives. </w:t>
      </w:r>
      <w:r w:rsidR="00204272" w:rsidRPr="00812E8B">
        <w:rPr>
          <w:lang w:val="en-US"/>
        </w:rPr>
        <w:t xml:space="preserve">They </w:t>
      </w:r>
      <w:r w:rsidR="00A31CFD" w:rsidRPr="00812E8B">
        <w:rPr>
          <w:lang w:val="en-US"/>
        </w:rPr>
        <w:t>find</w:t>
      </w:r>
      <w:r w:rsidR="00DD54DC" w:rsidRPr="00812E8B">
        <w:rPr>
          <w:lang w:val="en-US"/>
        </w:rPr>
        <w:t xml:space="preserve"> some evidence that banks</w:t>
      </w:r>
      <w:r w:rsidR="00BB2C48" w:rsidRPr="00812E8B">
        <w:rPr>
          <w:lang w:val="en-US"/>
        </w:rPr>
        <w:t xml:space="preserve"> in which managers have a stock option </w:t>
      </w:r>
      <w:r w:rsidR="00DD54DC" w:rsidRPr="00812E8B">
        <w:rPr>
          <w:lang w:val="en-US"/>
        </w:rPr>
        <w:t>take more risk than banks</w:t>
      </w:r>
      <w:r w:rsidR="00BB2C48" w:rsidRPr="00812E8B">
        <w:rPr>
          <w:lang w:val="en-US"/>
        </w:rPr>
        <w:t xml:space="preserve"> which managers have no extra incentives in maximizing shareholder value. Results are in</w:t>
      </w:r>
      <w:r w:rsidR="00757FF0" w:rsidRPr="00812E8B">
        <w:rPr>
          <w:lang w:val="en-US"/>
        </w:rPr>
        <w:t xml:space="preserve"> line with the agency theory</w:t>
      </w:r>
      <w:r w:rsidR="00026D7B" w:rsidRPr="00812E8B">
        <w:rPr>
          <w:lang w:val="en-US"/>
        </w:rPr>
        <w:t xml:space="preserve"> of </w:t>
      </w:r>
      <w:r w:rsidR="00026D7B" w:rsidRPr="00812E8B">
        <w:rPr>
          <w:color w:val="365F91" w:themeColor="accent1" w:themeShade="BF"/>
          <w:lang w:val="en-US"/>
        </w:rPr>
        <w:t>Jensen and Meckling (1976)</w:t>
      </w:r>
      <w:r w:rsidR="00DD54DC" w:rsidRPr="00812E8B">
        <w:rPr>
          <w:lang w:val="en-US"/>
        </w:rPr>
        <w:t xml:space="preserve">. Subsequently </w:t>
      </w:r>
      <w:r w:rsidR="0043417A" w:rsidRPr="00812E8B">
        <w:rPr>
          <w:color w:val="365F91" w:themeColor="accent1" w:themeShade="BF"/>
          <w:lang w:val="en-US"/>
        </w:rPr>
        <w:t xml:space="preserve">Saunders et al. (1990) </w:t>
      </w:r>
      <w:r w:rsidR="00DD54DC" w:rsidRPr="00812E8B">
        <w:rPr>
          <w:lang w:val="en-US"/>
        </w:rPr>
        <w:t xml:space="preserve">also </w:t>
      </w:r>
      <w:r w:rsidR="00A31CFD" w:rsidRPr="00812E8B">
        <w:rPr>
          <w:lang w:val="en-US"/>
        </w:rPr>
        <w:t>find</w:t>
      </w:r>
      <w:r w:rsidR="00DD54DC" w:rsidRPr="00812E8B">
        <w:rPr>
          <w:lang w:val="en-US"/>
        </w:rPr>
        <w:t xml:space="preserve"> that the variation in risk</w:t>
      </w:r>
      <w:r w:rsidR="001C196F" w:rsidRPr="00812E8B">
        <w:rPr>
          <w:lang w:val="en-US"/>
        </w:rPr>
        <w:t xml:space="preserve"> taking</w:t>
      </w:r>
      <w:r w:rsidR="00DD54DC" w:rsidRPr="00812E8B">
        <w:rPr>
          <w:lang w:val="en-US"/>
        </w:rPr>
        <w:t xml:space="preserve"> between </w:t>
      </w:r>
      <w:r w:rsidR="00BB2C48" w:rsidRPr="00812E8B">
        <w:rPr>
          <w:lang w:val="en-US"/>
        </w:rPr>
        <w:t>the banks with or without stock option compensation</w:t>
      </w:r>
      <w:r w:rsidR="00DD54DC" w:rsidRPr="00812E8B">
        <w:rPr>
          <w:lang w:val="en-US"/>
        </w:rPr>
        <w:t xml:space="preserve"> increase</w:t>
      </w:r>
      <w:r w:rsidR="001C196F" w:rsidRPr="00812E8B">
        <w:rPr>
          <w:lang w:val="en-US"/>
        </w:rPr>
        <w:t>d</w:t>
      </w:r>
      <w:r w:rsidR="00DD54DC" w:rsidRPr="00812E8B">
        <w:rPr>
          <w:lang w:val="en-US"/>
        </w:rPr>
        <w:t xml:space="preserve"> in periods of deregulation.</w:t>
      </w:r>
    </w:p>
    <w:p w:rsidR="007F04FA" w:rsidRPr="00812E8B" w:rsidRDefault="007F04FA" w:rsidP="00B8164C">
      <w:pPr>
        <w:pStyle w:val="NoSpacing"/>
        <w:rPr>
          <w:lang w:val="en-US"/>
        </w:rPr>
      </w:pPr>
    </w:p>
    <w:p w:rsidR="0014154A" w:rsidRPr="00812E8B" w:rsidRDefault="00363515" w:rsidP="00CE1B03">
      <w:pPr>
        <w:pStyle w:val="NoSpacing"/>
        <w:spacing w:line="276" w:lineRule="auto"/>
        <w:jc w:val="both"/>
        <w:rPr>
          <w:lang w:val="en-US"/>
        </w:rPr>
      </w:pPr>
      <w:r w:rsidRPr="00812E8B">
        <w:rPr>
          <w:lang w:val="en-US"/>
        </w:rPr>
        <w:t>Recent studies</w:t>
      </w:r>
      <w:r w:rsidR="00DD54DC" w:rsidRPr="00812E8B">
        <w:rPr>
          <w:lang w:val="en-US"/>
        </w:rPr>
        <w:t xml:space="preserve"> try to </w:t>
      </w:r>
      <w:r w:rsidR="00DB6BF5" w:rsidRPr="00812E8B">
        <w:rPr>
          <w:lang w:val="en-US"/>
        </w:rPr>
        <w:t xml:space="preserve">vouch results </w:t>
      </w:r>
      <w:r w:rsidR="00A31CFD" w:rsidRPr="00812E8B">
        <w:rPr>
          <w:lang w:val="en-US"/>
        </w:rPr>
        <w:t xml:space="preserve">of </w:t>
      </w:r>
      <w:r w:rsidR="0043417A" w:rsidRPr="00812E8B">
        <w:rPr>
          <w:color w:val="365F91" w:themeColor="accent1" w:themeShade="BF"/>
          <w:lang w:val="en-US"/>
        </w:rPr>
        <w:t>Saunders et al. (1990)</w:t>
      </w:r>
      <w:r w:rsidR="0043417A" w:rsidRPr="00812E8B">
        <w:rPr>
          <w:lang w:val="en-US"/>
        </w:rPr>
        <w:t>.</w:t>
      </w:r>
      <w:r w:rsidR="0043417A" w:rsidRPr="00812E8B">
        <w:rPr>
          <w:color w:val="365F91" w:themeColor="accent1" w:themeShade="BF"/>
          <w:lang w:val="en-US"/>
        </w:rPr>
        <w:t xml:space="preserve"> </w:t>
      </w:r>
      <w:r w:rsidR="00DB6BF5" w:rsidRPr="00812E8B">
        <w:rPr>
          <w:lang w:val="en-US"/>
        </w:rPr>
        <w:t xml:space="preserve">However, evidence on whether </w:t>
      </w:r>
      <w:r w:rsidR="00BB2C48" w:rsidRPr="00812E8B">
        <w:rPr>
          <w:lang w:val="en-US"/>
        </w:rPr>
        <w:t>stockholder-owned</w:t>
      </w:r>
      <w:r w:rsidR="00DB6BF5" w:rsidRPr="00812E8B">
        <w:rPr>
          <w:lang w:val="en-US"/>
        </w:rPr>
        <w:t xml:space="preserve"> banks outperform </w:t>
      </w:r>
      <w:r w:rsidR="00BB2C48" w:rsidRPr="00812E8B">
        <w:rPr>
          <w:lang w:val="en-US"/>
        </w:rPr>
        <w:t>governmental</w:t>
      </w:r>
      <w:r w:rsidR="008961B2" w:rsidRPr="00812E8B">
        <w:rPr>
          <w:lang w:val="en-US"/>
        </w:rPr>
        <w:t xml:space="preserve">, </w:t>
      </w:r>
      <w:r w:rsidR="00DB6BF5" w:rsidRPr="00812E8B">
        <w:rPr>
          <w:lang w:val="en-US"/>
        </w:rPr>
        <w:t xml:space="preserve">mutual and </w:t>
      </w:r>
      <w:r w:rsidR="002D7A25" w:rsidRPr="00812E8B">
        <w:rPr>
          <w:lang w:val="en-US"/>
        </w:rPr>
        <w:t>co-operative</w:t>
      </w:r>
      <w:r w:rsidR="00DB6BF5" w:rsidRPr="00812E8B">
        <w:rPr>
          <w:lang w:val="en-US"/>
        </w:rPr>
        <w:t xml:space="preserve"> banks</w:t>
      </w:r>
      <w:r w:rsidR="008961B2" w:rsidRPr="00812E8B">
        <w:rPr>
          <w:lang w:val="en-US"/>
        </w:rPr>
        <w:t xml:space="preserve"> is mixed </w:t>
      </w:r>
      <w:r w:rsidR="00AE700C" w:rsidRPr="00812E8B">
        <w:rPr>
          <w:color w:val="365F91" w:themeColor="accent1" w:themeShade="BF"/>
          <w:lang w:val="en-US"/>
        </w:rPr>
        <w:t>(Goddard et a.l, 2007</w:t>
      </w:r>
      <w:r w:rsidR="00610FAC" w:rsidRPr="00812E8B">
        <w:rPr>
          <w:lang w:val="en-US"/>
        </w:rPr>
        <w:t xml:space="preserve"> and </w:t>
      </w:r>
      <w:r w:rsidR="006029C5" w:rsidRPr="00812E8B">
        <w:rPr>
          <w:color w:val="365F91" w:themeColor="accent1" w:themeShade="BF"/>
          <w:lang w:val="en-US"/>
        </w:rPr>
        <w:t>Ayadi, Llewellyn, Schmidt, Arbak and De Groen, 2010)</w:t>
      </w:r>
      <w:r w:rsidR="00204272" w:rsidRPr="00812E8B">
        <w:rPr>
          <w:lang w:val="en-US"/>
        </w:rPr>
        <w:t xml:space="preserve">. </w:t>
      </w:r>
      <w:r w:rsidR="00E21D5B" w:rsidRPr="00812E8B">
        <w:rPr>
          <w:lang w:val="en-US"/>
        </w:rPr>
        <w:t xml:space="preserve">Results from </w:t>
      </w:r>
      <w:r w:rsidR="00881610" w:rsidRPr="00812E8B">
        <w:rPr>
          <w:color w:val="365F91" w:themeColor="accent1" w:themeShade="BF"/>
          <w:lang w:val="en-US"/>
        </w:rPr>
        <w:t>Molyneux and Thornton (1992)</w:t>
      </w:r>
      <w:r w:rsidR="00881610" w:rsidRPr="00812E8B">
        <w:rPr>
          <w:lang w:val="en-US"/>
        </w:rPr>
        <w:t xml:space="preserve"> </w:t>
      </w:r>
      <w:r w:rsidR="00E21D5B" w:rsidRPr="00812E8B">
        <w:rPr>
          <w:lang w:val="en-US"/>
        </w:rPr>
        <w:t xml:space="preserve">suggest </w:t>
      </w:r>
      <w:r w:rsidR="00752A3F" w:rsidRPr="00812E8B">
        <w:rPr>
          <w:lang w:val="en-US"/>
        </w:rPr>
        <w:t xml:space="preserve">that </w:t>
      </w:r>
      <w:r w:rsidR="00560AB0" w:rsidRPr="00812E8B">
        <w:rPr>
          <w:lang w:val="en-US"/>
        </w:rPr>
        <w:t>government</w:t>
      </w:r>
      <w:r w:rsidR="00752A3F" w:rsidRPr="00812E8B">
        <w:rPr>
          <w:lang w:val="en-US"/>
        </w:rPr>
        <w:t>-owned banks are</w:t>
      </w:r>
      <w:r w:rsidR="00E21D5B" w:rsidRPr="00812E8B">
        <w:rPr>
          <w:lang w:val="en-US"/>
        </w:rPr>
        <w:t xml:space="preserve"> more </w:t>
      </w:r>
      <w:r w:rsidR="00752A3F" w:rsidRPr="00812E8B">
        <w:rPr>
          <w:lang w:val="en-US"/>
        </w:rPr>
        <w:t>profitable</w:t>
      </w:r>
      <w:r w:rsidR="00E21D5B" w:rsidRPr="00812E8B">
        <w:rPr>
          <w:lang w:val="en-US"/>
        </w:rPr>
        <w:t xml:space="preserve"> than privately owned banks, in a sample of European banks between 1986 and 1989</w:t>
      </w:r>
      <w:r w:rsidR="00752A3F" w:rsidRPr="00812E8B">
        <w:rPr>
          <w:lang w:val="en-US"/>
        </w:rPr>
        <w:t>. They propose that</w:t>
      </w:r>
      <w:r w:rsidR="00C31071" w:rsidRPr="00812E8B">
        <w:rPr>
          <w:lang w:val="en-US"/>
        </w:rPr>
        <w:t xml:space="preserve"> the higher profitability, as measured by the return on equity, of </w:t>
      </w:r>
      <w:r w:rsidR="00560AB0" w:rsidRPr="00812E8B">
        <w:rPr>
          <w:lang w:val="en-US"/>
        </w:rPr>
        <w:t>government</w:t>
      </w:r>
      <w:r w:rsidR="00752A3F" w:rsidRPr="00812E8B">
        <w:rPr>
          <w:lang w:val="en-US"/>
        </w:rPr>
        <w:t xml:space="preserve">-owned banks </w:t>
      </w:r>
      <w:r w:rsidR="00C31071" w:rsidRPr="00812E8B">
        <w:rPr>
          <w:lang w:val="en-US"/>
        </w:rPr>
        <w:t>arise by a</w:t>
      </w:r>
      <w:r w:rsidR="00752A3F" w:rsidRPr="00812E8B">
        <w:rPr>
          <w:lang w:val="en-US"/>
        </w:rPr>
        <w:t xml:space="preserve"> lower </w:t>
      </w:r>
      <w:r w:rsidR="00C31071" w:rsidRPr="00812E8B">
        <w:rPr>
          <w:lang w:val="en-US"/>
        </w:rPr>
        <w:t>equity-to-asset ratio of government-owned banks, which</w:t>
      </w:r>
      <w:r w:rsidR="002B555D" w:rsidRPr="00812E8B">
        <w:rPr>
          <w:lang w:val="en-US"/>
        </w:rPr>
        <w:t xml:space="preserve"> will lead to a higher return on equity,</w:t>
      </w:r>
      <w:r w:rsidR="00C31071" w:rsidRPr="00812E8B">
        <w:rPr>
          <w:lang w:val="en-US"/>
        </w:rPr>
        <w:t xml:space="preserve"> ceteris paribus. The</w:t>
      </w:r>
      <w:r w:rsidR="002B555D" w:rsidRPr="00812E8B">
        <w:rPr>
          <w:lang w:val="en-US"/>
        </w:rPr>
        <w:t xml:space="preserve">se banks are able to hold a lower equity-to-asset ratio since the </w:t>
      </w:r>
      <w:r w:rsidR="00C31071" w:rsidRPr="00812E8B">
        <w:rPr>
          <w:lang w:val="en-US"/>
        </w:rPr>
        <w:t xml:space="preserve">government implicitly guarantees </w:t>
      </w:r>
      <w:r w:rsidR="00752A3F" w:rsidRPr="00812E8B">
        <w:rPr>
          <w:lang w:val="en-US"/>
        </w:rPr>
        <w:t>t</w:t>
      </w:r>
      <w:r w:rsidR="00C31071" w:rsidRPr="00812E8B">
        <w:rPr>
          <w:lang w:val="en-US"/>
        </w:rPr>
        <w:t xml:space="preserve">he underlying </w:t>
      </w:r>
      <w:r w:rsidR="002B555D" w:rsidRPr="00812E8B">
        <w:rPr>
          <w:lang w:val="en-US"/>
        </w:rPr>
        <w:t>business.</w:t>
      </w:r>
      <w:r w:rsidR="00C31071" w:rsidRPr="00812E8B">
        <w:rPr>
          <w:lang w:val="en-US"/>
        </w:rPr>
        <w:t xml:space="preserve"> </w:t>
      </w:r>
      <w:r w:rsidR="00752A3F" w:rsidRPr="00812E8B">
        <w:rPr>
          <w:lang w:val="en-US"/>
        </w:rPr>
        <w:t xml:space="preserve">Furthermore, </w:t>
      </w:r>
      <w:r w:rsidR="0043417A" w:rsidRPr="00812E8B">
        <w:rPr>
          <w:color w:val="365F91" w:themeColor="accent1" w:themeShade="BF"/>
          <w:lang w:val="en-US"/>
        </w:rPr>
        <w:t>Altunbas et al. (2001)</w:t>
      </w:r>
      <w:r w:rsidRPr="00812E8B">
        <w:rPr>
          <w:lang w:val="en-US"/>
        </w:rPr>
        <w:t xml:space="preserve"> </w:t>
      </w:r>
      <w:r w:rsidR="007E2217" w:rsidRPr="00812E8B">
        <w:rPr>
          <w:lang w:val="en-US"/>
        </w:rPr>
        <w:t>test whether there are differences in bank performance and bank efficiency for private, public and mutual ownership forms</w:t>
      </w:r>
      <w:r w:rsidR="00204272" w:rsidRPr="00812E8B">
        <w:rPr>
          <w:lang w:val="en-US"/>
        </w:rPr>
        <w:t>, using data between 1989 and 1996 in a sample of German banks. In</w:t>
      </w:r>
      <w:r w:rsidR="0014154A" w:rsidRPr="00812E8B">
        <w:rPr>
          <w:lang w:val="en-US"/>
        </w:rPr>
        <w:t xml:space="preserve"> contrary to</w:t>
      </w:r>
      <w:r w:rsidR="0014154A" w:rsidRPr="00812E8B">
        <w:rPr>
          <w:color w:val="365F91" w:themeColor="accent1" w:themeShade="BF"/>
          <w:lang w:val="en-US"/>
        </w:rPr>
        <w:t xml:space="preserve"> </w:t>
      </w:r>
      <w:r w:rsidR="0043417A" w:rsidRPr="00812E8B">
        <w:rPr>
          <w:color w:val="365F91" w:themeColor="accent1" w:themeShade="BF"/>
          <w:lang w:val="en-US"/>
        </w:rPr>
        <w:t xml:space="preserve">Saunders et al. (1990), </w:t>
      </w:r>
      <w:r w:rsidR="0014154A" w:rsidRPr="00812E8B">
        <w:rPr>
          <w:lang w:val="en-US"/>
        </w:rPr>
        <w:t>th</w:t>
      </w:r>
      <w:r w:rsidR="00704A6F" w:rsidRPr="00812E8B">
        <w:rPr>
          <w:lang w:val="en-US"/>
        </w:rPr>
        <w:t xml:space="preserve">ey </w:t>
      </w:r>
      <w:r w:rsidR="005605D5" w:rsidRPr="00812E8B">
        <w:rPr>
          <w:lang w:val="en-US"/>
        </w:rPr>
        <w:t>find</w:t>
      </w:r>
      <w:r w:rsidR="007E2217" w:rsidRPr="00812E8B">
        <w:rPr>
          <w:lang w:val="en-US"/>
        </w:rPr>
        <w:t xml:space="preserve"> little evidence that private banks perform</w:t>
      </w:r>
      <w:r w:rsidR="00204272" w:rsidRPr="00812E8B">
        <w:rPr>
          <w:lang w:val="en-US"/>
        </w:rPr>
        <w:t>ed</w:t>
      </w:r>
      <w:r w:rsidR="007E2217" w:rsidRPr="00812E8B">
        <w:rPr>
          <w:lang w:val="en-US"/>
        </w:rPr>
        <w:t xml:space="preserve"> more efficient than their mutual and public </w:t>
      </w:r>
      <w:r w:rsidR="00204272" w:rsidRPr="00812E8B">
        <w:rPr>
          <w:lang w:val="en-US"/>
        </w:rPr>
        <w:t>counterparts did</w:t>
      </w:r>
      <w:r w:rsidR="007E2217" w:rsidRPr="00812E8B">
        <w:rPr>
          <w:lang w:val="en-US"/>
        </w:rPr>
        <w:t xml:space="preserve">. </w:t>
      </w:r>
      <w:r w:rsidR="0056386C" w:rsidRPr="00812E8B">
        <w:rPr>
          <w:lang w:val="en-US"/>
        </w:rPr>
        <w:t>Nevertheless</w:t>
      </w:r>
      <w:r w:rsidR="0014154A" w:rsidRPr="00812E8B">
        <w:rPr>
          <w:lang w:val="en-US"/>
        </w:rPr>
        <w:t xml:space="preserve">, </w:t>
      </w:r>
      <w:r w:rsidR="007E2217" w:rsidRPr="00812E8B">
        <w:rPr>
          <w:lang w:val="en-US"/>
        </w:rPr>
        <w:t xml:space="preserve">Inefficiency measures indicate that there are slight cost and profit advantages </w:t>
      </w:r>
      <w:r w:rsidR="00A307DE" w:rsidRPr="00812E8B">
        <w:rPr>
          <w:lang w:val="en-US"/>
        </w:rPr>
        <w:t>for mutual and public banks.</w:t>
      </w:r>
      <w:r w:rsidR="006E3A9E" w:rsidRPr="00812E8B">
        <w:rPr>
          <w:lang w:val="en-US"/>
        </w:rPr>
        <w:t xml:space="preserve"> </w:t>
      </w:r>
      <w:r w:rsidR="0043417A" w:rsidRPr="00812E8B">
        <w:rPr>
          <w:color w:val="365F91" w:themeColor="accent1" w:themeShade="BF"/>
          <w:lang w:val="en-US"/>
        </w:rPr>
        <w:t>Altunbas et al. (2001)</w:t>
      </w:r>
      <w:r w:rsidR="0043417A" w:rsidRPr="00812E8B">
        <w:rPr>
          <w:lang w:val="en-US"/>
        </w:rPr>
        <w:t xml:space="preserve"> </w:t>
      </w:r>
      <w:r w:rsidR="001C196F" w:rsidRPr="00812E8B">
        <w:rPr>
          <w:lang w:val="en-US"/>
        </w:rPr>
        <w:t>propose a</w:t>
      </w:r>
      <w:r w:rsidR="005605D5" w:rsidRPr="00812E8B">
        <w:rPr>
          <w:lang w:val="en-US"/>
        </w:rPr>
        <w:t>n</w:t>
      </w:r>
      <w:r w:rsidR="001C196F" w:rsidRPr="00812E8B">
        <w:rPr>
          <w:lang w:val="en-US"/>
        </w:rPr>
        <w:t xml:space="preserve"> </w:t>
      </w:r>
      <w:r w:rsidR="00204272" w:rsidRPr="00812E8B">
        <w:rPr>
          <w:lang w:val="en-US"/>
        </w:rPr>
        <w:t>explanation for the cost and profit advantage of state-owned banks</w:t>
      </w:r>
      <w:r w:rsidR="001C196F" w:rsidRPr="00812E8B">
        <w:rPr>
          <w:lang w:val="en-US"/>
        </w:rPr>
        <w:t>; th</w:t>
      </w:r>
      <w:r w:rsidR="00204272" w:rsidRPr="00812E8B">
        <w:rPr>
          <w:lang w:val="en-US"/>
        </w:rPr>
        <w:t>ey</w:t>
      </w:r>
      <w:r w:rsidR="00704A6F" w:rsidRPr="00812E8B">
        <w:rPr>
          <w:lang w:val="en-US"/>
        </w:rPr>
        <w:t xml:space="preserve"> stated</w:t>
      </w:r>
      <w:r w:rsidR="0014154A" w:rsidRPr="00812E8B">
        <w:rPr>
          <w:lang w:val="en-US"/>
        </w:rPr>
        <w:t xml:space="preserve"> that</w:t>
      </w:r>
      <w:r w:rsidR="00204272" w:rsidRPr="00812E8B">
        <w:rPr>
          <w:lang w:val="en-US"/>
        </w:rPr>
        <w:t xml:space="preserve"> state-owned, mutual and public banks have lower funding costs arising from the reliance o</w:t>
      </w:r>
      <w:r w:rsidR="00395E6F" w:rsidRPr="00812E8B">
        <w:rPr>
          <w:lang w:val="en-US"/>
        </w:rPr>
        <w:t>n retail and small business customers</w:t>
      </w:r>
      <w:r w:rsidR="00204272" w:rsidRPr="00812E8B">
        <w:rPr>
          <w:lang w:val="en-US"/>
        </w:rPr>
        <w:t>. Those customers are perhaps less interest-rate sensitive</w:t>
      </w:r>
      <w:r w:rsidR="00752A3F" w:rsidRPr="00812E8B">
        <w:rPr>
          <w:lang w:val="en-US"/>
        </w:rPr>
        <w:t>.</w:t>
      </w:r>
    </w:p>
    <w:p w:rsidR="00395E6F" w:rsidRPr="00812E8B" w:rsidRDefault="00395E6F" w:rsidP="00B8164C">
      <w:pPr>
        <w:pStyle w:val="NoSpacing"/>
        <w:rPr>
          <w:lang w:val="en-US"/>
        </w:rPr>
      </w:pPr>
    </w:p>
    <w:p w:rsidR="00DC0186" w:rsidRPr="00812E8B" w:rsidRDefault="0073321E" w:rsidP="00CE1B03">
      <w:pPr>
        <w:pStyle w:val="NoSpacing"/>
        <w:spacing w:line="276" w:lineRule="auto"/>
        <w:jc w:val="both"/>
        <w:rPr>
          <w:lang w:val="en-US"/>
        </w:rPr>
      </w:pPr>
      <w:r w:rsidRPr="00812E8B">
        <w:rPr>
          <w:lang w:val="en-US"/>
        </w:rPr>
        <w:t xml:space="preserve">In contrary to </w:t>
      </w:r>
      <w:r w:rsidR="00881610" w:rsidRPr="00812E8B">
        <w:rPr>
          <w:color w:val="365F91" w:themeColor="accent1" w:themeShade="BF"/>
          <w:lang w:val="en-US"/>
        </w:rPr>
        <w:t>Molyneux and Thornton (1992)</w:t>
      </w:r>
      <w:r w:rsidR="00881610" w:rsidRPr="00812E8B">
        <w:rPr>
          <w:lang w:val="en-US"/>
        </w:rPr>
        <w:t xml:space="preserve">, </w:t>
      </w:r>
      <w:r w:rsidRPr="00812E8B">
        <w:rPr>
          <w:lang w:val="en-US"/>
        </w:rPr>
        <w:t>r</w:t>
      </w:r>
      <w:r w:rsidR="00A50ECA" w:rsidRPr="00812E8B">
        <w:rPr>
          <w:lang w:val="en-US"/>
        </w:rPr>
        <w:t xml:space="preserve">esearch of </w:t>
      </w:r>
      <w:r w:rsidR="007F1875" w:rsidRPr="00812E8B">
        <w:rPr>
          <w:color w:val="365F91" w:themeColor="accent1" w:themeShade="BF"/>
          <w:lang w:val="en-US"/>
        </w:rPr>
        <w:t>Iannotta et al. (2007)</w:t>
      </w:r>
      <w:r w:rsidR="00A50ECA" w:rsidRPr="00812E8B">
        <w:rPr>
          <w:color w:val="365F91" w:themeColor="accent1" w:themeShade="BF"/>
          <w:lang w:val="en-US"/>
        </w:rPr>
        <w:t xml:space="preserve"> </w:t>
      </w:r>
      <w:r w:rsidR="00A50ECA" w:rsidRPr="00812E8B">
        <w:rPr>
          <w:lang w:val="en-US"/>
        </w:rPr>
        <w:t>indicate</w:t>
      </w:r>
      <w:r w:rsidR="00704A6F" w:rsidRPr="00812E8B">
        <w:rPr>
          <w:lang w:val="en-US"/>
        </w:rPr>
        <w:t>s</w:t>
      </w:r>
      <w:r w:rsidR="007807B3" w:rsidRPr="00812E8B">
        <w:rPr>
          <w:lang w:val="en-US"/>
        </w:rPr>
        <w:t xml:space="preserve"> that mutual </w:t>
      </w:r>
      <w:r w:rsidR="00DC0186" w:rsidRPr="00812E8B">
        <w:rPr>
          <w:lang w:val="en-US"/>
        </w:rPr>
        <w:t xml:space="preserve">and governmental-owned banks </w:t>
      </w:r>
      <w:r w:rsidR="00E21D5B" w:rsidRPr="00812E8B">
        <w:rPr>
          <w:lang w:val="en-US"/>
        </w:rPr>
        <w:t>are less profitable</w:t>
      </w:r>
      <w:r w:rsidR="00DC0186" w:rsidRPr="00812E8B">
        <w:rPr>
          <w:lang w:val="en-US"/>
        </w:rPr>
        <w:t xml:space="preserve"> than privately owned banks,</w:t>
      </w:r>
      <w:r w:rsidR="00A50ECA" w:rsidRPr="00812E8B">
        <w:rPr>
          <w:lang w:val="en-US"/>
        </w:rPr>
        <w:t xml:space="preserve"> </w:t>
      </w:r>
      <w:r w:rsidR="00DC0186" w:rsidRPr="00812E8B">
        <w:rPr>
          <w:lang w:val="en-US"/>
        </w:rPr>
        <w:t xml:space="preserve">controlling for bank characteristics, country and time effects.  </w:t>
      </w:r>
      <w:r w:rsidR="00704A6F" w:rsidRPr="00812E8B">
        <w:rPr>
          <w:lang w:val="en-US"/>
        </w:rPr>
        <w:t xml:space="preserve">Research in similar period using a comprehensive model with more explanatory determinants of bank profitability </w:t>
      </w:r>
      <w:r w:rsidR="00746D5F" w:rsidRPr="00812E8B">
        <w:rPr>
          <w:color w:val="365F91" w:themeColor="accent1" w:themeShade="BF"/>
          <w:lang w:val="en-US"/>
        </w:rPr>
        <w:t>(Athanasoglou et al</w:t>
      </w:r>
      <w:r w:rsidR="00D31A4A">
        <w:rPr>
          <w:color w:val="365F91" w:themeColor="accent1" w:themeShade="BF"/>
          <w:lang w:val="en-US"/>
        </w:rPr>
        <w:t>.</w:t>
      </w:r>
      <w:r w:rsidR="00746D5F" w:rsidRPr="00812E8B">
        <w:rPr>
          <w:color w:val="365F91" w:themeColor="accent1" w:themeShade="BF"/>
          <w:lang w:val="en-US"/>
        </w:rPr>
        <w:t>, 2008</w:t>
      </w:r>
      <w:r w:rsidR="00DC0186" w:rsidRPr="00812E8B">
        <w:rPr>
          <w:lang w:val="en-US"/>
        </w:rPr>
        <w:t xml:space="preserve"> and </w:t>
      </w:r>
      <w:r w:rsidR="007D7CD9" w:rsidRPr="00812E8B">
        <w:rPr>
          <w:color w:val="365F91" w:themeColor="accent1" w:themeShade="BF"/>
          <w:lang w:val="en-US"/>
        </w:rPr>
        <w:t xml:space="preserve">Dietrich and Wanzenried (2011) </w:t>
      </w:r>
      <w:r w:rsidR="005605D5" w:rsidRPr="00812E8B">
        <w:rPr>
          <w:lang w:val="en-US"/>
        </w:rPr>
        <w:t>do</w:t>
      </w:r>
      <w:r w:rsidR="002C4EE4" w:rsidRPr="00812E8B">
        <w:rPr>
          <w:lang w:val="en-US"/>
        </w:rPr>
        <w:t xml:space="preserve"> not find a </w:t>
      </w:r>
      <w:r w:rsidR="005605D5" w:rsidRPr="00812E8B">
        <w:rPr>
          <w:lang w:val="en-US"/>
        </w:rPr>
        <w:t>significant relationship</w:t>
      </w:r>
      <w:r w:rsidR="00DC0186" w:rsidRPr="00812E8B">
        <w:rPr>
          <w:lang w:val="en-US"/>
        </w:rPr>
        <w:t xml:space="preserve"> between </w:t>
      </w:r>
      <w:r w:rsidR="005605D5" w:rsidRPr="00812E8B">
        <w:rPr>
          <w:lang w:val="en-US"/>
        </w:rPr>
        <w:t xml:space="preserve">the </w:t>
      </w:r>
      <w:r w:rsidR="00DC0186" w:rsidRPr="00812E8B">
        <w:rPr>
          <w:lang w:val="en-US"/>
        </w:rPr>
        <w:t xml:space="preserve">ownership </w:t>
      </w:r>
      <w:r w:rsidR="001C196F" w:rsidRPr="00812E8B">
        <w:rPr>
          <w:lang w:val="en-US"/>
        </w:rPr>
        <w:t xml:space="preserve">structure </w:t>
      </w:r>
      <w:r w:rsidR="00DC0186" w:rsidRPr="00812E8B">
        <w:rPr>
          <w:lang w:val="en-US"/>
        </w:rPr>
        <w:t xml:space="preserve">and profitability. </w:t>
      </w:r>
    </w:p>
    <w:p w:rsidR="00F80045" w:rsidRPr="00812E8B" w:rsidRDefault="00F80045" w:rsidP="00B8164C">
      <w:pPr>
        <w:pStyle w:val="NoSpacing"/>
        <w:rPr>
          <w:lang w:val="en-US"/>
        </w:rPr>
      </w:pPr>
    </w:p>
    <w:p w:rsidR="00010B06" w:rsidRPr="00812E8B" w:rsidRDefault="00F80045" w:rsidP="00CE1B03">
      <w:pPr>
        <w:pStyle w:val="NoSpacing"/>
        <w:spacing w:line="276" w:lineRule="auto"/>
        <w:jc w:val="both"/>
        <w:rPr>
          <w:lang w:val="en-US"/>
        </w:rPr>
      </w:pPr>
      <w:r w:rsidRPr="00812E8B">
        <w:rPr>
          <w:lang w:val="en-US"/>
        </w:rPr>
        <w:t xml:space="preserve">Above-mentioned results with respect to the </w:t>
      </w:r>
      <w:r w:rsidR="0073321E" w:rsidRPr="00812E8B">
        <w:rPr>
          <w:lang w:val="en-US"/>
        </w:rPr>
        <w:t xml:space="preserve">relationship between the </w:t>
      </w:r>
      <w:r w:rsidRPr="00812E8B">
        <w:rPr>
          <w:lang w:val="en-US"/>
        </w:rPr>
        <w:t xml:space="preserve">ownership structure and banks’ profitability are mixed and depending on dataset and region examined. Remarkably, this relationship is </w:t>
      </w:r>
      <w:r w:rsidR="00010B06" w:rsidRPr="00812E8B">
        <w:rPr>
          <w:lang w:val="en-US"/>
        </w:rPr>
        <w:t xml:space="preserve">more visible in developing countries. Research of </w:t>
      </w:r>
      <w:r w:rsidR="007F1875" w:rsidRPr="00812E8B">
        <w:rPr>
          <w:color w:val="365F91" w:themeColor="accent1" w:themeShade="BF"/>
          <w:lang w:val="en-US"/>
        </w:rPr>
        <w:t>Micco et al. (2007)</w:t>
      </w:r>
      <w:r w:rsidR="00010B06" w:rsidRPr="00812E8B">
        <w:rPr>
          <w:lang w:val="en-US"/>
        </w:rPr>
        <w:t xml:space="preserve"> </w:t>
      </w:r>
      <w:r w:rsidR="005605D5" w:rsidRPr="00812E8B">
        <w:rPr>
          <w:lang w:val="en-US"/>
        </w:rPr>
        <w:t>find</w:t>
      </w:r>
      <w:r w:rsidR="00010B06" w:rsidRPr="00812E8B">
        <w:rPr>
          <w:lang w:val="en-US"/>
        </w:rPr>
        <w:t xml:space="preserve"> that state-owned bank</w:t>
      </w:r>
      <w:r w:rsidRPr="00812E8B">
        <w:rPr>
          <w:lang w:val="en-US"/>
        </w:rPr>
        <w:t>s</w:t>
      </w:r>
      <w:r w:rsidR="00010B06" w:rsidRPr="00812E8B">
        <w:rPr>
          <w:lang w:val="en-US"/>
        </w:rPr>
        <w:t xml:space="preserve"> are less profitable than private banks</w:t>
      </w:r>
      <w:r w:rsidR="00D04800" w:rsidRPr="00812E8B">
        <w:rPr>
          <w:lang w:val="en-US"/>
        </w:rPr>
        <w:t xml:space="preserve"> in developing countries</w:t>
      </w:r>
      <w:r w:rsidR="00A50ECA" w:rsidRPr="00812E8B">
        <w:rPr>
          <w:lang w:val="en-US"/>
        </w:rPr>
        <w:t>,</w:t>
      </w:r>
      <w:r w:rsidRPr="00812E8B">
        <w:rPr>
          <w:lang w:val="en-US"/>
        </w:rPr>
        <w:t xml:space="preserve"> whilst they </w:t>
      </w:r>
      <w:r w:rsidR="005605D5" w:rsidRPr="00812E8B">
        <w:rPr>
          <w:lang w:val="en-US"/>
        </w:rPr>
        <w:t>do</w:t>
      </w:r>
      <w:r w:rsidRPr="00812E8B">
        <w:rPr>
          <w:lang w:val="en-US"/>
        </w:rPr>
        <w:t xml:space="preserve"> not find the same relationship in industrial countries. Their research </w:t>
      </w:r>
      <w:r w:rsidR="005605D5" w:rsidRPr="00812E8B">
        <w:rPr>
          <w:lang w:val="en-US"/>
        </w:rPr>
        <w:t xml:space="preserve">uses data from banks in 179 countries </w:t>
      </w:r>
      <w:r w:rsidRPr="00812E8B">
        <w:rPr>
          <w:lang w:val="en-US"/>
        </w:rPr>
        <w:t xml:space="preserve">between 1992 and 2002. </w:t>
      </w:r>
      <w:r w:rsidR="00010B06" w:rsidRPr="00812E8B">
        <w:rPr>
          <w:lang w:val="en-US"/>
        </w:rPr>
        <w:t xml:space="preserve">Furthermore, </w:t>
      </w:r>
      <w:r w:rsidR="006029C5" w:rsidRPr="00812E8B">
        <w:rPr>
          <w:color w:val="365F91" w:themeColor="accent1" w:themeShade="BF"/>
          <w:lang w:val="en-US"/>
        </w:rPr>
        <w:t>Berger, Clarke, Cull, Klapper and Udell (2005)</w:t>
      </w:r>
      <w:r w:rsidR="00010B06" w:rsidRPr="00812E8B">
        <w:rPr>
          <w:lang w:val="en-US"/>
        </w:rPr>
        <w:t xml:space="preserve"> </w:t>
      </w:r>
      <w:r w:rsidR="005605D5" w:rsidRPr="00812E8B">
        <w:rPr>
          <w:lang w:val="en-US"/>
        </w:rPr>
        <w:t>find</w:t>
      </w:r>
      <w:r w:rsidR="00010B06" w:rsidRPr="00812E8B">
        <w:rPr>
          <w:lang w:val="en-US"/>
        </w:rPr>
        <w:t xml:space="preserve"> </w:t>
      </w:r>
      <w:r w:rsidR="005605D5" w:rsidRPr="00812E8B">
        <w:rPr>
          <w:lang w:val="en-US"/>
        </w:rPr>
        <w:t>a modest</w:t>
      </w:r>
      <w:r w:rsidR="00010B06" w:rsidRPr="00812E8B">
        <w:rPr>
          <w:lang w:val="en-US"/>
        </w:rPr>
        <w:t xml:space="preserve"> relationship between corporate governance, ownership structure and performance</w:t>
      </w:r>
      <w:r w:rsidRPr="00812E8B">
        <w:rPr>
          <w:lang w:val="en-US"/>
        </w:rPr>
        <w:t xml:space="preserve"> for</w:t>
      </w:r>
      <w:r w:rsidR="00010B06" w:rsidRPr="00812E8B">
        <w:rPr>
          <w:lang w:val="en-US"/>
        </w:rPr>
        <w:t xml:space="preserve"> Argentinean banks</w:t>
      </w:r>
      <w:r w:rsidRPr="00812E8B">
        <w:rPr>
          <w:lang w:val="en-US"/>
        </w:rPr>
        <w:t xml:space="preserve"> in the 1990’s and early 2000’s. Accounting for static, selection and dynamic effec</w:t>
      </w:r>
      <w:r w:rsidR="005605D5" w:rsidRPr="00812E8B">
        <w:rPr>
          <w:lang w:val="en-US"/>
        </w:rPr>
        <w:t xml:space="preserve">ts of governance, they indicate </w:t>
      </w:r>
      <w:r w:rsidRPr="00812E8B">
        <w:rPr>
          <w:lang w:val="en-US"/>
        </w:rPr>
        <w:t xml:space="preserve">that </w:t>
      </w:r>
      <w:r w:rsidR="00010B06" w:rsidRPr="00812E8B">
        <w:rPr>
          <w:lang w:val="en-US"/>
        </w:rPr>
        <w:t>state-owned banks have poorer long-term performance</w:t>
      </w:r>
      <w:r w:rsidRPr="00812E8B">
        <w:rPr>
          <w:lang w:val="en-US"/>
        </w:rPr>
        <w:t>.</w:t>
      </w:r>
    </w:p>
    <w:p w:rsidR="00F54C02" w:rsidRPr="00812E8B" w:rsidRDefault="00F54C02" w:rsidP="00CE1B03">
      <w:pPr>
        <w:pStyle w:val="Heading2"/>
        <w:rPr>
          <w:color w:val="auto"/>
          <w:lang w:val="en-US"/>
        </w:rPr>
      </w:pPr>
      <w:bookmarkStart w:id="21" w:name="_Toc306359641"/>
      <w:r w:rsidRPr="00812E8B">
        <w:rPr>
          <w:color w:val="auto"/>
          <w:lang w:val="en-US"/>
        </w:rPr>
        <w:lastRenderedPageBreak/>
        <w:t>3.3 L</w:t>
      </w:r>
      <w:r w:rsidR="00FB0A28" w:rsidRPr="00812E8B">
        <w:rPr>
          <w:color w:val="auto"/>
          <w:sz w:val="20"/>
          <w:szCs w:val="20"/>
          <w:lang w:val="en-US"/>
        </w:rPr>
        <w:t>ITERATURE ON BALANCE SHEET STRUCTURE AND PROFITABILITY</w:t>
      </w:r>
      <w:bookmarkEnd w:id="21"/>
    </w:p>
    <w:p w:rsidR="00F54C02" w:rsidRPr="00812E8B" w:rsidRDefault="00F54C02" w:rsidP="00CE1B03">
      <w:pPr>
        <w:pStyle w:val="NoSpacing"/>
        <w:spacing w:line="276" w:lineRule="auto"/>
        <w:ind w:right="162"/>
        <w:jc w:val="both"/>
        <w:rPr>
          <w:lang w:val="en-US"/>
        </w:rPr>
      </w:pPr>
      <w:r w:rsidRPr="00812E8B">
        <w:rPr>
          <w:lang w:val="en-US"/>
        </w:rPr>
        <w:t xml:space="preserve">Previous paragraphs discussed the </w:t>
      </w:r>
      <w:r w:rsidR="0073321E" w:rsidRPr="00812E8B">
        <w:rPr>
          <w:lang w:val="en-US"/>
        </w:rPr>
        <w:t xml:space="preserve">influences of </w:t>
      </w:r>
      <w:r w:rsidRPr="00812E8B">
        <w:rPr>
          <w:lang w:val="en-US"/>
        </w:rPr>
        <w:t>ownership structure and regulation on bank</w:t>
      </w:r>
      <w:r w:rsidR="001C196F" w:rsidRPr="00812E8B">
        <w:rPr>
          <w:lang w:val="en-US"/>
        </w:rPr>
        <w:t>s’ profitability</w:t>
      </w:r>
      <w:r w:rsidRPr="00812E8B">
        <w:rPr>
          <w:lang w:val="en-US"/>
        </w:rPr>
        <w:t>. Moreover, ownership structure and regulation are visible from the balance sheet of a bank, which itself also influence performance. Empirical research has emphasized the importance of the balance sheet structure as determinant of</w:t>
      </w:r>
      <w:r w:rsidR="005605D5" w:rsidRPr="00812E8B">
        <w:rPr>
          <w:lang w:val="en-US"/>
        </w:rPr>
        <w:t xml:space="preserve"> performance. In particular, t</w:t>
      </w:r>
      <w:r w:rsidRPr="00812E8B">
        <w:rPr>
          <w:lang w:val="en-US"/>
        </w:rPr>
        <w:t>his paragraph will discuss existing literature on balance sheet ratios</w:t>
      </w:r>
      <w:r w:rsidR="005605D5" w:rsidRPr="00812E8B">
        <w:rPr>
          <w:lang w:val="en-US"/>
        </w:rPr>
        <w:t>.</w:t>
      </w:r>
    </w:p>
    <w:p w:rsidR="00F54C02" w:rsidRPr="00812E8B" w:rsidRDefault="00F54C02" w:rsidP="00CE1B03">
      <w:pPr>
        <w:pStyle w:val="NoSpacing"/>
        <w:spacing w:line="276" w:lineRule="auto"/>
        <w:jc w:val="both"/>
        <w:rPr>
          <w:lang w:val="en-US"/>
        </w:rPr>
      </w:pPr>
    </w:p>
    <w:p w:rsidR="00F54C02" w:rsidRPr="00812E8B" w:rsidRDefault="001C196F" w:rsidP="00CE1B03">
      <w:pPr>
        <w:pStyle w:val="NoSpacing"/>
        <w:spacing w:line="276" w:lineRule="auto"/>
        <w:jc w:val="both"/>
        <w:rPr>
          <w:color w:val="FF0000"/>
          <w:lang w:val="en-US"/>
        </w:rPr>
      </w:pPr>
      <w:r w:rsidRPr="00812E8B">
        <w:rPr>
          <w:lang w:val="en-US"/>
        </w:rPr>
        <w:t>The previous chapter discussed two possible</w:t>
      </w:r>
      <w:r w:rsidR="007807B3" w:rsidRPr="00812E8B">
        <w:rPr>
          <w:lang w:val="en-US"/>
        </w:rPr>
        <w:t xml:space="preserve"> theoretical explanations for the relationship between the </w:t>
      </w:r>
      <w:r w:rsidR="005605D5" w:rsidRPr="00812E8B">
        <w:rPr>
          <w:lang w:val="en-US"/>
        </w:rPr>
        <w:t>equity-to-</w:t>
      </w:r>
      <w:r w:rsidR="007807B3" w:rsidRPr="00812E8B">
        <w:rPr>
          <w:lang w:val="en-US"/>
        </w:rPr>
        <w:t xml:space="preserve">asset ratio and bank performance. </w:t>
      </w:r>
      <w:r w:rsidRPr="00812E8B">
        <w:rPr>
          <w:lang w:val="en-US"/>
        </w:rPr>
        <w:t>The first possible explanation f</w:t>
      </w:r>
      <w:r w:rsidR="007807B3" w:rsidRPr="00812E8B">
        <w:rPr>
          <w:lang w:val="en-US"/>
        </w:rPr>
        <w:t xml:space="preserve">rom theoretical literature </w:t>
      </w:r>
      <w:r w:rsidRPr="00812E8B">
        <w:rPr>
          <w:lang w:val="en-US"/>
        </w:rPr>
        <w:t xml:space="preserve">is </w:t>
      </w:r>
      <w:r w:rsidR="007807B3" w:rsidRPr="00812E8B">
        <w:rPr>
          <w:lang w:val="en-US"/>
        </w:rPr>
        <w:t xml:space="preserve">that a higher </w:t>
      </w:r>
      <w:r w:rsidR="005605D5" w:rsidRPr="00812E8B">
        <w:rPr>
          <w:lang w:val="en-US"/>
        </w:rPr>
        <w:t>equity-to-</w:t>
      </w:r>
      <w:r w:rsidR="007807B3" w:rsidRPr="00812E8B">
        <w:rPr>
          <w:lang w:val="en-US"/>
        </w:rPr>
        <w:t>asset ratio is associated wi</w:t>
      </w:r>
      <w:r w:rsidRPr="00812E8B">
        <w:rPr>
          <w:lang w:val="en-US"/>
        </w:rPr>
        <w:t>th lower risk taking (de</w:t>
      </w:r>
      <w:r w:rsidR="007807B3" w:rsidRPr="00812E8B">
        <w:rPr>
          <w:lang w:val="en-US"/>
        </w:rPr>
        <w:t>creasing leverage will</w:t>
      </w:r>
      <w:r w:rsidR="00DA04A4" w:rsidRPr="00812E8B">
        <w:rPr>
          <w:lang w:val="en-US"/>
        </w:rPr>
        <w:t xml:space="preserve"> </w:t>
      </w:r>
      <w:r w:rsidRPr="00812E8B">
        <w:rPr>
          <w:lang w:val="en-US"/>
        </w:rPr>
        <w:t>reduce</w:t>
      </w:r>
      <w:r w:rsidR="007807B3" w:rsidRPr="00812E8B">
        <w:rPr>
          <w:lang w:val="en-US"/>
        </w:rPr>
        <w:t xml:space="preserve"> risks of financial distress). Corporate finance literature suggests that lower risk taking will negatively influence the expected return.</w:t>
      </w:r>
      <w:r w:rsidRPr="00812E8B">
        <w:rPr>
          <w:lang w:val="en-US"/>
        </w:rPr>
        <w:t xml:space="preserve"> In contrary to this explanation,</w:t>
      </w:r>
      <w:r w:rsidR="007807B3" w:rsidRPr="00812E8B">
        <w:rPr>
          <w:lang w:val="en-US"/>
        </w:rPr>
        <w:t xml:space="preserve"> </w:t>
      </w:r>
      <w:r w:rsidR="00026D7B" w:rsidRPr="00812E8B">
        <w:rPr>
          <w:color w:val="365F91" w:themeColor="accent1" w:themeShade="BF"/>
          <w:lang w:val="en-US"/>
        </w:rPr>
        <w:t>Berger (1995)</w:t>
      </w:r>
      <w:r w:rsidR="00193229" w:rsidRPr="00812E8B">
        <w:rPr>
          <w:color w:val="365F91" w:themeColor="accent1" w:themeShade="BF"/>
          <w:lang w:val="en-US"/>
        </w:rPr>
        <w:t xml:space="preserve"> </w:t>
      </w:r>
      <w:r w:rsidR="005605D5" w:rsidRPr="00812E8B">
        <w:rPr>
          <w:lang w:val="en-US"/>
        </w:rPr>
        <w:t>find</w:t>
      </w:r>
      <w:r w:rsidR="00193229" w:rsidRPr="00812E8B">
        <w:rPr>
          <w:lang w:val="en-US"/>
        </w:rPr>
        <w:t xml:space="preserve"> a positive Granger-causality relationship for U.S.</w:t>
      </w:r>
      <w:r w:rsidR="005605D5" w:rsidRPr="00812E8B">
        <w:rPr>
          <w:lang w:val="en-US"/>
        </w:rPr>
        <w:t xml:space="preserve">A. </w:t>
      </w:r>
      <w:r w:rsidR="00193229" w:rsidRPr="00812E8B">
        <w:rPr>
          <w:lang w:val="en-US"/>
        </w:rPr>
        <w:t>banks between 1983 and 1992. He</w:t>
      </w:r>
      <w:r w:rsidR="00F54C02" w:rsidRPr="00812E8B">
        <w:rPr>
          <w:lang w:val="en-US"/>
        </w:rPr>
        <w:t xml:space="preserve"> investigated the signaling and the expected bankruptcy costs hypothesis</w:t>
      </w:r>
      <w:r w:rsidRPr="00812E8B">
        <w:rPr>
          <w:lang w:val="en-US"/>
        </w:rPr>
        <w:t xml:space="preserve"> as possible explana</w:t>
      </w:r>
      <w:r w:rsidR="005605D5" w:rsidRPr="00812E8B">
        <w:rPr>
          <w:lang w:val="en-US"/>
        </w:rPr>
        <w:t>tions for the remarkable result</w:t>
      </w:r>
      <w:r w:rsidR="00F54C02" w:rsidRPr="00812E8B">
        <w:rPr>
          <w:lang w:val="en-US"/>
        </w:rPr>
        <w:t xml:space="preserve">. </w:t>
      </w:r>
      <w:r w:rsidR="005605D5" w:rsidRPr="00812E8B">
        <w:rPr>
          <w:lang w:val="en-US"/>
        </w:rPr>
        <w:t xml:space="preserve">For </w:t>
      </w:r>
      <w:r w:rsidR="00F54C02" w:rsidRPr="00812E8B">
        <w:rPr>
          <w:lang w:val="en-US"/>
        </w:rPr>
        <w:t>the signaling hypothesis</w:t>
      </w:r>
      <w:r w:rsidR="005605D5" w:rsidRPr="00812E8B">
        <w:rPr>
          <w:lang w:val="en-US"/>
        </w:rPr>
        <w:t>,</w:t>
      </w:r>
      <w:r w:rsidR="00F54C02" w:rsidRPr="00812E8B">
        <w:rPr>
          <w:lang w:val="en-US"/>
        </w:rPr>
        <w:t xml:space="preserve"> </w:t>
      </w:r>
      <w:r w:rsidR="005605D5" w:rsidRPr="00812E8B">
        <w:rPr>
          <w:lang w:val="en-US"/>
        </w:rPr>
        <w:t>that states that an increase in the equity-to-asset ratio signal a better profitability to the market, no support is found.</w:t>
      </w:r>
      <w:r w:rsidR="007807B3" w:rsidRPr="00812E8B">
        <w:rPr>
          <w:lang w:val="en-US"/>
        </w:rPr>
        <w:t xml:space="preserve"> In contrary, s</w:t>
      </w:r>
      <w:r w:rsidR="00F54C02" w:rsidRPr="00812E8B">
        <w:rPr>
          <w:lang w:val="en-US"/>
        </w:rPr>
        <w:t>ome support is found for the expecte</w:t>
      </w:r>
      <w:r w:rsidR="007807B3" w:rsidRPr="00812E8B">
        <w:rPr>
          <w:lang w:val="en-US"/>
        </w:rPr>
        <w:t>d bankruptcy costs hypothesis. B</w:t>
      </w:r>
      <w:r w:rsidR="00F54C02" w:rsidRPr="00812E8B">
        <w:rPr>
          <w:lang w:val="en-US"/>
        </w:rPr>
        <w:t xml:space="preserve">anks </w:t>
      </w:r>
      <w:r w:rsidR="007807B3" w:rsidRPr="00812E8B">
        <w:rPr>
          <w:lang w:val="en-US"/>
        </w:rPr>
        <w:t xml:space="preserve">with many low-interest uninsured </w:t>
      </w:r>
      <w:r w:rsidR="006B4982" w:rsidRPr="00812E8B">
        <w:rPr>
          <w:lang w:val="en-US"/>
        </w:rPr>
        <w:t>debts,</w:t>
      </w:r>
      <w:r w:rsidR="007807B3" w:rsidRPr="00812E8B">
        <w:rPr>
          <w:lang w:val="en-US"/>
        </w:rPr>
        <w:t xml:space="preserve"> </w:t>
      </w:r>
      <w:r w:rsidR="00F54C02" w:rsidRPr="00812E8B">
        <w:rPr>
          <w:lang w:val="en-US"/>
        </w:rPr>
        <w:t xml:space="preserve">adjust their </w:t>
      </w:r>
      <w:r w:rsidR="005605D5" w:rsidRPr="00812E8B">
        <w:rPr>
          <w:lang w:val="en-US"/>
        </w:rPr>
        <w:t>equity</w:t>
      </w:r>
      <w:r w:rsidR="00F54C02" w:rsidRPr="00812E8B">
        <w:rPr>
          <w:lang w:val="en-US"/>
        </w:rPr>
        <w:t xml:space="preserve"> to higher levels due to an exogenous change in bank failure pro</w:t>
      </w:r>
      <w:r w:rsidR="007807B3" w:rsidRPr="00812E8B">
        <w:rPr>
          <w:lang w:val="en-US"/>
        </w:rPr>
        <w:t xml:space="preserve">babilities. </w:t>
      </w:r>
      <w:r w:rsidR="00F54C02" w:rsidRPr="00812E8B">
        <w:rPr>
          <w:lang w:val="en-US"/>
        </w:rPr>
        <w:t xml:space="preserve">Although, one should be careful with generalizing the results from </w:t>
      </w:r>
      <w:r w:rsidR="00026D7B" w:rsidRPr="00812E8B">
        <w:rPr>
          <w:color w:val="365F91" w:themeColor="accent1" w:themeShade="BF"/>
          <w:lang w:val="en-US"/>
        </w:rPr>
        <w:t xml:space="preserve">Berger (1995) </w:t>
      </w:r>
      <w:r w:rsidR="005605D5" w:rsidRPr="00812E8B">
        <w:rPr>
          <w:lang w:val="en-US"/>
        </w:rPr>
        <w:t xml:space="preserve">since </w:t>
      </w:r>
      <w:r w:rsidR="00610FAC" w:rsidRPr="00812E8B">
        <w:rPr>
          <w:lang w:val="en-US"/>
        </w:rPr>
        <w:t>the</w:t>
      </w:r>
      <w:r w:rsidR="00F54C02" w:rsidRPr="00812E8B">
        <w:rPr>
          <w:lang w:val="en-US"/>
        </w:rPr>
        <w:t xml:space="preserve"> findings </w:t>
      </w:r>
      <w:r w:rsidRPr="00812E8B">
        <w:rPr>
          <w:lang w:val="en-US"/>
        </w:rPr>
        <w:t>could be</w:t>
      </w:r>
      <w:r w:rsidR="00F54C02" w:rsidRPr="00812E8B">
        <w:rPr>
          <w:lang w:val="en-US"/>
        </w:rPr>
        <w:t xml:space="preserve"> caused by </w:t>
      </w:r>
      <w:r w:rsidR="00193229" w:rsidRPr="00812E8B">
        <w:rPr>
          <w:lang w:val="en-US"/>
        </w:rPr>
        <w:t xml:space="preserve">an </w:t>
      </w:r>
      <w:r w:rsidR="00F54C02" w:rsidRPr="00812E8B">
        <w:rPr>
          <w:lang w:val="en-US"/>
        </w:rPr>
        <w:t>exogenous shift in failure probabilities</w:t>
      </w:r>
      <w:r w:rsidR="009548CC" w:rsidRPr="00812E8B">
        <w:rPr>
          <w:lang w:val="en-US"/>
        </w:rPr>
        <w:t xml:space="preserve"> due to de</w:t>
      </w:r>
      <w:r w:rsidR="00193229" w:rsidRPr="00812E8B">
        <w:rPr>
          <w:lang w:val="en-US"/>
        </w:rPr>
        <w:t>teriorating financial condition in the eighties</w:t>
      </w:r>
      <w:r w:rsidR="009548CC" w:rsidRPr="00812E8B">
        <w:rPr>
          <w:lang w:val="en-US"/>
        </w:rPr>
        <w:t xml:space="preserve">. Namely, the relationship between </w:t>
      </w:r>
      <w:r w:rsidR="005605D5" w:rsidRPr="00812E8B">
        <w:rPr>
          <w:lang w:val="en-US"/>
        </w:rPr>
        <w:t>equity-to</w:t>
      </w:r>
      <w:r w:rsidR="009548CC" w:rsidRPr="00812E8B">
        <w:rPr>
          <w:lang w:val="en-US"/>
        </w:rPr>
        <w:t>-asset ratio and performance changed i</w:t>
      </w:r>
      <w:r w:rsidR="00F54C02" w:rsidRPr="00812E8B">
        <w:rPr>
          <w:lang w:val="en-US"/>
        </w:rPr>
        <w:t>n the period of 1990-1992</w:t>
      </w:r>
      <w:r w:rsidR="009548CC" w:rsidRPr="00812E8B">
        <w:rPr>
          <w:lang w:val="en-US"/>
        </w:rPr>
        <w:t xml:space="preserve"> compare to the </w:t>
      </w:r>
      <w:r w:rsidR="00F54C02" w:rsidRPr="00812E8B">
        <w:rPr>
          <w:lang w:val="en-US"/>
        </w:rPr>
        <w:t xml:space="preserve">period of 1983-1989. </w:t>
      </w:r>
      <w:r w:rsidR="009548CC" w:rsidRPr="00812E8B">
        <w:rPr>
          <w:lang w:val="en-US"/>
        </w:rPr>
        <w:t xml:space="preserve">Other studies also investigated balance sheet ratios like the </w:t>
      </w:r>
      <w:r w:rsidR="005605D5" w:rsidRPr="00812E8B">
        <w:rPr>
          <w:lang w:val="en-US"/>
        </w:rPr>
        <w:t>equity-to-</w:t>
      </w:r>
      <w:r w:rsidR="009548CC" w:rsidRPr="00812E8B">
        <w:rPr>
          <w:lang w:val="en-US"/>
        </w:rPr>
        <w:t xml:space="preserve">asset </w:t>
      </w:r>
      <w:r w:rsidR="005A5603" w:rsidRPr="00812E8B">
        <w:rPr>
          <w:lang w:val="en-US"/>
        </w:rPr>
        <w:t>ratio,</w:t>
      </w:r>
      <w:r w:rsidR="009548CC" w:rsidRPr="00812E8B">
        <w:rPr>
          <w:lang w:val="en-US"/>
        </w:rPr>
        <w:t xml:space="preserve"> as the</w:t>
      </w:r>
      <w:r w:rsidRPr="00812E8B">
        <w:rPr>
          <w:lang w:val="en-US"/>
        </w:rPr>
        <w:t xml:space="preserve"> next paragraph will points out </w:t>
      </w:r>
      <w:r w:rsidR="005605D5" w:rsidRPr="00812E8B">
        <w:rPr>
          <w:lang w:val="en-US"/>
        </w:rPr>
        <w:t>for which also a negative relationship is found</w:t>
      </w:r>
      <w:r w:rsidRPr="00812E8B">
        <w:rPr>
          <w:lang w:val="en-US"/>
        </w:rPr>
        <w:t>.</w:t>
      </w:r>
      <w:r w:rsidR="009548CC" w:rsidRPr="00812E8B">
        <w:rPr>
          <w:lang w:val="en-US"/>
        </w:rPr>
        <w:t xml:space="preserve"> </w:t>
      </w:r>
    </w:p>
    <w:p w:rsidR="00F54C02" w:rsidRPr="00812E8B" w:rsidRDefault="00F54C02" w:rsidP="00F739C9">
      <w:pPr>
        <w:pStyle w:val="NoSpacing"/>
        <w:spacing w:line="276" w:lineRule="auto"/>
        <w:rPr>
          <w:color w:val="FF0000"/>
          <w:lang w:val="en-US"/>
        </w:rPr>
      </w:pPr>
    </w:p>
    <w:p w:rsidR="0062592D" w:rsidRPr="00812E8B" w:rsidRDefault="0062592D" w:rsidP="00CE1B03">
      <w:pPr>
        <w:pStyle w:val="Heading2"/>
        <w:rPr>
          <w:color w:val="auto"/>
          <w:lang w:val="en-US"/>
        </w:rPr>
      </w:pPr>
      <w:bookmarkStart w:id="22" w:name="_Toc306359642"/>
      <w:r w:rsidRPr="00812E8B">
        <w:rPr>
          <w:color w:val="auto"/>
          <w:lang w:val="en-US"/>
        </w:rPr>
        <w:t>3.</w:t>
      </w:r>
      <w:r w:rsidR="00F54C02" w:rsidRPr="00812E8B">
        <w:rPr>
          <w:color w:val="auto"/>
          <w:lang w:val="en-US"/>
        </w:rPr>
        <w:t>4</w:t>
      </w:r>
      <w:r w:rsidRPr="00812E8B">
        <w:rPr>
          <w:color w:val="auto"/>
          <w:lang w:val="en-US"/>
        </w:rPr>
        <w:t xml:space="preserve"> </w:t>
      </w:r>
      <w:r w:rsidR="00F54C02" w:rsidRPr="00812E8B">
        <w:rPr>
          <w:color w:val="auto"/>
          <w:lang w:val="en-US"/>
        </w:rPr>
        <w:t>M</w:t>
      </w:r>
      <w:r w:rsidR="00FB0A28" w:rsidRPr="00812E8B">
        <w:rPr>
          <w:color w:val="auto"/>
          <w:sz w:val="20"/>
          <w:szCs w:val="20"/>
          <w:lang w:val="en-US"/>
        </w:rPr>
        <w:t>ACROECONOMIC, INDUSTRY-SPECIFIC AND BANK-SPECIFIC FACTORS AND PROFITABILITY</w:t>
      </w:r>
      <w:bookmarkEnd w:id="22"/>
    </w:p>
    <w:p w:rsidR="00427284" w:rsidRPr="00812E8B" w:rsidRDefault="00DA04A4" w:rsidP="00CE1B03">
      <w:pPr>
        <w:pStyle w:val="NoSpacing"/>
        <w:spacing w:line="276" w:lineRule="auto"/>
        <w:jc w:val="both"/>
        <w:rPr>
          <w:lang w:val="en-US"/>
        </w:rPr>
      </w:pPr>
      <w:r w:rsidRPr="00812E8B">
        <w:rPr>
          <w:lang w:val="en-US"/>
        </w:rPr>
        <w:t>Previous mentioned</w:t>
      </w:r>
      <w:r w:rsidR="00D51379" w:rsidRPr="00812E8B">
        <w:rPr>
          <w:lang w:val="en-US"/>
        </w:rPr>
        <w:t xml:space="preserve"> </w:t>
      </w:r>
      <w:r w:rsidR="00C07156" w:rsidRPr="00812E8B">
        <w:rPr>
          <w:lang w:val="en-US"/>
        </w:rPr>
        <w:t xml:space="preserve">studies </w:t>
      </w:r>
      <w:r w:rsidR="00193229" w:rsidRPr="00812E8B">
        <w:rPr>
          <w:lang w:val="en-US"/>
        </w:rPr>
        <w:t>examine specific</w:t>
      </w:r>
      <w:r w:rsidR="0095688A" w:rsidRPr="00812E8B">
        <w:rPr>
          <w:lang w:val="en-US"/>
        </w:rPr>
        <w:t xml:space="preserve"> determinants</w:t>
      </w:r>
      <w:r w:rsidR="009548CC" w:rsidRPr="00812E8B">
        <w:rPr>
          <w:lang w:val="en-US"/>
        </w:rPr>
        <w:t xml:space="preserve"> and factors</w:t>
      </w:r>
      <w:r w:rsidR="0095688A" w:rsidRPr="00812E8B">
        <w:rPr>
          <w:lang w:val="en-US"/>
        </w:rPr>
        <w:t xml:space="preserve"> </w:t>
      </w:r>
      <w:r w:rsidR="009548CC" w:rsidRPr="00812E8B">
        <w:rPr>
          <w:lang w:val="en-US"/>
        </w:rPr>
        <w:t>that influence bank</w:t>
      </w:r>
      <w:r w:rsidR="005A5603" w:rsidRPr="00812E8B">
        <w:rPr>
          <w:lang w:val="en-US"/>
        </w:rPr>
        <w:t xml:space="preserve">s’ profitability. </w:t>
      </w:r>
      <w:r w:rsidR="009D5616" w:rsidRPr="00812E8B">
        <w:rPr>
          <w:lang w:val="en-US"/>
        </w:rPr>
        <w:t xml:space="preserve">Moreover, in literature also some </w:t>
      </w:r>
      <w:r w:rsidRPr="00812E8B">
        <w:rPr>
          <w:lang w:val="en-US"/>
        </w:rPr>
        <w:t>researchers</w:t>
      </w:r>
      <w:r w:rsidR="009D5616" w:rsidRPr="00812E8B">
        <w:rPr>
          <w:lang w:val="en-US"/>
        </w:rPr>
        <w:t xml:space="preserve"> </w:t>
      </w:r>
      <w:r w:rsidR="005A5603" w:rsidRPr="00812E8B">
        <w:rPr>
          <w:lang w:val="en-US"/>
        </w:rPr>
        <w:t xml:space="preserve">have </w:t>
      </w:r>
      <w:r w:rsidR="009D5616" w:rsidRPr="00812E8B">
        <w:rPr>
          <w:lang w:val="en-US"/>
        </w:rPr>
        <w:t xml:space="preserve">investigated a broad range of factors that influence performance. Such </w:t>
      </w:r>
      <w:r w:rsidR="00E52C53" w:rsidRPr="00812E8B">
        <w:rPr>
          <w:lang w:val="en-US"/>
        </w:rPr>
        <w:t xml:space="preserve">comprehensive </w:t>
      </w:r>
      <w:r w:rsidR="0095688A" w:rsidRPr="00812E8B">
        <w:rPr>
          <w:lang w:val="en-US"/>
        </w:rPr>
        <w:t>studies</w:t>
      </w:r>
      <w:r w:rsidR="009D5616" w:rsidRPr="00812E8B">
        <w:rPr>
          <w:lang w:val="en-US"/>
        </w:rPr>
        <w:t xml:space="preserve"> on bank performance </w:t>
      </w:r>
      <w:r w:rsidR="0095688A" w:rsidRPr="00812E8B">
        <w:rPr>
          <w:lang w:val="en-US"/>
        </w:rPr>
        <w:t>are initial</w:t>
      </w:r>
      <w:r w:rsidR="00427284" w:rsidRPr="00812E8B">
        <w:rPr>
          <w:lang w:val="en-US"/>
        </w:rPr>
        <w:t>ly based on concentration, government ownership and growth in money supply</w:t>
      </w:r>
      <w:r w:rsidR="0000584D" w:rsidRPr="00812E8B">
        <w:rPr>
          <w:lang w:val="en-US"/>
        </w:rPr>
        <w:t xml:space="preserve"> </w:t>
      </w:r>
      <w:r w:rsidR="006029C5" w:rsidRPr="00812E8B">
        <w:rPr>
          <w:color w:val="365F91" w:themeColor="accent1" w:themeShade="BF"/>
          <w:lang w:val="en-US"/>
        </w:rPr>
        <w:t>(Short, 1979; Bourke, 1989 and</w:t>
      </w:r>
      <w:r w:rsidR="00AA5D29" w:rsidRPr="00812E8B">
        <w:rPr>
          <w:color w:val="365F91" w:themeColor="accent1" w:themeShade="BF"/>
          <w:lang w:val="en-US"/>
        </w:rPr>
        <w:t xml:space="preserve"> </w:t>
      </w:r>
      <w:r w:rsidR="00881610" w:rsidRPr="00812E8B">
        <w:rPr>
          <w:color w:val="365F91" w:themeColor="accent1" w:themeShade="BF"/>
          <w:lang w:val="en-US"/>
        </w:rPr>
        <w:t>Molyneux and Thornton, 1992)</w:t>
      </w:r>
      <w:r w:rsidR="00881610" w:rsidRPr="00812E8B">
        <w:rPr>
          <w:lang w:val="en-US"/>
        </w:rPr>
        <w:t xml:space="preserve"> </w:t>
      </w:r>
      <w:r w:rsidR="00A5711D" w:rsidRPr="00812E8B">
        <w:rPr>
          <w:lang w:val="en-US"/>
        </w:rPr>
        <w:t>but recent</w:t>
      </w:r>
      <w:r w:rsidR="001C196F" w:rsidRPr="00812E8B">
        <w:rPr>
          <w:lang w:val="en-US"/>
        </w:rPr>
        <w:t>ly, studies also incorporate</w:t>
      </w:r>
      <w:r w:rsidR="00A5711D" w:rsidRPr="00812E8B">
        <w:rPr>
          <w:lang w:val="en-US"/>
        </w:rPr>
        <w:t xml:space="preserve"> macroeconomic, industry specific and bank-specific determinant</w:t>
      </w:r>
      <w:r w:rsidR="001C196F" w:rsidRPr="00812E8B">
        <w:rPr>
          <w:lang w:val="en-US"/>
        </w:rPr>
        <w:t>s</w:t>
      </w:r>
      <w:r w:rsidR="00DF1A63" w:rsidRPr="00812E8B">
        <w:rPr>
          <w:lang w:val="en-US"/>
        </w:rPr>
        <w:t xml:space="preserve">. </w:t>
      </w:r>
      <w:r w:rsidR="00881610" w:rsidRPr="00812E8B">
        <w:rPr>
          <w:color w:val="365F91" w:themeColor="accent1" w:themeShade="BF"/>
          <w:lang w:val="en-US"/>
        </w:rPr>
        <w:t>Molyneux and Thornton (1992)</w:t>
      </w:r>
      <w:r w:rsidR="00881610" w:rsidRPr="00812E8B">
        <w:rPr>
          <w:lang w:val="en-US"/>
        </w:rPr>
        <w:t xml:space="preserve"> </w:t>
      </w:r>
      <w:r w:rsidR="00DF1A63" w:rsidRPr="00812E8B">
        <w:rPr>
          <w:lang w:val="en-US"/>
        </w:rPr>
        <w:t xml:space="preserve">repeat earlier studies of </w:t>
      </w:r>
      <w:r w:rsidR="006029C5" w:rsidRPr="00812E8B">
        <w:rPr>
          <w:color w:val="365F91" w:themeColor="accent1" w:themeShade="BF"/>
          <w:lang w:val="en-US"/>
        </w:rPr>
        <w:t>Short (1979)</w:t>
      </w:r>
      <w:r w:rsidR="00A5711D" w:rsidRPr="00812E8B">
        <w:rPr>
          <w:color w:val="365F91" w:themeColor="accent1" w:themeShade="BF"/>
          <w:lang w:val="en-US"/>
        </w:rPr>
        <w:t xml:space="preserve"> </w:t>
      </w:r>
      <w:r w:rsidR="00A5711D" w:rsidRPr="00812E8B">
        <w:rPr>
          <w:lang w:val="en-US"/>
        </w:rPr>
        <w:t xml:space="preserve">and </w:t>
      </w:r>
      <w:r w:rsidR="006029C5" w:rsidRPr="00812E8B">
        <w:rPr>
          <w:color w:val="365F91" w:themeColor="accent1" w:themeShade="BF"/>
          <w:lang w:val="en-US"/>
        </w:rPr>
        <w:t>Bourke (1989)</w:t>
      </w:r>
      <w:r w:rsidR="0000584D" w:rsidRPr="00812E8B">
        <w:rPr>
          <w:lang w:val="en-US"/>
        </w:rPr>
        <w:t xml:space="preserve"> </w:t>
      </w:r>
      <w:r w:rsidR="005A5603" w:rsidRPr="00812E8B">
        <w:rPr>
          <w:lang w:val="en-US"/>
        </w:rPr>
        <w:t>and try</w:t>
      </w:r>
      <w:r w:rsidR="00DF1A63" w:rsidRPr="00812E8B">
        <w:rPr>
          <w:lang w:val="en-US"/>
        </w:rPr>
        <w:t xml:space="preserve"> to confirm result</w:t>
      </w:r>
      <w:r w:rsidR="00AA5D29" w:rsidRPr="00812E8B">
        <w:rPr>
          <w:lang w:val="en-US"/>
        </w:rPr>
        <w:t>s from one of those studies employing data on eighteen European countries for the</w:t>
      </w:r>
      <w:r w:rsidR="00DF1A63" w:rsidRPr="00812E8B">
        <w:rPr>
          <w:lang w:val="en-US"/>
        </w:rPr>
        <w:t xml:space="preserve"> period between 1986 and 198</w:t>
      </w:r>
      <w:r w:rsidR="00485D2C" w:rsidRPr="00812E8B">
        <w:rPr>
          <w:lang w:val="en-US"/>
        </w:rPr>
        <w:t>9</w:t>
      </w:r>
      <w:r w:rsidR="00DF1A63" w:rsidRPr="00812E8B">
        <w:rPr>
          <w:lang w:val="en-US"/>
        </w:rPr>
        <w:t xml:space="preserve">. </w:t>
      </w:r>
      <w:r w:rsidR="00881610" w:rsidRPr="00812E8B">
        <w:rPr>
          <w:color w:val="365F91" w:themeColor="accent1" w:themeShade="BF"/>
          <w:lang w:val="en-US"/>
        </w:rPr>
        <w:t>Molyneux and Thornton (1992)</w:t>
      </w:r>
      <w:r w:rsidR="00DF1A63" w:rsidRPr="00812E8B">
        <w:rPr>
          <w:lang w:val="en-US"/>
        </w:rPr>
        <w:t xml:space="preserve"> </w:t>
      </w:r>
      <w:r w:rsidR="005A5603" w:rsidRPr="00812E8B">
        <w:rPr>
          <w:lang w:val="en-US"/>
        </w:rPr>
        <w:t>were</w:t>
      </w:r>
      <w:r w:rsidR="00881610" w:rsidRPr="00812E8B">
        <w:rPr>
          <w:lang w:val="en-US"/>
        </w:rPr>
        <w:t xml:space="preserve"> one of </w:t>
      </w:r>
      <w:r w:rsidR="00B730EE" w:rsidRPr="00812E8B">
        <w:rPr>
          <w:lang w:val="en-US"/>
        </w:rPr>
        <w:t>the first that exami</w:t>
      </w:r>
      <w:r w:rsidR="001C196F" w:rsidRPr="00812E8B">
        <w:rPr>
          <w:lang w:val="en-US"/>
        </w:rPr>
        <w:t>ne the European banking sector;</w:t>
      </w:r>
      <w:r w:rsidR="00B730EE" w:rsidRPr="00812E8B">
        <w:rPr>
          <w:lang w:val="en-US"/>
        </w:rPr>
        <w:t xml:space="preserve"> they </w:t>
      </w:r>
      <w:r w:rsidR="005A5603" w:rsidRPr="00812E8B">
        <w:rPr>
          <w:lang w:val="en-US"/>
        </w:rPr>
        <w:t>fi</w:t>
      </w:r>
      <w:r w:rsidR="00DF1A63" w:rsidRPr="00812E8B">
        <w:rPr>
          <w:lang w:val="en-US"/>
        </w:rPr>
        <w:t xml:space="preserve">nd </w:t>
      </w:r>
      <w:r w:rsidR="00AA5D29" w:rsidRPr="00812E8B">
        <w:rPr>
          <w:lang w:val="en-US"/>
        </w:rPr>
        <w:t xml:space="preserve">that there is significant positive relationship between concentration, nominal interest rates, </w:t>
      </w:r>
      <w:r w:rsidR="002B555D" w:rsidRPr="00812E8B">
        <w:rPr>
          <w:lang w:val="en-US"/>
        </w:rPr>
        <w:t>equity-to-asset</w:t>
      </w:r>
      <w:r w:rsidR="00AA5D29" w:rsidRPr="00812E8B">
        <w:rPr>
          <w:lang w:val="en-US"/>
        </w:rPr>
        <w:t xml:space="preserve"> ratio and governmental ownership. </w:t>
      </w:r>
      <w:r w:rsidR="00B730EE" w:rsidRPr="00812E8B">
        <w:rPr>
          <w:lang w:val="en-US"/>
        </w:rPr>
        <w:t>Their findings are contradictory to</w:t>
      </w:r>
      <w:r w:rsidR="00193229" w:rsidRPr="00812E8B">
        <w:rPr>
          <w:lang w:val="en-US"/>
        </w:rPr>
        <w:t xml:space="preserve"> </w:t>
      </w:r>
      <w:r w:rsidR="006029C5" w:rsidRPr="00812E8B">
        <w:rPr>
          <w:color w:val="365F91" w:themeColor="accent1" w:themeShade="BF"/>
          <w:lang w:val="en-US"/>
        </w:rPr>
        <w:t>Short (1979)</w:t>
      </w:r>
      <w:r w:rsidR="00B730EE" w:rsidRPr="00812E8B">
        <w:rPr>
          <w:color w:val="365F91" w:themeColor="accent1" w:themeShade="BF"/>
          <w:lang w:val="en-US"/>
        </w:rPr>
        <w:t xml:space="preserve"> </w:t>
      </w:r>
      <w:r w:rsidR="00B730EE" w:rsidRPr="00812E8B">
        <w:rPr>
          <w:lang w:val="en-US"/>
        </w:rPr>
        <w:t xml:space="preserve">but </w:t>
      </w:r>
      <w:r w:rsidR="00193229" w:rsidRPr="00812E8B">
        <w:rPr>
          <w:lang w:val="en-US"/>
        </w:rPr>
        <w:t xml:space="preserve">confirm results from </w:t>
      </w:r>
      <w:r w:rsidR="005A5603" w:rsidRPr="00812E8B">
        <w:rPr>
          <w:lang w:val="en-US"/>
        </w:rPr>
        <w:t>the</w:t>
      </w:r>
      <w:r w:rsidR="00AA5D29" w:rsidRPr="00812E8B">
        <w:rPr>
          <w:lang w:val="en-US"/>
        </w:rPr>
        <w:t xml:space="preserve"> study</w:t>
      </w:r>
      <w:r w:rsidR="00193229" w:rsidRPr="00812E8B">
        <w:rPr>
          <w:lang w:val="en-US"/>
        </w:rPr>
        <w:t xml:space="preserve"> of </w:t>
      </w:r>
      <w:r w:rsidR="006029C5" w:rsidRPr="00812E8B">
        <w:rPr>
          <w:color w:val="365F91" w:themeColor="accent1" w:themeShade="BF"/>
          <w:lang w:val="en-US"/>
        </w:rPr>
        <w:t>Bourke (1989)</w:t>
      </w:r>
      <w:r w:rsidR="0000584D" w:rsidRPr="00812E8B">
        <w:rPr>
          <w:lang w:val="en-US"/>
        </w:rPr>
        <w:t xml:space="preserve"> </w:t>
      </w:r>
      <w:r w:rsidR="00DF1A63" w:rsidRPr="00812E8B">
        <w:rPr>
          <w:lang w:val="en-US"/>
        </w:rPr>
        <w:t xml:space="preserve">aside from the relationship </w:t>
      </w:r>
      <w:r w:rsidR="002B555D" w:rsidRPr="00812E8B">
        <w:rPr>
          <w:lang w:val="en-US"/>
        </w:rPr>
        <w:t>between government ownership and return on equity,</w:t>
      </w:r>
      <w:r w:rsidR="00B730EE" w:rsidRPr="00812E8B">
        <w:rPr>
          <w:lang w:val="en-US"/>
        </w:rPr>
        <w:t xml:space="preserve"> which turns out to be significant positive</w:t>
      </w:r>
      <w:r w:rsidR="002B555D" w:rsidRPr="00812E8B">
        <w:rPr>
          <w:lang w:val="en-US"/>
        </w:rPr>
        <w:t xml:space="preserve"> in the study of </w:t>
      </w:r>
      <w:r w:rsidR="00881610" w:rsidRPr="00812E8B">
        <w:rPr>
          <w:color w:val="365F91" w:themeColor="accent1" w:themeShade="BF"/>
          <w:lang w:val="en-US"/>
        </w:rPr>
        <w:t xml:space="preserve">Molyneux and </w:t>
      </w:r>
      <w:r w:rsidR="006029C5" w:rsidRPr="00812E8B">
        <w:rPr>
          <w:color w:val="365F91" w:themeColor="accent1" w:themeShade="BF"/>
          <w:lang w:val="en-US"/>
        </w:rPr>
        <w:t>Thornton</w:t>
      </w:r>
      <w:r w:rsidR="00881610" w:rsidRPr="00812E8B">
        <w:rPr>
          <w:color w:val="365F91" w:themeColor="accent1" w:themeShade="BF"/>
          <w:lang w:val="en-US"/>
        </w:rPr>
        <w:t xml:space="preserve"> </w:t>
      </w:r>
      <w:r w:rsidR="006029C5" w:rsidRPr="00812E8B">
        <w:rPr>
          <w:color w:val="365F91" w:themeColor="accent1" w:themeShade="BF"/>
          <w:lang w:val="en-US"/>
        </w:rPr>
        <w:t>(</w:t>
      </w:r>
      <w:r w:rsidR="00881610" w:rsidRPr="00812E8B">
        <w:rPr>
          <w:color w:val="365F91" w:themeColor="accent1" w:themeShade="BF"/>
          <w:lang w:val="en-US"/>
        </w:rPr>
        <w:t>1992)</w:t>
      </w:r>
      <w:r w:rsidR="00B730EE" w:rsidRPr="00812E8B">
        <w:rPr>
          <w:lang w:val="en-US"/>
        </w:rPr>
        <w:t>.</w:t>
      </w:r>
      <w:r w:rsidR="00AA5D29" w:rsidRPr="00812E8B">
        <w:rPr>
          <w:lang w:val="en-US"/>
        </w:rPr>
        <w:t xml:space="preserve"> </w:t>
      </w:r>
    </w:p>
    <w:p w:rsidR="00427284" w:rsidRPr="00812E8B" w:rsidRDefault="00427284" w:rsidP="00CE1B03">
      <w:pPr>
        <w:pStyle w:val="NoSpacing"/>
        <w:spacing w:line="276" w:lineRule="auto"/>
        <w:jc w:val="both"/>
        <w:rPr>
          <w:lang w:val="en-US"/>
        </w:rPr>
      </w:pPr>
    </w:p>
    <w:p w:rsidR="00B04AAD" w:rsidRPr="00812E8B" w:rsidRDefault="003E0FB7" w:rsidP="00CE1B03">
      <w:pPr>
        <w:pStyle w:val="NoSpacing"/>
        <w:spacing w:line="276" w:lineRule="auto"/>
        <w:jc w:val="both"/>
        <w:rPr>
          <w:lang w:val="en-US"/>
        </w:rPr>
      </w:pPr>
      <w:r w:rsidRPr="00812E8B">
        <w:rPr>
          <w:lang w:val="en-US"/>
        </w:rPr>
        <w:t xml:space="preserve">Recent studies </w:t>
      </w:r>
      <w:r w:rsidR="00881610" w:rsidRPr="00812E8B">
        <w:rPr>
          <w:lang w:val="en-US"/>
        </w:rPr>
        <w:t xml:space="preserve">extend the research of </w:t>
      </w:r>
      <w:r w:rsidR="00881610" w:rsidRPr="00812E8B">
        <w:rPr>
          <w:color w:val="365F91" w:themeColor="accent1" w:themeShade="BF"/>
          <w:lang w:val="en-US"/>
        </w:rPr>
        <w:t>Molyneux and Thornton (1992)</w:t>
      </w:r>
      <w:r w:rsidR="00881610" w:rsidRPr="00812E8B">
        <w:rPr>
          <w:lang w:val="en-US"/>
        </w:rPr>
        <w:t xml:space="preserve"> </w:t>
      </w:r>
      <w:r w:rsidR="00AA5D29" w:rsidRPr="00812E8B">
        <w:rPr>
          <w:lang w:val="en-US"/>
        </w:rPr>
        <w:t xml:space="preserve">by using more determinants </w:t>
      </w:r>
      <w:r w:rsidR="00026D7B" w:rsidRPr="00812E8B">
        <w:rPr>
          <w:color w:val="365F91" w:themeColor="accent1" w:themeShade="BF"/>
          <w:lang w:val="en-US"/>
        </w:rPr>
        <w:t>(Demirgüç-Kunt and Huizinga, 1999;</w:t>
      </w:r>
      <w:r w:rsidR="005A2455" w:rsidRPr="00812E8B">
        <w:rPr>
          <w:lang w:val="en-US"/>
        </w:rPr>
        <w:t xml:space="preserve"> </w:t>
      </w:r>
      <w:r w:rsidR="00AE700C" w:rsidRPr="00812E8B">
        <w:rPr>
          <w:color w:val="365F91" w:themeColor="accent1" w:themeShade="BF"/>
          <w:lang w:val="en-US"/>
        </w:rPr>
        <w:t xml:space="preserve">Goddard, Molyneux and Wilson, 2004; </w:t>
      </w:r>
      <w:r w:rsidR="00955C7E" w:rsidRPr="00812E8B">
        <w:rPr>
          <w:color w:val="365F91" w:themeColor="accent1" w:themeShade="BF"/>
          <w:lang w:val="en-US"/>
        </w:rPr>
        <w:t xml:space="preserve">Pasiouras and Kosmidou, </w:t>
      </w:r>
      <w:r w:rsidR="00955C7E" w:rsidRPr="00812E8B">
        <w:rPr>
          <w:color w:val="365F91" w:themeColor="accent1" w:themeShade="BF"/>
          <w:lang w:val="en-US"/>
        </w:rPr>
        <w:lastRenderedPageBreak/>
        <w:t>2007;</w:t>
      </w:r>
      <w:r w:rsidR="00610FAC" w:rsidRPr="00812E8B">
        <w:rPr>
          <w:color w:val="FF0000"/>
          <w:lang w:val="en-US"/>
        </w:rPr>
        <w:t xml:space="preserve"> </w:t>
      </w:r>
      <w:r w:rsidR="00E34060" w:rsidRPr="00812E8B">
        <w:rPr>
          <w:color w:val="365F91" w:themeColor="accent1" w:themeShade="BF"/>
          <w:lang w:val="en-US"/>
        </w:rPr>
        <w:t>Athanasoglou et al., 2008</w:t>
      </w:r>
      <w:r w:rsidR="005A2455" w:rsidRPr="00812E8B">
        <w:rPr>
          <w:lang w:val="en-US"/>
        </w:rPr>
        <w:t xml:space="preserve"> and</w:t>
      </w:r>
      <w:r w:rsidR="00041C23" w:rsidRPr="00812E8B">
        <w:rPr>
          <w:lang w:val="en-US"/>
        </w:rPr>
        <w:t xml:space="preserve"> </w:t>
      </w:r>
      <w:r w:rsidR="007D7CD9" w:rsidRPr="00812E8B">
        <w:rPr>
          <w:color w:val="365F91" w:themeColor="accent1" w:themeShade="BF"/>
          <w:lang w:val="en-US"/>
        </w:rPr>
        <w:t>Dietrich and Wanzenried (2011)</w:t>
      </w:r>
      <w:r w:rsidR="001B30EB" w:rsidRPr="00812E8B">
        <w:rPr>
          <w:color w:val="365F91" w:themeColor="accent1" w:themeShade="BF"/>
          <w:lang w:val="en-US"/>
        </w:rPr>
        <w:t xml:space="preserve">. </w:t>
      </w:r>
      <w:r w:rsidR="00AA5D29" w:rsidRPr="00812E8B">
        <w:rPr>
          <w:lang w:val="en-US"/>
        </w:rPr>
        <w:t>Furthermore, rec</w:t>
      </w:r>
      <w:r w:rsidR="00193229" w:rsidRPr="00812E8B">
        <w:rPr>
          <w:lang w:val="en-US"/>
        </w:rPr>
        <w:t xml:space="preserve">ent studies often </w:t>
      </w:r>
      <w:r w:rsidR="005A5603" w:rsidRPr="00812E8B">
        <w:rPr>
          <w:lang w:val="en-US"/>
        </w:rPr>
        <w:t>opt for</w:t>
      </w:r>
      <w:r w:rsidR="00193229" w:rsidRPr="00812E8B">
        <w:rPr>
          <w:lang w:val="en-US"/>
        </w:rPr>
        <w:t xml:space="preserve"> a</w:t>
      </w:r>
      <w:r w:rsidR="00AA5D29" w:rsidRPr="00812E8B">
        <w:rPr>
          <w:lang w:val="en-US"/>
        </w:rPr>
        <w:t xml:space="preserve"> dynamic model </w:t>
      </w:r>
      <w:r w:rsidR="001C196F" w:rsidRPr="00812E8B">
        <w:rPr>
          <w:lang w:val="en-US"/>
        </w:rPr>
        <w:t>that</w:t>
      </w:r>
      <w:r w:rsidR="00AA5D29" w:rsidRPr="00812E8B">
        <w:rPr>
          <w:lang w:val="en-US"/>
        </w:rPr>
        <w:t xml:space="preserve"> a</w:t>
      </w:r>
      <w:r w:rsidR="00A5711D" w:rsidRPr="00812E8B">
        <w:rPr>
          <w:lang w:val="en-US"/>
        </w:rPr>
        <w:t xml:space="preserve">ccount for profit persistence. </w:t>
      </w:r>
      <w:r w:rsidR="00AA5D29" w:rsidRPr="00812E8B">
        <w:rPr>
          <w:lang w:val="en-US"/>
        </w:rPr>
        <w:t>The</w:t>
      </w:r>
      <w:r w:rsidR="00351ED7" w:rsidRPr="00812E8B">
        <w:rPr>
          <w:lang w:val="en-US"/>
        </w:rPr>
        <w:t xml:space="preserve"> studies of </w:t>
      </w:r>
      <w:r w:rsidR="00955C7E" w:rsidRPr="00812E8B">
        <w:rPr>
          <w:color w:val="365F91" w:themeColor="accent1" w:themeShade="BF"/>
          <w:lang w:val="en-US"/>
        </w:rPr>
        <w:t>Pasiouras and Kosmidou (2007)</w:t>
      </w:r>
      <w:r w:rsidR="00955C7E" w:rsidRPr="00812E8B">
        <w:rPr>
          <w:lang w:val="en-US"/>
        </w:rPr>
        <w:t xml:space="preserve"> </w:t>
      </w:r>
      <w:r w:rsidR="00610FAC" w:rsidRPr="00812E8B">
        <w:rPr>
          <w:lang w:val="en-US"/>
        </w:rPr>
        <w:t>and</w:t>
      </w:r>
      <w:r w:rsidR="00610FAC" w:rsidRPr="00812E8B">
        <w:rPr>
          <w:color w:val="FF0000"/>
          <w:lang w:val="en-US"/>
        </w:rPr>
        <w:t xml:space="preserve"> </w:t>
      </w:r>
      <w:r w:rsidR="001B30EB" w:rsidRPr="00812E8B">
        <w:rPr>
          <w:color w:val="365F91" w:themeColor="accent1" w:themeShade="BF"/>
          <w:lang w:val="en-US"/>
        </w:rPr>
        <w:t xml:space="preserve">Dietrich and Wanzenried (2011) </w:t>
      </w:r>
      <w:r w:rsidR="00351ED7" w:rsidRPr="00812E8B">
        <w:rPr>
          <w:lang w:val="en-US"/>
        </w:rPr>
        <w:t>are discussed in more detail</w:t>
      </w:r>
      <w:r w:rsidR="00B04AAD" w:rsidRPr="00812E8B">
        <w:rPr>
          <w:lang w:val="en-US"/>
        </w:rPr>
        <w:t xml:space="preserve"> </w:t>
      </w:r>
      <w:r w:rsidR="00193229" w:rsidRPr="00812E8B">
        <w:rPr>
          <w:lang w:val="en-US"/>
        </w:rPr>
        <w:t xml:space="preserve">in subsequent paragraphs, </w:t>
      </w:r>
      <w:r w:rsidR="00B44BE5" w:rsidRPr="00812E8B">
        <w:rPr>
          <w:lang w:val="en-US"/>
        </w:rPr>
        <w:t>as</w:t>
      </w:r>
      <w:r w:rsidR="00E51262" w:rsidRPr="00812E8B">
        <w:rPr>
          <w:lang w:val="en-US"/>
        </w:rPr>
        <w:t xml:space="preserve"> this thesis will build on the</w:t>
      </w:r>
      <w:r w:rsidR="00DA04A4" w:rsidRPr="00812E8B">
        <w:rPr>
          <w:lang w:val="en-US"/>
        </w:rPr>
        <w:t>ir</w:t>
      </w:r>
      <w:r w:rsidR="00E51262" w:rsidRPr="00812E8B">
        <w:rPr>
          <w:lang w:val="en-US"/>
        </w:rPr>
        <w:t xml:space="preserve"> concepts</w:t>
      </w:r>
      <w:r w:rsidR="00B04AAD" w:rsidRPr="00812E8B">
        <w:rPr>
          <w:lang w:val="en-US"/>
        </w:rPr>
        <w:t xml:space="preserve">. The other studies of </w:t>
      </w:r>
      <w:r w:rsidR="00026D7B" w:rsidRPr="00812E8B">
        <w:rPr>
          <w:color w:val="365F91" w:themeColor="accent1" w:themeShade="BF"/>
          <w:lang w:val="en-US"/>
        </w:rPr>
        <w:t>Demirgüç-Kunt and Huizinga (1999),</w:t>
      </w:r>
      <w:r w:rsidR="00B04AAD" w:rsidRPr="00812E8B">
        <w:rPr>
          <w:lang w:val="en-US"/>
        </w:rPr>
        <w:t xml:space="preserve"> </w:t>
      </w:r>
      <w:r w:rsidR="00AE700C" w:rsidRPr="00812E8B">
        <w:rPr>
          <w:color w:val="365F91" w:themeColor="accent1" w:themeShade="BF"/>
          <w:lang w:val="en-US"/>
        </w:rPr>
        <w:t>Goddard et al. (2004)</w:t>
      </w:r>
      <w:r w:rsidR="00B04AAD" w:rsidRPr="00812E8B">
        <w:rPr>
          <w:color w:val="365F91" w:themeColor="accent1" w:themeShade="BF"/>
          <w:lang w:val="en-US"/>
        </w:rPr>
        <w:t xml:space="preserve"> </w:t>
      </w:r>
      <w:r w:rsidR="00B04AAD" w:rsidRPr="00812E8B">
        <w:rPr>
          <w:lang w:val="en-US"/>
        </w:rPr>
        <w:t xml:space="preserve">and </w:t>
      </w:r>
      <w:r w:rsidR="00E34060" w:rsidRPr="00812E8B">
        <w:rPr>
          <w:color w:val="365F91" w:themeColor="accent1" w:themeShade="BF"/>
          <w:lang w:val="en-US"/>
        </w:rPr>
        <w:t xml:space="preserve">Athanasoglou et al. (2008) </w:t>
      </w:r>
      <w:r w:rsidR="00B04AAD" w:rsidRPr="00812E8B">
        <w:rPr>
          <w:lang w:val="en-US"/>
        </w:rPr>
        <w:t xml:space="preserve"> are less recent or use data from different regions</w:t>
      </w:r>
      <w:r w:rsidR="001C196F" w:rsidRPr="00812E8B">
        <w:rPr>
          <w:lang w:val="en-US"/>
        </w:rPr>
        <w:t xml:space="preserve"> than is the object of study</w:t>
      </w:r>
      <w:r w:rsidR="00B04AAD" w:rsidRPr="00812E8B">
        <w:rPr>
          <w:lang w:val="en-US"/>
        </w:rPr>
        <w:t xml:space="preserve">.  All three studies found significant relationships for different determinants. </w:t>
      </w:r>
      <w:r w:rsidR="00DA04A4" w:rsidRPr="00812E8B">
        <w:rPr>
          <w:lang w:val="en-US"/>
        </w:rPr>
        <w:t>A</w:t>
      </w:r>
      <w:r w:rsidR="00B04AAD" w:rsidRPr="00812E8B">
        <w:rPr>
          <w:lang w:val="en-US"/>
        </w:rPr>
        <w:t xml:space="preserve"> summary of the findings of these studies</w:t>
      </w:r>
      <w:r w:rsidR="001C196F" w:rsidRPr="00812E8B">
        <w:rPr>
          <w:lang w:val="en-US"/>
        </w:rPr>
        <w:t xml:space="preserve"> is</w:t>
      </w:r>
      <w:r w:rsidR="00DA04A4" w:rsidRPr="00812E8B">
        <w:rPr>
          <w:lang w:val="en-US"/>
        </w:rPr>
        <w:t xml:space="preserve"> presented in</w:t>
      </w:r>
      <w:r w:rsidR="00610FAC" w:rsidRPr="00812E8B">
        <w:rPr>
          <w:lang w:val="en-US"/>
        </w:rPr>
        <w:t xml:space="preserve"> appendix</w:t>
      </w:r>
      <w:r w:rsidR="000E054F" w:rsidRPr="00812E8B">
        <w:rPr>
          <w:lang w:val="en-US"/>
        </w:rPr>
        <w:t xml:space="preserve"> III.</w:t>
      </w:r>
    </w:p>
    <w:p w:rsidR="00B04AAD" w:rsidRPr="00812E8B" w:rsidRDefault="00B04AAD" w:rsidP="00CE1B03">
      <w:pPr>
        <w:pStyle w:val="NoSpacing"/>
        <w:spacing w:line="276" w:lineRule="auto"/>
        <w:jc w:val="both"/>
        <w:rPr>
          <w:lang w:val="en-US"/>
        </w:rPr>
      </w:pPr>
    </w:p>
    <w:p w:rsidR="006E3BD3" w:rsidRPr="00812E8B" w:rsidRDefault="006E3BD3" w:rsidP="00CE1B03">
      <w:pPr>
        <w:pStyle w:val="Heading3"/>
        <w:rPr>
          <w:color w:val="auto"/>
          <w:lang w:val="en-US"/>
        </w:rPr>
      </w:pPr>
      <w:r w:rsidRPr="00812E8B">
        <w:rPr>
          <w:color w:val="auto"/>
          <w:lang w:val="en-US"/>
        </w:rPr>
        <w:t xml:space="preserve">3.4.1 </w:t>
      </w:r>
      <w:r w:rsidR="00E91DFC" w:rsidRPr="00812E8B">
        <w:rPr>
          <w:color w:val="auto"/>
          <w:lang w:val="en-US"/>
        </w:rPr>
        <w:t>D</w:t>
      </w:r>
      <w:r w:rsidR="00FB0A28" w:rsidRPr="00812E8B">
        <w:rPr>
          <w:color w:val="auto"/>
          <w:sz w:val="19"/>
          <w:szCs w:val="19"/>
          <w:lang w:val="en-US"/>
        </w:rPr>
        <w:t xml:space="preserve">ETERMINANTS OF PROFITABILITY FOR DOMESTIC AND FOREIGN BANKS </w:t>
      </w:r>
    </w:p>
    <w:p w:rsidR="00776F1C" w:rsidRPr="00812E8B" w:rsidRDefault="00CC1E21" w:rsidP="00CE1B03">
      <w:pPr>
        <w:pStyle w:val="NoSpacing"/>
        <w:spacing w:line="276" w:lineRule="auto"/>
        <w:jc w:val="both"/>
        <w:rPr>
          <w:lang w:val="en-US"/>
        </w:rPr>
      </w:pPr>
      <w:r w:rsidRPr="00812E8B">
        <w:rPr>
          <w:lang w:val="en-US"/>
        </w:rPr>
        <w:t xml:space="preserve">The study of </w:t>
      </w:r>
      <w:r w:rsidR="00955C7E" w:rsidRPr="00812E8B">
        <w:rPr>
          <w:color w:val="365F91" w:themeColor="accent1" w:themeShade="BF"/>
          <w:lang w:val="en-US"/>
        </w:rPr>
        <w:t>Pasiouras and Kosmidou (2007)</w:t>
      </w:r>
      <w:r w:rsidR="00955C7E" w:rsidRPr="00812E8B">
        <w:rPr>
          <w:lang w:val="en-US"/>
        </w:rPr>
        <w:t xml:space="preserve"> </w:t>
      </w:r>
      <w:r w:rsidRPr="00812E8B">
        <w:rPr>
          <w:lang w:val="en-US"/>
        </w:rPr>
        <w:t>investigate</w:t>
      </w:r>
      <w:r w:rsidR="005A5603" w:rsidRPr="00812E8B">
        <w:rPr>
          <w:lang w:val="en-US"/>
        </w:rPr>
        <w:t>s</w:t>
      </w:r>
      <w:r w:rsidRPr="00812E8B">
        <w:rPr>
          <w:lang w:val="en-US"/>
        </w:rPr>
        <w:t xml:space="preserve"> </w:t>
      </w:r>
      <w:r w:rsidR="003624A0" w:rsidRPr="00812E8B">
        <w:rPr>
          <w:lang w:val="en-US"/>
        </w:rPr>
        <w:t>European</w:t>
      </w:r>
      <w:r w:rsidRPr="00812E8B">
        <w:rPr>
          <w:lang w:val="en-US"/>
        </w:rPr>
        <w:t xml:space="preserve"> banks in a period between 19</w:t>
      </w:r>
      <w:r w:rsidR="003624A0" w:rsidRPr="00812E8B">
        <w:rPr>
          <w:lang w:val="en-US"/>
        </w:rPr>
        <w:t>9</w:t>
      </w:r>
      <w:r w:rsidRPr="00812E8B">
        <w:rPr>
          <w:lang w:val="en-US"/>
        </w:rPr>
        <w:t>5 and 2001</w:t>
      </w:r>
      <w:r w:rsidR="003624A0" w:rsidRPr="00812E8B">
        <w:rPr>
          <w:lang w:val="en-US"/>
        </w:rPr>
        <w:t xml:space="preserve">, </w:t>
      </w:r>
      <w:r w:rsidR="001C196F" w:rsidRPr="00812E8B">
        <w:rPr>
          <w:lang w:val="en-US"/>
        </w:rPr>
        <w:t>generating</w:t>
      </w:r>
      <w:r w:rsidR="003624A0" w:rsidRPr="00812E8B">
        <w:rPr>
          <w:lang w:val="en-US"/>
        </w:rPr>
        <w:t xml:space="preserve"> a </w:t>
      </w:r>
      <w:r w:rsidR="002C4EE4" w:rsidRPr="00812E8B">
        <w:rPr>
          <w:lang w:val="en-US"/>
        </w:rPr>
        <w:t xml:space="preserve">total </w:t>
      </w:r>
      <w:r w:rsidR="003624A0" w:rsidRPr="00812E8B">
        <w:rPr>
          <w:lang w:val="en-US"/>
        </w:rPr>
        <w:t>sample of 584 banks</w:t>
      </w:r>
      <w:r w:rsidR="00601CA5" w:rsidRPr="00812E8B">
        <w:rPr>
          <w:lang w:val="en-US"/>
        </w:rPr>
        <w:t xml:space="preserve"> </w:t>
      </w:r>
      <w:r w:rsidR="001C196F" w:rsidRPr="00812E8B">
        <w:rPr>
          <w:lang w:val="en-US"/>
        </w:rPr>
        <w:t>with</w:t>
      </w:r>
      <w:r w:rsidR="00601CA5" w:rsidRPr="00812E8B">
        <w:rPr>
          <w:lang w:val="en-US"/>
        </w:rPr>
        <w:t xml:space="preserve"> 4,088 observations</w:t>
      </w:r>
      <w:r w:rsidR="005A5603" w:rsidRPr="00812E8B">
        <w:rPr>
          <w:lang w:val="en-US"/>
        </w:rPr>
        <w:t xml:space="preserve">. They apply </w:t>
      </w:r>
      <w:r w:rsidRPr="00812E8B">
        <w:rPr>
          <w:lang w:val="en-US"/>
        </w:rPr>
        <w:t>a linear model</w:t>
      </w:r>
      <w:r w:rsidR="00B04AAD" w:rsidRPr="00812E8B">
        <w:rPr>
          <w:lang w:val="en-US"/>
        </w:rPr>
        <w:t xml:space="preserve"> for the total </w:t>
      </w:r>
      <w:r w:rsidR="00B730EE" w:rsidRPr="00812E8B">
        <w:rPr>
          <w:lang w:val="en-US"/>
        </w:rPr>
        <w:t>sample; nonetheless, they also</w:t>
      </w:r>
      <w:r w:rsidR="003624A0" w:rsidRPr="00812E8B">
        <w:rPr>
          <w:lang w:val="en-US"/>
        </w:rPr>
        <w:t xml:space="preserve"> se</w:t>
      </w:r>
      <w:r w:rsidR="00B04AAD" w:rsidRPr="00812E8B">
        <w:rPr>
          <w:lang w:val="en-US"/>
        </w:rPr>
        <w:t xml:space="preserve">parately run </w:t>
      </w:r>
      <w:r w:rsidR="003624A0" w:rsidRPr="00812E8B">
        <w:rPr>
          <w:lang w:val="en-US"/>
        </w:rPr>
        <w:t>regression</w:t>
      </w:r>
      <w:r w:rsidR="00B04AAD" w:rsidRPr="00812E8B">
        <w:rPr>
          <w:lang w:val="en-US"/>
        </w:rPr>
        <w:t>s</w:t>
      </w:r>
      <w:r w:rsidR="003624A0" w:rsidRPr="00812E8B">
        <w:rPr>
          <w:lang w:val="en-US"/>
        </w:rPr>
        <w:t xml:space="preserve"> for foreign and domestic banks</w:t>
      </w:r>
      <w:r w:rsidR="00E51262" w:rsidRPr="00812E8B">
        <w:rPr>
          <w:lang w:val="en-US"/>
        </w:rPr>
        <w:t xml:space="preserve"> within a country</w:t>
      </w:r>
      <w:r w:rsidR="003624A0" w:rsidRPr="00812E8B">
        <w:rPr>
          <w:lang w:val="en-US"/>
        </w:rPr>
        <w:t xml:space="preserve">. </w:t>
      </w:r>
      <w:r w:rsidR="00776F1C" w:rsidRPr="00812E8B">
        <w:rPr>
          <w:lang w:val="en-US"/>
        </w:rPr>
        <w:t xml:space="preserve">The linear model of </w:t>
      </w:r>
      <w:r w:rsidR="00955C7E" w:rsidRPr="00812E8B">
        <w:rPr>
          <w:color w:val="365F91" w:themeColor="accent1" w:themeShade="BF"/>
          <w:lang w:val="en-US"/>
        </w:rPr>
        <w:t>Pasiouras and Kosmidou (2007)</w:t>
      </w:r>
      <w:r w:rsidR="00955C7E" w:rsidRPr="00812E8B">
        <w:rPr>
          <w:lang w:val="en-US"/>
        </w:rPr>
        <w:t xml:space="preserve"> </w:t>
      </w:r>
      <w:r w:rsidR="00B730EE" w:rsidRPr="00812E8B">
        <w:rPr>
          <w:lang w:val="en-US"/>
        </w:rPr>
        <w:t>use</w:t>
      </w:r>
      <w:r w:rsidR="005A5603" w:rsidRPr="00812E8B">
        <w:rPr>
          <w:lang w:val="en-US"/>
        </w:rPr>
        <w:t>s</w:t>
      </w:r>
      <w:r w:rsidR="00B730EE" w:rsidRPr="00812E8B">
        <w:rPr>
          <w:lang w:val="en-US"/>
        </w:rPr>
        <w:t xml:space="preserve"> return on average assets </w:t>
      </w:r>
      <w:r w:rsidR="00776F1C" w:rsidRPr="00812E8B">
        <w:rPr>
          <w:lang w:val="en-US"/>
        </w:rPr>
        <w:t xml:space="preserve">as dependent variable. Explanatory variables </w:t>
      </w:r>
      <w:r w:rsidR="005A5603" w:rsidRPr="00812E8B">
        <w:rPr>
          <w:lang w:val="en-US"/>
        </w:rPr>
        <w:t>a</w:t>
      </w:r>
      <w:r w:rsidR="00776F1C" w:rsidRPr="00812E8B">
        <w:rPr>
          <w:lang w:val="en-US"/>
        </w:rPr>
        <w:t>re categorized in internal (bank-specific) factors and external (macroeconomic and financial structure) factors. Bank-specific factors include</w:t>
      </w:r>
      <w:r w:rsidR="001C196F" w:rsidRPr="00812E8B">
        <w:rPr>
          <w:lang w:val="en-US"/>
        </w:rPr>
        <w:t>d</w:t>
      </w:r>
      <w:r w:rsidR="00776F1C" w:rsidRPr="00812E8B">
        <w:rPr>
          <w:lang w:val="en-US"/>
        </w:rPr>
        <w:t xml:space="preserve"> proxies for the </w:t>
      </w:r>
      <w:r w:rsidR="005A5603" w:rsidRPr="00812E8B">
        <w:rPr>
          <w:lang w:val="en-US"/>
        </w:rPr>
        <w:t xml:space="preserve">capital </w:t>
      </w:r>
      <w:r w:rsidR="00776F1C" w:rsidRPr="00812E8B">
        <w:rPr>
          <w:lang w:val="en-US"/>
        </w:rPr>
        <w:t>(</w:t>
      </w:r>
      <w:r w:rsidR="001C196F" w:rsidRPr="00812E8B">
        <w:rPr>
          <w:lang w:val="en-US"/>
        </w:rPr>
        <w:t xml:space="preserve">e.g. </w:t>
      </w:r>
      <w:r w:rsidR="00335EFC" w:rsidRPr="00812E8B">
        <w:rPr>
          <w:lang w:val="en-US"/>
        </w:rPr>
        <w:t>equity-to-asset ratio</w:t>
      </w:r>
      <w:r w:rsidR="00776F1C" w:rsidRPr="00812E8B">
        <w:rPr>
          <w:lang w:val="en-US"/>
        </w:rPr>
        <w:t>) and liquidity</w:t>
      </w:r>
      <w:r w:rsidR="005A5603" w:rsidRPr="00812E8B">
        <w:rPr>
          <w:lang w:val="en-US"/>
        </w:rPr>
        <w:t xml:space="preserve"> </w:t>
      </w:r>
      <w:r w:rsidR="006029C5" w:rsidRPr="00812E8B">
        <w:rPr>
          <w:lang w:val="en-US"/>
        </w:rPr>
        <w:t>structure</w:t>
      </w:r>
      <w:r w:rsidR="00776F1C" w:rsidRPr="00812E8B">
        <w:rPr>
          <w:lang w:val="en-US"/>
        </w:rPr>
        <w:t xml:space="preserve"> (</w:t>
      </w:r>
      <w:r w:rsidR="001C196F" w:rsidRPr="00812E8B">
        <w:rPr>
          <w:lang w:val="en-US"/>
        </w:rPr>
        <w:t xml:space="preserve">e.g. </w:t>
      </w:r>
      <w:r w:rsidR="00776F1C" w:rsidRPr="00812E8B">
        <w:rPr>
          <w:lang w:val="en-US"/>
        </w:rPr>
        <w:t>loan to customers and short term funding</w:t>
      </w:r>
      <w:r w:rsidR="001C196F" w:rsidRPr="00812E8B">
        <w:rPr>
          <w:lang w:val="en-US"/>
        </w:rPr>
        <w:t xml:space="preserve"> ratios</w:t>
      </w:r>
      <w:r w:rsidR="00776F1C" w:rsidRPr="00812E8B">
        <w:rPr>
          <w:lang w:val="en-US"/>
        </w:rPr>
        <w:t xml:space="preserve">). In addition, the </w:t>
      </w:r>
      <w:r w:rsidR="00335EFC" w:rsidRPr="00812E8B">
        <w:rPr>
          <w:lang w:val="en-US"/>
        </w:rPr>
        <w:t>cost-to-income ratio</w:t>
      </w:r>
      <w:r w:rsidR="00776F1C" w:rsidRPr="00812E8B">
        <w:rPr>
          <w:lang w:val="en-US"/>
        </w:rPr>
        <w:t xml:space="preserve"> and size of a bank are included in bank-specific factors. </w:t>
      </w:r>
      <w:r w:rsidR="00955C7E" w:rsidRPr="00812E8B">
        <w:rPr>
          <w:color w:val="365F91" w:themeColor="accent1" w:themeShade="BF"/>
          <w:lang w:val="en-US"/>
        </w:rPr>
        <w:t>Pasiouras and Kosmidou (2007)</w:t>
      </w:r>
      <w:r w:rsidR="00955C7E" w:rsidRPr="00812E8B">
        <w:rPr>
          <w:lang w:val="en-US"/>
        </w:rPr>
        <w:t xml:space="preserve"> </w:t>
      </w:r>
      <w:r w:rsidR="00776F1C" w:rsidRPr="00812E8B">
        <w:rPr>
          <w:lang w:val="en-US"/>
        </w:rPr>
        <w:t>use</w:t>
      </w:r>
      <w:r w:rsidR="00776F1C" w:rsidRPr="00812E8B">
        <w:rPr>
          <w:color w:val="365F91" w:themeColor="accent1" w:themeShade="BF"/>
          <w:lang w:val="en-US"/>
        </w:rPr>
        <w:t xml:space="preserve"> </w:t>
      </w:r>
      <w:r w:rsidR="00776F1C" w:rsidRPr="00812E8B">
        <w:rPr>
          <w:lang w:val="en-US"/>
        </w:rPr>
        <w:t xml:space="preserve">macroeconomic variables such as inflation and growth of gross domestic product (GDP), and financial structure variables such as concentration.  </w:t>
      </w:r>
      <w:r w:rsidR="00776F1C" w:rsidRPr="00812E8B">
        <w:rPr>
          <w:color w:val="365F91" w:themeColor="accent1" w:themeShade="BF"/>
          <w:lang w:val="en-US"/>
        </w:rPr>
        <w:t xml:space="preserve"> </w:t>
      </w:r>
    </w:p>
    <w:p w:rsidR="00776F1C" w:rsidRPr="00812E8B" w:rsidRDefault="00776F1C" w:rsidP="00CE1B03">
      <w:pPr>
        <w:pStyle w:val="NoSpacing"/>
        <w:spacing w:line="276" w:lineRule="auto"/>
        <w:jc w:val="both"/>
        <w:rPr>
          <w:lang w:val="en-US"/>
        </w:rPr>
      </w:pPr>
    </w:p>
    <w:p w:rsidR="00F07D0C" w:rsidRPr="00812E8B" w:rsidRDefault="00B04AAD" w:rsidP="00CE1B03">
      <w:pPr>
        <w:pStyle w:val="NoSpacing"/>
        <w:spacing w:line="276" w:lineRule="auto"/>
        <w:jc w:val="both"/>
        <w:rPr>
          <w:lang w:val="en-US"/>
        </w:rPr>
      </w:pPr>
      <w:r w:rsidRPr="00812E8B">
        <w:rPr>
          <w:lang w:val="en-US"/>
        </w:rPr>
        <w:t xml:space="preserve">In the </w:t>
      </w:r>
      <w:r w:rsidR="00F07D0C" w:rsidRPr="00812E8B">
        <w:rPr>
          <w:lang w:val="en-US"/>
        </w:rPr>
        <w:t>total bank</w:t>
      </w:r>
      <w:r w:rsidRPr="00812E8B">
        <w:rPr>
          <w:lang w:val="en-US"/>
        </w:rPr>
        <w:t xml:space="preserve"> </w:t>
      </w:r>
      <w:r w:rsidR="00653427" w:rsidRPr="00812E8B">
        <w:rPr>
          <w:lang w:val="en-US"/>
        </w:rPr>
        <w:t>sample,</w:t>
      </w:r>
      <w:r w:rsidRPr="00812E8B">
        <w:rPr>
          <w:lang w:val="en-US"/>
        </w:rPr>
        <w:t xml:space="preserve"> all </w:t>
      </w:r>
      <w:r w:rsidR="003624A0" w:rsidRPr="00812E8B">
        <w:rPr>
          <w:lang w:val="en-US"/>
        </w:rPr>
        <w:t xml:space="preserve">bank-specific </w:t>
      </w:r>
      <w:r w:rsidRPr="00812E8B">
        <w:rPr>
          <w:lang w:val="en-US"/>
        </w:rPr>
        <w:t xml:space="preserve">determinants </w:t>
      </w:r>
      <w:r w:rsidR="005A5603" w:rsidRPr="00812E8B">
        <w:rPr>
          <w:lang w:val="en-US"/>
        </w:rPr>
        <w:t>a</w:t>
      </w:r>
      <w:r w:rsidR="001E34A3" w:rsidRPr="00812E8B">
        <w:rPr>
          <w:lang w:val="en-US"/>
        </w:rPr>
        <w:t>re</w:t>
      </w:r>
      <w:r w:rsidRPr="00812E8B">
        <w:rPr>
          <w:lang w:val="en-US"/>
        </w:rPr>
        <w:t xml:space="preserve"> statistically significant</w:t>
      </w:r>
      <w:r w:rsidR="00F07D0C" w:rsidRPr="00812E8B">
        <w:rPr>
          <w:lang w:val="en-US"/>
        </w:rPr>
        <w:t>. The</w:t>
      </w:r>
      <w:r w:rsidR="00F62A12" w:rsidRPr="00812E8B">
        <w:rPr>
          <w:lang w:val="en-US"/>
        </w:rPr>
        <w:t>y f</w:t>
      </w:r>
      <w:r w:rsidR="005A5603" w:rsidRPr="00812E8B">
        <w:rPr>
          <w:lang w:val="en-US"/>
        </w:rPr>
        <w:t>i</w:t>
      </w:r>
      <w:r w:rsidR="00F62A12" w:rsidRPr="00812E8B">
        <w:rPr>
          <w:lang w:val="en-US"/>
        </w:rPr>
        <w:t>nd a positive</w:t>
      </w:r>
      <w:r w:rsidR="00F07D0C" w:rsidRPr="00812E8B">
        <w:rPr>
          <w:lang w:val="en-US"/>
        </w:rPr>
        <w:t xml:space="preserve"> relationship between </w:t>
      </w:r>
      <w:r w:rsidR="005A5603" w:rsidRPr="00812E8B">
        <w:rPr>
          <w:lang w:val="en-US"/>
        </w:rPr>
        <w:t xml:space="preserve">the </w:t>
      </w:r>
      <w:r w:rsidR="00F07D0C" w:rsidRPr="00812E8B">
        <w:rPr>
          <w:lang w:val="en-US"/>
        </w:rPr>
        <w:t>equity</w:t>
      </w:r>
      <w:r w:rsidR="005A5603" w:rsidRPr="00812E8B">
        <w:rPr>
          <w:lang w:val="en-US"/>
        </w:rPr>
        <w:t>-to-</w:t>
      </w:r>
      <w:r w:rsidR="00F07D0C" w:rsidRPr="00812E8B">
        <w:rPr>
          <w:lang w:val="en-US"/>
        </w:rPr>
        <w:t>asset</w:t>
      </w:r>
      <w:r w:rsidR="005A5603" w:rsidRPr="00812E8B">
        <w:rPr>
          <w:lang w:val="en-US"/>
        </w:rPr>
        <w:t xml:space="preserve"> ratio</w:t>
      </w:r>
      <w:r w:rsidR="00F07D0C" w:rsidRPr="00812E8B">
        <w:rPr>
          <w:lang w:val="en-US"/>
        </w:rPr>
        <w:t xml:space="preserve"> and profitability. Furthermore,</w:t>
      </w:r>
      <w:r w:rsidR="004D278E" w:rsidRPr="00812E8B">
        <w:rPr>
          <w:lang w:val="en-US"/>
        </w:rPr>
        <w:t xml:space="preserve"> the</w:t>
      </w:r>
      <w:r w:rsidR="00F07D0C" w:rsidRPr="00812E8B">
        <w:rPr>
          <w:lang w:val="en-US"/>
        </w:rPr>
        <w:t xml:space="preserve"> </w:t>
      </w:r>
      <w:r w:rsidR="004D278E" w:rsidRPr="00812E8B">
        <w:rPr>
          <w:lang w:val="en-US"/>
        </w:rPr>
        <w:t xml:space="preserve">coefficient of </w:t>
      </w:r>
      <w:r w:rsidR="00F07D0C" w:rsidRPr="00812E8B">
        <w:rPr>
          <w:lang w:val="en-US"/>
        </w:rPr>
        <w:t>equity</w:t>
      </w:r>
      <w:r w:rsidR="005A5603" w:rsidRPr="00812E8B">
        <w:rPr>
          <w:lang w:val="en-US"/>
        </w:rPr>
        <w:t>-</w:t>
      </w:r>
      <w:r w:rsidR="00F07D0C" w:rsidRPr="00812E8B">
        <w:rPr>
          <w:lang w:val="en-US"/>
        </w:rPr>
        <w:t>to</w:t>
      </w:r>
      <w:r w:rsidR="005A5603" w:rsidRPr="00812E8B">
        <w:rPr>
          <w:lang w:val="en-US"/>
        </w:rPr>
        <w:t>-</w:t>
      </w:r>
      <w:r w:rsidR="00F07D0C" w:rsidRPr="00812E8B">
        <w:rPr>
          <w:lang w:val="en-US"/>
        </w:rPr>
        <w:t>asset</w:t>
      </w:r>
      <w:r w:rsidR="005A5603" w:rsidRPr="00812E8B">
        <w:rPr>
          <w:lang w:val="en-US"/>
        </w:rPr>
        <w:t xml:space="preserve"> ratio has</w:t>
      </w:r>
      <w:r w:rsidR="004D278E" w:rsidRPr="00812E8B">
        <w:rPr>
          <w:lang w:val="en-US"/>
        </w:rPr>
        <w:t xml:space="preserve"> </w:t>
      </w:r>
      <w:r w:rsidR="005A5603" w:rsidRPr="00812E8B">
        <w:rPr>
          <w:lang w:val="en-US"/>
        </w:rPr>
        <w:t xml:space="preserve">the most explanatory power for profitability </w:t>
      </w:r>
      <w:r w:rsidR="004D278E" w:rsidRPr="00812E8B">
        <w:rPr>
          <w:lang w:val="en-US"/>
        </w:rPr>
        <w:t>within</w:t>
      </w:r>
      <w:r w:rsidR="00F07D0C" w:rsidRPr="00812E8B">
        <w:rPr>
          <w:lang w:val="en-US"/>
        </w:rPr>
        <w:t xml:space="preserve"> the model</w:t>
      </w:r>
      <w:r w:rsidR="0063761F" w:rsidRPr="00812E8B">
        <w:rPr>
          <w:lang w:val="en-US"/>
        </w:rPr>
        <w:t xml:space="preserve"> of domestic banks.</w:t>
      </w:r>
      <w:r w:rsidR="00F07D0C" w:rsidRPr="00812E8B">
        <w:rPr>
          <w:lang w:val="en-US"/>
        </w:rPr>
        <w:t xml:space="preserve"> </w:t>
      </w:r>
      <w:r w:rsidR="004D278E" w:rsidRPr="00812E8B">
        <w:rPr>
          <w:lang w:val="en-US"/>
        </w:rPr>
        <w:t>Proposing an explanation, t</w:t>
      </w:r>
      <w:r w:rsidR="00F07D0C" w:rsidRPr="00812E8B">
        <w:rPr>
          <w:lang w:val="en-US"/>
        </w:rPr>
        <w:t>he authors state that well-capitalized banks fac</w:t>
      </w:r>
      <w:r w:rsidR="00F62A12" w:rsidRPr="00812E8B">
        <w:rPr>
          <w:lang w:val="en-US"/>
        </w:rPr>
        <w:t>ed</w:t>
      </w:r>
      <w:r w:rsidR="00F07D0C" w:rsidRPr="00812E8B">
        <w:rPr>
          <w:lang w:val="en-US"/>
        </w:rPr>
        <w:t xml:space="preserve"> lower funding costs because these banks reduce</w:t>
      </w:r>
      <w:r w:rsidR="00F62A12" w:rsidRPr="00812E8B">
        <w:rPr>
          <w:lang w:val="en-US"/>
        </w:rPr>
        <w:t>d bankruptcy costs and had</w:t>
      </w:r>
      <w:r w:rsidR="002C4EE4" w:rsidRPr="00812E8B">
        <w:rPr>
          <w:lang w:val="en-US"/>
        </w:rPr>
        <w:t xml:space="preserve"> </w:t>
      </w:r>
      <w:r w:rsidR="00F07D0C" w:rsidRPr="00812E8B">
        <w:rPr>
          <w:lang w:val="en-US"/>
        </w:rPr>
        <w:t xml:space="preserve">less need for external funding. Findings of this relationship of capital ratio are consistent to </w:t>
      </w:r>
      <w:r w:rsidR="00026D7B" w:rsidRPr="00812E8B">
        <w:rPr>
          <w:color w:val="365F91" w:themeColor="accent1" w:themeShade="BF"/>
          <w:lang w:val="en-US"/>
        </w:rPr>
        <w:t xml:space="preserve">Berger (1995), Demirgüç-Kunt and Huizinga (1999), </w:t>
      </w:r>
      <w:r w:rsidR="00E34060" w:rsidRPr="00812E8B">
        <w:rPr>
          <w:color w:val="365F91" w:themeColor="accent1" w:themeShade="BF"/>
          <w:lang w:val="en-US"/>
        </w:rPr>
        <w:t>Athanasoglou et al. (2008)</w:t>
      </w:r>
      <w:r w:rsidR="004D278E" w:rsidRPr="00812E8B">
        <w:rPr>
          <w:lang w:val="en-US"/>
        </w:rPr>
        <w:t>. Furthermore, the ratio between loans</w:t>
      </w:r>
      <w:r w:rsidR="005A5603" w:rsidRPr="00812E8B">
        <w:rPr>
          <w:lang w:val="en-US"/>
        </w:rPr>
        <w:t xml:space="preserve"> to customers</w:t>
      </w:r>
      <w:r w:rsidR="004D278E" w:rsidRPr="00812E8B">
        <w:rPr>
          <w:lang w:val="en-US"/>
        </w:rPr>
        <w:t xml:space="preserve"> and short term funding, as proxy for</w:t>
      </w:r>
      <w:r w:rsidR="005A5603" w:rsidRPr="00812E8B">
        <w:rPr>
          <w:lang w:val="en-US"/>
        </w:rPr>
        <w:t xml:space="preserve"> the</w:t>
      </w:r>
      <w:r w:rsidR="004D278E" w:rsidRPr="00812E8B">
        <w:rPr>
          <w:lang w:val="en-US"/>
        </w:rPr>
        <w:t xml:space="preserve"> liquidity</w:t>
      </w:r>
      <w:r w:rsidR="005A5603" w:rsidRPr="00812E8B">
        <w:rPr>
          <w:lang w:val="en-US"/>
        </w:rPr>
        <w:t xml:space="preserve"> structure</w:t>
      </w:r>
      <w:r w:rsidR="004D278E" w:rsidRPr="00812E8B">
        <w:rPr>
          <w:lang w:val="en-US"/>
        </w:rPr>
        <w:t>, is negatively related to profitability for domestic banks but positively related to profitability of foreign banks. No explanation is given for this contradicting result. Other variables that exhibit</w:t>
      </w:r>
      <w:r w:rsidR="00F62A12" w:rsidRPr="00812E8B">
        <w:rPr>
          <w:lang w:val="en-US"/>
        </w:rPr>
        <w:t>ed</w:t>
      </w:r>
      <w:r w:rsidR="004D278E" w:rsidRPr="00812E8B">
        <w:rPr>
          <w:lang w:val="en-US"/>
        </w:rPr>
        <w:t xml:space="preserve"> significance negative relationships are the cost to income and size. The negative coefficient for size means that large banks do</w:t>
      </w:r>
      <w:r w:rsidR="00DA04A4" w:rsidRPr="00812E8B">
        <w:rPr>
          <w:lang w:val="en-US"/>
        </w:rPr>
        <w:t xml:space="preserve"> </w:t>
      </w:r>
      <w:r w:rsidR="004D278E" w:rsidRPr="00812E8B">
        <w:rPr>
          <w:lang w:val="en-US"/>
        </w:rPr>
        <w:t xml:space="preserve">not face economies of scale but rather diseconomies of scale. </w:t>
      </w:r>
      <w:r w:rsidR="00955C7E" w:rsidRPr="00812E8B">
        <w:rPr>
          <w:color w:val="365F91" w:themeColor="accent1" w:themeShade="BF"/>
          <w:lang w:val="en-US"/>
        </w:rPr>
        <w:t>Pasiouras and Kosmidou (2007)</w:t>
      </w:r>
      <w:r w:rsidR="00955C7E" w:rsidRPr="00812E8B">
        <w:rPr>
          <w:lang w:val="en-US"/>
        </w:rPr>
        <w:t xml:space="preserve"> </w:t>
      </w:r>
      <w:r w:rsidR="004D278E" w:rsidRPr="00812E8B">
        <w:rPr>
          <w:lang w:val="en-US"/>
        </w:rPr>
        <w:t>propose that smaller banks achieve economies of scale up to a certain level, and the largest banks even face diseconomies of scale</w:t>
      </w:r>
      <w:r w:rsidR="002C4EE4" w:rsidRPr="00812E8B">
        <w:rPr>
          <w:lang w:val="en-US"/>
        </w:rPr>
        <w:t xml:space="preserve"> beyond a certain level</w:t>
      </w:r>
      <w:r w:rsidR="004D278E" w:rsidRPr="00812E8B">
        <w:rPr>
          <w:lang w:val="en-US"/>
        </w:rPr>
        <w:t xml:space="preserve">. </w:t>
      </w:r>
    </w:p>
    <w:p w:rsidR="00F07D0C" w:rsidRPr="00812E8B" w:rsidRDefault="00F07D0C" w:rsidP="00CE1B03">
      <w:pPr>
        <w:pStyle w:val="NoSpacing"/>
        <w:spacing w:line="276" w:lineRule="auto"/>
        <w:jc w:val="both"/>
        <w:rPr>
          <w:lang w:val="en-US"/>
        </w:rPr>
      </w:pPr>
    </w:p>
    <w:p w:rsidR="004D278E" w:rsidRPr="00812E8B" w:rsidRDefault="0000021F" w:rsidP="00CE1B03">
      <w:pPr>
        <w:pStyle w:val="NoSpacing"/>
        <w:spacing w:line="276" w:lineRule="auto"/>
        <w:jc w:val="both"/>
        <w:rPr>
          <w:color w:val="FF0000"/>
          <w:lang w:val="en-US"/>
        </w:rPr>
      </w:pPr>
      <w:r w:rsidRPr="00812E8B">
        <w:rPr>
          <w:lang w:val="en-US"/>
        </w:rPr>
        <w:t>Relationships between</w:t>
      </w:r>
      <w:r w:rsidR="005A5603" w:rsidRPr="00812E8B">
        <w:rPr>
          <w:lang w:val="en-US"/>
        </w:rPr>
        <w:t xml:space="preserve"> the</w:t>
      </w:r>
      <w:r w:rsidRPr="00812E8B">
        <w:rPr>
          <w:lang w:val="en-US"/>
        </w:rPr>
        <w:t xml:space="preserve"> </w:t>
      </w:r>
      <w:r w:rsidR="004D278E" w:rsidRPr="00812E8B">
        <w:rPr>
          <w:lang w:val="en-US"/>
        </w:rPr>
        <w:t xml:space="preserve">external </w:t>
      </w:r>
      <w:r w:rsidR="005A5603" w:rsidRPr="00812E8B">
        <w:rPr>
          <w:lang w:val="en-US"/>
        </w:rPr>
        <w:t xml:space="preserve">variables </w:t>
      </w:r>
      <w:r w:rsidR="004D278E" w:rsidRPr="00812E8B">
        <w:rPr>
          <w:lang w:val="en-US"/>
        </w:rPr>
        <w:t>(</w:t>
      </w:r>
      <w:r w:rsidR="005A5603" w:rsidRPr="00812E8B">
        <w:rPr>
          <w:lang w:val="en-US"/>
        </w:rPr>
        <w:t xml:space="preserve">relating to the macro economy </w:t>
      </w:r>
      <w:r w:rsidR="004D278E" w:rsidRPr="00812E8B">
        <w:rPr>
          <w:lang w:val="en-US"/>
        </w:rPr>
        <w:t xml:space="preserve">and financial structure) </w:t>
      </w:r>
      <w:r w:rsidRPr="00812E8B">
        <w:rPr>
          <w:lang w:val="en-US"/>
        </w:rPr>
        <w:t xml:space="preserve">and profitability are also statistically significant </w:t>
      </w:r>
      <w:r w:rsidR="005A5603" w:rsidRPr="00812E8B">
        <w:rPr>
          <w:lang w:val="en-US"/>
        </w:rPr>
        <w:t>in</w:t>
      </w:r>
      <w:r w:rsidRPr="00812E8B">
        <w:rPr>
          <w:lang w:val="en-US"/>
        </w:rPr>
        <w:t xml:space="preserve"> the whole sample. Comparing the domestic and foreign sample, several coefficients change in sign. </w:t>
      </w:r>
      <w:r w:rsidR="00A5711D" w:rsidRPr="00812E8B">
        <w:rPr>
          <w:lang w:val="en-US"/>
        </w:rPr>
        <w:t>The authors f</w:t>
      </w:r>
      <w:r w:rsidR="005A5603" w:rsidRPr="00812E8B">
        <w:rPr>
          <w:lang w:val="en-US"/>
        </w:rPr>
        <w:t>i</w:t>
      </w:r>
      <w:r w:rsidR="00A5711D" w:rsidRPr="00812E8B">
        <w:rPr>
          <w:lang w:val="en-US"/>
        </w:rPr>
        <w:t>nd that</w:t>
      </w:r>
      <w:r w:rsidR="0063761F" w:rsidRPr="00812E8B">
        <w:rPr>
          <w:lang w:val="en-US"/>
        </w:rPr>
        <w:t xml:space="preserve"> there is a small positive relation</w:t>
      </w:r>
      <w:r w:rsidR="00F62A12" w:rsidRPr="00812E8B">
        <w:rPr>
          <w:lang w:val="en-US"/>
        </w:rPr>
        <w:t>ship between inflation and p</w:t>
      </w:r>
      <w:r w:rsidR="00A5711D" w:rsidRPr="00812E8B">
        <w:rPr>
          <w:lang w:val="en-US"/>
        </w:rPr>
        <w:t>rofitability</w:t>
      </w:r>
      <w:r w:rsidRPr="00812E8B">
        <w:rPr>
          <w:lang w:val="en-US"/>
        </w:rPr>
        <w:t xml:space="preserve"> </w:t>
      </w:r>
      <w:r w:rsidR="0063761F" w:rsidRPr="00812E8B">
        <w:rPr>
          <w:lang w:val="en-US"/>
        </w:rPr>
        <w:t xml:space="preserve">for domestic banks </w:t>
      </w:r>
      <w:r w:rsidRPr="00812E8B">
        <w:rPr>
          <w:lang w:val="en-US"/>
        </w:rPr>
        <w:t xml:space="preserve">but </w:t>
      </w:r>
      <w:r w:rsidR="0063761F" w:rsidRPr="00812E8B">
        <w:rPr>
          <w:lang w:val="en-US"/>
        </w:rPr>
        <w:t>a negative relation for foreign banks</w:t>
      </w:r>
      <w:r w:rsidRPr="00812E8B">
        <w:rPr>
          <w:lang w:val="en-US"/>
        </w:rPr>
        <w:t xml:space="preserve">. </w:t>
      </w:r>
      <w:r w:rsidR="00A5711D" w:rsidRPr="00812E8B">
        <w:rPr>
          <w:lang w:val="en-US"/>
        </w:rPr>
        <w:t xml:space="preserve">The authors </w:t>
      </w:r>
      <w:r w:rsidR="006029C5" w:rsidRPr="00812E8B">
        <w:rPr>
          <w:lang w:val="en-US"/>
        </w:rPr>
        <w:t>propose that</w:t>
      </w:r>
      <w:r w:rsidRPr="00812E8B">
        <w:rPr>
          <w:lang w:val="en-US"/>
        </w:rPr>
        <w:t xml:space="preserve"> domestic banks</w:t>
      </w:r>
      <w:r w:rsidR="00A5711D" w:rsidRPr="00812E8B">
        <w:rPr>
          <w:lang w:val="en-US"/>
        </w:rPr>
        <w:t xml:space="preserve"> adjust the interest rates to the</w:t>
      </w:r>
      <w:r w:rsidRPr="00812E8B">
        <w:rPr>
          <w:lang w:val="en-US"/>
        </w:rPr>
        <w:t xml:space="preserve"> anticipated </w:t>
      </w:r>
      <w:r w:rsidR="00A5711D" w:rsidRPr="00812E8B">
        <w:rPr>
          <w:lang w:val="en-US"/>
        </w:rPr>
        <w:t xml:space="preserve">levels of inflation </w:t>
      </w:r>
      <w:r w:rsidRPr="00812E8B">
        <w:rPr>
          <w:lang w:val="en-US"/>
        </w:rPr>
        <w:t xml:space="preserve">while foreign banks </w:t>
      </w:r>
      <w:r w:rsidR="00A5711D" w:rsidRPr="00812E8B">
        <w:rPr>
          <w:lang w:val="en-US"/>
        </w:rPr>
        <w:t>may</w:t>
      </w:r>
      <w:r w:rsidRPr="00812E8B">
        <w:rPr>
          <w:lang w:val="en-US"/>
        </w:rPr>
        <w:t xml:space="preserve"> not.</w:t>
      </w:r>
      <w:r w:rsidR="0063761F" w:rsidRPr="00812E8B">
        <w:rPr>
          <w:lang w:val="en-US"/>
        </w:rPr>
        <w:t xml:space="preserve"> Furthermore, concentration is significant in explaining profitability in the foreign banks sample but insignificant for the domestic subsample. To conclude the </w:t>
      </w:r>
      <w:r w:rsidR="00DA04A4" w:rsidRPr="00812E8B">
        <w:rPr>
          <w:lang w:val="en-US"/>
        </w:rPr>
        <w:t xml:space="preserve">coefficient of </w:t>
      </w:r>
      <w:r w:rsidR="0063761F" w:rsidRPr="00812E8B">
        <w:rPr>
          <w:lang w:val="en-US"/>
        </w:rPr>
        <w:t xml:space="preserve">GDP </w:t>
      </w:r>
      <w:r w:rsidR="005A5603" w:rsidRPr="00812E8B">
        <w:rPr>
          <w:lang w:val="en-US"/>
        </w:rPr>
        <w:t xml:space="preserve">growth </w:t>
      </w:r>
      <w:r w:rsidR="0063761F" w:rsidRPr="00812E8B">
        <w:rPr>
          <w:lang w:val="en-US"/>
        </w:rPr>
        <w:t xml:space="preserve">is </w:t>
      </w:r>
      <w:r w:rsidR="00A953EA" w:rsidRPr="00812E8B">
        <w:rPr>
          <w:lang w:val="en-US"/>
        </w:rPr>
        <w:t>also ambiguous</w:t>
      </w:r>
      <w:r w:rsidR="00DA04A4" w:rsidRPr="00812E8B">
        <w:rPr>
          <w:lang w:val="en-US"/>
        </w:rPr>
        <w:t>;</w:t>
      </w:r>
      <w:r w:rsidR="00A953EA" w:rsidRPr="00812E8B">
        <w:rPr>
          <w:lang w:val="en-US"/>
        </w:rPr>
        <w:t xml:space="preserve"> in the domestic </w:t>
      </w:r>
      <w:r w:rsidR="00DA04A4" w:rsidRPr="00812E8B">
        <w:rPr>
          <w:lang w:val="en-US"/>
        </w:rPr>
        <w:t>sample,</w:t>
      </w:r>
      <w:r w:rsidR="00A953EA" w:rsidRPr="00812E8B">
        <w:rPr>
          <w:lang w:val="en-US"/>
        </w:rPr>
        <w:t xml:space="preserve"> </w:t>
      </w:r>
      <w:r w:rsidR="00DA04A4" w:rsidRPr="00812E8B">
        <w:rPr>
          <w:lang w:val="en-US"/>
        </w:rPr>
        <w:t xml:space="preserve">GDP </w:t>
      </w:r>
      <w:r w:rsidR="005A5603" w:rsidRPr="00812E8B">
        <w:rPr>
          <w:lang w:val="en-US"/>
        </w:rPr>
        <w:t xml:space="preserve">growth </w:t>
      </w:r>
      <w:r w:rsidR="00DA04A4" w:rsidRPr="00812E8B">
        <w:rPr>
          <w:lang w:val="en-US"/>
        </w:rPr>
        <w:t xml:space="preserve">is </w:t>
      </w:r>
      <w:r w:rsidR="00A953EA" w:rsidRPr="00812E8B">
        <w:rPr>
          <w:lang w:val="en-US"/>
        </w:rPr>
        <w:t xml:space="preserve">positively </w:t>
      </w:r>
      <w:r w:rsidR="00A953EA" w:rsidRPr="00812E8B">
        <w:rPr>
          <w:lang w:val="en-US"/>
        </w:rPr>
        <w:lastRenderedPageBreak/>
        <w:t xml:space="preserve">related to profitability </w:t>
      </w:r>
      <w:r w:rsidR="00DA04A4" w:rsidRPr="00812E8B">
        <w:rPr>
          <w:lang w:val="en-US"/>
        </w:rPr>
        <w:t>but</w:t>
      </w:r>
      <w:r w:rsidR="00A953EA" w:rsidRPr="00812E8B">
        <w:rPr>
          <w:lang w:val="en-US"/>
        </w:rPr>
        <w:t xml:space="preserve"> in the foreign sample negatively related. However, both inflation and GDP growth are in the total sample significant and positive but have very small coefficients. In the total </w:t>
      </w:r>
      <w:r w:rsidR="005A5603" w:rsidRPr="00812E8B">
        <w:rPr>
          <w:lang w:val="en-US"/>
        </w:rPr>
        <w:t>sample,</w:t>
      </w:r>
      <w:r w:rsidR="00A953EA" w:rsidRPr="00812E8B">
        <w:rPr>
          <w:lang w:val="en-US"/>
        </w:rPr>
        <w:t xml:space="preserve"> most explanatory power is found by cost</w:t>
      </w:r>
      <w:r w:rsidR="005A5603" w:rsidRPr="00812E8B">
        <w:rPr>
          <w:lang w:val="en-US"/>
        </w:rPr>
        <w:t>-</w:t>
      </w:r>
      <w:r w:rsidR="00A953EA" w:rsidRPr="00812E8B">
        <w:rPr>
          <w:lang w:val="en-US"/>
        </w:rPr>
        <w:t>to</w:t>
      </w:r>
      <w:r w:rsidR="005A5603" w:rsidRPr="00812E8B">
        <w:rPr>
          <w:lang w:val="en-US"/>
        </w:rPr>
        <w:t>-</w:t>
      </w:r>
      <w:r w:rsidR="00A953EA" w:rsidRPr="00812E8B">
        <w:rPr>
          <w:lang w:val="en-US"/>
        </w:rPr>
        <w:t>income and equity</w:t>
      </w:r>
      <w:r w:rsidR="005A5603" w:rsidRPr="00812E8B">
        <w:rPr>
          <w:lang w:val="en-US"/>
        </w:rPr>
        <w:t>-</w:t>
      </w:r>
      <w:r w:rsidR="00A953EA" w:rsidRPr="00812E8B">
        <w:rPr>
          <w:lang w:val="en-US"/>
        </w:rPr>
        <w:t>to</w:t>
      </w:r>
      <w:r w:rsidR="005A5603" w:rsidRPr="00812E8B">
        <w:rPr>
          <w:lang w:val="en-US"/>
        </w:rPr>
        <w:t>-</w:t>
      </w:r>
      <w:r w:rsidR="00A953EA" w:rsidRPr="00812E8B">
        <w:rPr>
          <w:lang w:val="en-US"/>
        </w:rPr>
        <w:t xml:space="preserve">asset ratio. </w:t>
      </w:r>
      <w:r w:rsidRPr="00812E8B">
        <w:rPr>
          <w:color w:val="FF0000"/>
          <w:lang w:val="en-US"/>
        </w:rPr>
        <w:t xml:space="preserve"> </w:t>
      </w:r>
      <w:r w:rsidR="004D278E" w:rsidRPr="00812E8B">
        <w:rPr>
          <w:color w:val="FF0000"/>
          <w:lang w:val="en-US"/>
        </w:rPr>
        <w:t xml:space="preserve"> </w:t>
      </w:r>
    </w:p>
    <w:p w:rsidR="00F07D0C" w:rsidRPr="00812E8B" w:rsidRDefault="00F07D0C" w:rsidP="00335EFC">
      <w:pPr>
        <w:pStyle w:val="NoSpacing"/>
        <w:rPr>
          <w:sz w:val="20"/>
          <w:szCs w:val="20"/>
          <w:lang w:val="en-US"/>
        </w:rPr>
      </w:pPr>
    </w:p>
    <w:p w:rsidR="006E3BD3" w:rsidRPr="00812E8B" w:rsidRDefault="006E3BD3" w:rsidP="00CE1B03">
      <w:pPr>
        <w:pStyle w:val="Heading3"/>
        <w:rPr>
          <w:color w:val="auto"/>
          <w:lang w:val="en-US"/>
        </w:rPr>
      </w:pPr>
      <w:r w:rsidRPr="00812E8B">
        <w:rPr>
          <w:color w:val="auto"/>
          <w:lang w:val="en-US"/>
        </w:rPr>
        <w:t>3.4.</w:t>
      </w:r>
      <w:r w:rsidR="0023772C" w:rsidRPr="00812E8B">
        <w:rPr>
          <w:color w:val="auto"/>
          <w:lang w:val="en-US"/>
        </w:rPr>
        <w:t xml:space="preserve">2 </w:t>
      </w:r>
      <w:r w:rsidR="00FB0A28" w:rsidRPr="00812E8B">
        <w:rPr>
          <w:color w:val="auto"/>
          <w:lang w:val="en-US"/>
        </w:rPr>
        <w:t>D</w:t>
      </w:r>
      <w:r w:rsidR="00FB0A28" w:rsidRPr="00812E8B">
        <w:rPr>
          <w:color w:val="auto"/>
          <w:sz w:val="19"/>
          <w:szCs w:val="19"/>
          <w:lang w:val="en-US"/>
        </w:rPr>
        <w:t xml:space="preserve">ETERMINANTS OF PROFITABILITY BEFORE THE CRISIS AND DURING THE CRISIS </w:t>
      </w:r>
    </w:p>
    <w:p w:rsidR="006E3BD3" w:rsidRPr="00812E8B" w:rsidRDefault="001B30EB" w:rsidP="00CE1B03">
      <w:pPr>
        <w:pStyle w:val="NoSpacing"/>
        <w:spacing w:line="276" w:lineRule="auto"/>
        <w:jc w:val="both"/>
        <w:rPr>
          <w:lang w:val="en-US"/>
        </w:rPr>
      </w:pPr>
      <w:r w:rsidRPr="00812E8B">
        <w:rPr>
          <w:color w:val="365F91" w:themeColor="accent1" w:themeShade="BF"/>
          <w:lang w:val="en-US"/>
        </w:rPr>
        <w:t xml:space="preserve">Dietrich and Wanzenried (2011) </w:t>
      </w:r>
      <w:r w:rsidR="00722990" w:rsidRPr="00812E8B">
        <w:rPr>
          <w:lang w:val="en-US"/>
        </w:rPr>
        <w:t xml:space="preserve">examine </w:t>
      </w:r>
      <w:r w:rsidR="003E0FB7" w:rsidRPr="00812E8B">
        <w:rPr>
          <w:lang w:val="en-US"/>
        </w:rPr>
        <w:t xml:space="preserve">a variety of determinants and </w:t>
      </w:r>
      <w:r w:rsidR="00722990" w:rsidRPr="00812E8B">
        <w:rPr>
          <w:lang w:val="en-US"/>
        </w:rPr>
        <w:t xml:space="preserve">banks’ profitability </w:t>
      </w:r>
      <w:r w:rsidR="00776F1C" w:rsidRPr="00812E8B">
        <w:rPr>
          <w:lang w:val="en-US"/>
        </w:rPr>
        <w:t>using</w:t>
      </w:r>
      <w:r w:rsidR="00722990" w:rsidRPr="00812E8B">
        <w:rPr>
          <w:lang w:val="en-US"/>
        </w:rPr>
        <w:t xml:space="preserve"> </w:t>
      </w:r>
      <w:r w:rsidR="001902F5" w:rsidRPr="00812E8B">
        <w:rPr>
          <w:lang w:val="en-US"/>
        </w:rPr>
        <w:t xml:space="preserve">data over the last decade. Moreover, they consider the impact of the financial crisis on the determinants of bank performance. </w:t>
      </w:r>
      <w:r w:rsidRPr="00812E8B">
        <w:rPr>
          <w:color w:val="365F91" w:themeColor="accent1" w:themeShade="BF"/>
          <w:lang w:val="en-US"/>
        </w:rPr>
        <w:t xml:space="preserve">Dietrich and Wanzenried (2011) </w:t>
      </w:r>
      <w:r w:rsidR="001902F5" w:rsidRPr="00812E8B">
        <w:rPr>
          <w:lang w:val="en-US"/>
        </w:rPr>
        <w:t>analyze the profitability o</w:t>
      </w:r>
      <w:r w:rsidR="00F50AC4" w:rsidRPr="00812E8B">
        <w:rPr>
          <w:lang w:val="en-US"/>
        </w:rPr>
        <w:t>f 372 commercial banks in Switzerland both in the pre-crisis period, 1999-2006 and in the period of the crisis, 2007-2009.</w:t>
      </w:r>
      <w:r w:rsidR="006E3BD3" w:rsidRPr="00812E8B">
        <w:rPr>
          <w:lang w:val="en-US"/>
        </w:rPr>
        <w:t xml:space="preserve"> They perform</w:t>
      </w:r>
      <w:r w:rsidR="005A5603" w:rsidRPr="00812E8B">
        <w:rPr>
          <w:lang w:val="en-US"/>
        </w:rPr>
        <w:t xml:space="preserve"> separate </w:t>
      </w:r>
      <w:r w:rsidR="006E3BD3" w:rsidRPr="00812E8B">
        <w:rPr>
          <w:lang w:val="en-US"/>
        </w:rPr>
        <w:t>regressions</w:t>
      </w:r>
      <w:r w:rsidR="005A5603" w:rsidRPr="00812E8B">
        <w:rPr>
          <w:lang w:val="en-US"/>
        </w:rPr>
        <w:t xml:space="preserve"> for both periods</w:t>
      </w:r>
      <w:r w:rsidR="006E3BD3" w:rsidRPr="00812E8B">
        <w:rPr>
          <w:lang w:val="en-US"/>
        </w:rPr>
        <w:t xml:space="preserve"> (pre-crisis and crisis) </w:t>
      </w:r>
      <w:r w:rsidR="005A5603" w:rsidRPr="00812E8B">
        <w:rPr>
          <w:lang w:val="en-US"/>
        </w:rPr>
        <w:t>as for the total period. They also run two regressions</w:t>
      </w:r>
      <w:r w:rsidR="00335EFC" w:rsidRPr="00812E8B">
        <w:rPr>
          <w:lang w:val="en-US"/>
        </w:rPr>
        <w:t xml:space="preserve"> in which the first regression</w:t>
      </w:r>
      <w:r w:rsidR="005A5603" w:rsidRPr="00812E8B">
        <w:rPr>
          <w:lang w:val="en-US"/>
        </w:rPr>
        <w:t xml:space="preserve"> </w:t>
      </w:r>
      <w:r w:rsidR="00335EFC" w:rsidRPr="00812E8B">
        <w:rPr>
          <w:lang w:val="en-US"/>
        </w:rPr>
        <w:t>includes</w:t>
      </w:r>
      <w:r w:rsidR="00A921BE" w:rsidRPr="00812E8B">
        <w:rPr>
          <w:lang w:val="en-US"/>
        </w:rPr>
        <w:t xml:space="preserve"> </w:t>
      </w:r>
      <w:r w:rsidR="005A5603" w:rsidRPr="00812E8B">
        <w:rPr>
          <w:lang w:val="en-US"/>
        </w:rPr>
        <w:t xml:space="preserve">only </w:t>
      </w:r>
      <w:r w:rsidR="00A921BE" w:rsidRPr="00812E8B">
        <w:rPr>
          <w:lang w:val="en-US"/>
        </w:rPr>
        <w:t>bank-specific factors</w:t>
      </w:r>
      <w:r w:rsidR="006E3BD3" w:rsidRPr="00812E8B">
        <w:rPr>
          <w:lang w:val="en-US"/>
        </w:rPr>
        <w:t xml:space="preserve"> </w:t>
      </w:r>
      <w:r w:rsidR="00335EFC" w:rsidRPr="00812E8B">
        <w:rPr>
          <w:lang w:val="en-US"/>
        </w:rPr>
        <w:t>while the latter regression includes</w:t>
      </w:r>
      <w:r w:rsidR="00A921BE" w:rsidRPr="00812E8B">
        <w:rPr>
          <w:lang w:val="en-US"/>
        </w:rPr>
        <w:t xml:space="preserve"> </w:t>
      </w:r>
      <w:r w:rsidR="006E3BD3" w:rsidRPr="00812E8B">
        <w:rPr>
          <w:lang w:val="en-US"/>
        </w:rPr>
        <w:t xml:space="preserve">both bank-specific and macroeconomic factors. </w:t>
      </w:r>
    </w:p>
    <w:p w:rsidR="006E3BD3" w:rsidRPr="00812E8B" w:rsidRDefault="006E3BD3" w:rsidP="00CE1B03">
      <w:pPr>
        <w:pStyle w:val="NoSpacing"/>
        <w:spacing w:line="276" w:lineRule="auto"/>
        <w:jc w:val="both"/>
        <w:rPr>
          <w:lang w:val="en-US"/>
        </w:rPr>
      </w:pPr>
    </w:p>
    <w:p w:rsidR="00BC7E3A" w:rsidRPr="00812E8B" w:rsidRDefault="00F50AC4" w:rsidP="00CE1B03">
      <w:pPr>
        <w:pStyle w:val="NoSpacing"/>
        <w:spacing w:line="276" w:lineRule="auto"/>
        <w:jc w:val="both"/>
        <w:rPr>
          <w:lang w:val="en-US"/>
        </w:rPr>
      </w:pPr>
      <w:r w:rsidRPr="00812E8B">
        <w:rPr>
          <w:lang w:val="en-US"/>
        </w:rPr>
        <w:t>Among others, the</w:t>
      </w:r>
      <w:r w:rsidR="00BC7E3A" w:rsidRPr="00812E8B">
        <w:rPr>
          <w:lang w:val="en-US"/>
        </w:rPr>
        <w:t>ir</w:t>
      </w:r>
      <w:r w:rsidRPr="00812E8B">
        <w:rPr>
          <w:lang w:val="en-US"/>
        </w:rPr>
        <w:t xml:space="preserve"> </w:t>
      </w:r>
      <w:r w:rsidR="001B031D" w:rsidRPr="00812E8B">
        <w:rPr>
          <w:lang w:val="en-US"/>
        </w:rPr>
        <w:t>paper examine</w:t>
      </w:r>
      <w:r w:rsidR="00335EFC" w:rsidRPr="00812E8B">
        <w:rPr>
          <w:lang w:val="en-US"/>
        </w:rPr>
        <w:t>s</w:t>
      </w:r>
      <w:r w:rsidR="00BC7E3A" w:rsidRPr="00812E8B">
        <w:rPr>
          <w:lang w:val="en-US"/>
        </w:rPr>
        <w:t xml:space="preserve"> </w:t>
      </w:r>
      <w:r w:rsidRPr="00812E8B">
        <w:rPr>
          <w:lang w:val="en-US"/>
        </w:rPr>
        <w:t xml:space="preserve">an expanding number of factors, </w:t>
      </w:r>
      <w:r w:rsidR="007168D7" w:rsidRPr="00812E8B">
        <w:rPr>
          <w:lang w:val="en-US"/>
        </w:rPr>
        <w:t xml:space="preserve">including </w:t>
      </w:r>
      <w:r w:rsidRPr="00812E8B">
        <w:rPr>
          <w:lang w:val="en-US"/>
        </w:rPr>
        <w:t>bank-specific, industry-specific and macroeconomic</w:t>
      </w:r>
      <w:r w:rsidR="007168D7" w:rsidRPr="00812E8B">
        <w:rPr>
          <w:lang w:val="en-US"/>
        </w:rPr>
        <w:t xml:space="preserve"> factors</w:t>
      </w:r>
      <w:r w:rsidR="00F00241" w:rsidRPr="00812E8B">
        <w:rPr>
          <w:lang w:val="en-US"/>
        </w:rPr>
        <w:t>.</w:t>
      </w:r>
      <w:r w:rsidR="00BC7E3A" w:rsidRPr="00812E8B">
        <w:rPr>
          <w:lang w:val="en-US"/>
        </w:rPr>
        <w:t xml:space="preserve"> To test which determinants of banks’ profitability exist they </w:t>
      </w:r>
      <w:r w:rsidR="00335EFC" w:rsidRPr="00812E8B">
        <w:rPr>
          <w:lang w:val="en-US"/>
        </w:rPr>
        <w:t>apply</w:t>
      </w:r>
      <w:r w:rsidR="00BC7E3A" w:rsidRPr="00812E8B">
        <w:rPr>
          <w:lang w:val="en-US"/>
        </w:rPr>
        <w:t xml:space="preserve"> a linear </w:t>
      </w:r>
      <w:r w:rsidR="00FA0147" w:rsidRPr="00812E8B">
        <w:rPr>
          <w:lang w:val="en-US"/>
        </w:rPr>
        <w:t xml:space="preserve">dynamic </w:t>
      </w:r>
      <w:r w:rsidR="00BC7E3A" w:rsidRPr="00812E8B">
        <w:rPr>
          <w:lang w:val="en-US"/>
        </w:rPr>
        <w:t xml:space="preserve">model with dependent variables </w:t>
      </w:r>
      <w:r w:rsidR="00776F1C" w:rsidRPr="00812E8B">
        <w:rPr>
          <w:lang w:val="en-US"/>
        </w:rPr>
        <w:t>return on average assets (ROAA),</w:t>
      </w:r>
      <w:r w:rsidR="00BC7E3A" w:rsidRPr="00812E8B">
        <w:rPr>
          <w:lang w:val="en-US"/>
        </w:rPr>
        <w:t xml:space="preserve"> return on average equity (ROAE) </w:t>
      </w:r>
      <w:r w:rsidR="00776F1C" w:rsidRPr="00812E8B">
        <w:rPr>
          <w:lang w:val="en-US"/>
        </w:rPr>
        <w:t xml:space="preserve">and net interest margin (NIM) </w:t>
      </w:r>
      <w:r w:rsidR="00BC7E3A" w:rsidRPr="00812E8B">
        <w:rPr>
          <w:lang w:val="en-US"/>
        </w:rPr>
        <w:t>as proxy for profitability</w:t>
      </w:r>
      <w:r w:rsidR="00382AC0" w:rsidRPr="00812E8B">
        <w:rPr>
          <w:lang w:val="en-US"/>
        </w:rPr>
        <w:t xml:space="preserve"> and</w:t>
      </w:r>
      <w:r w:rsidR="00897F95" w:rsidRPr="00812E8B">
        <w:rPr>
          <w:lang w:val="en-US"/>
        </w:rPr>
        <w:t xml:space="preserve"> they incorporate a lagged dependent variable within the explanatory variables to account for </w:t>
      </w:r>
      <w:r w:rsidR="00776F1C" w:rsidRPr="00812E8B">
        <w:rPr>
          <w:lang w:val="en-US"/>
        </w:rPr>
        <w:t>profit persistence</w:t>
      </w:r>
      <w:r w:rsidR="00897F95" w:rsidRPr="00812E8B">
        <w:rPr>
          <w:lang w:val="en-US"/>
        </w:rPr>
        <w:t>. B</w:t>
      </w:r>
      <w:r w:rsidR="006E3BD3" w:rsidRPr="00812E8B">
        <w:rPr>
          <w:lang w:val="en-US"/>
        </w:rPr>
        <w:t xml:space="preserve">esides </w:t>
      </w:r>
      <w:r w:rsidR="00A921BE" w:rsidRPr="00812E8B">
        <w:rPr>
          <w:lang w:val="en-US"/>
        </w:rPr>
        <w:t xml:space="preserve">the </w:t>
      </w:r>
      <w:r w:rsidR="006E3BD3" w:rsidRPr="00812E8B">
        <w:rPr>
          <w:lang w:val="en-US"/>
        </w:rPr>
        <w:t>e</w:t>
      </w:r>
      <w:r w:rsidR="00BC7E3A" w:rsidRPr="00812E8B">
        <w:rPr>
          <w:lang w:val="en-US"/>
        </w:rPr>
        <w:t xml:space="preserve">xplanatory </w:t>
      </w:r>
      <w:r w:rsidR="006E3BD3" w:rsidRPr="00812E8B">
        <w:rPr>
          <w:lang w:val="en-US"/>
        </w:rPr>
        <w:t>variables that earlier research used,</w:t>
      </w:r>
      <w:r w:rsidR="00335EFC" w:rsidRPr="00812E8B">
        <w:rPr>
          <w:lang w:val="en-US"/>
        </w:rPr>
        <w:t xml:space="preserve"> such as equity-</w:t>
      </w:r>
      <w:r w:rsidR="00BC7E3A" w:rsidRPr="00812E8B">
        <w:rPr>
          <w:lang w:val="en-US"/>
        </w:rPr>
        <w:t>to</w:t>
      </w:r>
      <w:r w:rsidR="00335EFC" w:rsidRPr="00812E8B">
        <w:rPr>
          <w:lang w:val="en-US"/>
        </w:rPr>
        <w:t>-</w:t>
      </w:r>
      <w:r w:rsidR="00BC7E3A" w:rsidRPr="00812E8B">
        <w:rPr>
          <w:lang w:val="en-US"/>
        </w:rPr>
        <w:t>asset</w:t>
      </w:r>
      <w:r w:rsidR="00382AC0" w:rsidRPr="00812E8B">
        <w:rPr>
          <w:lang w:val="en-US"/>
        </w:rPr>
        <w:t xml:space="preserve"> ratio</w:t>
      </w:r>
      <w:r w:rsidR="00BC7E3A" w:rsidRPr="00812E8B">
        <w:rPr>
          <w:lang w:val="en-US"/>
        </w:rPr>
        <w:t>, cost</w:t>
      </w:r>
      <w:r w:rsidR="00335EFC" w:rsidRPr="00812E8B">
        <w:rPr>
          <w:lang w:val="en-US"/>
        </w:rPr>
        <w:t>-</w:t>
      </w:r>
      <w:r w:rsidR="00BC7E3A" w:rsidRPr="00812E8B">
        <w:rPr>
          <w:lang w:val="en-US"/>
        </w:rPr>
        <w:t>to</w:t>
      </w:r>
      <w:r w:rsidR="00335EFC" w:rsidRPr="00812E8B">
        <w:rPr>
          <w:lang w:val="en-US"/>
        </w:rPr>
        <w:t>-</w:t>
      </w:r>
      <w:r w:rsidR="00BC7E3A" w:rsidRPr="00812E8B">
        <w:rPr>
          <w:lang w:val="en-US"/>
        </w:rPr>
        <w:t>incom</w:t>
      </w:r>
      <w:r w:rsidR="006E3BD3" w:rsidRPr="00812E8B">
        <w:rPr>
          <w:lang w:val="en-US"/>
        </w:rPr>
        <w:t>e</w:t>
      </w:r>
      <w:r w:rsidR="00382AC0" w:rsidRPr="00812E8B">
        <w:rPr>
          <w:lang w:val="en-US"/>
        </w:rPr>
        <w:t xml:space="preserve"> ratio</w:t>
      </w:r>
      <w:r w:rsidR="006E3BD3" w:rsidRPr="00812E8B">
        <w:rPr>
          <w:lang w:val="en-US"/>
        </w:rPr>
        <w:t xml:space="preserve">, size and ownership structure, </w:t>
      </w:r>
      <w:r w:rsidR="001B30EB" w:rsidRPr="00812E8B">
        <w:rPr>
          <w:color w:val="365F91" w:themeColor="accent1" w:themeShade="BF"/>
          <w:lang w:val="en-US"/>
        </w:rPr>
        <w:t xml:space="preserve">Dietrich and Wanzenried (2011) </w:t>
      </w:r>
      <w:r w:rsidR="00BC7E3A" w:rsidRPr="00812E8B">
        <w:rPr>
          <w:lang w:val="en-US"/>
        </w:rPr>
        <w:t>expand bank-specific factors by incorporating</w:t>
      </w:r>
      <w:r w:rsidR="00382AC0" w:rsidRPr="00812E8B">
        <w:rPr>
          <w:lang w:val="en-US"/>
        </w:rPr>
        <w:t xml:space="preserve"> </w:t>
      </w:r>
      <w:r w:rsidR="00BC7E3A" w:rsidRPr="00812E8B">
        <w:rPr>
          <w:lang w:val="en-US"/>
        </w:rPr>
        <w:t xml:space="preserve">loans loss provisions over total loans (credit quality), funding costs and interest income share. </w:t>
      </w:r>
      <w:r w:rsidR="00A921BE" w:rsidRPr="00812E8B">
        <w:rPr>
          <w:lang w:val="en-US"/>
        </w:rPr>
        <w:t>Furthermore,</w:t>
      </w:r>
      <w:r w:rsidR="00BC7E3A" w:rsidRPr="00812E8B">
        <w:rPr>
          <w:lang w:val="en-US"/>
        </w:rPr>
        <w:t xml:space="preserve"> </w:t>
      </w:r>
      <w:r w:rsidR="006E3BD3" w:rsidRPr="00812E8B">
        <w:rPr>
          <w:lang w:val="en-US"/>
        </w:rPr>
        <w:t xml:space="preserve">they expand </w:t>
      </w:r>
      <w:r w:rsidR="00BC7E3A" w:rsidRPr="00812E8B">
        <w:rPr>
          <w:lang w:val="en-US"/>
        </w:rPr>
        <w:t>external variables such as effective tax rate, real GDP growth</w:t>
      </w:r>
      <w:r w:rsidR="006E3BD3" w:rsidRPr="00812E8B">
        <w:rPr>
          <w:lang w:val="en-US"/>
        </w:rPr>
        <w:t xml:space="preserve"> and the </w:t>
      </w:r>
      <w:r w:rsidR="00BC7E3A" w:rsidRPr="00812E8B">
        <w:rPr>
          <w:lang w:val="en-US"/>
        </w:rPr>
        <w:t>term structure of interest rate</w:t>
      </w:r>
      <w:r w:rsidR="006E3BD3" w:rsidRPr="00812E8B">
        <w:rPr>
          <w:lang w:val="en-US"/>
        </w:rPr>
        <w:t xml:space="preserve">s. </w:t>
      </w:r>
    </w:p>
    <w:p w:rsidR="00A921BE" w:rsidRPr="00812E8B" w:rsidRDefault="00A921BE" w:rsidP="00335EFC">
      <w:pPr>
        <w:pStyle w:val="NoSpacing"/>
        <w:rPr>
          <w:lang w:val="en-US"/>
        </w:rPr>
      </w:pPr>
    </w:p>
    <w:p w:rsidR="00DA04A4" w:rsidRPr="00812E8B" w:rsidRDefault="00382AC0" w:rsidP="00CE1B03">
      <w:pPr>
        <w:pStyle w:val="NoSpacing"/>
        <w:spacing w:line="276" w:lineRule="auto"/>
        <w:jc w:val="both"/>
        <w:rPr>
          <w:lang w:val="en-US"/>
        </w:rPr>
      </w:pPr>
      <w:r w:rsidRPr="00812E8B">
        <w:rPr>
          <w:lang w:val="en-US"/>
        </w:rPr>
        <w:t xml:space="preserve">Results suggest that coefficients and significances differ between the two samples, pre-crisis and crisis. </w:t>
      </w:r>
      <w:r w:rsidR="00A921BE" w:rsidRPr="00812E8B">
        <w:rPr>
          <w:lang w:val="en-US"/>
        </w:rPr>
        <w:t>Some interesting and remarkably results are worth to mention</w:t>
      </w:r>
      <w:r w:rsidR="00DA04A4" w:rsidRPr="00812E8B">
        <w:rPr>
          <w:lang w:val="en-US"/>
        </w:rPr>
        <w:t>:</w:t>
      </w:r>
    </w:p>
    <w:p w:rsidR="00DA04A4" w:rsidRPr="00812E8B" w:rsidRDefault="00FA0147" w:rsidP="00BD4C76">
      <w:pPr>
        <w:pStyle w:val="NoSpacing"/>
        <w:numPr>
          <w:ilvl w:val="0"/>
          <w:numId w:val="2"/>
        </w:numPr>
        <w:spacing w:line="276" w:lineRule="auto"/>
        <w:ind w:left="360"/>
        <w:jc w:val="both"/>
        <w:rPr>
          <w:lang w:val="en-US"/>
        </w:rPr>
      </w:pPr>
      <w:r w:rsidRPr="00812E8B">
        <w:rPr>
          <w:lang w:val="en-US"/>
        </w:rPr>
        <w:t>First,</w:t>
      </w:r>
      <w:r w:rsidR="00A921BE" w:rsidRPr="00812E8B">
        <w:rPr>
          <w:lang w:val="en-US"/>
        </w:rPr>
        <w:t xml:space="preserve"> the empirical results </w:t>
      </w:r>
      <w:r w:rsidRPr="00812E8B">
        <w:rPr>
          <w:lang w:val="en-US"/>
        </w:rPr>
        <w:t xml:space="preserve">indicate that there is a high degree of profitability persistence within the banking </w:t>
      </w:r>
      <w:r w:rsidR="001E34A3" w:rsidRPr="00812E8B">
        <w:rPr>
          <w:lang w:val="en-US"/>
        </w:rPr>
        <w:t>sector, which justifies</w:t>
      </w:r>
      <w:r w:rsidR="00897F95" w:rsidRPr="00812E8B">
        <w:rPr>
          <w:lang w:val="en-US"/>
        </w:rPr>
        <w:t xml:space="preserve"> the use of a lagged dependent variable</w:t>
      </w:r>
      <w:r w:rsidRPr="00812E8B">
        <w:rPr>
          <w:lang w:val="en-US"/>
        </w:rPr>
        <w:t xml:space="preserve">. </w:t>
      </w:r>
    </w:p>
    <w:p w:rsidR="00DA04A4" w:rsidRPr="00812E8B" w:rsidRDefault="00FA0147" w:rsidP="00BD4C76">
      <w:pPr>
        <w:pStyle w:val="NoSpacing"/>
        <w:numPr>
          <w:ilvl w:val="0"/>
          <w:numId w:val="2"/>
        </w:numPr>
        <w:spacing w:line="276" w:lineRule="auto"/>
        <w:ind w:left="360"/>
        <w:jc w:val="both"/>
        <w:rPr>
          <w:lang w:val="en-US"/>
        </w:rPr>
      </w:pPr>
      <w:r w:rsidRPr="00812E8B">
        <w:rPr>
          <w:lang w:val="en-US"/>
        </w:rPr>
        <w:t xml:space="preserve">Second, the coefficient of </w:t>
      </w:r>
      <w:r w:rsidR="00335EFC" w:rsidRPr="00812E8B">
        <w:rPr>
          <w:lang w:val="en-US"/>
        </w:rPr>
        <w:t>equity-to-asset ratio</w:t>
      </w:r>
      <w:r w:rsidRPr="00812E8B">
        <w:rPr>
          <w:lang w:val="en-US"/>
        </w:rPr>
        <w:t xml:space="preserve"> is </w:t>
      </w:r>
      <w:r w:rsidR="00335EFC" w:rsidRPr="00812E8B">
        <w:rPr>
          <w:lang w:val="en-US"/>
        </w:rPr>
        <w:t>in</w:t>
      </w:r>
      <w:r w:rsidRPr="00812E8B">
        <w:rPr>
          <w:lang w:val="en-US"/>
        </w:rPr>
        <w:t>significant bef</w:t>
      </w:r>
      <w:r w:rsidR="00897F95" w:rsidRPr="00812E8B">
        <w:rPr>
          <w:lang w:val="en-US"/>
        </w:rPr>
        <w:t xml:space="preserve">ore the financial crisis but </w:t>
      </w:r>
      <w:r w:rsidRPr="00812E8B">
        <w:rPr>
          <w:lang w:val="en-US"/>
        </w:rPr>
        <w:t>turns out to be si</w:t>
      </w:r>
      <w:r w:rsidR="00B466AA" w:rsidRPr="00812E8B">
        <w:rPr>
          <w:lang w:val="en-US"/>
        </w:rPr>
        <w:t>gnificant and negative in the crisis period</w:t>
      </w:r>
      <w:r w:rsidR="00897F95" w:rsidRPr="00812E8B">
        <w:rPr>
          <w:lang w:val="en-US"/>
        </w:rPr>
        <w:t xml:space="preserve">. These results stand </w:t>
      </w:r>
      <w:r w:rsidR="00B466AA" w:rsidRPr="00812E8B">
        <w:rPr>
          <w:lang w:val="en-US"/>
        </w:rPr>
        <w:t xml:space="preserve">in </w:t>
      </w:r>
      <w:r w:rsidR="00897F95" w:rsidRPr="00812E8B">
        <w:rPr>
          <w:lang w:val="en-US"/>
        </w:rPr>
        <w:t>sharp contrast</w:t>
      </w:r>
      <w:r w:rsidR="00B466AA" w:rsidRPr="00812E8B">
        <w:rPr>
          <w:lang w:val="en-US"/>
        </w:rPr>
        <w:t xml:space="preserve"> to</w:t>
      </w:r>
      <w:r w:rsidR="00897F95" w:rsidRPr="00812E8B">
        <w:rPr>
          <w:lang w:val="en-US"/>
        </w:rPr>
        <w:t xml:space="preserve"> the</w:t>
      </w:r>
      <w:r w:rsidR="00B466AA" w:rsidRPr="00812E8B">
        <w:rPr>
          <w:lang w:val="en-US"/>
        </w:rPr>
        <w:t xml:space="preserve"> findings of</w:t>
      </w:r>
      <w:r w:rsidR="00897F95" w:rsidRPr="00812E8B">
        <w:rPr>
          <w:lang w:val="en-US"/>
        </w:rPr>
        <w:t xml:space="preserve"> </w:t>
      </w:r>
      <w:r w:rsidR="00026D7B" w:rsidRPr="00812E8B">
        <w:rPr>
          <w:color w:val="365F91" w:themeColor="accent1" w:themeShade="BF"/>
          <w:lang w:val="en-US"/>
        </w:rPr>
        <w:t>Berger (1995)</w:t>
      </w:r>
      <w:r w:rsidR="00AE700C" w:rsidRPr="00812E8B">
        <w:rPr>
          <w:color w:val="365F91" w:themeColor="accent1" w:themeShade="BF"/>
          <w:lang w:val="en-US"/>
        </w:rPr>
        <w:t xml:space="preserve"> </w:t>
      </w:r>
      <w:r w:rsidR="00AE700C" w:rsidRPr="00812E8B">
        <w:rPr>
          <w:lang w:val="en-US"/>
        </w:rPr>
        <w:t>and</w:t>
      </w:r>
      <w:r w:rsidR="00897F95" w:rsidRPr="00812E8B">
        <w:rPr>
          <w:lang w:val="en-US"/>
        </w:rPr>
        <w:t xml:space="preserve"> </w:t>
      </w:r>
      <w:r w:rsidR="00AE700C" w:rsidRPr="00812E8B">
        <w:rPr>
          <w:color w:val="365F91" w:themeColor="accent1" w:themeShade="BF"/>
          <w:lang w:val="en-US"/>
        </w:rPr>
        <w:t xml:space="preserve">Goddard et al. (2004) </w:t>
      </w:r>
      <w:r w:rsidR="00B466AA" w:rsidRPr="00812E8B">
        <w:rPr>
          <w:lang w:val="en-US"/>
        </w:rPr>
        <w:t xml:space="preserve">who found </w:t>
      </w:r>
      <w:r w:rsidR="001410CA" w:rsidRPr="00812E8B">
        <w:rPr>
          <w:lang w:val="en-US"/>
        </w:rPr>
        <w:t>a</w:t>
      </w:r>
      <w:r w:rsidR="00897F95" w:rsidRPr="00812E8B">
        <w:rPr>
          <w:lang w:val="en-US"/>
        </w:rPr>
        <w:t xml:space="preserve"> positive </w:t>
      </w:r>
      <w:r w:rsidR="00B466AA" w:rsidRPr="00812E8B">
        <w:rPr>
          <w:lang w:val="en-US"/>
        </w:rPr>
        <w:t xml:space="preserve">relationship. </w:t>
      </w:r>
      <w:r w:rsidR="001B30EB" w:rsidRPr="00812E8B">
        <w:rPr>
          <w:color w:val="365F91" w:themeColor="accent1" w:themeShade="BF"/>
          <w:lang w:val="en-US"/>
        </w:rPr>
        <w:t xml:space="preserve">Dietrich and Wanzenried (2011) </w:t>
      </w:r>
      <w:r w:rsidR="00B466AA" w:rsidRPr="00812E8B">
        <w:rPr>
          <w:lang w:val="en-US"/>
        </w:rPr>
        <w:t xml:space="preserve">propose </w:t>
      </w:r>
      <w:r w:rsidR="00776F1C" w:rsidRPr="00812E8B">
        <w:rPr>
          <w:lang w:val="en-US"/>
        </w:rPr>
        <w:t xml:space="preserve">as explanation </w:t>
      </w:r>
      <w:r w:rsidR="00B466AA" w:rsidRPr="00812E8B">
        <w:rPr>
          <w:lang w:val="en-US"/>
        </w:rPr>
        <w:t xml:space="preserve">that safer Swiss banks obtained additional saving deposits that could not be converted into loans </w:t>
      </w:r>
      <w:r w:rsidR="00335EFC" w:rsidRPr="00812E8B">
        <w:rPr>
          <w:lang w:val="en-US"/>
        </w:rPr>
        <w:t>since</w:t>
      </w:r>
      <w:r w:rsidR="00B466AA" w:rsidRPr="00812E8B">
        <w:rPr>
          <w:lang w:val="en-US"/>
        </w:rPr>
        <w:t xml:space="preserve"> demand decreased during the crisis.</w:t>
      </w:r>
      <w:r w:rsidR="00335EFC" w:rsidRPr="00812E8B">
        <w:rPr>
          <w:lang w:val="en-US"/>
        </w:rPr>
        <w:t xml:space="preserve"> For the total sample the estimated of the equity-to-asset ratio is also negative and significant.</w:t>
      </w:r>
      <w:r w:rsidR="00B466AA" w:rsidRPr="00812E8B">
        <w:rPr>
          <w:lang w:val="en-US"/>
        </w:rPr>
        <w:t xml:space="preserve"> </w:t>
      </w:r>
    </w:p>
    <w:p w:rsidR="00DA04A4" w:rsidRPr="00812E8B" w:rsidRDefault="00FA0147" w:rsidP="00BD4C76">
      <w:pPr>
        <w:pStyle w:val="NoSpacing"/>
        <w:numPr>
          <w:ilvl w:val="0"/>
          <w:numId w:val="2"/>
        </w:numPr>
        <w:spacing w:line="276" w:lineRule="auto"/>
        <w:ind w:left="360"/>
        <w:jc w:val="both"/>
        <w:rPr>
          <w:lang w:val="en-US"/>
        </w:rPr>
      </w:pPr>
      <w:r w:rsidRPr="00812E8B">
        <w:rPr>
          <w:lang w:val="en-US"/>
        </w:rPr>
        <w:t>Third,</w:t>
      </w:r>
      <w:r w:rsidR="00B466AA" w:rsidRPr="00812E8B">
        <w:rPr>
          <w:lang w:val="en-US"/>
        </w:rPr>
        <w:t xml:space="preserve"> the loan loss provisions to total loans</w:t>
      </w:r>
      <w:r w:rsidR="001410CA" w:rsidRPr="00812E8B">
        <w:rPr>
          <w:lang w:val="en-US"/>
        </w:rPr>
        <w:t xml:space="preserve"> as proxy for credit risk,</w:t>
      </w:r>
      <w:r w:rsidR="00B466AA" w:rsidRPr="00812E8B">
        <w:rPr>
          <w:lang w:val="en-US"/>
        </w:rPr>
        <w:t xml:space="preserve"> is insignificant before </w:t>
      </w:r>
      <w:r w:rsidR="001410CA" w:rsidRPr="00812E8B">
        <w:rPr>
          <w:lang w:val="en-US"/>
        </w:rPr>
        <w:t xml:space="preserve">the </w:t>
      </w:r>
      <w:r w:rsidR="00B466AA" w:rsidRPr="00812E8B">
        <w:rPr>
          <w:lang w:val="en-US"/>
        </w:rPr>
        <w:t>crisis and</w:t>
      </w:r>
      <w:r w:rsidR="001410CA" w:rsidRPr="00812E8B">
        <w:rPr>
          <w:lang w:val="en-US"/>
        </w:rPr>
        <w:t xml:space="preserve"> turns out to be</w:t>
      </w:r>
      <w:r w:rsidR="00B466AA" w:rsidRPr="00812E8B">
        <w:rPr>
          <w:lang w:val="en-US"/>
        </w:rPr>
        <w:t xml:space="preserve"> significant and negative during the crisis. </w:t>
      </w:r>
      <w:r w:rsidR="001410CA" w:rsidRPr="00812E8B">
        <w:rPr>
          <w:lang w:val="en-US"/>
        </w:rPr>
        <w:t>The authors suggest that Swiss banks reported very low loan loss provisions b</w:t>
      </w:r>
      <w:r w:rsidR="00B466AA" w:rsidRPr="00812E8B">
        <w:rPr>
          <w:lang w:val="en-US"/>
        </w:rPr>
        <w:t>efore the crisis, while these</w:t>
      </w:r>
      <w:r w:rsidR="001410CA" w:rsidRPr="00812E8B">
        <w:rPr>
          <w:lang w:val="en-US"/>
        </w:rPr>
        <w:t xml:space="preserve"> provisions</w:t>
      </w:r>
      <w:r w:rsidR="00B466AA" w:rsidRPr="00812E8B">
        <w:rPr>
          <w:lang w:val="en-US"/>
        </w:rPr>
        <w:t xml:space="preserve"> increase</w:t>
      </w:r>
      <w:r w:rsidR="00950EFC" w:rsidRPr="00812E8B">
        <w:rPr>
          <w:lang w:val="en-US"/>
        </w:rPr>
        <w:t>d</w:t>
      </w:r>
      <w:r w:rsidR="00B466AA" w:rsidRPr="00812E8B">
        <w:rPr>
          <w:lang w:val="en-US"/>
        </w:rPr>
        <w:t xml:space="preserve"> substantially during the crisis.</w:t>
      </w:r>
      <w:r w:rsidR="0056386C" w:rsidRPr="00812E8B">
        <w:rPr>
          <w:lang w:val="en-US"/>
        </w:rPr>
        <w:t xml:space="preserve"> This effect is not surprisingly, banks with low credit quality are more affected when markets collapse</w:t>
      </w:r>
      <w:r w:rsidR="00776F1C" w:rsidRPr="00812E8B">
        <w:rPr>
          <w:lang w:val="en-US"/>
        </w:rPr>
        <w:t xml:space="preserve">, </w:t>
      </w:r>
      <w:r w:rsidR="00335EFC" w:rsidRPr="00812E8B">
        <w:rPr>
          <w:lang w:val="en-US"/>
        </w:rPr>
        <w:t>a larger amount of loans is</w:t>
      </w:r>
      <w:r w:rsidR="0056386C" w:rsidRPr="00812E8B">
        <w:rPr>
          <w:lang w:val="en-US"/>
        </w:rPr>
        <w:t xml:space="preserve"> not repaid</w:t>
      </w:r>
      <w:r w:rsidR="00776F1C" w:rsidRPr="00812E8B">
        <w:rPr>
          <w:lang w:val="en-US"/>
        </w:rPr>
        <w:t xml:space="preserve"> then</w:t>
      </w:r>
      <w:r w:rsidR="0056386C" w:rsidRPr="00812E8B">
        <w:rPr>
          <w:lang w:val="en-US"/>
        </w:rPr>
        <w:t xml:space="preserve">. </w:t>
      </w:r>
      <w:r w:rsidR="00335EFC" w:rsidRPr="00812E8B">
        <w:rPr>
          <w:lang w:val="en-US"/>
        </w:rPr>
        <w:t xml:space="preserve">In the total sample the variable is insignificant. </w:t>
      </w:r>
    </w:p>
    <w:p w:rsidR="00335EFC" w:rsidRPr="00812E8B" w:rsidRDefault="00965DE0" w:rsidP="00335EFC">
      <w:pPr>
        <w:pStyle w:val="NoSpacing"/>
        <w:numPr>
          <w:ilvl w:val="0"/>
          <w:numId w:val="2"/>
        </w:numPr>
        <w:spacing w:line="276" w:lineRule="auto"/>
        <w:ind w:left="360"/>
        <w:jc w:val="both"/>
        <w:rPr>
          <w:lang w:val="en-US"/>
        </w:rPr>
      </w:pPr>
      <w:r w:rsidRPr="00812E8B">
        <w:rPr>
          <w:lang w:val="en-US"/>
        </w:rPr>
        <w:t xml:space="preserve">Fourth, </w:t>
      </w:r>
      <w:r w:rsidR="00B466AA" w:rsidRPr="00812E8B">
        <w:rPr>
          <w:lang w:val="en-US"/>
        </w:rPr>
        <w:t>funding cos</w:t>
      </w:r>
      <w:r w:rsidR="00335EFC" w:rsidRPr="00812E8B">
        <w:rPr>
          <w:lang w:val="en-US"/>
        </w:rPr>
        <w:t xml:space="preserve">ts have a significant negative </w:t>
      </w:r>
      <w:r w:rsidR="00B466AA" w:rsidRPr="00812E8B">
        <w:rPr>
          <w:lang w:val="en-US"/>
        </w:rPr>
        <w:t>impact on profitability, banks that raise</w:t>
      </w:r>
      <w:r w:rsidR="00F62A12" w:rsidRPr="00812E8B">
        <w:rPr>
          <w:lang w:val="en-US"/>
        </w:rPr>
        <w:t>d</w:t>
      </w:r>
      <w:r w:rsidR="00B466AA" w:rsidRPr="00812E8B">
        <w:rPr>
          <w:lang w:val="en-US"/>
        </w:rPr>
        <w:t xml:space="preserve"> cheaper funds are more profitable. During the crisis, this relationship does not hold anymore, </w:t>
      </w:r>
      <w:r w:rsidR="001B30EB" w:rsidRPr="00812E8B">
        <w:rPr>
          <w:color w:val="365F91" w:themeColor="accent1" w:themeShade="BF"/>
          <w:lang w:val="en-US"/>
        </w:rPr>
        <w:t xml:space="preserve">Dietrich and Wanzenried (2011) </w:t>
      </w:r>
      <w:r w:rsidR="00B466AA" w:rsidRPr="00812E8B">
        <w:rPr>
          <w:lang w:val="en-US"/>
        </w:rPr>
        <w:t xml:space="preserve">suggest that during the crisis funding costs for all banks has dropped to low levels. </w:t>
      </w:r>
    </w:p>
    <w:p w:rsidR="00335EFC" w:rsidRPr="00812E8B" w:rsidRDefault="00B466AA" w:rsidP="00CE1B03">
      <w:pPr>
        <w:pStyle w:val="NoSpacing"/>
        <w:numPr>
          <w:ilvl w:val="0"/>
          <w:numId w:val="2"/>
        </w:numPr>
        <w:spacing w:line="276" w:lineRule="auto"/>
        <w:ind w:left="360"/>
        <w:jc w:val="both"/>
        <w:rPr>
          <w:lang w:val="en-US"/>
        </w:rPr>
      </w:pPr>
      <w:r w:rsidRPr="00812E8B">
        <w:rPr>
          <w:lang w:val="en-US"/>
        </w:rPr>
        <w:lastRenderedPageBreak/>
        <w:t>Fifth</w:t>
      </w:r>
      <w:r w:rsidR="00965DE0" w:rsidRPr="00812E8B">
        <w:rPr>
          <w:lang w:val="en-US"/>
        </w:rPr>
        <w:t xml:space="preserve"> as</w:t>
      </w:r>
      <w:r w:rsidRPr="00812E8B">
        <w:rPr>
          <w:lang w:val="en-US"/>
        </w:rPr>
        <w:t xml:space="preserve"> one</w:t>
      </w:r>
      <w:r w:rsidR="00965DE0" w:rsidRPr="00812E8B">
        <w:rPr>
          <w:lang w:val="en-US"/>
        </w:rPr>
        <w:t xml:space="preserve"> would </w:t>
      </w:r>
      <w:r w:rsidRPr="00812E8B">
        <w:rPr>
          <w:lang w:val="en-US"/>
        </w:rPr>
        <w:t>expect</w:t>
      </w:r>
      <w:r w:rsidR="00335EFC" w:rsidRPr="00812E8B">
        <w:rPr>
          <w:lang w:val="en-US"/>
        </w:rPr>
        <w:t xml:space="preserve"> the cost-to-</w:t>
      </w:r>
      <w:r w:rsidR="00965DE0" w:rsidRPr="00812E8B">
        <w:rPr>
          <w:lang w:val="en-US"/>
        </w:rPr>
        <w:t>income ratio is significant and negative</w:t>
      </w:r>
      <w:r w:rsidR="00335EFC" w:rsidRPr="00812E8B">
        <w:rPr>
          <w:lang w:val="en-US"/>
        </w:rPr>
        <w:t xml:space="preserve"> both in the total sample as in the two separate subsamples. The finding is rather straightforward since </w:t>
      </w:r>
      <w:r w:rsidR="00965DE0" w:rsidRPr="00812E8B">
        <w:rPr>
          <w:lang w:val="en-US"/>
        </w:rPr>
        <w:t>higher cost results in lower profit.</w:t>
      </w:r>
      <w:r w:rsidRPr="00812E8B">
        <w:rPr>
          <w:lang w:val="en-US"/>
        </w:rPr>
        <w:t xml:space="preserve"> </w:t>
      </w:r>
    </w:p>
    <w:p w:rsidR="001E34A3" w:rsidRPr="00812E8B" w:rsidRDefault="00335EFC" w:rsidP="00CE1B03">
      <w:pPr>
        <w:pStyle w:val="NoSpacing"/>
        <w:numPr>
          <w:ilvl w:val="0"/>
          <w:numId w:val="2"/>
        </w:numPr>
        <w:spacing w:line="276" w:lineRule="auto"/>
        <w:ind w:left="360"/>
        <w:jc w:val="both"/>
        <w:rPr>
          <w:lang w:val="en-US"/>
        </w:rPr>
      </w:pPr>
      <w:r w:rsidRPr="00812E8B">
        <w:rPr>
          <w:lang w:val="en-US"/>
        </w:rPr>
        <w:t>Sixth</w:t>
      </w:r>
      <w:r w:rsidR="00B466AA" w:rsidRPr="00812E8B">
        <w:rPr>
          <w:lang w:val="en-US"/>
        </w:rPr>
        <w:t xml:space="preserve">, </w:t>
      </w:r>
      <w:r w:rsidR="001B30EB" w:rsidRPr="00812E8B">
        <w:rPr>
          <w:color w:val="365F91" w:themeColor="accent1" w:themeShade="BF"/>
          <w:lang w:val="en-US"/>
        </w:rPr>
        <w:t xml:space="preserve">Dietrich and Wanzenried (2011) </w:t>
      </w:r>
      <w:r w:rsidR="00B466AA" w:rsidRPr="00812E8B">
        <w:rPr>
          <w:lang w:val="en-US"/>
        </w:rPr>
        <w:t>f</w:t>
      </w:r>
      <w:r w:rsidRPr="00812E8B">
        <w:rPr>
          <w:lang w:val="en-US"/>
        </w:rPr>
        <w:t>in</w:t>
      </w:r>
      <w:r w:rsidR="00B466AA" w:rsidRPr="00812E8B">
        <w:rPr>
          <w:lang w:val="en-US"/>
        </w:rPr>
        <w:t>d no relationship between ownership structure and profitability before the crisis</w:t>
      </w:r>
      <w:r w:rsidR="001E34A3" w:rsidRPr="00812E8B">
        <w:rPr>
          <w:lang w:val="en-US"/>
        </w:rPr>
        <w:t>, s</w:t>
      </w:r>
      <w:r w:rsidR="00B466AA" w:rsidRPr="00812E8B">
        <w:rPr>
          <w:lang w:val="en-US"/>
        </w:rPr>
        <w:t xml:space="preserve">upporting research of </w:t>
      </w:r>
      <w:r w:rsidR="007F1875" w:rsidRPr="00812E8B">
        <w:rPr>
          <w:color w:val="365F91" w:themeColor="accent1" w:themeShade="BF"/>
          <w:lang w:val="en-US"/>
        </w:rPr>
        <w:t>Bourke (1989), Altunbas et al. (2001)</w:t>
      </w:r>
      <w:r w:rsidR="007F1875" w:rsidRPr="00812E8B">
        <w:rPr>
          <w:lang w:val="en-US"/>
        </w:rPr>
        <w:t xml:space="preserve"> </w:t>
      </w:r>
      <w:r w:rsidR="00E34060" w:rsidRPr="00812E8B">
        <w:rPr>
          <w:color w:val="365F91" w:themeColor="accent1" w:themeShade="BF"/>
          <w:lang w:val="en-US"/>
        </w:rPr>
        <w:t xml:space="preserve">Athanasoglou et al. (2008). </w:t>
      </w:r>
      <w:r w:rsidR="001E34A3" w:rsidRPr="00812E8B">
        <w:rPr>
          <w:lang w:val="en-US"/>
        </w:rPr>
        <w:t>However, d</w:t>
      </w:r>
      <w:r w:rsidR="00653427" w:rsidRPr="00812E8B">
        <w:rPr>
          <w:lang w:val="en-US"/>
        </w:rPr>
        <w:t xml:space="preserve">uring the financial crisis the coefficient is significant and positive, </w:t>
      </w:r>
      <w:r w:rsidR="00B466AA" w:rsidRPr="00812E8B">
        <w:rPr>
          <w:lang w:val="en-US"/>
        </w:rPr>
        <w:t xml:space="preserve">implying that state-owned banks are more profitable than private banks during the financial </w:t>
      </w:r>
      <w:r w:rsidR="00653427" w:rsidRPr="00812E8B">
        <w:rPr>
          <w:lang w:val="en-US"/>
        </w:rPr>
        <w:t>crisis</w:t>
      </w:r>
      <w:r w:rsidR="001E34A3" w:rsidRPr="00812E8B">
        <w:rPr>
          <w:lang w:val="en-US"/>
        </w:rPr>
        <w:t>, supporting research of</w:t>
      </w:r>
      <w:r w:rsidR="001E34A3" w:rsidRPr="00812E8B">
        <w:rPr>
          <w:color w:val="365F91" w:themeColor="accent1" w:themeShade="BF"/>
          <w:lang w:val="en-US"/>
        </w:rPr>
        <w:t xml:space="preserve"> </w:t>
      </w:r>
      <w:r w:rsidR="00881610" w:rsidRPr="00812E8B">
        <w:rPr>
          <w:color w:val="365F91" w:themeColor="accent1" w:themeShade="BF"/>
          <w:lang w:val="en-US"/>
        </w:rPr>
        <w:t>Molyneux and Thornton (1992)</w:t>
      </w:r>
      <w:r w:rsidR="00881610" w:rsidRPr="00812E8B">
        <w:rPr>
          <w:lang w:val="en-US"/>
        </w:rPr>
        <w:t xml:space="preserve">. </w:t>
      </w:r>
      <w:r w:rsidRPr="00812E8B">
        <w:rPr>
          <w:lang w:val="en-US"/>
        </w:rPr>
        <w:t xml:space="preserve">The </w:t>
      </w:r>
      <w:r w:rsidR="0061735F" w:rsidRPr="00812E8B">
        <w:rPr>
          <w:lang w:val="en-US"/>
        </w:rPr>
        <w:t>result</w:t>
      </w:r>
      <w:r w:rsidRPr="00812E8B">
        <w:rPr>
          <w:lang w:val="en-US"/>
        </w:rPr>
        <w:t xml:space="preserve"> stand in contrast to </w:t>
      </w:r>
      <w:r w:rsidR="00F62A12" w:rsidRPr="00812E8B">
        <w:rPr>
          <w:lang w:val="en-US"/>
        </w:rPr>
        <w:t xml:space="preserve">research of </w:t>
      </w:r>
      <w:r w:rsidR="007F1875" w:rsidRPr="00812E8B">
        <w:rPr>
          <w:color w:val="365F91" w:themeColor="accent1" w:themeShade="BF"/>
          <w:lang w:val="en-US"/>
        </w:rPr>
        <w:t xml:space="preserve">Iannotta et al. (2007), </w:t>
      </w:r>
      <w:r w:rsidR="007F1875" w:rsidRPr="00812E8B">
        <w:rPr>
          <w:lang w:val="en-US"/>
        </w:rPr>
        <w:t xml:space="preserve">in which </w:t>
      </w:r>
      <w:r w:rsidR="001E34A3" w:rsidRPr="00812E8B">
        <w:rPr>
          <w:lang w:val="en-US"/>
        </w:rPr>
        <w:t>a negative relationshi</w:t>
      </w:r>
      <w:r w:rsidR="00A85C6F" w:rsidRPr="00812E8B">
        <w:rPr>
          <w:lang w:val="en-US"/>
        </w:rPr>
        <w:t xml:space="preserve">p between governmental, </w:t>
      </w:r>
      <w:r w:rsidR="001E34A3" w:rsidRPr="00812E8B">
        <w:rPr>
          <w:lang w:val="en-US"/>
        </w:rPr>
        <w:t>mutual owned banks and profitability</w:t>
      </w:r>
      <w:r w:rsidR="007F1875" w:rsidRPr="00812E8B">
        <w:rPr>
          <w:lang w:val="en-US"/>
        </w:rPr>
        <w:t xml:space="preserve"> is found</w:t>
      </w:r>
      <w:r w:rsidR="001E34A3" w:rsidRPr="00812E8B">
        <w:rPr>
          <w:lang w:val="en-US"/>
        </w:rPr>
        <w:t>.</w:t>
      </w:r>
      <w:r w:rsidR="007F1875" w:rsidRPr="00812E8B">
        <w:rPr>
          <w:lang w:val="en-US"/>
        </w:rPr>
        <w:t xml:space="preserve"> </w:t>
      </w:r>
      <w:r w:rsidR="00A85C6F" w:rsidRPr="00812E8B">
        <w:rPr>
          <w:lang w:val="en-US"/>
        </w:rPr>
        <w:t>The authors suggest</w:t>
      </w:r>
      <w:r w:rsidR="00F62A12" w:rsidRPr="00812E8B">
        <w:rPr>
          <w:lang w:val="en-US"/>
        </w:rPr>
        <w:t>ed</w:t>
      </w:r>
      <w:r w:rsidR="00A85C6F" w:rsidRPr="00812E8B">
        <w:rPr>
          <w:lang w:val="en-US"/>
        </w:rPr>
        <w:t xml:space="preserve"> that state-owned banks are considered as safer during the crisis, which could lead to lower funding costs or additional customers. </w:t>
      </w:r>
    </w:p>
    <w:p w:rsidR="001E34A3" w:rsidRPr="00812E8B" w:rsidRDefault="00335EFC" w:rsidP="00335EFC">
      <w:pPr>
        <w:pStyle w:val="NoSpacing"/>
        <w:tabs>
          <w:tab w:val="left" w:pos="4990"/>
        </w:tabs>
        <w:spacing w:line="276" w:lineRule="auto"/>
        <w:jc w:val="both"/>
        <w:rPr>
          <w:lang w:val="en-US"/>
        </w:rPr>
      </w:pPr>
      <w:r w:rsidRPr="00812E8B">
        <w:rPr>
          <w:lang w:val="en-US"/>
        </w:rPr>
        <w:tab/>
      </w:r>
    </w:p>
    <w:p w:rsidR="00653427" w:rsidRPr="00812E8B" w:rsidRDefault="00335EFC" w:rsidP="00CE1B03">
      <w:pPr>
        <w:pStyle w:val="NoSpacing"/>
        <w:spacing w:line="276" w:lineRule="auto"/>
        <w:jc w:val="both"/>
        <w:rPr>
          <w:lang w:val="en-US"/>
        </w:rPr>
      </w:pPr>
      <w:r w:rsidRPr="00812E8B">
        <w:rPr>
          <w:lang w:val="en-US"/>
        </w:rPr>
        <w:t xml:space="preserve">Most of the bank-specific results presented here confirm relationships found in earlier studies such as </w:t>
      </w:r>
      <w:r w:rsidR="00881610" w:rsidRPr="00812E8B">
        <w:rPr>
          <w:color w:val="365F91" w:themeColor="accent1" w:themeShade="BF"/>
          <w:lang w:val="en-US"/>
        </w:rPr>
        <w:t>Molyneux and Thornton (1992)</w:t>
      </w:r>
      <w:r w:rsidR="00881610" w:rsidRPr="00812E8B">
        <w:rPr>
          <w:lang w:val="en-US"/>
        </w:rPr>
        <w:t xml:space="preserve"> </w:t>
      </w:r>
      <w:r w:rsidRPr="00812E8B">
        <w:rPr>
          <w:lang w:val="en-US"/>
        </w:rPr>
        <w:t xml:space="preserve">and </w:t>
      </w:r>
      <w:r w:rsidR="00E34060" w:rsidRPr="00812E8B">
        <w:rPr>
          <w:color w:val="365F91" w:themeColor="accent1" w:themeShade="BF"/>
          <w:lang w:val="en-US"/>
        </w:rPr>
        <w:t xml:space="preserve">Athanasoglou et al. (2008). </w:t>
      </w:r>
      <w:r w:rsidR="00A85C6F" w:rsidRPr="00812E8B">
        <w:rPr>
          <w:lang w:val="en-US"/>
        </w:rPr>
        <w:t xml:space="preserve">As the results of </w:t>
      </w:r>
      <w:r w:rsidR="001B30EB" w:rsidRPr="00812E8B">
        <w:rPr>
          <w:color w:val="365F91" w:themeColor="accent1" w:themeShade="BF"/>
          <w:lang w:val="en-US"/>
        </w:rPr>
        <w:t xml:space="preserve">Dietrich and Wanzenried (2011) </w:t>
      </w:r>
      <w:r w:rsidR="00A85C6F" w:rsidRPr="00812E8B">
        <w:rPr>
          <w:lang w:val="en-US"/>
        </w:rPr>
        <w:t>are only applica</w:t>
      </w:r>
      <w:r w:rsidR="00776F1C" w:rsidRPr="00812E8B">
        <w:rPr>
          <w:lang w:val="en-US"/>
        </w:rPr>
        <w:t xml:space="preserve">ble to the Swiss banking sector, this thesis </w:t>
      </w:r>
      <w:r w:rsidR="00A85C6F" w:rsidRPr="00812E8B">
        <w:rPr>
          <w:lang w:val="en-US"/>
        </w:rPr>
        <w:t xml:space="preserve">extent the research tot the European banking sector. Furthermore, </w:t>
      </w:r>
      <w:r w:rsidR="00DA04A4" w:rsidRPr="00812E8B">
        <w:rPr>
          <w:lang w:val="en-US"/>
        </w:rPr>
        <w:t>current research will extend the mentioned studies by focusing</w:t>
      </w:r>
      <w:r w:rsidR="00A85C6F" w:rsidRPr="00812E8B">
        <w:rPr>
          <w:lang w:val="en-US"/>
        </w:rPr>
        <w:t xml:space="preserve"> on funding and liquidity variables as those</w:t>
      </w:r>
      <w:r w:rsidR="00DA04A4" w:rsidRPr="00812E8B">
        <w:rPr>
          <w:lang w:val="en-US"/>
        </w:rPr>
        <w:t xml:space="preserve"> factors</w:t>
      </w:r>
      <w:r w:rsidR="00A85C6F" w:rsidRPr="00812E8B">
        <w:rPr>
          <w:lang w:val="en-US"/>
        </w:rPr>
        <w:t xml:space="preserve"> </w:t>
      </w:r>
      <w:r w:rsidR="00776F1C" w:rsidRPr="00812E8B">
        <w:rPr>
          <w:lang w:val="en-US"/>
        </w:rPr>
        <w:t>become</w:t>
      </w:r>
      <w:r w:rsidR="00A85C6F" w:rsidRPr="00812E8B">
        <w:rPr>
          <w:lang w:val="en-US"/>
        </w:rPr>
        <w:t xml:space="preserve"> increasingly important in the banking sector. </w:t>
      </w:r>
    </w:p>
    <w:p w:rsidR="00DA218C" w:rsidRPr="00812E8B" w:rsidRDefault="00DA218C" w:rsidP="00CE1B03">
      <w:pPr>
        <w:pStyle w:val="NoSpacing"/>
        <w:spacing w:line="276" w:lineRule="auto"/>
        <w:jc w:val="both"/>
        <w:rPr>
          <w:b/>
          <w:lang w:val="en-US"/>
        </w:rPr>
      </w:pPr>
    </w:p>
    <w:p w:rsidR="00BA3EA3" w:rsidRPr="00812E8B" w:rsidRDefault="00E029DD" w:rsidP="00CE1B03">
      <w:pPr>
        <w:pStyle w:val="Heading2"/>
        <w:rPr>
          <w:color w:val="auto"/>
          <w:lang w:val="en-US"/>
        </w:rPr>
      </w:pPr>
      <w:bookmarkStart w:id="23" w:name="_Toc306359643"/>
      <w:r w:rsidRPr="00812E8B">
        <w:rPr>
          <w:color w:val="auto"/>
          <w:lang w:val="en-US"/>
        </w:rPr>
        <w:t>3.</w:t>
      </w:r>
      <w:r w:rsidR="0023772C" w:rsidRPr="00812E8B">
        <w:rPr>
          <w:color w:val="auto"/>
          <w:lang w:val="en-US"/>
        </w:rPr>
        <w:t xml:space="preserve">5 </w:t>
      </w:r>
      <w:r w:rsidR="00FA4E04" w:rsidRPr="00812E8B">
        <w:rPr>
          <w:color w:val="auto"/>
          <w:lang w:val="en-US"/>
        </w:rPr>
        <w:t>S</w:t>
      </w:r>
      <w:r w:rsidR="00FB0A28" w:rsidRPr="00812E8B">
        <w:rPr>
          <w:color w:val="auto"/>
          <w:sz w:val="20"/>
          <w:szCs w:val="20"/>
          <w:lang w:val="en-US"/>
        </w:rPr>
        <w:t>UMMARY</w:t>
      </w:r>
      <w:bookmarkEnd w:id="23"/>
    </w:p>
    <w:p w:rsidR="00395E6F" w:rsidRPr="00812E8B" w:rsidRDefault="00EB2873" w:rsidP="00CE1B03">
      <w:pPr>
        <w:pStyle w:val="NoSpacing"/>
        <w:spacing w:line="276" w:lineRule="auto"/>
        <w:jc w:val="both"/>
        <w:rPr>
          <w:lang w:val="en-US"/>
        </w:rPr>
      </w:pPr>
      <w:r w:rsidRPr="00812E8B">
        <w:rPr>
          <w:lang w:val="en-US"/>
        </w:rPr>
        <w:t xml:space="preserve">Prior </w:t>
      </w:r>
      <w:r w:rsidR="001D78C0" w:rsidRPr="00812E8B">
        <w:rPr>
          <w:lang w:val="en-US"/>
        </w:rPr>
        <w:t xml:space="preserve">research </w:t>
      </w:r>
      <w:r w:rsidR="0053069C" w:rsidRPr="00812E8B">
        <w:rPr>
          <w:lang w:val="en-US"/>
        </w:rPr>
        <w:t>emphasized</w:t>
      </w:r>
      <w:r w:rsidR="008F5011" w:rsidRPr="00812E8B">
        <w:rPr>
          <w:lang w:val="en-US"/>
        </w:rPr>
        <w:t xml:space="preserve"> the influence of</w:t>
      </w:r>
      <w:r w:rsidR="00971FD0" w:rsidRPr="00812E8B">
        <w:rPr>
          <w:lang w:val="en-US"/>
        </w:rPr>
        <w:t xml:space="preserve"> regulation and</w:t>
      </w:r>
      <w:r w:rsidR="008F5011" w:rsidRPr="00812E8B">
        <w:rPr>
          <w:lang w:val="en-US"/>
        </w:rPr>
        <w:t xml:space="preserve"> ownership structure on risk taking and </w:t>
      </w:r>
      <w:r w:rsidR="00F62A12" w:rsidRPr="00812E8B">
        <w:rPr>
          <w:lang w:val="en-US"/>
        </w:rPr>
        <w:t>profitability</w:t>
      </w:r>
      <w:r w:rsidR="008F5011" w:rsidRPr="00812E8B">
        <w:rPr>
          <w:lang w:val="en-US"/>
        </w:rPr>
        <w:t xml:space="preserve"> of banks.</w:t>
      </w:r>
      <w:r w:rsidR="00947DB6" w:rsidRPr="00812E8B">
        <w:rPr>
          <w:lang w:val="en-US"/>
        </w:rPr>
        <w:t xml:space="preserve"> </w:t>
      </w:r>
      <w:r w:rsidR="00B94835" w:rsidRPr="00812E8B">
        <w:rPr>
          <w:lang w:val="en-US"/>
        </w:rPr>
        <w:t xml:space="preserve">Research towards the impact of ownership structure on risk taking and performance in the banking sector, </w:t>
      </w:r>
      <w:r w:rsidR="00A2475E" w:rsidRPr="00812E8B">
        <w:rPr>
          <w:lang w:val="en-US"/>
        </w:rPr>
        <w:t>is</w:t>
      </w:r>
      <w:r w:rsidR="00B94835" w:rsidRPr="00812E8B">
        <w:rPr>
          <w:lang w:val="en-US"/>
        </w:rPr>
        <w:t xml:space="preserve"> initiated by </w:t>
      </w:r>
      <w:r w:rsidR="0043417A" w:rsidRPr="00812E8B">
        <w:rPr>
          <w:color w:val="365F91" w:themeColor="accent1" w:themeShade="BF"/>
          <w:lang w:val="en-US"/>
        </w:rPr>
        <w:t xml:space="preserve">Saunders et al. (1990). </w:t>
      </w:r>
      <w:r w:rsidR="00B94835" w:rsidRPr="00812E8B">
        <w:rPr>
          <w:lang w:val="en-US"/>
        </w:rPr>
        <w:t>They</w:t>
      </w:r>
      <w:r w:rsidR="00B94835" w:rsidRPr="00812E8B">
        <w:rPr>
          <w:color w:val="365F91" w:themeColor="accent1" w:themeShade="BF"/>
          <w:lang w:val="en-US"/>
        </w:rPr>
        <w:t xml:space="preserve"> </w:t>
      </w:r>
      <w:r w:rsidR="00DA04A4" w:rsidRPr="00812E8B">
        <w:rPr>
          <w:lang w:val="en-US"/>
        </w:rPr>
        <w:t>f</w:t>
      </w:r>
      <w:r w:rsidR="002B555D" w:rsidRPr="00812E8B">
        <w:rPr>
          <w:lang w:val="en-US"/>
        </w:rPr>
        <w:t>i</w:t>
      </w:r>
      <w:r w:rsidR="00DA04A4" w:rsidRPr="00812E8B">
        <w:rPr>
          <w:lang w:val="en-US"/>
        </w:rPr>
        <w:t>nd</w:t>
      </w:r>
      <w:r w:rsidR="00B94835" w:rsidRPr="00812E8B">
        <w:rPr>
          <w:lang w:val="en-US"/>
        </w:rPr>
        <w:t xml:space="preserve"> that banks with </w:t>
      </w:r>
      <w:r w:rsidR="00D17876" w:rsidRPr="00812E8B">
        <w:rPr>
          <w:lang w:val="en-US"/>
        </w:rPr>
        <w:t>shareholder</w:t>
      </w:r>
      <w:r w:rsidR="00B94835" w:rsidRPr="00812E8B">
        <w:rPr>
          <w:lang w:val="en-US"/>
        </w:rPr>
        <w:t xml:space="preserve"> ownership</w:t>
      </w:r>
      <w:r w:rsidR="002B555D" w:rsidRPr="00812E8B">
        <w:rPr>
          <w:lang w:val="en-US"/>
        </w:rPr>
        <w:t xml:space="preserve"> and stock option compensation</w:t>
      </w:r>
      <w:r w:rsidR="00B94835" w:rsidRPr="00812E8B">
        <w:rPr>
          <w:lang w:val="en-US"/>
        </w:rPr>
        <w:t xml:space="preserve">, take significantly more risk than </w:t>
      </w:r>
      <w:r w:rsidR="002B555D" w:rsidRPr="00812E8B">
        <w:rPr>
          <w:lang w:val="en-US"/>
        </w:rPr>
        <w:t xml:space="preserve">shareholder </w:t>
      </w:r>
      <w:r w:rsidR="00CA68DA" w:rsidRPr="00812E8B">
        <w:rPr>
          <w:lang w:val="en-US"/>
        </w:rPr>
        <w:t>owned banks</w:t>
      </w:r>
      <w:r w:rsidR="002B555D" w:rsidRPr="00812E8B">
        <w:rPr>
          <w:lang w:val="en-US"/>
        </w:rPr>
        <w:t xml:space="preserve"> in which managers do not receive any stock option compensation</w:t>
      </w:r>
      <w:r w:rsidR="00CA68DA" w:rsidRPr="00812E8B">
        <w:rPr>
          <w:lang w:val="en-US"/>
        </w:rPr>
        <w:t>.</w:t>
      </w:r>
      <w:r w:rsidR="0053069C" w:rsidRPr="00812E8B">
        <w:rPr>
          <w:lang w:val="en-US"/>
        </w:rPr>
        <w:t xml:space="preserve"> </w:t>
      </w:r>
      <w:r w:rsidR="00F83DAD" w:rsidRPr="00812E8B">
        <w:rPr>
          <w:lang w:val="en-US"/>
        </w:rPr>
        <w:t xml:space="preserve">Other </w:t>
      </w:r>
      <w:r w:rsidR="00971FD0" w:rsidRPr="00812E8B">
        <w:rPr>
          <w:lang w:val="en-US"/>
        </w:rPr>
        <w:t xml:space="preserve">studies </w:t>
      </w:r>
      <w:r w:rsidR="00A2475E" w:rsidRPr="00812E8B">
        <w:rPr>
          <w:lang w:val="en-US"/>
        </w:rPr>
        <w:t>try t</w:t>
      </w:r>
      <w:r w:rsidR="00F83DAD" w:rsidRPr="00812E8B">
        <w:rPr>
          <w:lang w:val="en-US"/>
        </w:rPr>
        <w:t xml:space="preserve">o validate </w:t>
      </w:r>
      <w:r w:rsidR="00971FD0" w:rsidRPr="00812E8B">
        <w:rPr>
          <w:lang w:val="en-US"/>
        </w:rPr>
        <w:t xml:space="preserve">this </w:t>
      </w:r>
      <w:r w:rsidR="00F83DAD" w:rsidRPr="00812E8B">
        <w:rPr>
          <w:lang w:val="en-US"/>
        </w:rPr>
        <w:t>relat</w:t>
      </w:r>
      <w:r w:rsidR="000166B1" w:rsidRPr="00812E8B">
        <w:rPr>
          <w:lang w:val="en-US"/>
        </w:rPr>
        <w:t>ionship but findings are mixed depending on sample period and region</w:t>
      </w:r>
      <w:r w:rsidR="00395E6F" w:rsidRPr="00812E8B">
        <w:rPr>
          <w:lang w:val="en-US"/>
        </w:rPr>
        <w:t xml:space="preserve"> </w:t>
      </w:r>
      <w:r w:rsidR="00AE700C" w:rsidRPr="00812E8B">
        <w:rPr>
          <w:color w:val="365F91" w:themeColor="accent1" w:themeShade="BF"/>
          <w:lang w:val="en-US"/>
        </w:rPr>
        <w:t xml:space="preserve">(Goddard et al., 2007 </w:t>
      </w:r>
      <w:r w:rsidR="00AE700C" w:rsidRPr="00812E8B">
        <w:rPr>
          <w:lang w:val="en-US"/>
        </w:rPr>
        <w:t xml:space="preserve">and </w:t>
      </w:r>
      <w:r w:rsidR="006029C5" w:rsidRPr="00812E8B">
        <w:rPr>
          <w:color w:val="365F91" w:themeColor="accent1" w:themeShade="BF"/>
          <w:lang w:val="en-US"/>
        </w:rPr>
        <w:t>Ayadi et al., 2010)</w:t>
      </w:r>
      <w:r w:rsidR="00971FD0" w:rsidRPr="00812E8B">
        <w:rPr>
          <w:lang w:val="en-US"/>
        </w:rPr>
        <w:t xml:space="preserve">. Furthermore, </w:t>
      </w:r>
      <w:r w:rsidR="0043417A" w:rsidRPr="00812E8B">
        <w:rPr>
          <w:color w:val="365F91" w:themeColor="accent1" w:themeShade="BF"/>
          <w:lang w:val="en-US"/>
        </w:rPr>
        <w:t xml:space="preserve">Laeven &amp; Levine (2009) </w:t>
      </w:r>
      <w:r w:rsidR="00971FD0" w:rsidRPr="00812E8B">
        <w:rPr>
          <w:lang w:val="en-US"/>
        </w:rPr>
        <w:t>incorporate the effects of regulation and f</w:t>
      </w:r>
      <w:r w:rsidR="00A2475E" w:rsidRPr="00812E8B">
        <w:rPr>
          <w:lang w:val="en-US"/>
        </w:rPr>
        <w:t>i</w:t>
      </w:r>
      <w:r w:rsidR="00971FD0" w:rsidRPr="00812E8B">
        <w:rPr>
          <w:lang w:val="en-US"/>
        </w:rPr>
        <w:t>nd that regulation has different effects on bank risk taking depending on the ownership structure.</w:t>
      </w:r>
    </w:p>
    <w:p w:rsidR="00971FD0" w:rsidRPr="00812E8B" w:rsidRDefault="00971FD0" w:rsidP="00CE1B03">
      <w:pPr>
        <w:pStyle w:val="NoSpacing"/>
        <w:spacing w:line="276" w:lineRule="auto"/>
        <w:jc w:val="both"/>
        <w:rPr>
          <w:lang w:val="en-US"/>
        </w:rPr>
      </w:pPr>
    </w:p>
    <w:p w:rsidR="00CC1D8D" w:rsidRPr="00812E8B" w:rsidRDefault="00856CA7" w:rsidP="00D475D9">
      <w:pPr>
        <w:pStyle w:val="NoSpacing"/>
        <w:spacing w:line="276" w:lineRule="auto"/>
        <w:jc w:val="both"/>
        <w:rPr>
          <w:color w:val="FF0000"/>
          <w:lang w:val="en-US"/>
        </w:rPr>
      </w:pPr>
      <w:r w:rsidRPr="00812E8B">
        <w:rPr>
          <w:lang w:val="en-US"/>
        </w:rPr>
        <w:t xml:space="preserve">This thesis builds on earlier research of </w:t>
      </w:r>
      <w:r w:rsidR="00955C7E" w:rsidRPr="00812E8B">
        <w:rPr>
          <w:color w:val="365F91" w:themeColor="accent1" w:themeShade="BF"/>
          <w:lang w:val="en-US"/>
        </w:rPr>
        <w:t>Pasiouras and Kosmidou (2007),</w:t>
      </w:r>
      <w:r w:rsidR="00E34060" w:rsidRPr="00812E8B">
        <w:rPr>
          <w:lang w:val="en-US"/>
        </w:rPr>
        <w:t xml:space="preserve"> </w:t>
      </w:r>
      <w:r w:rsidR="00E34060" w:rsidRPr="00812E8B">
        <w:rPr>
          <w:color w:val="365F91" w:themeColor="accent1" w:themeShade="BF"/>
          <w:lang w:val="en-US"/>
        </w:rPr>
        <w:t xml:space="preserve">Athanasoglou et al. (2008) </w:t>
      </w:r>
      <w:r w:rsidRPr="00812E8B">
        <w:rPr>
          <w:lang w:val="en-US"/>
        </w:rPr>
        <w:t xml:space="preserve">and </w:t>
      </w:r>
      <w:r w:rsidR="001B30EB" w:rsidRPr="00812E8B">
        <w:rPr>
          <w:color w:val="365F91" w:themeColor="accent1" w:themeShade="BF"/>
          <w:lang w:val="en-US"/>
        </w:rPr>
        <w:t xml:space="preserve">Dietrich and Wanzenried (2011), </w:t>
      </w:r>
      <w:r w:rsidRPr="00812E8B">
        <w:rPr>
          <w:lang w:val="en-US"/>
        </w:rPr>
        <w:t xml:space="preserve">which incorporate macroeconomic, industry-specific and bank-specific determinants of profitability. </w:t>
      </w:r>
      <w:r w:rsidR="00F62A12" w:rsidRPr="00812E8B">
        <w:rPr>
          <w:lang w:val="en-US"/>
        </w:rPr>
        <w:t>This thesis will extent prior</w:t>
      </w:r>
      <w:r w:rsidRPr="00812E8B">
        <w:rPr>
          <w:lang w:val="en-US"/>
        </w:rPr>
        <w:t xml:space="preserve"> research presented </w:t>
      </w:r>
      <w:r w:rsidR="00F62A12" w:rsidRPr="00812E8B">
        <w:rPr>
          <w:lang w:val="en-US"/>
        </w:rPr>
        <w:t>here</w:t>
      </w:r>
      <w:r w:rsidR="00DA04A4" w:rsidRPr="00812E8B">
        <w:rPr>
          <w:lang w:val="en-US"/>
        </w:rPr>
        <w:t>,</w:t>
      </w:r>
      <w:r w:rsidR="00F62A12" w:rsidRPr="00812E8B">
        <w:rPr>
          <w:lang w:val="en-US"/>
        </w:rPr>
        <w:t xml:space="preserve"> </w:t>
      </w:r>
      <w:r w:rsidR="00DA04A4" w:rsidRPr="00812E8B">
        <w:rPr>
          <w:lang w:val="en-US"/>
        </w:rPr>
        <w:t xml:space="preserve">in three ways. First, the empirical part of current research will </w:t>
      </w:r>
      <w:r w:rsidRPr="00812E8B">
        <w:rPr>
          <w:lang w:val="en-US"/>
        </w:rPr>
        <w:t xml:space="preserve">use data over the last decade for the European banking sector, second this thesis aims to extend the determinants of banks’ profitability by examining funding and liquidity ratios. Third, this thesis attempts to generalize results found by </w:t>
      </w:r>
      <w:r w:rsidR="001B30EB" w:rsidRPr="00812E8B">
        <w:rPr>
          <w:color w:val="365F91" w:themeColor="accent1" w:themeShade="BF"/>
          <w:lang w:val="en-US"/>
        </w:rPr>
        <w:t xml:space="preserve">Dietrich and Wanzenried (2011) </w:t>
      </w:r>
      <w:r w:rsidRPr="00812E8B">
        <w:rPr>
          <w:lang w:val="en-US"/>
        </w:rPr>
        <w:t xml:space="preserve">to the European banking sector. </w:t>
      </w:r>
    </w:p>
    <w:p w:rsidR="00CC1D8D" w:rsidRPr="00812E8B" w:rsidRDefault="00CC1D8D" w:rsidP="00CC1D8D">
      <w:pPr>
        <w:pStyle w:val="NoSpacing"/>
        <w:jc w:val="both"/>
        <w:rPr>
          <w:color w:val="FF0000"/>
          <w:lang w:val="en-US"/>
        </w:rPr>
      </w:pPr>
    </w:p>
    <w:p w:rsidR="00CC1D8D" w:rsidRPr="00812E8B" w:rsidRDefault="00CC1D8D" w:rsidP="000166B1">
      <w:pPr>
        <w:pStyle w:val="NoSpacing"/>
        <w:jc w:val="both"/>
        <w:rPr>
          <w:color w:val="FF0000"/>
          <w:lang w:val="en-US"/>
        </w:rPr>
        <w:sectPr w:rsidR="00CC1D8D" w:rsidRPr="00812E8B" w:rsidSect="00D911B8">
          <w:headerReference w:type="default" r:id="rId20"/>
          <w:headerReference w:type="first" r:id="rId21"/>
          <w:endnotePr>
            <w:numFmt w:val="decimal"/>
          </w:endnotePr>
          <w:pgSz w:w="11906" w:h="16838"/>
          <w:pgMar w:top="1417" w:right="1417" w:bottom="1417" w:left="1417" w:header="708" w:footer="708" w:gutter="0"/>
          <w:cols w:space="708"/>
          <w:titlePg/>
          <w:docGrid w:linePitch="360"/>
        </w:sectPr>
      </w:pPr>
    </w:p>
    <w:p w:rsidR="00D003CA" w:rsidRPr="00812E8B" w:rsidRDefault="00645F89" w:rsidP="00C468F1">
      <w:pPr>
        <w:pStyle w:val="Heading1"/>
        <w:jc w:val="left"/>
        <w:rPr>
          <w:color w:val="auto"/>
          <w:lang w:val="en-US"/>
        </w:rPr>
      </w:pPr>
      <w:bookmarkStart w:id="24" w:name="_Toc306359644"/>
      <w:r w:rsidRPr="00812E8B">
        <w:rPr>
          <w:color w:val="auto"/>
          <w:lang w:val="en-US"/>
        </w:rPr>
        <w:lastRenderedPageBreak/>
        <w:t xml:space="preserve">4. </w:t>
      </w:r>
      <w:r w:rsidR="00D17876" w:rsidRPr="00812E8B">
        <w:rPr>
          <w:color w:val="auto"/>
          <w:lang w:val="en-US"/>
        </w:rPr>
        <w:t>H</w:t>
      </w:r>
      <w:r w:rsidR="004B7BFF" w:rsidRPr="00812E8B">
        <w:rPr>
          <w:color w:val="auto"/>
          <w:sz w:val="30"/>
          <w:szCs w:val="30"/>
          <w:lang w:val="en-US"/>
        </w:rPr>
        <w:t>YPOTHESIS AND DETERMINANTS SELECTION</w:t>
      </w:r>
      <w:bookmarkEnd w:id="24"/>
      <w:r w:rsidR="004B7BFF" w:rsidRPr="00812E8B">
        <w:rPr>
          <w:rStyle w:val="Strong"/>
          <w:rFonts w:asciiTheme="majorHAnsi" w:hAnsiTheme="majorHAnsi"/>
          <w:color w:val="auto"/>
          <w:sz w:val="30"/>
          <w:szCs w:val="30"/>
          <w:lang w:val="en-US"/>
        </w:rPr>
        <w:t xml:space="preserve"> </w:t>
      </w:r>
    </w:p>
    <w:p w:rsidR="00487CB4" w:rsidRPr="00812E8B" w:rsidRDefault="00487CB4" w:rsidP="00CE1B03">
      <w:pPr>
        <w:pStyle w:val="NoSpacing"/>
        <w:spacing w:line="276" w:lineRule="auto"/>
        <w:rPr>
          <w:lang w:val="en-US"/>
        </w:rPr>
      </w:pPr>
    </w:p>
    <w:p w:rsidR="00F475FE" w:rsidRPr="00812E8B" w:rsidRDefault="00F475FE" w:rsidP="00F475FE">
      <w:pPr>
        <w:pStyle w:val="NoSpacing"/>
        <w:spacing w:line="276" w:lineRule="auto"/>
        <w:jc w:val="both"/>
        <w:rPr>
          <w:lang w:val="en-US"/>
        </w:rPr>
      </w:pPr>
      <w:r w:rsidRPr="00812E8B">
        <w:rPr>
          <w:lang w:val="en-US"/>
        </w:rPr>
        <w:t xml:space="preserve">The purpose of this thesis is to define </w:t>
      </w:r>
      <w:r w:rsidR="00C6021A" w:rsidRPr="00812E8B">
        <w:rPr>
          <w:lang w:val="en-US"/>
        </w:rPr>
        <w:t>the</w:t>
      </w:r>
      <w:r w:rsidRPr="00812E8B">
        <w:rPr>
          <w:lang w:val="en-US"/>
        </w:rPr>
        <w:t xml:space="preserve"> factors</w:t>
      </w:r>
      <w:r w:rsidR="00C6021A" w:rsidRPr="00812E8B">
        <w:rPr>
          <w:lang w:val="en-US"/>
        </w:rPr>
        <w:t xml:space="preserve"> that</w:t>
      </w:r>
      <w:r w:rsidRPr="00812E8B">
        <w:rPr>
          <w:lang w:val="en-US"/>
        </w:rPr>
        <w:t xml:space="preserve"> determine banks’ profitability. </w:t>
      </w:r>
      <w:r w:rsidR="008B3343" w:rsidRPr="00812E8B">
        <w:rPr>
          <w:lang w:val="en-US"/>
        </w:rPr>
        <w:t>Pr</w:t>
      </w:r>
      <w:r w:rsidRPr="00812E8B">
        <w:rPr>
          <w:lang w:val="en-US"/>
        </w:rPr>
        <w:t xml:space="preserve">evious </w:t>
      </w:r>
      <w:r w:rsidR="008B3343" w:rsidRPr="00812E8B">
        <w:rPr>
          <w:lang w:val="en-US"/>
        </w:rPr>
        <w:t xml:space="preserve">chapters conducted </w:t>
      </w:r>
      <w:r w:rsidR="00C6021A" w:rsidRPr="00812E8B">
        <w:rPr>
          <w:lang w:val="en-US"/>
        </w:rPr>
        <w:t>a</w:t>
      </w:r>
      <w:r w:rsidRPr="00812E8B">
        <w:rPr>
          <w:lang w:val="en-US"/>
        </w:rPr>
        <w:t xml:space="preserve"> literature review in which theoretical and empirical explanations for different relationships with bank performance were summarized. The subsequent chapters comprise of the</w:t>
      </w:r>
      <w:r w:rsidR="00C6021A" w:rsidRPr="00812E8B">
        <w:rPr>
          <w:lang w:val="en-US"/>
        </w:rPr>
        <w:t xml:space="preserve"> empirical part of this thesis that </w:t>
      </w:r>
      <w:r w:rsidRPr="00812E8B">
        <w:rPr>
          <w:lang w:val="en-US"/>
        </w:rPr>
        <w:t xml:space="preserve">analyze determinants of banks’ profitability using the </w:t>
      </w:r>
      <w:r w:rsidR="00AF7061" w:rsidRPr="00812E8B">
        <w:rPr>
          <w:lang w:val="en-US"/>
        </w:rPr>
        <w:t>econometric</w:t>
      </w:r>
      <w:r w:rsidRPr="00812E8B">
        <w:rPr>
          <w:lang w:val="en-US"/>
        </w:rPr>
        <w:t xml:space="preserve"> model proposed by</w:t>
      </w:r>
      <w:r w:rsidR="00955C7E" w:rsidRPr="00812E8B">
        <w:rPr>
          <w:lang w:val="en-US"/>
        </w:rPr>
        <w:t xml:space="preserve"> </w:t>
      </w:r>
      <w:r w:rsidR="00955C7E" w:rsidRPr="00812E8B">
        <w:rPr>
          <w:color w:val="365F91" w:themeColor="accent1" w:themeShade="BF"/>
          <w:lang w:val="en-US"/>
        </w:rPr>
        <w:t>Pasiouras and Kosmidou (2007),</w:t>
      </w:r>
      <w:r w:rsidR="00955C7E" w:rsidRPr="00812E8B">
        <w:rPr>
          <w:lang w:val="en-US"/>
        </w:rPr>
        <w:t xml:space="preserve"> </w:t>
      </w:r>
      <w:r w:rsidR="00E34060" w:rsidRPr="00812E8B">
        <w:rPr>
          <w:color w:val="365F91" w:themeColor="accent1" w:themeShade="BF"/>
          <w:lang w:val="en-US"/>
        </w:rPr>
        <w:t xml:space="preserve">Athanasoglou et al. (2008) </w:t>
      </w:r>
      <w:r w:rsidR="00294F60" w:rsidRPr="00812E8B">
        <w:rPr>
          <w:lang w:val="en-US"/>
        </w:rPr>
        <w:t xml:space="preserve">and </w:t>
      </w:r>
      <w:r w:rsidR="001B30EB" w:rsidRPr="00812E8B">
        <w:rPr>
          <w:color w:val="365F91" w:themeColor="accent1" w:themeShade="BF"/>
          <w:lang w:val="en-US"/>
        </w:rPr>
        <w:t xml:space="preserve">Dietrich and Wanzenried (2011). </w:t>
      </w:r>
      <w:r w:rsidR="005569AB" w:rsidRPr="00812E8B">
        <w:rPr>
          <w:lang w:val="en-US"/>
        </w:rPr>
        <w:t xml:space="preserve">The </w:t>
      </w:r>
      <w:r w:rsidR="001E1FA3" w:rsidRPr="00812E8B">
        <w:rPr>
          <w:lang w:val="en-US"/>
        </w:rPr>
        <w:t>results from the literature review</w:t>
      </w:r>
      <w:r w:rsidR="005569AB" w:rsidRPr="00812E8B">
        <w:rPr>
          <w:lang w:val="en-US"/>
        </w:rPr>
        <w:t xml:space="preserve"> a</w:t>
      </w:r>
      <w:r w:rsidR="001E1FA3" w:rsidRPr="00812E8B">
        <w:rPr>
          <w:lang w:val="en-US"/>
        </w:rPr>
        <w:t>re</w:t>
      </w:r>
      <w:r w:rsidR="005569AB" w:rsidRPr="00812E8B">
        <w:rPr>
          <w:lang w:val="en-US"/>
        </w:rPr>
        <w:t xml:space="preserve"> used to establish expectations </w:t>
      </w:r>
      <w:r w:rsidR="00D2091B" w:rsidRPr="00812E8B">
        <w:rPr>
          <w:lang w:val="en-US"/>
        </w:rPr>
        <w:t>for</w:t>
      </w:r>
      <w:r w:rsidR="005569AB" w:rsidRPr="00812E8B">
        <w:rPr>
          <w:lang w:val="en-US"/>
        </w:rPr>
        <w:t xml:space="preserve"> the relationship of the different determinants.</w:t>
      </w:r>
    </w:p>
    <w:p w:rsidR="00F475FE" w:rsidRPr="00812E8B" w:rsidRDefault="00F475FE" w:rsidP="00F475FE">
      <w:pPr>
        <w:pStyle w:val="NoSpacing"/>
        <w:spacing w:line="276" w:lineRule="auto"/>
        <w:jc w:val="both"/>
        <w:rPr>
          <w:lang w:val="en-US"/>
        </w:rPr>
      </w:pPr>
    </w:p>
    <w:p w:rsidR="00F475FE" w:rsidRPr="00812E8B" w:rsidRDefault="00F475FE" w:rsidP="00F475FE">
      <w:pPr>
        <w:pStyle w:val="NoSpacing"/>
        <w:spacing w:line="276" w:lineRule="auto"/>
        <w:jc w:val="both"/>
        <w:rPr>
          <w:lang w:val="en-US"/>
        </w:rPr>
      </w:pPr>
      <w:r w:rsidRPr="00812E8B">
        <w:rPr>
          <w:lang w:val="en-US"/>
        </w:rPr>
        <w:t>First, this chapter reviews the dependent variable as proxy for banks’ profitability. Subsequently the independent variables are selected, categorized into bank-specific, industry-specific and macroeconomic determinants of banks’ profitability. Moreover, this chapter hypothesizes the expected sign for the</w:t>
      </w:r>
      <w:r w:rsidR="005569AB" w:rsidRPr="00812E8B">
        <w:rPr>
          <w:lang w:val="en-US"/>
        </w:rPr>
        <w:t xml:space="preserve"> relationship between the</w:t>
      </w:r>
      <w:r w:rsidRPr="00812E8B">
        <w:rPr>
          <w:lang w:val="en-US"/>
        </w:rPr>
        <w:t xml:space="preserve"> </w:t>
      </w:r>
      <w:r w:rsidR="001E1FA3" w:rsidRPr="00812E8B">
        <w:rPr>
          <w:lang w:val="en-US"/>
        </w:rPr>
        <w:t>explanatory</w:t>
      </w:r>
      <w:r w:rsidRPr="00812E8B">
        <w:rPr>
          <w:lang w:val="en-US"/>
        </w:rPr>
        <w:t xml:space="preserve"> variables</w:t>
      </w:r>
      <w:r w:rsidR="005569AB" w:rsidRPr="00812E8B">
        <w:rPr>
          <w:lang w:val="en-US"/>
        </w:rPr>
        <w:t xml:space="preserve"> and banks’ profitability</w:t>
      </w:r>
      <w:r w:rsidRPr="00812E8B">
        <w:rPr>
          <w:lang w:val="en-US"/>
        </w:rPr>
        <w:t xml:space="preserve">. </w:t>
      </w:r>
    </w:p>
    <w:p w:rsidR="00F475FE" w:rsidRPr="00812E8B" w:rsidRDefault="00F475FE" w:rsidP="00F475FE">
      <w:pPr>
        <w:pStyle w:val="NoSpacing"/>
        <w:spacing w:line="276" w:lineRule="auto"/>
        <w:jc w:val="both"/>
        <w:rPr>
          <w:lang w:val="en-US"/>
        </w:rPr>
      </w:pPr>
    </w:p>
    <w:p w:rsidR="00F475FE" w:rsidRPr="00812E8B" w:rsidRDefault="00F475FE" w:rsidP="00F475FE">
      <w:pPr>
        <w:pStyle w:val="Heading2"/>
        <w:rPr>
          <w:color w:val="auto"/>
          <w:lang w:val="en-US"/>
        </w:rPr>
      </w:pPr>
      <w:bookmarkStart w:id="25" w:name="_Toc306359645"/>
      <w:r w:rsidRPr="00812E8B">
        <w:rPr>
          <w:color w:val="auto"/>
          <w:lang w:val="en-US"/>
        </w:rPr>
        <w:t>4.1 D</w:t>
      </w:r>
      <w:r w:rsidR="00FB0A28" w:rsidRPr="00812E8B">
        <w:rPr>
          <w:color w:val="auto"/>
          <w:sz w:val="20"/>
          <w:szCs w:val="20"/>
          <w:lang w:val="en-US"/>
        </w:rPr>
        <w:t>EPENDENT VARIABLE</w:t>
      </w:r>
      <w:bookmarkEnd w:id="25"/>
    </w:p>
    <w:p w:rsidR="00F475FE" w:rsidRPr="00812E8B" w:rsidRDefault="00F475FE" w:rsidP="00F475FE">
      <w:pPr>
        <w:pStyle w:val="NoSpacing"/>
        <w:spacing w:line="276" w:lineRule="auto"/>
        <w:jc w:val="both"/>
        <w:rPr>
          <w:lang w:val="en-US"/>
        </w:rPr>
      </w:pPr>
      <w:r w:rsidRPr="00812E8B">
        <w:rPr>
          <w:lang w:val="en-US"/>
        </w:rPr>
        <w:t>This thesis attempts to define the determinants of banks’ profitability using a model in which the dependent variable is estimated by using different independent variables. Hence, profitability is the dependent variable</w:t>
      </w:r>
      <w:r w:rsidR="005F538A" w:rsidRPr="00812E8B">
        <w:rPr>
          <w:lang w:val="en-US"/>
        </w:rPr>
        <w:t xml:space="preserve"> of the model and can be estimated</w:t>
      </w:r>
      <w:r w:rsidR="001E1FA3" w:rsidRPr="00812E8B">
        <w:rPr>
          <w:lang w:val="en-US"/>
        </w:rPr>
        <w:t xml:space="preserve"> </w:t>
      </w:r>
      <w:r w:rsidR="005F538A" w:rsidRPr="00812E8B">
        <w:rPr>
          <w:lang w:val="en-US"/>
        </w:rPr>
        <w:t>using</w:t>
      </w:r>
      <w:r w:rsidRPr="00812E8B">
        <w:rPr>
          <w:lang w:val="en-US"/>
        </w:rPr>
        <w:t xml:space="preserve"> different </w:t>
      </w:r>
      <w:r w:rsidR="005569AB" w:rsidRPr="00812E8B">
        <w:rPr>
          <w:lang w:val="en-US"/>
        </w:rPr>
        <w:t>metrics</w:t>
      </w:r>
      <w:r w:rsidRPr="00812E8B">
        <w:rPr>
          <w:lang w:val="en-US"/>
        </w:rPr>
        <w:t xml:space="preserve">. Academic research addresses several measures of banks’ profitability, categorized into two classes; accounting based measures and economic based measures. </w:t>
      </w:r>
    </w:p>
    <w:p w:rsidR="00F475FE" w:rsidRPr="00812E8B" w:rsidRDefault="00F475FE" w:rsidP="00F475FE">
      <w:pPr>
        <w:pStyle w:val="NoSpacing"/>
        <w:spacing w:line="276" w:lineRule="auto"/>
        <w:jc w:val="both"/>
        <w:rPr>
          <w:lang w:val="en-US"/>
        </w:rPr>
      </w:pPr>
    </w:p>
    <w:p w:rsidR="00F475FE" w:rsidRPr="00812E8B" w:rsidRDefault="00F475FE" w:rsidP="00F475FE">
      <w:pPr>
        <w:pStyle w:val="Heading3"/>
        <w:rPr>
          <w:color w:val="auto"/>
          <w:lang w:val="en-US"/>
        </w:rPr>
      </w:pPr>
      <w:r w:rsidRPr="00812E8B">
        <w:rPr>
          <w:color w:val="auto"/>
          <w:lang w:val="en-US"/>
        </w:rPr>
        <w:t>4.1.1 T</w:t>
      </w:r>
      <w:r w:rsidR="00FB0A28" w:rsidRPr="00812E8B">
        <w:rPr>
          <w:color w:val="auto"/>
          <w:sz w:val="19"/>
          <w:szCs w:val="19"/>
          <w:lang w:val="en-US"/>
        </w:rPr>
        <w:t>RADITIONAL ACCOUNTING MEASURES OF PROFITABILITY</w:t>
      </w:r>
    </w:p>
    <w:p w:rsidR="008A3D4F" w:rsidRPr="00812E8B" w:rsidRDefault="00F475FE" w:rsidP="00F475FE">
      <w:pPr>
        <w:pStyle w:val="NoSpacing"/>
        <w:spacing w:line="276" w:lineRule="auto"/>
        <w:jc w:val="both"/>
        <w:rPr>
          <w:lang w:val="en-US"/>
        </w:rPr>
      </w:pPr>
      <w:r w:rsidRPr="00812E8B">
        <w:rPr>
          <w:lang w:val="en-US"/>
        </w:rPr>
        <w:t>The traditional accounting based measures are simple prox</w:t>
      </w:r>
      <w:r w:rsidR="005F538A" w:rsidRPr="00812E8B">
        <w:rPr>
          <w:lang w:val="en-US"/>
        </w:rPr>
        <w:t>ies</w:t>
      </w:r>
      <w:r w:rsidRPr="00812E8B">
        <w:rPr>
          <w:lang w:val="en-US"/>
        </w:rPr>
        <w:t xml:space="preserve"> </w:t>
      </w:r>
      <w:r w:rsidR="005569AB" w:rsidRPr="00812E8B">
        <w:rPr>
          <w:lang w:val="en-US"/>
        </w:rPr>
        <w:t>of</w:t>
      </w:r>
      <w:r w:rsidRPr="00812E8B">
        <w:rPr>
          <w:lang w:val="en-US"/>
        </w:rPr>
        <w:t xml:space="preserve"> banks’ profitability, obtainable from public disclosed information. Prior academic research </w:t>
      </w:r>
      <w:r w:rsidR="005569AB" w:rsidRPr="00812E8B">
        <w:rPr>
          <w:lang w:val="en-US"/>
        </w:rPr>
        <w:t>propose different</w:t>
      </w:r>
      <w:r w:rsidRPr="00812E8B">
        <w:rPr>
          <w:lang w:val="en-US"/>
        </w:rPr>
        <w:t xml:space="preserve"> </w:t>
      </w:r>
      <w:r w:rsidR="005F538A" w:rsidRPr="00812E8B">
        <w:rPr>
          <w:lang w:val="en-US"/>
        </w:rPr>
        <w:t xml:space="preserve">accounting based measures for </w:t>
      </w:r>
      <w:r w:rsidRPr="00812E8B">
        <w:rPr>
          <w:lang w:val="en-US"/>
        </w:rPr>
        <w:t>banks’ profitability, e.g. the return on equity (ROE)</w:t>
      </w:r>
      <w:r w:rsidR="001E1FA3" w:rsidRPr="00812E8B">
        <w:rPr>
          <w:lang w:val="en-US"/>
        </w:rPr>
        <w:t xml:space="preserve"> </w:t>
      </w:r>
      <w:r w:rsidR="00AE700C" w:rsidRPr="00812E8B">
        <w:rPr>
          <w:color w:val="365F91"/>
          <w:lang w:val="en-US"/>
        </w:rPr>
        <w:t>(Goddard et al., 2004)</w:t>
      </w:r>
      <w:r w:rsidRPr="00812E8B">
        <w:rPr>
          <w:lang w:val="en-US"/>
        </w:rPr>
        <w:t xml:space="preserve"> and return on assets (ROA) </w:t>
      </w:r>
      <w:r w:rsidR="00E34060" w:rsidRPr="00812E8B">
        <w:rPr>
          <w:color w:val="365F91"/>
          <w:lang w:val="en-US"/>
        </w:rPr>
        <w:t>(Athanasoglou et al., 2008)</w:t>
      </w:r>
      <w:r w:rsidR="00294F60" w:rsidRPr="00812E8B">
        <w:rPr>
          <w:color w:val="365F91"/>
          <w:lang w:val="en-US"/>
        </w:rPr>
        <w:t xml:space="preserve"> </w:t>
      </w:r>
      <w:r w:rsidR="005569AB" w:rsidRPr="00812E8B">
        <w:rPr>
          <w:lang w:val="en-US"/>
        </w:rPr>
        <w:t xml:space="preserve">either by using average values in the denominator </w:t>
      </w:r>
      <w:r w:rsidR="00955C7E" w:rsidRPr="00812E8B">
        <w:rPr>
          <w:color w:val="365F91" w:themeColor="accent1" w:themeShade="BF"/>
          <w:lang w:val="en-US"/>
        </w:rPr>
        <w:t>(Pasiouras and Kosmidou, 2007</w:t>
      </w:r>
      <w:r w:rsidR="00294F60" w:rsidRPr="00812E8B">
        <w:rPr>
          <w:lang w:val="en-US"/>
        </w:rPr>
        <w:t xml:space="preserve"> and </w:t>
      </w:r>
      <w:r w:rsidR="001B30EB" w:rsidRPr="00812E8B">
        <w:rPr>
          <w:color w:val="365F91" w:themeColor="accent1" w:themeShade="BF"/>
          <w:lang w:val="en-US"/>
        </w:rPr>
        <w:t xml:space="preserve">Dietrich and Wanzenried, 2011). </w:t>
      </w:r>
      <w:r w:rsidR="00294F60" w:rsidRPr="00812E8B">
        <w:rPr>
          <w:lang w:val="en-US"/>
        </w:rPr>
        <w:t xml:space="preserve">Among others, </w:t>
      </w:r>
      <w:r w:rsidR="00955C7E" w:rsidRPr="00812E8B">
        <w:rPr>
          <w:color w:val="365F91" w:themeColor="accent1" w:themeShade="BF"/>
          <w:lang w:val="en-US"/>
        </w:rPr>
        <w:t>Demirgüç-Kunt and Huizinga (1999)</w:t>
      </w:r>
      <w:r w:rsidR="00571F23" w:rsidRPr="00812E8B">
        <w:rPr>
          <w:color w:val="365F91" w:themeColor="accent1" w:themeShade="BF"/>
          <w:lang w:val="en-US"/>
        </w:rPr>
        <w:t xml:space="preserve"> </w:t>
      </w:r>
      <w:r w:rsidRPr="00812E8B">
        <w:rPr>
          <w:lang w:val="en-US"/>
        </w:rPr>
        <w:t>uses the net interest margin (NIM) as proxy for banks’ profitability.</w:t>
      </w:r>
      <w:r w:rsidR="005569AB" w:rsidRPr="00812E8B">
        <w:rPr>
          <w:lang w:val="en-US"/>
        </w:rPr>
        <w:t xml:space="preserve"> </w:t>
      </w:r>
      <w:r w:rsidRPr="00812E8B">
        <w:rPr>
          <w:lang w:val="en-US"/>
        </w:rPr>
        <w:t xml:space="preserve">The usage of the mentioned proxies </w:t>
      </w:r>
      <w:r w:rsidR="005569AB" w:rsidRPr="00812E8B">
        <w:rPr>
          <w:lang w:val="en-US"/>
        </w:rPr>
        <w:t>of</w:t>
      </w:r>
      <w:r w:rsidRPr="00812E8B">
        <w:rPr>
          <w:lang w:val="en-US"/>
        </w:rPr>
        <w:t xml:space="preserve"> </w:t>
      </w:r>
      <w:r w:rsidR="005569AB" w:rsidRPr="00812E8B">
        <w:rPr>
          <w:lang w:val="en-US"/>
        </w:rPr>
        <w:t xml:space="preserve">banks’ </w:t>
      </w:r>
      <w:r w:rsidRPr="00812E8B">
        <w:rPr>
          <w:lang w:val="en-US"/>
        </w:rPr>
        <w:t xml:space="preserve">profitability is to some extent </w:t>
      </w:r>
      <w:r w:rsidR="008A3D4F" w:rsidRPr="00812E8B">
        <w:rPr>
          <w:lang w:val="en-US"/>
        </w:rPr>
        <w:t xml:space="preserve">controversial because </w:t>
      </w:r>
      <w:r w:rsidR="005F538A" w:rsidRPr="00812E8B">
        <w:rPr>
          <w:lang w:val="en-US"/>
        </w:rPr>
        <w:t xml:space="preserve">the measures have </w:t>
      </w:r>
      <w:r w:rsidR="008A3D4F" w:rsidRPr="00812E8B">
        <w:rPr>
          <w:lang w:val="en-US"/>
        </w:rPr>
        <w:t>some drawbacks</w:t>
      </w:r>
      <w:r w:rsidR="001E1FA3" w:rsidRPr="00812E8B">
        <w:rPr>
          <w:lang w:val="en-US"/>
        </w:rPr>
        <w:t>, examined below.</w:t>
      </w:r>
    </w:p>
    <w:p w:rsidR="005569AB" w:rsidRPr="00812E8B" w:rsidRDefault="005569AB" w:rsidP="00CE1B03">
      <w:pPr>
        <w:pStyle w:val="NoSpacing"/>
        <w:spacing w:line="276" w:lineRule="auto"/>
        <w:jc w:val="both"/>
        <w:rPr>
          <w:lang w:val="en-US"/>
        </w:rPr>
      </w:pPr>
    </w:p>
    <w:p w:rsidR="00836159" w:rsidRPr="00812E8B" w:rsidRDefault="00294F60" w:rsidP="008B3343">
      <w:pPr>
        <w:pStyle w:val="NoSpacing"/>
        <w:spacing w:line="276" w:lineRule="auto"/>
        <w:jc w:val="both"/>
        <w:rPr>
          <w:lang w:val="en-US"/>
        </w:rPr>
      </w:pPr>
      <w:r w:rsidRPr="00812E8B">
        <w:rPr>
          <w:lang w:val="en-US"/>
        </w:rPr>
        <w:t>Following Golin’s study, as cited in</w:t>
      </w:r>
      <w:r w:rsidR="00955C7E" w:rsidRPr="00812E8B">
        <w:rPr>
          <w:color w:val="365F91" w:themeColor="accent1" w:themeShade="BF"/>
          <w:lang w:val="en-US"/>
        </w:rPr>
        <w:t xml:space="preserve"> Pasiouras and Kosmidou (2007)</w:t>
      </w:r>
      <w:r w:rsidRPr="00812E8B">
        <w:rPr>
          <w:lang w:val="en-US"/>
        </w:rPr>
        <w:t>, return on assets or return on average assets (ROAA)</w:t>
      </w:r>
      <w:r w:rsidRPr="00812E8B">
        <w:rPr>
          <w:color w:val="365F91"/>
          <w:lang w:val="en-US"/>
        </w:rPr>
        <w:t xml:space="preserve">, </w:t>
      </w:r>
      <w:r w:rsidRPr="00812E8B">
        <w:rPr>
          <w:lang w:val="en-US"/>
        </w:rPr>
        <w:t>is the key ratio</w:t>
      </w:r>
      <w:r w:rsidR="005F538A" w:rsidRPr="00812E8B">
        <w:rPr>
          <w:lang w:val="en-US"/>
        </w:rPr>
        <w:t xml:space="preserve"> and most common measure of </w:t>
      </w:r>
      <w:r w:rsidRPr="00812E8B">
        <w:rPr>
          <w:lang w:val="en-US"/>
        </w:rPr>
        <w:t xml:space="preserve">banks’ profitability in today’s banking literature. ROA is an indicator of efficiency and operational performance by presenting </w:t>
      </w:r>
      <w:r w:rsidR="008B3343" w:rsidRPr="00812E8B">
        <w:rPr>
          <w:lang w:val="en-US"/>
        </w:rPr>
        <w:t xml:space="preserve">the return on each euro </w:t>
      </w:r>
      <w:r w:rsidR="003065C7" w:rsidRPr="00812E8B">
        <w:rPr>
          <w:lang w:val="en-US"/>
        </w:rPr>
        <w:t>of invested assets</w:t>
      </w:r>
      <w:r w:rsidRPr="00812E8B">
        <w:rPr>
          <w:lang w:val="en-US"/>
        </w:rPr>
        <w:t xml:space="preserve"> </w:t>
      </w:r>
      <w:r w:rsidR="00D31A4A">
        <w:rPr>
          <w:color w:val="365F91" w:themeColor="accent1" w:themeShade="BF"/>
          <w:lang w:val="en-US"/>
        </w:rPr>
        <w:t xml:space="preserve">(Pasiouras and Kosmidou, </w:t>
      </w:r>
      <w:r w:rsidR="00955C7E" w:rsidRPr="00812E8B">
        <w:rPr>
          <w:color w:val="365F91" w:themeColor="accent1" w:themeShade="BF"/>
          <w:lang w:val="en-US"/>
        </w:rPr>
        <w:t>2007)</w:t>
      </w:r>
      <w:r w:rsidR="001E1FA3" w:rsidRPr="00812E8B">
        <w:rPr>
          <w:lang w:val="en-US"/>
        </w:rPr>
        <w:t xml:space="preserve">. </w:t>
      </w:r>
      <w:r w:rsidR="007859C0" w:rsidRPr="00812E8B">
        <w:rPr>
          <w:lang w:val="en-US"/>
        </w:rPr>
        <w:t xml:space="preserve">Nevertheless, ROA has a major drawback </w:t>
      </w:r>
      <w:r w:rsidR="00726A48" w:rsidRPr="00812E8B">
        <w:rPr>
          <w:lang w:val="en-US"/>
        </w:rPr>
        <w:t>since</w:t>
      </w:r>
      <w:r w:rsidR="007859C0" w:rsidRPr="00812E8B">
        <w:rPr>
          <w:lang w:val="en-US"/>
        </w:rPr>
        <w:t xml:space="preserve"> it </w:t>
      </w:r>
      <w:r w:rsidR="008B3343" w:rsidRPr="00812E8B">
        <w:rPr>
          <w:lang w:val="en-US"/>
        </w:rPr>
        <w:t>is distorted by</w:t>
      </w:r>
      <w:r w:rsidR="007859C0" w:rsidRPr="00812E8B">
        <w:rPr>
          <w:lang w:val="en-US"/>
        </w:rPr>
        <w:t xml:space="preserve"> </w:t>
      </w:r>
      <w:r w:rsidRPr="00812E8B">
        <w:rPr>
          <w:lang w:val="en-US"/>
        </w:rPr>
        <w:t xml:space="preserve">banks’ </w:t>
      </w:r>
      <w:r w:rsidR="007859C0" w:rsidRPr="00812E8B">
        <w:rPr>
          <w:lang w:val="en-US"/>
        </w:rPr>
        <w:t>off balance sheet</w:t>
      </w:r>
      <w:r w:rsidR="008A3D4F" w:rsidRPr="00812E8B">
        <w:rPr>
          <w:lang w:val="en-US"/>
        </w:rPr>
        <w:t xml:space="preserve"> (OBS)</w:t>
      </w:r>
      <w:r w:rsidR="007859C0" w:rsidRPr="00812E8B">
        <w:rPr>
          <w:lang w:val="en-US"/>
        </w:rPr>
        <w:t xml:space="preserve"> </w:t>
      </w:r>
      <w:r w:rsidR="00726A48" w:rsidRPr="00812E8B">
        <w:rPr>
          <w:lang w:val="en-US"/>
        </w:rPr>
        <w:t>activities</w:t>
      </w:r>
      <w:r w:rsidR="007859C0" w:rsidRPr="00812E8B">
        <w:rPr>
          <w:color w:val="365F91"/>
          <w:lang w:val="en-US"/>
        </w:rPr>
        <w:t>.</w:t>
      </w:r>
      <w:r w:rsidR="007859C0" w:rsidRPr="00812E8B">
        <w:rPr>
          <w:lang w:val="en-US"/>
        </w:rPr>
        <w:t xml:space="preserve"> Returns generated by </w:t>
      </w:r>
      <w:r w:rsidR="00726A48" w:rsidRPr="00812E8B">
        <w:rPr>
          <w:lang w:val="en-US"/>
        </w:rPr>
        <w:t>OBS</w:t>
      </w:r>
      <w:r w:rsidR="007859C0" w:rsidRPr="00812E8B">
        <w:rPr>
          <w:lang w:val="en-US"/>
        </w:rPr>
        <w:t xml:space="preserve"> </w:t>
      </w:r>
      <w:r w:rsidR="00BC0F28" w:rsidRPr="00812E8B">
        <w:rPr>
          <w:lang w:val="en-US"/>
        </w:rPr>
        <w:t>activities</w:t>
      </w:r>
      <w:r w:rsidR="007859C0" w:rsidRPr="00812E8B">
        <w:rPr>
          <w:lang w:val="en-US"/>
        </w:rPr>
        <w:t xml:space="preserve"> are</w:t>
      </w:r>
      <w:r w:rsidR="008A3D4F" w:rsidRPr="00812E8B">
        <w:rPr>
          <w:lang w:val="en-US"/>
        </w:rPr>
        <w:t xml:space="preserve"> </w:t>
      </w:r>
      <w:r w:rsidR="007859C0" w:rsidRPr="00812E8B">
        <w:rPr>
          <w:lang w:val="en-US"/>
        </w:rPr>
        <w:t xml:space="preserve">incorporated in banks’ net income </w:t>
      </w:r>
      <w:r w:rsidR="008A3D4F" w:rsidRPr="00812E8B">
        <w:rPr>
          <w:lang w:val="en-US"/>
        </w:rPr>
        <w:t>while</w:t>
      </w:r>
      <w:r w:rsidR="007859C0" w:rsidRPr="00812E8B">
        <w:rPr>
          <w:lang w:val="en-US"/>
        </w:rPr>
        <w:t xml:space="preserve"> </w:t>
      </w:r>
      <w:r w:rsidR="00BC0F28" w:rsidRPr="00812E8B">
        <w:rPr>
          <w:lang w:val="en-US"/>
        </w:rPr>
        <w:t xml:space="preserve">the </w:t>
      </w:r>
      <w:r w:rsidR="00726A48" w:rsidRPr="00812E8B">
        <w:rPr>
          <w:lang w:val="en-US"/>
        </w:rPr>
        <w:t>accompanying assets of OBS</w:t>
      </w:r>
      <w:r w:rsidR="00BC0F28" w:rsidRPr="00812E8B">
        <w:rPr>
          <w:lang w:val="en-US"/>
        </w:rPr>
        <w:t xml:space="preserve"> </w:t>
      </w:r>
      <w:r w:rsidR="001E1FA3" w:rsidRPr="00812E8B">
        <w:rPr>
          <w:lang w:val="en-US"/>
        </w:rPr>
        <w:t>are</w:t>
      </w:r>
      <w:r w:rsidR="007859C0" w:rsidRPr="00812E8B">
        <w:rPr>
          <w:lang w:val="en-US"/>
        </w:rPr>
        <w:t xml:space="preserve"> not </w:t>
      </w:r>
      <w:r w:rsidR="001E1FA3" w:rsidRPr="00812E8B">
        <w:rPr>
          <w:lang w:val="en-US"/>
        </w:rPr>
        <w:t>incorporated into</w:t>
      </w:r>
      <w:r w:rsidR="00BC0F28" w:rsidRPr="00812E8B">
        <w:rPr>
          <w:lang w:val="en-US"/>
        </w:rPr>
        <w:t xml:space="preserve"> banks’ assets</w:t>
      </w:r>
      <w:r w:rsidR="007859C0" w:rsidRPr="00812E8B">
        <w:rPr>
          <w:lang w:val="en-US"/>
        </w:rPr>
        <w:t xml:space="preserve">, reflected by the denominator of the ROA ratio. </w:t>
      </w:r>
      <w:r w:rsidR="001E1FA3" w:rsidRPr="00812E8B">
        <w:rPr>
          <w:lang w:val="en-US"/>
        </w:rPr>
        <w:t>Hence,</w:t>
      </w:r>
      <w:r w:rsidR="00BC0F28" w:rsidRPr="00812E8B">
        <w:rPr>
          <w:lang w:val="en-US"/>
        </w:rPr>
        <w:t xml:space="preserve"> the ROA ratio is biased</w:t>
      </w:r>
      <w:r w:rsidR="008A3D4F" w:rsidRPr="00812E8B">
        <w:rPr>
          <w:lang w:val="en-US"/>
        </w:rPr>
        <w:t xml:space="preserve"> upwards due to an exclusion of OBS</w:t>
      </w:r>
      <w:r w:rsidR="00726A48" w:rsidRPr="00812E8B">
        <w:rPr>
          <w:lang w:val="en-US"/>
        </w:rPr>
        <w:t xml:space="preserve"> assets</w:t>
      </w:r>
      <w:r w:rsidR="00BC0F28" w:rsidRPr="00812E8B">
        <w:rPr>
          <w:lang w:val="en-US"/>
        </w:rPr>
        <w:t>.</w:t>
      </w:r>
      <w:r w:rsidR="00836159" w:rsidRPr="00812E8B">
        <w:rPr>
          <w:lang w:val="en-US"/>
        </w:rPr>
        <w:t xml:space="preserve"> </w:t>
      </w:r>
      <w:r w:rsidR="008B3343" w:rsidRPr="00812E8B">
        <w:rPr>
          <w:lang w:val="en-US"/>
        </w:rPr>
        <w:t xml:space="preserve">Empirical </w:t>
      </w:r>
      <w:r w:rsidR="00D2091B" w:rsidRPr="00812E8B">
        <w:rPr>
          <w:lang w:val="en-US"/>
        </w:rPr>
        <w:t>research proposes</w:t>
      </w:r>
      <w:r w:rsidR="008B3343" w:rsidRPr="00812E8B">
        <w:rPr>
          <w:lang w:val="en-US"/>
        </w:rPr>
        <w:t xml:space="preserve"> to use the net interest margin</w:t>
      </w:r>
      <w:r w:rsidR="00836159" w:rsidRPr="00812E8B">
        <w:rPr>
          <w:lang w:val="en-US"/>
        </w:rPr>
        <w:t>, calculated as net interest income divided by total assets,</w:t>
      </w:r>
      <w:r w:rsidR="008B3343" w:rsidRPr="00812E8B">
        <w:rPr>
          <w:lang w:val="en-US"/>
        </w:rPr>
        <w:t xml:space="preserve"> to overcome the OBS bias. </w:t>
      </w:r>
      <w:r w:rsidR="008B3343" w:rsidRPr="00812E8B">
        <w:rPr>
          <w:lang w:val="en-US"/>
        </w:rPr>
        <w:lastRenderedPageBreak/>
        <w:t xml:space="preserve">In contrary to ROA, NIM does not include </w:t>
      </w:r>
      <w:r w:rsidR="00A2475E" w:rsidRPr="00812E8B">
        <w:rPr>
          <w:lang w:val="en-US"/>
        </w:rPr>
        <w:t xml:space="preserve">all the </w:t>
      </w:r>
      <w:r w:rsidR="00836159" w:rsidRPr="00812E8B">
        <w:rPr>
          <w:lang w:val="en-US"/>
        </w:rPr>
        <w:t>profits resulting from off balance sheet activities and other non-core banking activities in the numerator</w:t>
      </w:r>
      <w:r w:rsidR="00A2475E" w:rsidRPr="00812E8B">
        <w:rPr>
          <w:lang w:val="en-US"/>
        </w:rPr>
        <w:t xml:space="preserve"> only some interest revenues and expenses relating to OBS activities</w:t>
      </w:r>
      <w:r w:rsidR="008B3343" w:rsidRPr="00812E8B">
        <w:rPr>
          <w:lang w:val="en-US"/>
        </w:rPr>
        <w:t xml:space="preserve">. Nevertheless, </w:t>
      </w:r>
      <w:r w:rsidR="00726A48" w:rsidRPr="00812E8B">
        <w:rPr>
          <w:lang w:val="en-US"/>
        </w:rPr>
        <w:t xml:space="preserve">neglecting non-core banking returns is improper since </w:t>
      </w:r>
      <w:r w:rsidR="008B3343" w:rsidRPr="00812E8B">
        <w:rPr>
          <w:lang w:val="en-US"/>
        </w:rPr>
        <w:t xml:space="preserve">these activities have become increasingly important contributors to banks’ earnings </w:t>
      </w:r>
      <w:r w:rsidR="00A2475E" w:rsidRPr="00812E8B">
        <w:rPr>
          <w:color w:val="365F91"/>
          <w:lang w:val="en-US"/>
        </w:rPr>
        <w:t>Goddard et al. (2004)</w:t>
      </w:r>
      <w:r w:rsidR="008B3343" w:rsidRPr="00812E8B">
        <w:rPr>
          <w:lang w:val="en-US"/>
        </w:rPr>
        <w:t>.</w:t>
      </w:r>
    </w:p>
    <w:p w:rsidR="00836159" w:rsidRPr="00812E8B" w:rsidRDefault="00836159" w:rsidP="007859C0">
      <w:pPr>
        <w:pStyle w:val="NoSpacing"/>
        <w:spacing w:line="276" w:lineRule="auto"/>
        <w:jc w:val="both"/>
        <w:rPr>
          <w:lang w:val="en-US"/>
        </w:rPr>
      </w:pPr>
    </w:p>
    <w:p w:rsidR="007859C0" w:rsidRPr="00812E8B" w:rsidRDefault="00836159" w:rsidP="007859C0">
      <w:pPr>
        <w:pStyle w:val="NoSpacing"/>
        <w:spacing w:line="276" w:lineRule="auto"/>
        <w:jc w:val="both"/>
        <w:rPr>
          <w:lang w:val="en-US"/>
        </w:rPr>
      </w:pPr>
      <w:r w:rsidRPr="00812E8B">
        <w:rPr>
          <w:lang w:val="en-US"/>
        </w:rPr>
        <w:t xml:space="preserve">Furthermore, </w:t>
      </w:r>
      <w:r w:rsidR="00BC0F28" w:rsidRPr="00812E8B">
        <w:rPr>
          <w:lang w:val="en-US"/>
        </w:rPr>
        <w:t>ROE</w:t>
      </w:r>
      <w:r w:rsidR="003065C7" w:rsidRPr="00812E8B">
        <w:rPr>
          <w:lang w:val="en-US"/>
        </w:rPr>
        <w:t xml:space="preserve"> </w:t>
      </w:r>
      <w:r w:rsidRPr="00812E8B">
        <w:rPr>
          <w:lang w:val="en-US"/>
        </w:rPr>
        <w:t>i</w:t>
      </w:r>
      <w:r w:rsidR="001E1FA3" w:rsidRPr="00812E8B">
        <w:rPr>
          <w:lang w:val="en-US"/>
        </w:rPr>
        <w:t>s</w:t>
      </w:r>
      <w:r w:rsidR="001D355D" w:rsidRPr="00812E8B">
        <w:rPr>
          <w:lang w:val="en-US"/>
        </w:rPr>
        <w:t xml:space="preserve"> </w:t>
      </w:r>
      <w:r w:rsidRPr="00812E8B">
        <w:rPr>
          <w:lang w:val="en-US"/>
        </w:rPr>
        <w:t xml:space="preserve">also </w:t>
      </w:r>
      <w:r w:rsidR="001D355D" w:rsidRPr="00812E8B">
        <w:rPr>
          <w:lang w:val="en-US"/>
        </w:rPr>
        <w:t xml:space="preserve">not </w:t>
      </w:r>
      <w:r w:rsidR="001E1FA3" w:rsidRPr="00812E8B">
        <w:rPr>
          <w:lang w:val="en-US"/>
        </w:rPr>
        <w:t xml:space="preserve">affected by </w:t>
      </w:r>
      <w:r w:rsidR="008B3343" w:rsidRPr="00812E8B">
        <w:rPr>
          <w:lang w:val="en-US"/>
        </w:rPr>
        <w:t xml:space="preserve">OBS </w:t>
      </w:r>
      <w:r w:rsidR="001D355D" w:rsidRPr="00812E8B">
        <w:rPr>
          <w:lang w:val="en-US"/>
        </w:rPr>
        <w:t xml:space="preserve">activities </w:t>
      </w:r>
      <w:r w:rsidR="00D2091B" w:rsidRPr="00812E8B">
        <w:rPr>
          <w:lang w:val="en-US"/>
        </w:rPr>
        <w:t>since</w:t>
      </w:r>
      <w:r w:rsidR="001D355D" w:rsidRPr="00812E8B">
        <w:rPr>
          <w:lang w:val="en-US"/>
        </w:rPr>
        <w:t xml:space="preserve"> it </w:t>
      </w:r>
      <w:r w:rsidR="008A3D4F" w:rsidRPr="00812E8B">
        <w:rPr>
          <w:lang w:val="en-US"/>
        </w:rPr>
        <w:t xml:space="preserve">only </w:t>
      </w:r>
      <w:r w:rsidR="001D355D" w:rsidRPr="00812E8B">
        <w:rPr>
          <w:lang w:val="en-US"/>
        </w:rPr>
        <w:t>measure</w:t>
      </w:r>
      <w:r w:rsidR="003065C7" w:rsidRPr="00812E8B">
        <w:rPr>
          <w:lang w:val="en-US"/>
        </w:rPr>
        <w:t xml:space="preserve">s the return on owners’ equity. </w:t>
      </w:r>
      <w:r w:rsidR="001D355D" w:rsidRPr="00812E8B">
        <w:rPr>
          <w:lang w:val="en-US"/>
        </w:rPr>
        <w:t>Traditionally</w:t>
      </w:r>
      <w:r w:rsidR="001E1FA3" w:rsidRPr="00812E8B">
        <w:rPr>
          <w:lang w:val="en-US"/>
        </w:rPr>
        <w:t>, ROE</w:t>
      </w:r>
      <w:r w:rsidR="001D355D" w:rsidRPr="00812E8B">
        <w:rPr>
          <w:lang w:val="en-US"/>
        </w:rPr>
        <w:t xml:space="preserve"> is the most practiced measure of profitability both for the banking sector as for the non-banking sector </w:t>
      </w:r>
      <w:r w:rsidR="00881610" w:rsidRPr="00812E8B">
        <w:rPr>
          <w:color w:val="365F91"/>
          <w:lang w:val="en-US"/>
        </w:rPr>
        <w:t>(European Central Bank, 2010)</w:t>
      </w:r>
      <w:r w:rsidR="00F475FE" w:rsidRPr="00812E8B">
        <w:rPr>
          <w:lang w:val="en-US"/>
        </w:rPr>
        <w:t>. However,</w:t>
      </w:r>
      <w:r w:rsidR="001D355D" w:rsidRPr="00812E8B">
        <w:rPr>
          <w:lang w:val="en-US"/>
        </w:rPr>
        <w:t xml:space="preserve"> the ROE ratio </w:t>
      </w:r>
      <w:r w:rsidR="00F475FE" w:rsidRPr="00812E8B">
        <w:rPr>
          <w:lang w:val="en-US"/>
        </w:rPr>
        <w:t>has</w:t>
      </w:r>
      <w:r w:rsidR="001D355D" w:rsidRPr="00812E8B">
        <w:rPr>
          <w:lang w:val="en-US"/>
        </w:rPr>
        <w:t xml:space="preserve"> </w:t>
      </w:r>
      <w:r w:rsidR="003065C7" w:rsidRPr="00812E8B">
        <w:rPr>
          <w:lang w:val="en-US"/>
        </w:rPr>
        <w:t>a</w:t>
      </w:r>
      <w:r w:rsidR="00F475FE" w:rsidRPr="00812E8B">
        <w:rPr>
          <w:lang w:val="en-US"/>
        </w:rPr>
        <w:t xml:space="preserve"> major drawback</w:t>
      </w:r>
      <w:r w:rsidR="003065C7" w:rsidRPr="00812E8B">
        <w:rPr>
          <w:lang w:val="en-US"/>
        </w:rPr>
        <w:t xml:space="preserve"> </w:t>
      </w:r>
      <w:r w:rsidR="00A2475E" w:rsidRPr="00812E8B">
        <w:rPr>
          <w:lang w:val="en-US"/>
        </w:rPr>
        <w:t>because</w:t>
      </w:r>
      <w:r w:rsidR="00F475FE" w:rsidRPr="00812E8B">
        <w:rPr>
          <w:lang w:val="en-US"/>
        </w:rPr>
        <w:t xml:space="preserve"> </w:t>
      </w:r>
      <w:r w:rsidR="003065C7" w:rsidRPr="00812E8B">
        <w:rPr>
          <w:lang w:val="en-US"/>
        </w:rPr>
        <w:t xml:space="preserve">it </w:t>
      </w:r>
      <w:r w:rsidR="008A3D4F" w:rsidRPr="00812E8B">
        <w:rPr>
          <w:lang w:val="en-US"/>
        </w:rPr>
        <w:t xml:space="preserve">disregards </w:t>
      </w:r>
      <w:r w:rsidR="00F475FE" w:rsidRPr="00812E8B">
        <w:rPr>
          <w:lang w:val="en-US"/>
        </w:rPr>
        <w:t>financial leverage and</w:t>
      </w:r>
      <w:r w:rsidR="00340844" w:rsidRPr="00812E8B">
        <w:rPr>
          <w:lang w:val="en-US"/>
        </w:rPr>
        <w:t xml:space="preserve"> </w:t>
      </w:r>
      <w:r w:rsidR="008A3D4F" w:rsidRPr="00812E8B">
        <w:rPr>
          <w:lang w:val="en-US"/>
        </w:rPr>
        <w:t xml:space="preserve">the impact of regulation on financial leverage </w:t>
      </w:r>
      <w:r w:rsidR="00D31A4A" w:rsidRPr="00E67C72">
        <w:rPr>
          <w:color w:val="365F91" w:themeColor="accent1" w:themeShade="BF"/>
          <w:lang w:val="en-US"/>
        </w:rPr>
        <w:t>(A</w:t>
      </w:r>
      <w:r w:rsidR="00D31A4A">
        <w:rPr>
          <w:color w:val="365F91" w:themeColor="accent1" w:themeShade="BF"/>
          <w:lang w:val="en-US"/>
        </w:rPr>
        <w:t xml:space="preserve">thanasoglou et al., </w:t>
      </w:r>
      <w:r w:rsidR="00E34060" w:rsidRPr="00812E8B">
        <w:rPr>
          <w:color w:val="365F91" w:themeColor="accent1" w:themeShade="BF"/>
          <w:lang w:val="en-US"/>
        </w:rPr>
        <w:t xml:space="preserve">2008) </w:t>
      </w:r>
      <w:r w:rsidR="00F475FE" w:rsidRPr="00812E8B">
        <w:rPr>
          <w:lang w:val="en-US"/>
        </w:rPr>
        <w:t>and</w:t>
      </w:r>
      <w:r w:rsidR="00F475FE" w:rsidRPr="00812E8B">
        <w:rPr>
          <w:color w:val="365F91"/>
          <w:lang w:val="en-US"/>
        </w:rPr>
        <w:t xml:space="preserve"> </w:t>
      </w:r>
      <w:r w:rsidR="001B30EB" w:rsidRPr="00812E8B">
        <w:rPr>
          <w:color w:val="365F91" w:themeColor="accent1" w:themeShade="BF"/>
          <w:lang w:val="en-US"/>
        </w:rPr>
        <w:t>Dietrich and Wanzenried, 2011</w:t>
      </w:r>
      <w:r w:rsidR="001B30EB" w:rsidRPr="00E67C72">
        <w:rPr>
          <w:color w:val="365F91" w:themeColor="accent1" w:themeShade="BF"/>
          <w:lang w:val="en-US"/>
        </w:rPr>
        <w:t>)</w:t>
      </w:r>
      <w:r w:rsidR="00F475FE" w:rsidRPr="00812E8B">
        <w:rPr>
          <w:lang w:val="en-US"/>
        </w:rPr>
        <w:t xml:space="preserve">. </w:t>
      </w:r>
      <w:r w:rsidR="008A3D4F" w:rsidRPr="00812E8B">
        <w:rPr>
          <w:lang w:val="en-US"/>
        </w:rPr>
        <w:t xml:space="preserve">Profits generated with debt financing distort the ROE measure </w:t>
      </w:r>
      <w:r w:rsidR="00726A48" w:rsidRPr="00812E8B">
        <w:rPr>
          <w:lang w:val="en-US"/>
        </w:rPr>
        <w:t>since</w:t>
      </w:r>
      <w:r w:rsidR="008A3D4F" w:rsidRPr="00812E8B">
        <w:rPr>
          <w:lang w:val="en-US"/>
        </w:rPr>
        <w:t xml:space="preserve"> these returns are incorporated in the numerator while the sources of funding are not incorporated in the denominator</w:t>
      </w:r>
      <w:r w:rsidR="00C6021A" w:rsidRPr="00812E8B">
        <w:rPr>
          <w:lang w:val="en-US"/>
        </w:rPr>
        <w:t xml:space="preserve"> of the ratio</w:t>
      </w:r>
      <w:r w:rsidR="008A3D4F" w:rsidRPr="00812E8B">
        <w:rPr>
          <w:lang w:val="en-US"/>
        </w:rPr>
        <w:t>. Banks that rely</w:t>
      </w:r>
      <w:r w:rsidR="003065C7" w:rsidRPr="00812E8B">
        <w:rPr>
          <w:lang w:val="en-US"/>
        </w:rPr>
        <w:t xml:space="preserve"> more</w:t>
      </w:r>
      <w:r w:rsidR="008A3D4F" w:rsidRPr="00812E8B">
        <w:rPr>
          <w:lang w:val="en-US"/>
        </w:rPr>
        <w:t xml:space="preserve"> </w:t>
      </w:r>
      <w:r w:rsidR="00A1583F" w:rsidRPr="00812E8B">
        <w:rPr>
          <w:lang w:val="en-US"/>
        </w:rPr>
        <w:t xml:space="preserve">on </w:t>
      </w:r>
      <w:r w:rsidR="008A3D4F" w:rsidRPr="00812E8B">
        <w:rPr>
          <w:lang w:val="en-US"/>
        </w:rPr>
        <w:t>debt finan</w:t>
      </w:r>
      <w:r w:rsidR="002F3F31" w:rsidRPr="00812E8B">
        <w:rPr>
          <w:lang w:val="en-US"/>
        </w:rPr>
        <w:t>cing perform better than banks with a more equity orientated capital structure</w:t>
      </w:r>
      <w:r w:rsidR="00C6021A" w:rsidRPr="00812E8B">
        <w:rPr>
          <w:lang w:val="en-US"/>
        </w:rPr>
        <w:t>, ceteris paribus</w:t>
      </w:r>
      <w:r w:rsidR="002F3F31" w:rsidRPr="00812E8B">
        <w:rPr>
          <w:rStyle w:val="EndnoteReference"/>
          <w:lang w:val="en-US"/>
        </w:rPr>
        <w:endnoteReference w:id="4"/>
      </w:r>
      <w:r w:rsidR="00AB632E" w:rsidRPr="00812E8B">
        <w:rPr>
          <w:lang w:val="en-US"/>
        </w:rPr>
        <w:t xml:space="preserve">. </w:t>
      </w:r>
      <w:r w:rsidR="00C6021A" w:rsidRPr="00812E8B">
        <w:rPr>
          <w:lang w:val="en-US"/>
        </w:rPr>
        <w:t>Hence, a</w:t>
      </w:r>
      <w:r w:rsidR="007859C0" w:rsidRPr="00812E8B">
        <w:rPr>
          <w:lang w:val="en-US"/>
        </w:rPr>
        <w:t xml:space="preserve">ccording to the </w:t>
      </w:r>
      <w:r w:rsidR="00881610" w:rsidRPr="00812E8B">
        <w:rPr>
          <w:color w:val="365F91"/>
          <w:lang w:val="en-US"/>
        </w:rPr>
        <w:t>European Central Bank (2010)</w:t>
      </w:r>
      <w:r w:rsidR="00294F60" w:rsidRPr="00812E8B">
        <w:rPr>
          <w:lang w:val="en-US"/>
        </w:rPr>
        <w:t xml:space="preserve"> </w:t>
      </w:r>
      <w:r w:rsidR="007859C0" w:rsidRPr="00812E8B">
        <w:rPr>
          <w:lang w:val="en-US"/>
        </w:rPr>
        <w:t>a high ROE</w:t>
      </w:r>
      <w:r w:rsidR="003065C7" w:rsidRPr="00812E8B">
        <w:rPr>
          <w:lang w:val="en-US"/>
        </w:rPr>
        <w:t xml:space="preserve"> may</w:t>
      </w:r>
      <w:r w:rsidR="007859C0" w:rsidRPr="00812E8B">
        <w:rPr>
          <w:lang w:val="en-US"/>
        </w:rPr>
        <w:t xml:space="preserve"> </w:t>
      </w:r>
      <w:r w:rsidR="001D355D" w:rsidRPr="00812E8B">
        <w:rPr>
          <w:lang w:val="en-US"/>
        </w:rPr>
        <w:t>either</w:t>
      </w:r>
      <w:r w:rsidR="007859C0" w:rsidRPr="00812E8B">
        <w:rPr>
          <w:lang w:val="en-US"/>
        </w:rPr>
        <w:t xml:space="preserve"> reflect healthy profitability </w:t>
      </w:r>
      <w:r w:rsidR="001D355D" w:rsidRPr="00812E8B">
        <w:rPr>
          <w:lang w:val="en-US"/>
        </w:rPr>
        <w:t>or</w:t>
      </w:r>
      <w:r w:rsidR="00C6021A" w:rsidRPr="00812E8B">
        <w:rPr>
          <w:lang w:val="en-US"/>
        </w:rPr>
        <w:t xml:space="preserve"> </w:t>
      </w:r>
      <w:r w:rsidR="007859C0" w:rsidRPr="00812E8B">
        <w:rPr>
          <w:lang w:val="en-US"/>
        </w:rPr>
        <w:t xml:space="preserve">reflect </w:t>
      </w:r>
      <w:r w:rsidR="008B3343" w:rsidRPr="00812E8B">
        <w:rPr>
          <w:lang w:val="en-US"/>
        </w:rPr>
        <w:t>low capital adequacy</w:t>
      </w:r>
      <w:r w:rsidR="007859C0" w:rsidRPr="00812E8B">
        <w:rPr>
          <w:lang w:val="en-US"/>
        </w:rPr>
        <w:t xml:space="preserve">. </w:t>
      </w:r>
      <w:r w:rsidR="00621B2E" w:rsidRPr="00812E8B">
        <w:rPr>
          <w:lang w:val="en-US"/>
        </w:rPr>
        <w:t>In this context, the</w:t>
      </w:r>
      <w:r w:rsidR="007859C0" w:rsidRPr="00812E8B">
        <w:rPr>
          <w:lang w:val="en-US"/>
        </w:rPr>
        <w:t xml:space="preserve"> </w:t>
      </w:r>
      <w:r w:rsidR="00881610" w:rsidRPr="00812E8B">
        <w:rPr>
          <w:color w:val="365F91"/>
          <w:lang w:val="en-US"/>
        </w:rPr>
        <w:t>European Central Bank (2010)</w:t>
      </w:r>
      <w:r w:rsidR="007859C0" w:rsidRPr="00812E8B">
        <w:rPr>
          <w:lang w:val="en-US"/>
        </w:rPr>
        <w:t xml:space="preserve"> state that ROE is a useful measure of banks’ profitability during prosperity but appears to be a weak measure of profitability in an environment with substantial higher volatility</w:t>
      </w:r>
      <w:r w:rsidR="007859C0" w:rsidRPr="00812E8B">
        <w:rPr>
          <w:rStyle w:val="EndnoteReference"/>
          <w:lang w:val="en-US"/>
        </w:rPr>
        <w:endnoteReference w:id="5"/>
      </w:r>
      <w:r w:rsidR="007859C0" w:rsidRPr="00812E8B">
        <w:rPr>
          <w:lang w:val="en-US"/>
        </w:rPr>
        <w:t xml:space="preserve">. </w:t>
      </w:r>
    </w:p>
    <w:p w:rsidR="007859C0" w:rsidRPr="00812E8B" w:rsidRDefault="007859C0" w:rsidP="00A2475E">
      <w:pPr>
        <w:pStyle w:val="NoSpacing"/>
        <w:rPr>
          <w:lang w:val="en-US"/>
        </w:rPr>
      </w:pPr>
    </w:p>
    <w:p w:rsidR="00F475FE" w:rsidRPr="00812E8B" w:rsidRDefault="00F475FE" w:rsidP="00F475FE">
      <w:pPr>
        <w:pStyle w:val="Heading3"/>
        <w:rPr>
          <w:color w:val="auto"/>
          <w:lang w:val="en-US"/>
        </w:rPr>
      </w:pPr>
      <w:r w:rsidRPr="00812E8B">
        <w:rPr>
          <w:color w:val="auto"/>
          <w:lang w:val="en-US"/>
        </w:rPr>
        <w:t>4.1.2 E</w:t>
      </w:r>
      <w:r w:rsidR="00937B13" w:rsidRPr="00812E8B">
        <w:rPr>
          <w:color w:val="auto"/>
          <w:sz w:val="19"/>
          <w:szCs w:val="19"/>
          <w:lang w:val="en-US"/>
        </w:rPr>
        <w:t>CONOMIC MEASURES OF PROFITABILITY</w:t>
      </w:r>
    </w:p>
    <w:p w:rsidR="00F475FE" w:rsidRPr="00812E8B" w:rsidRDefault="00A16FF5" w:rsidP="00A005DC">
      <w:pPr>
        <w:pStyle w:val="NoSpacing"/>
        <w:spacing w:line="276" w:lineRule="auto"/>
        <w:jc w:val="both"/>
        <w:rPr>
          <w:lang w:val="en-US"/>
        </w:rPr>
      </w:pPr>
      <w:r w:rsidRPr="00812E8B">
        <w:rPr>
          <w:lang w:val="en-US"/>
        </w:rPr>
        <w:t>Unlike</w:t>
      </w:r>
      <w:r w:rsidR="00BC0F28" w:rsidRPr="00812E8B">
        <w:rPr>
          <w:lang w:val="en-US"/>
        </w:rPr>
        <w:t xml:space="preserve"> the traditional accounting based measures, the</w:t>
      </w:r>
      <w:r w:rsidR="00F475FE" w:rsidRPr="00812E8B">
        <w:rPr>
          <w:lang w:val="en-US"/>
        </w:rPr>
        <w:t xml:space="preserve"> economic based metrics</w:t>
      </w:r>
      <w:r w:rsidRPr="00812E8B">
        <w:rPr>
          <w:lang w:val="en-US"/>
        </w:rPr>
        <w:t xml:space="preserve"> are </w:t>
      </w:r>
      <w:r w:rsidR="00726A48" w:rsidRPr="00812E8B">
        <w:rPr>
          <w:lang w:val="en-US"/>
        </w:rPr>
        <w:t>based on economic profit</w:t>
      </w:r>
      <w:r w:rsidRPr="00812E8B">
        <w:rPr>
          <w:lang w:val="en-US"/>
        </w:rPr>
        <w:t>. These metrics</w:t>
      </w:r>
      <w:r w:rsidR="00A320A5" w:rsidRPr="00812E8B">
        <w:rPr>
          <w:lang w:val="en-US"/>
        </w:rPr>
        <w:t xml:space="preserve">, e.g. </w:t>
      </w:r>
      <w:r w:rsidR="00F475FE" w:rsidRPr="00812E8B">
        <w:rPr>
          <w:lang w:val="en-US"/>
        </w:rPr>
        <w:t>risk-adjusted return on capital (RAROC) and economic value added (EVA)</w:t>
      </w:r>
      <w:r w:rsidR="00F475FE" w:rsidRPr="00812E8B">
        <w:rPr>
          <w:rStyle w:val="EndnoteReference"/>
          <w:lang w:val="en-US"/>
        </w:rPr>
        <w:endnoteReference w:id="6"/>
      </w:r>
      <w:r w:rsidR="00A320A5" w:rsidRPr="00812E8B">
        <w:rPr>
          <w:lang w:val="en-US"/>
        </w:rPr>
        <w:t>,</w:t>
      </w:r>
      <w:r w:rsidR="00F475FE" w:rsidRPr="00812E8B">
        <w:rPr>
          <w:lang w:val="en-US"/>
        </w:rPr>
        <w:t xml:space="preserve"> </w:t>
      </w:r>
      <w:r w:rsidR="00A320A5" w:rsidRPr="00812E8B">
        <w:rPr>
          <w:lang w:val="en-US"/>
        </w:rPr>
        <w:t xml:space="preserve">take </w:t>
      </w:r>
      <w:r w:rsidR="00A2475E" w:rsidRPr="00812E8B">
        <w:rPr>
          <w:lang w:val="en-US"/>
        </w:rPr>
        <w:t xml:space="preserve">into </w:t>
      </w:r>
      <w:r w:rsidR="00A320A5" w:rsidRPr="00812E8B">
        <w:rPr>
          <w:lang w:val="en-US"/>
        </w:rPr>
        <w:t xml:space="preserve">account </w:t>
      </w:r>
      <w:r w:rsidR="00F475FE" w:rsidRPr="00812E8B">
        <w:rPr>
          <w:lang w:val="en-US"/>
        </w:rPr>
        <w:t xml:space="preserve">risks and opportunity costs of equity </w:t>
      </w:r>
      <w:r w:rsidR="00A320A5" w:rsidRPr="00812E8B">
        <w:rPr>
          <w:lang w:val="en-US"/>
        </w:rPr>
        <w:t>when measuring the profitability</w:t>
      </w:r>
      <w:r w:rsidR="00A320A5" w:rsidRPr="00812E8B">
        <w:rPr>
          <w:color w:val="365F91" w:themeColor="accent1" w:themeShade="BF"/>
          <w:lang w:val="en-US"/>
        </w:rPr>
        <w:t xml:space="preserve"> </w:t>
      </w:r>
      <w:r w:rsidR="000F17F0" w:rsidRPr="00812E8B">
        <w:rPr>
          <w:color w:val="365F91" w:themeColor="accent1" w:themeShade="BF"/>
          <w:lang w:val="en-US"/>
        </w:rPr>
        <w:t>(Kimball, 1998)</w:t>
      </w:r>
      <w:r w:rsidR="00A320A5" w:rsidRPr="00812E8B">
        <w:rPr>
          <w:lang w:val="en-US"/>
        </w:rPr>
        <w:t>. Hence, the</w:t>
      </w:r>
      <w:r w:rsidR="00726A48" w:rsidRPr="00812E8B">
        <w:rPr>
          <w:lang w:val="en-US"/>
        </w:rPr>
        <w:t xml:space="preserve">se profitability measures </w:t>
      </w:r>
      <w:r w:rsidR="00A320A5" w:rsidRPr="00812E8B">
        <w:rPr>
          <w:lang w:val="en-US"/>
        </w:rPr>
        <w:t xml:space="preserve">focus on the </w:t>
      </w:r>
      <w:r w:rsidR="00F475FE" w:rsidRPr="00812E8B">
        <w:rPr>
          <w:lang w:val="en-US"/>
        </w:rPr>
        <w:t>creation of shareholder value</w:t>
      </w:r>
      <w:r w:rsidR="00A320A5" w:rsidRPr="00812E8B">
        <w:rPr>
          <w:lang w:val="en-US"/>
        </w:rPr>
        <w:t>.</w:t>
      </w:r>
      <w:r w:rsidR="00F475FE" w:rsidRPr="00812E8B">
        <w:rPr>
          <w:lang w:val="en-US"/>
        </w:rPr>
        <w:t xml:space="preserve"> </w:t>
      </w:r>
      <w:r w:rsidR="00031BD2" w:rsidRPr="00812E8B">
        <w:rPr>
          <w:lang w:val="en-US"/>
        </w:rPr>
        <w:t>Following economic based measures</w:t>
      </w:r>
      <w:r w:rsidR="00A320A5" w:rsidRPr="00812E8B">
        <w:rPr>
          <w:lang w:val="en-US"/>
        </w:rPr>
        <w:t xml:space="preserve"> of profitability</w:t>
      </w:r>
      <w:r w:rsidR="00031BD2" w:rsidRPr="00812E8B">
        <w:rPr>
          <w:lang w:val="en-US"/>
        </w:rPr>
        <w:t xml:space="preserve">, managers should use equity </w:t>
      </w:r>
      <w:r w:rsidR="00A2475E" w:rsidRPr="00812E8B">
        <w:rPr>
          <w:lang w:val="en-US"/>
        </w:rPr>
        <w:t>financing</w:t>
      </w:r>
      <w:r w:rsidR="00031BD2" w:rsidRPr="00812E8B">
        <w:rPr>
          <w:lang w:val="en-US"/>
        </w:rPr>
        <w:t xml:space="preserve"> to invest in assets as long as the marginal contribution </w:t>
      </w:r>
      <w:r w:rsidR="00A320A5" w:rsidRPr="00812E8B">
        <w:rPr>
          <w:lang w:val="en-US"/>
        </w:rPr>
        <w:t>to</w:t>
      </w:r>
      <w:r w:rsidR="00031BD2" w:rsidRPr="00812E8B">
        <w:rPr>
          <w:lang w:val="en-US"/>
        </w:rPr>
        <w:t xml:space="preserve"> profit is larger than t</w:t>
      </w:r>
      <w:r w:rsidR="00726A48" w:rsidRPr="00812E8B">
        <w:rPr>
          <w:lang w:val="en-US"/>
        </w:rPr>
        <w:t>he opportunity costs of equity. I</w:t>
      </w:r>
      <w:r w:rsidR="00031BD2" w:rsidRPr="00812E8B">
        <w:rPr>
          <w:lang w:val="en-US"/>
        </w:rPr>
        <w:t xml:space="preserve">n other </w:t>
      </w:r>
      <w:r w:rsidR="00CA2752" w:rsidRPr="00812E8B">
        <w:rPr>
          <w:lang w:val="en-US"/>
        </w:rPr>
        <w:t>words,</w:t>
      </w:r>
      <w:r w:rsidR="00031BD2" w:rsidRPr="00812E8B">
        <w:rPr>
          <w:lang w:val="en-US"/>
        </w:rPr>
        <w:t xml:space="preserve"> managers should only invest if the marginal rate of return on equity is larger than the required rate of return on equity (cost of equity). Opposed to </w:t>
      </w:r>
      <w:r w:rsidR="00A320A5" w:rsidRPr="00812E8B">
        <w:rPr>
          <w:lang w:val="en-US"/>
        </w:rPr>
        <w:t xml:space="preserve">the economic based measures, </w:t>
      </w:r>
      <w:r w:rsidR="00031BD2" w:rsidRPr="00812E8B">
        <w:rPr>
          <w:lang w:val="en-US"/>
        </w:rPr>
        <w:t>the a</w:t>
      </w:r>
      <w:r w:rsidR="00A320A5" w:rsidRPr="00812E8B">
        <w:rPr>
          <w:lang w:val="en-US"/>
        </w:rPr>
        <w:t xml:space="preserve">ccounting based profit measures </w:t>
      </w:r>
      <w:r w:rsidR="00726A48" w:rsidRPr="00812E8B">
        <w:rPr>
          <w:lang w:val="en-US"/>
        </w:rPr>
        <w:t>employ</w:t>
      </w:r>
      <w:r w:rsidR="00A320A5" w:rsidRPr="00812E8B">
        <w:rPr>
          <w:lang w:val="en-US"/>
        </w:rPr>
        <w:t xml:space="preserve"> equity </w:t>
      </w:r>
      <w:r w:rsidR="00726A48" w:rsidRPr="00812E8B">
        <w:rPr>
          <w:lang w:val="en-US"/>
        </w:rPr>
        <w:t>as long as</w:t>
      </w:r>
      <w:r w:rsidR="00F475FE" w:rsidRPr="00812E8B">
        <w:rPr>
          <w:lang w:val="en-US"/>
        </w:rPr>
        <w:t xml:space="preserve"> the marginal contribution to profits is positive</w:t>
      </w:r>
      <w:r w:rsidR="00F475FE" w:rsidRPr="00812E8B">
        <w:rPr>
          <w:color w:val="365F91"/>
          <w:lang w:val="en-US"/>
        </w:rPr>
        <w:t xml:space="preserve"> </w:t>
      </w:r>
      <w:r w:rsidR="000F17F0" w:rsidRPr="00812E8B">
        <w:rPr>
          <w:color w:val="365F91" w:themeColor="accent1" w:themeShade="BF"/>
          <w:lang w:val="en-US"/>
        </w:rPr>
        <w:t>(Kimball, 1998)</w:t>
      </w:r>
      <w:r w:rsidR="00A971A0" w:rsidRPr="00812E8B">
        <w:rPr>
          <w:color w:val="365F91" w:themeColor="accent1" w:themeShade="BF"/>
          <w:lang w:val="en-US"/>
        </w:rPr>
        <w:t>.</w:t>
      </w:r>
      <w:r w:rsidR="00A971A0" w:rsidRPr="00812E8B">
        <w:rPr>
          <w:color w:val="FF0000"/>
          <w:lang w:val="en-US"/>
        </w:rPr>
        <w:t xml:space="preserve"> </w:t>
      </w:r>
      <w:r w:rsidR="00726A48" w:rsidRPr="00812E8B">
        <w:rPr>
          <w:lang w:val="en-US"/>
        </w:rPr>
        <w:t>Thus</w:t>
      </w:r>
      <w:r w:rsidR="00F475FE" w:rsidRPr="00812E8B">
        <w:rPr>
          <w:lang w:val="en-US"/>
        </w:rPr>
        <w:t xml:space="preserve">, </w:t>
      </w:r>
      <w:r w:rsidRPr="00812E8B">
        <w:rPr>
          <w:lang w:val="en-US"/>
        </w:rPr>
        <w:t xml:space="preserve">accounting </w:t>
      </w:r>
      <w:r w:rsidR="00A320A5" w:rsidRPr="00812E8B">
        <w:rPr>
          <w:lang w:val="en-US"/>
        </w:rPr>
        <w:t xml:space="preserve">profitability </w:t>
      </w:r>
      <w:r w:rsidR="00A005DC" w:rsidRPr="00812E8B">
        <w:rPr>
          <w:lang w:val="en-US"/>
        </w:rPr>
        <w:t>neglects the</w:t>
      </w:r>
      <w:r w:rsidR="00F475FE" w:rsidRPr="00812E8B">
        <w:rPr>
          <w:lang w:val="en-US"/>
        </w:rPr>
        <w:t xml:space="preserve"> opportunity costs of equity (</w:t>
      </w:r>
      <w:r w:rsidR="00AB632E" w:rsidRPr="00812E8B">
        <w:rPr>
          <w:lang w:val="en-US"/>
        </w:rPr>
        <w:t>investors’</w:t>
      </w:r>
      <w:r w:rsidRPr="00812E8B">
        <w:rPr>
          <w:lang w:val="en-US"/>
        </w:rPr>
        <w:t xml:space="preserve"> </w:t>
      </w:r>
      <w:r w:rsidR="00A005DC" w:rsidRPr="00812E8B">
        <w:rPr>
          <w:lang w:val="en-US"/>
        </w:rPr>
        <w:t xml:space="preserve">opportunity to generate higher returns). </w:t>
      </w:r>
      <w:r w:rsidR="00F475FE" w:rsidRPr="00812E8B">
        <w:rPr>
          <w:lang w:val="en-US"/>
        </w:rPr>
        <w:t xml:space="preserve">Although, numerous banks disclose RAROC and other economic profit metrics, academic literature does not use these measures to analyze banks’ profitability. </w:t>
      </w:r>
      <w:r w:rsidRPr="00812E8B">
        <w:rPr>
          <w:lang w:val="en-US"/>
        </w:rPr>
        <w:t xml:space="preserve">The </w:t>
      </w:r>
      <w:r w:rsidR="00A005DC" w:rsidRPr="00812E8B">
        <w:rPr>
          <w:lang w:val="en-US"/>
        </w:rPr>
        <w:t>disclosed parameters are</w:t>
      </w:r>
      <w:r w:rsidRPr="00812E8B">
        <w:rPr>
          <w:lang w:val="en-US"/>
        </w:rPr>
        <w:t xml:space="preserve">, namely, </w:t>
      </w:r>
      <w:r w:rsidR="00A005DC" w:rsidRPr="00812E8B">
        <w:rPr>
          <w:lang w:val="en-US"/>
        </w:rPr>
        <w:t>subject to internal policies</w:t>
      </w:r>
      <w:r w:rsidR="00726A48" w:rsidRPr="00812E8B">
        <w:rPr>
          <w:lang w:val="en-US"/>
        </w:rPr>
        <w:t xml:space="preserve"> that</w:t>
      </w:r>
      <w:r w:rsidR="00A005DC" w:rsidRPr="00812E8B">
        <w:rPr>
          <w:lang w:val="en-US"/>
        </w:rPr>
        <w:t xml:space="preserve"> differ between </w:t>
      </w:r>
      <w:r w:rsidRPr="00812E8B">
        <w:rPr>
          <w:lang w:val="en-US"/>
        </w:rPr>
        <w:t>bank</w:t>
      </w:r>
      <w:r w:rsidR="00A005DC" w:rsidRPr="00812E8B">
        <w:rPr>
          <w:lang w:val="en-US"/>
        </w:rPr>
        <w:t xml:space="preserve">s </w:t>
      </w:r>
      <w:r w:rsidR="00881610" w:rsidRPr="00812E8B">
        <w:rPr>
          <w:color w:val="365F91"/>
          <w:lang w:val="en-US"/>
        </w:rPr>
        <w:t>(European Central Bank, 2010)</w:t>
      </w:r>
      <w:r w:rsidR="00A005DC" w:rsidRPr="00812E8B">
        <w:rPr>
          <w:lang w:val="en-US"/>
        </w:rPr>
        <w:t>. Moreover, it is difficult for academics to calculate RAROC and EVA on behalf of accounting data, without having internal data available.</w:t>
      </w:r>
      <w:r w:rsidR="00F475FE" w:rsidRPr="00812E8B">
        <w:rPr>
          <w:lang w:val="en-US"/>
        </w:rPr>
        <w:t xml:space="preserve"> </w:t>
      </w:r>
    </w:p>
    <w:p w:rsidR="00F475FE" w:rsidRPr="00812E8B" w:rsidRDefault="00F475FE" w:rsidP="00F475FE">
      <w:pPr>
        <w:pStyle w:val="NoSpacing"/>
        <w:jc w:val="both"/>
        <w:rPr>
          <w:lang w:val="en-US"/>
        </w:rPr>
      </w:pPr>
    </w:p>
    <w:p w:rsidR="00A005DC" w:rsidRPr="00812E8B" w:rsidRDefault="00A005DC" w:rsidP="00A005DC">
      <w:pPr>
        <w:pStyle w:val="NoSpacing"/>
        <w:spacing w:line="276" w:lineRule="auto"/>
        <w:jc w:val="both"/>
        <w:rPr>
          <w:lang w:val="en-US"/>
        </w:rPr>
      </w:pPr>
      <w:r w:rsidRPr="00812E8B">
        <w:rPr>
          <w:lang w:val="en-US"/>
        </w:rPr>
        <w:t xml:space="preserve">The price-earnings ratio (earnings per share to market price of share) and market to book ratio (market value of equity divided by book value of equity) are other examples of economic based measures of profitability. These market performance indicators are </w:t>
      </w:r>
      <w:r w:rsidR="00427BEE" w:rsidRPr="00812E8B">
        <w:rPr>
          <w:lang w:val="en-US"/>
        </w:rPr>
        <w:t xml:space="preserve">also </w:t>
      </w:r>
      <w:r w:rsidRPr="00812E8B">
        <w:rPr>
          <w:lang w:val="en-US"/>
        </w:rPr>
        <w:t>not commonly used in academic literature on banks’ profitability</w:t>
      </w:r>
      <w:r w:rsidR="00427BEE" w:rsidRPr="00812E8B">
        <w:rPr>
          <w:lang w:val="en-US"/>
        </w:rPr>
        <w:t>. M</w:t>
      </w:r>
      <w:r w:rsidR="00031BD2" w:rsidRPr="00812E8B">
        <w:rPr>
          <w:lang w:val="en-US"/>
        </w:rPr>
        <w:t xml:space="preserve">arket values of equity are often unavailable for banks due to the relative large share of </w:t>
      </w:r>
      <w:r w:rsidR="00A2475E" w:rsidRPr="00812E8B">
        <w:rPr>
          <w:lang w:val="en-US"/>
        </w:rPr>
        <w:t xml:space="preserve">mutual-, </w:t>
      </w:r>
      <w:r w:rsidR="00031BD2" w:rsidRPr="00812E8B">
        <w:rPr>
          <w:lang w:val="en-US"/>
        </w:rPr>
        <w:t>co-operative</w:t>
      </w:r>
      <w:r w:rsidR="00A2475E" w:rsidRPr="00812E8B">
        <w:rPr>
          <w:lang w:val="en-US"/>
        </w:rPr>
        <w:t>-</w:t>
      </w:r>
      <w:r w:rsidR="00031BD2" w:rsidRPr="00812E8B">
        <w:rPr>
          <w:lang w:val="en-US"/>
        </w:rPr>
        <w:t xml:space="preserve"> and government-owned </w:t>
      </w:r>
      <w:r w:rsidR="00427BEE" w:rsidRPr="00812E8B">
        <w:rPr>
          <w:lang w:val="en-US"/>
        </w:rPr>
        <w:t>banks. M</w:t>
      </w:r>
      <w:r w:rsidR="00031BD2" w:rsidRPr="00812E8B">
        <w:rPr>
          <w:lang w:val="en-US"/>
        </w:rPr>
        <w:t xml:space="preserve">oreover, </w:t>
      </w:r>
      <w:r w:rsidRPr="00812E8B">
        <w:rPr>
          <w:lang w:val="en-US"/>
        </w:rPr>
        <w:t xml:space="preserve">regulators impose constraints on profit distributions and </w:t>
      </w:r>
      <w:r w:rsidR="00031BD2" w:rsidRPr="00812E8B">
        <w:rPr>
          <w:lang w:val="en-US"/>
        </w:rPr>
        <w:t>on c</w:t>
      </w:r>
      <w:r w:rsidRPr="00812E8B">
        <w:rPr>
          <w:lang w:val="en-US"/>
        </w:rPr>
        <w:t>apital</w:t>
      </w:r>
      <w:r w:rsidR="00031BD2" w:rsidRPr="00812E8B">
        <w:rPr>
          <w:lang w:val="en-US"/>
        </w:rPr>
        <w:t xml:space="preserve"> structures such that market values are often </w:t>
      </w:r>
      <w:r w:rsidR="00726A48" w:rsidRPr="00812E8B">
        <w:rPr>
          <w:lang w:val="en-US"/>
        </w:rPr>
        <w:t>affected</w:t>
      </w:r>
      <w:r w:rsidR="00031BD2" w:rsidRPr="00812E8B">
        <w:rPr>
          <w:lang w:val="en-US"/>
        </w:rPr>
        <w:t xml:space="preserve"> by regulation</w:t>
      </w:r>
      <w:r w:rsidRPr="00812E8B">
        <w:rPr>
          <w:lang w:val="en-US"/>
        </w:rPr>
        <w:t xml:space="preserve">. </w:t>
      </w:r>
    </w:p>
    <w:p w:rsidR="00F475FE" w:rsidRPr="00812E8B" w:rsidRDefault="00F475FE" w:rsidP="00F475FE">
      <w:pPr>
        <w:pStyle w:val="Heading3"/>
        <w:rPr>
          <w:color w:val="auto"/>
          <w:lang w:val="en-US"/>
        </w:rPr>
      </w:pPr>
      <w:r w:rsidRPr="00812E8B">
        <w:rPr>
          <w:color w:val="auto"/>
          <w:lang w:val="en-US"/>
        </w:rPr>
        <w:lastRenderedPageBreak/>
        <w:t>4.1.3 S</w:t>
      </w:r>
      <w:r w:rsidR="00937B13" w:rsidRPr="00812E8B">
        <w:rPr>
          <w:color w:val="auto"/>
          <w:sz w:val="19"/>
          <w:szCs w:val="19"/>
          <w:lang w:val="en-US"/>
        </w:rPr>
        <w:t>ELECTION OF THE DEPENDENT VARIABLE</w:t>
      </w:r>
    </w:p>
    <w:p w:rsidR="00A005DC" w:rsidRPr="00812E8B" w:rsidRDefault="00F475FE" w:rsidP="00DD3173">
      <w:pPr>
        <w:pStyle w:val="NoSpacing"/>
        <w:spacing w:line="276" w:lineRule="auto"/>
        <w:jc w:val="both"/>
        <w:rPr>
          <w:lang w:val="en-US"/>
        </w:rPr>
      </w:pPr>
      <w:r w:rsidRPr="00812E8B">
        <w:rPr>
          <w:lang w:val="en-US"/>
        </w:rPr>
        <w:t xml:space="preserve">This thesis attempts to measure profitability by using </w:t>
      </w:r>
      <w:r w:rsidR="005C1F64" w:rsidRPr="00812E8B">
        <w:rPr>
          <w:lang w:val="en-US"/>
        </w:rPr>
        <w:t xml:space="preserve">the </w:t>
      </w:r>
      <w:r w:rsidRPr="00812E8B">
        <w:rPr>
          <w:lang w:val="en-US"/>
        </w:rPr>
        <w:t>traditional accounting measure return on average</w:t>
      </w:r>
      <w:r w:rsidR="00B917BC" w:rsidRPr="00812E8B">
        <w:rPr>
          <w:lang w:val="en-US"/>
        </w:rPr>
        <w:t xml:space="preserve"> assets (ROAA) </w:t>
      </w:r>
      <w:r w:rsidR="005C1F64" w:rsidRPr="00812E8B">
        <w:rPr>
          <w:lang w:val="en-US"/>
        </w:rPr>
        <w:t>similar</w:t>
      </w:r>
      <w:r w:rsidR="005C1F64" w:rsidRPr="00812E8B">
        <w:rPr>
          <w:color w:val="FF0000"/>
          <w:lang w:val="en-US"/>
        </w:rPr>
        <w:t xml:space="preserve"> </w:t>
      </w:r>
      <w:r w:rsidR="00AF7061" w:rsidRPr="00812E8B">
        <w:rPr>
          <w:lang w:val="en-US"/>
        </w:rPr>
        <w:t xml:space="preserve">to </w:t>
      </w:r>
      <w:r w:rsidR="001B30EB" w:rsidRPr="00812E8B">
        <w:rPr>
          <w:color w:val="365F91" w:themeColor="accent1" w:themeShade="BF"/>
          <w:lang w:val="en-US"/>
        </w:rPr>
        <w:t>Dietrich and Wanzenried (2011)</w:t>
      </w:r>
      <w:r w:rsidR="005C1F64" w:rsidRPr="00812E8B">
        <w:rPr>
          <w:color w:val="365F91" w:themeColor="accent1" w:themeShade="BF"/>
          <w:lang w:val="en-US"/>
        </w:rPr>
        <w:t xml:space="preserve"> </w:t>
      </w:r>
      <w:r w:rsidR="005C1F64" w:rsidRPr="00812E8B">
        <w:rPr>
          <w:lang w:val="en-US"/>
        </w:rPr>
        <w:t>and others</w:t>
      </w:r>
      <w:r w:rsidR="00B917BC" w:rsidRPr="00812E8B">
        <w:rPr>
          <w:color w:val="365F91" w:themeColor="accent1" w:themeShade="BF"/>
          <w:lang w:val="en-US"/>
        </w:rPr>
        <w:t>.</w:t>
      </w:r>
      <w:r w:rsidR="00B917BC" w:rsidRPr="00812E8B">
        <w:rPr>
          <w:lang w:val="en-US"/>
        </w:rPr>
        <w:t xml:space="preserve"> ROAA is measured as </w:t>
      </w:r>
      <w:r w:rsidR="00031BD2" w:rsidRPr="00812E8B">
        <w:rPr>
          <w:lang w:val="en-US"/>
        </w:rPr>
        <w:t>net profit divided by total average assets</w:t>
      </w:r>
      <w:r w:rsidR="005C1F64" w:rsidRPr="00812E8B">
        <w:rPr>
          <w:lang w:val="en-US"/>
        </w:rPr>
        <w:t xml:space="preserve">. </w:t>
      </w:r>
      <w:r w:rsidR="00AF7061" w:rsidRPr="00812E8B">
        <w:rPr>
          <w:lang w:val="en-US"/>
        </w:rPr>
        <w:t xml:space="preserve">The analysis towards determinants of banks’ profitability use </w:t>
      </w:r>
      <w:r w:rsidR="005C1F64" w:rsidRPr="00812E8B">
        <w:rPr>
          <w:lang w:val="en-US"/>
        </w:rPr>
        <w:t>only</w:t>
      </w:r>
      <w:r w:rsidR="00AF7061" w:rsidRPr="00812E8B">
        <w:rPr>
          <w:lang w:val="en-US"/>
        </w:rPr>
        <w:t xml:space="preserve"> ROAA and</w:t>
      </w:r>
      <w:r w:rsidR="005C1F64" w:rsidRPr="00812E8B">
        <w:rPr>
          <w:lang w:val="en-US"/>
        </w:rPr>
        <w:t xml:space="preserve"> not</w:t>
      </w:r>
      <w:r w:rsidR="00AF7061" w:rsidRPr="00812E8B">
        <w:rPr>
          <w:lang w:val="en-US"/>
        </w:rPr>
        <w:t xml:space="preserve"> ROAE </w:t>
      </w:r>
      <w:r w:rsidR="005C1F64" w:rsidRPr="00812E8B">
        <w:rPr>
          <w:lang w:val="en-US"/>
        </w:rPr>
        <w:t xml:space="preserve">since </w:t>
      </w:r>
      <w:r w:rsidR="00AE700C" w:rsidRPr="00812E8B">
        <w:rPr>
          <w:color w:val="365F91" w:themeColor="accent1" w:themeShade="BF"/>
          <w:lang w:val="en-US"/>
        </w:rPr>
        <w:t xml:space="preserve">Goddard et al. (2004) </w:t>
      </w:r>
      <w:r w:rsidR="005C1F64" w:rsidRPr="00812E8B">
        <w:rPr>
          <w:lang w:val="en-US"/>
        </w:rPr>
        <w:t>suggest that the results by using either ROE or ROA are comparable because the yearly variation in the numerator (net income) is greater than the yearly variation in the denominator (assets or equity).</w:t>
      </w:r>
      <w:r w:rsidR="00B917BC" w:rsidRPr="00812E8B">
        <w:rPr>
          <w:lang w:val="en-US"/>
        </w:rPr>
        <w:t xml:space="preserve"> </w:t>
      </w:r>
      <w:r w:rsidRPr="00812E8B">
        <w:rPr>
          <w:lang w:val="en-US"/>
        </w:rPr>
        <w:t xml:space="preserve">Economic measures of profitability are not used due to the lack of data and because the disclosed parameters are subject to internal policies and assessments which cannot be </w:t>
      </w:r>
      <w:r w:rsidR="00D2091B" w:rsidRPr="00812E8B">
        <w:rPr>
          <w:lang w:val="en-US"/>
        </w:rPr>
        <w:t xml:space="preserve">generalized or </w:t>
      </w:r>
      <w:r w:rsidRPr="00812E8B">
        <w:rPr>
          <w:lang w:val="en-US"/>
        </w:rPr>
        <w:t>validated.</w:t>
      </w:r>
    </w:p>
    <w:p w:rsidR="00F475FE" w:rsidRPr="00812E8B" w:rsidRDefault="00F475FE" w:rsidP="00194246">
      <w:pPr>
        <w:pStyle w:val="NoSpacing"/>
        <w:rPr>
          <w:lang w:val="en-US"/>
        </w:rPr>
      </w:pPr>
    </w:p>
    <w:p w:rsidR="00F475FE" w:rsidRPr="00812E8B" w:rsidRDefault="00F475FE" w:rsidP="00F475FE">
      <w:pPr>
        <w:pStyle w:val="Heading2"/>
        <w:rPr>
          <w:color w:val="auto"/>
          <w:lang w:val="en-US"/>
        </w:rPr>
      </w:pPr>
      <w:bookmarkStart w:id="26" w:name="_Toc306359646"/>
      <w:r w:rsidRPr="00812E8B">
        <w:rPr>
          <w:color w:val="auto"/>
          <w:lang w:val="en-US"/>
        </w:rPr>
        <w:t xml:space="preserve">4.2 </w:t>
      </w:r>
      <w:r w:rsidR="001E6354" w:rsidRPr="00812E8B">
        <w:rPr>
          <w:color w:val="auto"/>
          <w:lang w:val="en-US"/>
        </w:rPr>
        <w:t>I</w:t>
      </w:r>
      <w:r w:rsidR="00937B13" w:rsidRPr="00812E8B">
        <w:rPr>
          <w:color w:val="auto"/>
          <w:sz w:val="20"/>
          <w:szCs w:val="20"/>
          <w:lang w:val="en-US"/>
        </w:rPr>
        <w:t>NDEPENDENT VARIABLES</w:t>
      </w:r>
      <w:bookmarkEnd w:id="26"/>
    </w:p>
    <w:p w:rsidR="0007696C" w:rsidRPr="00812E8B" w:rsidRDefault="00F475FE" w:rsidP="00DD3173">
      <w:pPr>
        <w:pStyle w:val="NoSpacing"/>
        <w:spacing w:line="276" w:lineRule="auto"/>
        <w:jc w:val="both"/>
        <w:rPr>
          <w:lang w:val="en-US"/>
        </w:rPr>
      </w:pPr>
      <w:r w:rsidRPr="00812E8B">
        <w:rPr>
          <w:lang w:val="en-US"/>
        </w:rPr>
        <w:t>This paragraph describes the independent variables</w:t>
      </w:r>
      <w:r w:rsidR="0047456F" w:rsidRPr="00812E8B">
        <w:rPr>
          <w:lang w:val="en-US"/>
        </w:rPr>
        <w:t xml:space="preserve"> that</w:t>
      </w:r>
      <w:r w:rsidRPr="00812E8B">
        <w:rPr>
          <w:lang w:val="en-US"/>
        </w:rPr>
        <w:t xml:space="preserve"> are used in the </w:t>
      </w:r>
      <w:r w:rsidR="00AF7061" w:rsidRPr="00812E8B">
        <w:rPr>
          <w:lang w:val="en-US"/>
        </w:rPr>
        <w:t>econometric</w:t>
      </w:r>
      <w:r w:rsidRPr="00812E8B">
        <w:rPr>
          <w:lang w:val="en-US"/>
        </w:rPr>
        <w:t xml:space="preserve"> model to estimate the dependent variable. Following prior research towards the determinants of banks’ profitability, the independent variables are classified into bank-specific, industry-specific and macroeconomic variables </w:t>
      </w:r>
      <w:r w:rsidR="00881610" w:rsidRPr="00812E8B">
        <w:rPr>
          <w:color w:val="365F91" w:themeColor="accent1" w:themeShade="BF"/>
          <w:lang w:val="en-US"/>
        </w:rPr>
        <w:t>(Molyneux and Thornton, 1992;</w:t>
      </w:r>
      <w:r w:rsidR="00A971A0" w:rsidRPr="00812E8B">
        <w:rPr>
          <w:color w:val="365F91" w:themeColor="accent1" w:themeShade="BF"/>
          <w:lang w:val="en-US"/>
        </w:rPr>
        <w:t xml:space="preserve"> </w:t>
      </w:r>
      <w:r w:rsidR="00881610" w:rsidRPr="00812E8B">
        <w:rPr>
          <w:color w:val="365F91" w:themeColor="accent1" w:themeShade="BF"/>
          <w:lang w:val="en-US"/>
        </w:rPr>
        <w:t>Barth et al, 1997</w:t>
      </w:r>
      <w:r w:rsidR="007D7CD9" w:rsidRPr="00812E8B">
        <w:rPr>
          <w:color w:val="365F91" w:themeColor="accent1" w:themeShade="BF"/>
          <w:lang w:val="en-US"/>
        </w:rPr>
        <w:t>; Pasiouras and Kosmidou, 2007;</w:t>
      </w:r>
      <w:r w:rsidR="007D7CD9" w:rsidRPr="00812E8B">
        <w:rPr>
          <w:lang w:val="en-US"/>
        </w:rPr>
        <w:t xml:space="preserve"> </w:t>
      </w:r>
      <w:r w:rsidR="00E34060" w:rsidRPr="00812E8B">
        <w:rPr>
          <w:color w:val="365F91" w:themeColor="accent1" w:themeShade="BF"/>
          <w:lang w:val="en-US"/>
        </w:rPr>
        <w:t>Athanasoglou et al., 2008</w:t>
      </w:r>
      <w:r w:rsidR="00A971A0" w:rsidRPr="00812E8B">
        <w:rPr>
          <w:color w:val="365F91" w:themeColor="accent1" w:themeShade="BF"/>
          <w:lang w:val="en-US"/>
        </w:rPr>
        <w:t xml:space="preserve"> </w:t>
      </w:r>
      <w:r w:rsidR="00A971A0" w:rsidRPr="00812E8B">
        <w:rPr>
          <w:lang w:val="en-US"/>
        </w:rPr>
        <w:t>and</w:t>
      </w:r>
      <w:r w:rsidR="00A971A0" w:rsidRPr="00812E8B">
        <w:rPr>
          <w:color w:val="365F91" w:themeColor="accent1" w:themeShade="BF"/>
          <w:lang w:val="en-US"/>
        </w:rPr>
        <w:t xml:space="preserve"> </w:t>
      </w:r>
      <w:r w:rsidR="001B30EB" w:rsidRPr="00812E8B">
        <w:rPr>
          <w:color w:val="365F91" w:themeColor="accent1" w:themeShade="BF"/>
          <w:lang w:val="en-US"/>
        </w:rPr>
        <w:t>Dietrich and Wanzenried, 2011)</w:t>
      </w:r>
      <w:r w:rsidRPr="00812E8B">
        <w:rPr>
          <w:color w:val="365F91"/>
          <w:lang w:val="en-US"/>
        </w:rPr>
        <w:t xml:space="preserve">. </w:t>
      </w:r>
      <w:r w:rsidRPr="00812E8B">
        <w:rPr>
          <w:lang w:val="en-US"/>
        </w:rPr>
        <w:t xml:space="preserve">The bank-specific variables are internal </w:t>
      </w:r>
      <w:r w:rsidR="00A16FF5" w:rsidRPr="00812E8B">
        <w:rPr>
          <w:lang w:val="en-US"/>
        </w:rPr>
        <w:t xml:space="preserve">factors </w:t>
      </w:r>
      <w:r w:rsidR="0007696C" w:rsidRPr="00812E8B">
        <w:rPr>
          <w:lang w:val="en-US"/>
        </w:rPr>
        <w:t>and controllable for</w:t>
      </w:r>
      <w:r w:rsidRPr="00812E8B">
        <w:rPr>
          <w:lang w:val="en-US"/>
        </w:rPr>
        <w:t xml:space="preserve"> banks’ managers</w:t>
      </w:r>
      <w:r w:rsidR="0007696C" w:rsidRPr="00812E8B">
        <w:rPr>
          <w:lang w:val="en-US"/>
        </w:rPr>
        <w:t xml:space="preserve"> while t</w:t>
      </w:r>
      <w:r w:rsidRPr="00812E8B">
        <w:rPr>
          <w:lang w:val="en-US"/>
        </w:rPr>
        <w:t>he industry-specific and macroeconomi</w:t>
      </w:r>
      <w:r w:rsidR="0007696C" w:rsidRPr="00812E8B">
        <w:rPr>
          <w:lang w:val="en-US"/>
        </w:rPr>
        <w:t>c variables are uncontrollable</w:t>
      </w:r>
      <w:r w:rsidRPr="00812E8B">
        <w:rPr>
          <w:lang w:val="en-US"/>
        </w:rPr>
        <w:t xml:space="preserve"> </w:t>
      </w:r>
      <w:r w:rsidR="0007696C" w:rsidRPr="00812E8B">
        <w:rPr>
          <w:lang w:val="en-US"/>
        </w:rPr>
        <w:t>and hence</w:t>
      </w:r>
      <w:r w:rsidRPr="00812E8B">
        <w:rPr>
          <w:lang w:val="en-US"/>
        </w:rPr>
        <w:t xml:space="preserve"> external.</w:t>
      </w:r>
      <w:r w:rsidR="0007696C" w:rsidRPr="00812E8B">
        <w:rPr>
          <w:lang w:val="en-US"/>
        </w:rPr>
        <w:t xml:space="preserve"> </w:t>
      </w:r>
      <w:r w:rsidR="00750769" w:rsidRPr="00812E8B">
        <w:rPr>
          <w:lang w:val="en-US"/>
        </w:rPr>
        <w:t xml:space="preserve">Moreover, </w:t>
      </w:r>
      <w:r w:rsidR="00427BEE" w:rsidRPr="00812E8B">
        <w:rPr>
          <w:lang w:val="en-US"/>
        </w:rPr>
        <w:t>these paragraph present hypotheses</w:t>
      </w:r>
      <w:r w:rsidR="00750769" w:rsidRPr="00812E8B">
        <w:rPr>
          <w:lang w:val="en-US"/>
        </w:rPr>
        <w:t>, by proposing the expected sign of the coefficients, based on academic literature. Note that s</w:t>
      </w:r>
      <w:r w:rsidR="0007696C" w:rsidRPr="00812E8B">
        <w:rPr>
          <w:lang w:val="en-US"/>
        </w:rPr>
        <w:t>ome relationships between selected independent vari</w:t>
      </w:r>
      <w:r w:rsidR="00AB632E" w:rsidRPr="00812E8B">
        <w:rPr>
          <w:lang w:val="en-US"/>
        </w:rPr>
        <w:t>ables and profitability are rather straightforward</w:t>
      </w:r>
      <w:r w:rsidR="00750769" w:rsidRPr="00812E8B">
        <w:rPr>
          <w:lang w:val="en-US"/>
        </w:rPr>
        <w:t xml:space="preserve">. Nevertheless, the inclusion of irrelevant variables does not lead to biased coefficients or standard deviations while the omission of relevant variables does. Hence, some variables that look rather predictable </w:t>
      </w:r>
      <w:r w:rsidR="00CA2752" w:rsidRPr="00812E8B">
        <w:rPr>
          <w:lang w:val="en-US"/>
        </w:rPr>
        <w:t>at</w:t>
      </w:r>
      <w:r w:rsidR="00750769" w:rsidRPr="00812E8B">
        <w:rPr>
          <w:lang w:val="en-US"/>
        </w:rPr>
        <w:t xml:space="preserve"> first sight are included to prevent biased results</w:t>
      </w:r>
      <w:r w:rsidR="00FD0E28" w:rsidRPr="00812E8B">
        <w:rPr>
          <w:lang w:val="en-US"/>
        </w:rPr>
        <w:t>.</w:t>
      </w:r>
    </w:p>
    <w:p w:rsidR="00EA71F4" w:rsidRPr="00812E8B" w:rsidRDefault="00EA71F4" w:rsidP="00F475FE">
      <w:pPr>
        <w:pStyle w:val="NoSpacing"/>
        <w:spacing w:line="276" w:lineRule="auto"/>
        <w:jc w:val="both"/>
        <w:rPr>
          <w:lang w:val="en-US"/>
        </w:rPr>
      </w:pPr>
    </w:p>
    <w:p w:rsidR="00F475FE" w:rsidRPr="00812E8B" w:rsidRDefault="00F475FE" w:rsidP="00F475FE">
      <w:pPr>
        <w:pStyle w:val="Heading3"/>
        <w:rPr>
          <w:rStyle w:val="NoSpacingChar"/>
          <w:color w:val="auto"/>
          <w:lang w:val="en-US" w:eastAsia="en-US"/>
        </w:rPr>
      </w:pPr>
      <w:r w:rsidRPr="00812E8B">
        <w:rPr>
          <w:color w:val="auto"/>
          <w:lang w:val="en-US"/>
        </w:rPr>
        <w:t>4.2.1 B</w:t>
      </w:r>
      <w:r w:rsidR="00937B13" w:rsidRPr="00812E8B">
        <w:rPr>
          <w:color w:val="auto"/>
          <w:sz w:val="19"/>
          <w:szCs w:val="19"/>
          <w:lang w:val="en-US"/>
        </w:rPr>
        <w:t xml:space="preserve">ANK SPECIFIC VARIABLES </w:t>
      </w:r>
    </w:p>
    <w:p w:rsidR="00F475FE" w:rsidRPr="00812E8B" w:rsidRDefault="00F475FE" w:rsidP="00F475FE">
      <w:pPr>
        <w:pStyle w:val="NoSpacing"/>
        <w:spacing w:line="276" w:lineRule="auto"/>
        <w:jc w:val="both"/>
        <w:rPr>
          <w:lang w:val="en-US"/>
        </w:rPr>
      </w:pPr>
      <w:r w:rsidRPr="00812E8B">
        <w:rPr>
          <w:lang w:val="en-US"/>
        </w:rPr>
        <w:t>The bank-specific variables are selected by using some key drivers of profitability</w:t>
      </w:r>
      <w:r w:rsidR="006F455D" w:rsidRPr="00812E8B">
        <w:rPr>
          <w:lang w:val="en-US"/>
        </w:rPr>
        <w:t>, following</w:t>
      </w:r>
      <w:r w:rsidRPr="00812E8B">
        <w:rPr>
          <w:lang w:val="en-US"/>
        </w:rPr>
        <w:t xml:space="preserve"> the </w:t>
      </w:r>
      <w:r w:rsidR="00881610" w:rsidRPr="00812E8B">
        <w:rPr>
          <w:color w:val="365F91" w:themeColor="accent1" w:themeShade="BF"/>
          <w:lang w:val="en-US"/>
        </w:rPr>
        <w:t>European Central Bank (2010)</w:t>
      </w:r>
      <w:r w:rsidR="00A971A0" w:rsidRPr="00812E8B">
        <w:rPr>
          <w:lang w:val="en-US"/>
        </w:rPr>
        <w:t xml:space="preserve"> </w:t>
      </w:r>
      <w:r w:rsidRPr="00812E8B">
        <w:rPr>
          <w:lang w:val="en-US"/>
        </w:rPr>
        <w:t xml:space="preserve">these drivers are; earnings, efficiency, risk taking and leverage. Profitability is </w:t>
      </w:r>
      <w:r w:rsidR="006F455D" w:rsidRPr="00812E8B">
        <w:rPr>
          <w:lang w:val="en-US"/>
        </w:rPr>
        <w:t xml:space="preserve">driven by the ability of a bank in generating </w:t>
      </w:r>
      <w:r w:rsidRPr="00812E8B">
        <w:rPr>
          <w:lang w:val="en-US"/>
        </w:rPr>
        <w:t xml:space="preserve">sufficient earnings or </w:t>
      </w:r>
      <w:r w:rsidR="006F455D" w:rsidRPr="00812E8B">
        <w:rPr>
          <w:lang w:val="en-US"/>
        </w:rPr>
        <w:t>in lowering operational cost, implying being more</w:t>
      </w:r>
      <w:r w:rsidRPr="00812E8B">
        <w:rPr>
          <w:lang w:val="en-US"/>
        </w:rPr>
        <w:t xml:space="preserve"> efficient. </w:t>
      </w:r>
      <w:r w:rsidR="0078081A" w:rsidRPr="00812E8B">
        <w:rPr>
          <w:lang w:val="en-US"/>
        </w:rPr>
        <w:t>Furthermore,</w:t>
      </w:r>
      <w:r w:rsidRPr="00812E8B">
        <w:rPr>
          <w:lang w:val="en-US"/>
        </w:rPr>
        <w:t xml:space="preserve"> due to the special nature of banks, risk taking and leverage are also very important </w:t>
      </w:r>
      <w:r w:rsidR="006F455D" w:rsidRPr="00812E8B">
        <w:rPr>
          <w:lang w:val="en-US"/>
        </w:rPr>
        <w:t>drivers for</w:t>
      </w:r>
      <w:r w:rsidRPr="00812E8B">
        <w:rPr>
          <w:lang w:val="en-US"/>
        </w:rPr>
        <w:t xml:space="preserve"> profitability. Theoretical academic literature suggests that there is a risk-return tradeoff, higher risks is associated with higher profits. Risk taking could relate to the quality of assets, liquidity of assets and to the </w:t>
      </w:r>
      <w:r w:rsidR="00FA1C4D" w:rsidRPr="00812E8B">
        <w:rPr>
          <w:lang w:val="en-US"/>
        </w:rPr>
        <w:t>capital structure of a bank.</w:t>
      </w:r>
      <w:r w:rsidRPr="00812E8B">
        <w:rPr>
          <w:lang w:val="en-US"/>
        </w:rPr>
        <w:t xml:space="preserve"> Moreover, leverage will likely increase profitability in prosperity but conversely, decrease profitability in times of depression relatively to less leveraged banks </w:t>
      </w:r>
      <w:r w:rsidR="00881610" w:rsidRPr="00812E8B">
        <w:rPr>
          <w:color w:val="365F91" w:themeColor="accent1" w:themeShade="BF"/>
          <w:lang w:val="en-US"/>
        </w:rPr>
        <w:t>(European Central Bank, 2010)</w:t>
      </w:r>
      <w:r w:rsidRPr="00812E8B">
        <w:rPr>
          <w:lang w:val="en-US"/>
        </w:rPr>
        <w:t>.</w:t>
      </w:r>
      <w:r w:rsidRPr="00812E8B">
        <w:rPr>
          <w:rFonts w:eastAsia="Calibri"/>
          <w:lang w:val="en-US" w:eastAsia="en-US"/>
        </w:rPr>
        <w:t xml:space="preserve"> </w:t>
      </w:r>
      <w:r w:rsidRPr="00812E8B">
        <w:rPr>
          <w:lang w:val="en-US"/>
        </w:rPr>
        <w:t xml:space="preserve">Proxies for the leverage effect are </w:t>
      </w:r>
      <w:r w:rsidR="00532751" w:rsidRPr="00812E8B">
        <w:rPr>
          <w:lang w:val="en-US"/>
        </w:rPr>
        <w:t>mainly</w:t>
      </w:r>
      <w:r w:rsidRPr="00812E8B">
        <w:rPr>
          <w:lang w:val="en-US"/>
        </w:rPr>
        <w:t xml:space="preserve"> related to the </w:t>
      </w:r>
      <w:r w:rsidR="00532751" w:rsidRPr="00812E8B">
        <w:rPr>
          <w:lang w:val="en-US"/>
        </w:rPr>
        <w:t>overall capital structure</w:t>
      </w:r>
      <w:r w:rsidRPr="00812E8B">
        <w:rPr>
          <w:lang w:val="en-US"/>
        </w:rPr>
        <w:t xml:space="preserve"> but also relates to </w:t>
      </w:r>
      <w:r w:rsidR="00532751" w:rsidRPr="00812E8B">
        <w:rPr>
          <w:lang w:val="en-US"/>
        </w:rPr>
        <w:t xml:space="preserve">differences in </w:t>
      </w:r>
      <w:r w:rsidRPr="00812E8B">
        <w:rPr>
          <w:lang w:val="en-US"/>
        </w:rPr>
        <w:t>debt structure</w:t>
      </w:r>
      <w:r w:rsidR="00532751" w:rsidRPr="00812E8B">
        <w:rPr>
          <w:lang w:val="en-US"/>
        </w:rPr>
        <w:t>s</w:t>
      </w:r>
      <w:r w:rsidR="007E413E" w:rsidRPr="00812E8B">
        <w:rPr>
          <w:lang w:val="en-US"/>
        </w:rPr>
        <w:t>.</w:t>
      </w:r>
    </w:p>
    <w:p w:rsidR="00F475FE" w:rsidRPr="00812E8B" w:rsidRDefault="00F475FE" w:rsidP="00F475FE">
      <w:pPr>
        <w:pStyle w:val="NoSpacing"/>
        <w:spacing w:line="276" w:lineRule="auto"/>
        <w:jc w:val="both"/>
        <w:rPr>
          <w:lang w:val="en-US"/>
        </w:rPr>
      </w:pPr>
    </w:p>
    <w:p w:rsidR="00F475FE" w:rsidRPr="00812E8B" w:rsidRDefault="00FD0E28" w:rsidP="00F475FE">
      <w:pPr>
        <w:pStyle w:val="NoSpacing"/>
        <w:spacing w:line="276" w:lineRule="auto"/>
        <w:jc w:val="both"/>
        <w:rPr>
          <w:lang w:val="en-US"/>
        </w:rPr>
      </w:pPr>
      <w:r w:rsidRPr="00812E8B">
        <w:rPr>
          <w:i/>
          <w:u w:val="single"/>
          <w:lang w:val="en-US"/>
        </w:rPr>
        <w:t>Capital</w:t>
      </w:r>
      <w:r w:rsidR="00F475FE" w:rsidRPr="00812E8B">
        <w:rPr>
          <w:i/>
          <w:u w:val="single"/>
          <w:lang w:val="en-US"/>
        </w:rPr>
        <w:t xml:space="preserve"> structure:</w:t>
      </w:r>
      <w:r w:rsidR="00F475FE" w:rsidRPr="00812E8B">
        <w:rPr>
          <w:i/>
          <w:lang w:val="en-US"/>
        </w:rPr>
        <w:t xml:space="preserve"> </w:t>
      </w:r>
      <w:r w:rsidR="003D1E99" w:rsidRPr="00812E8B">
        <w:rPr>
          <w:lang w:val="en-US"/>
        </w:rPr>
        <w:t xml:space="preserve">This analysis firstly examines the </w:t>
      </w:r>
      <w:r w:rsidRPr="00812E8B">
        <w:rPr>
          <w:lang w:val="en-US"/>
        </w:rPr>
        <w:t>leverage</w:t>
      </w:r>
      <w:r w:rsidR="003D1E99" w:rsidRPr="00812E8B">
        <w:rPr>
          <w:lang w:val="en-US"/>
        </w:rPr>
        <w:t xml:space="preserve"> structure of a bank by using the equity-to-total asset ratio</w:t>
      </w:r>
      <w:r w:rsidR="0085153A" w:rsidRPr="00812E8B">
        <w:rPr>
          <w:lang w:val="en-US"/>
        </w:rPr>
        <w:t xml:space="preserve"> (the inverse of the leverage ratio)</w:t>
      </w:r>
      <w:r w:rsidR="003D1E99" w:rsidRPr="00812E8B">
        <w:rPr>
          <w:lang w:val="en-US"/>
        </w:rPr>
        <w:t xml:space="preserve">. The equity-to-asset ratio measures how much of bank’s assets </w:t>
      </w:r>
      <w:r w:rsidR="00FA1C4D" w:rsidRPr="00812E8B">
        <w:rPr>
          <w:lang w:val="en-US"/>
        </w:rPr>
        <w:t>are</w:t>
      </w:r>
      <w:r w:rsidR="003D1E99" w:rsidRPr="00812E8B">
        <w:rPr>
          <w:lang w:val="en-US"/>
        </w:rPr>
        <w:t xml:space="preserve"> funded with owner’s </w:t>
      </w:r>
      <w:r w:rsidR="007E413E" w:rsidRPr="00812E8B">
        <w:rPr>
          <w:lang w:val="en-US"/>
        </w:rPr>
        <w:t>funds</w:t>
      </w:r>
      <w:r w:rsidR="003D1E99" w:rsidRPr="00812E8B">
        <w:rPr>
          <w:lang w:val="en-US"/>
        </w:rPr>
        <w:t xml:space="preserve"> and </w:t>
      </w:r>
      <w:r w:rsidR="0047456F" w:rsidRPr="00812E8B">
        <w:rPr>
          <w:lang w:val="en-US"/>
        </w:rPr>
        <w:t xml:space="preserve">is </w:t>
      </w:r>
      <w:r w:rsidR="00FA1C4D" w:rsidRPr="00812E8B">
        <w:rPr>
          <w:lang w:val="en-US"/>
        </w:rPr>
        <w:t>a</w:t>
      </w:r>
      <w:r w:rsidR="0047456F" w:rsidRPr="00812E8B">
        <w:rPr>
          <w:lang w:val="en-US"/>
        </w:rPr>
        <w:t xml:space="preserve"> proxy for</w:t>
      </w:r>
      <w:r w:rsidR="007E413E" w:rsidRPr="00812E8B">
        <w:rPr>
          <w:lang w:val="en-US"/>
        </w:rPr>
        <w:t xml:space="preserve"> the</w:t>
      </w:r>
      <w:r w:rsidR="0047456F" w:rsidRPr="00812E8B">
        <w:rPr>
          <w:lang w:val="en-US"/>
        </w:rPr>
        <w:t xml:space="preserve"> capital adequacy</w:t>
      </w:r>
      <w:r w:rsidR="007E413E" w:rsidRPr="00812E8B">
        <w:rPr>
          <w:lang w:val="en-US"/>
        </w:rPr>
        <w:t xml:space="preserve"> of a bank</w:t>
      </w:r>
      <w:r w:rsidR="0047456F" w:rsidRPr="00812E8B">
        <w:rPr>
          <w:lang w:val="en-US"/>
        </w:rPr>
        <w:t xml:space="preserve"> by estimating the ability to absorb</w:t>
      </w:r>
      <w:r w:rsidR="003D1E99" w:rsidRPr="00812E8B">
        <w:rPr>
          <w:lang w:val="en-US"/>
        </w:rPr>
        <w:t xml:space="preserve"> losses</w:t>
      </w:r>
      <w:r w:rsidRPr="00812E8B">
        <w:rPr>
          <w:rStyle w:val="EndnoteReference"/>
          <w:lang w:val="en-US"/>
        </w:rPr>
        <w:endnoteReference w:id="7"/>
      </w:r>
      <w:r w:rsidR="003D1E99" w:rsidRPr="00812E8B">
        <w:rPr>
          <w:lang w:val="en-US"/>
        </w:rPr>
        <w:t>.</w:t>
      </w:r>
      <w:r w:rsidRPr="00812E8B">
        <w:rPr>
          <w:lang w:val="en-US"/>
        </w:rPr>
        <w:t xml:space="preserve"> A</w:t>
      </w:r>
      <w:r w:rsidR="003D1E99" w:rsidRPr="00812E8B">
        <w:rPr>
          <w:lang w:val="en-US"/>
        </w:rPr>
        <w:t xml:space="preserve">s the literature review pointed out, academic </w:t>
      </w:r>
      <w:r w:rsidR="00976B11" w:rsidRPr="00812E8B">
        <w:rPr>
          <w:lang w:val="en-US"/>
        </w:rPr>
        <w:t xml:space="preserve">research </w:t>
      </w:r>
      <w:r w:rsidR="003D1E99" w:rsidRPr="00812E8B">
        <w:rPr>
          <w:lang w:val="en-US"/>
        </w:rPr>
        <w:t xml:space="preserve">is mixed regarding the relationship between the </w:t>
      </w:r>
      <w:r w:rsidRPr="00812E8B">
        <w:rPr>
          <w:lang w:val="en-US"/>
        </w:rPr>
        <w:t>equity-to-asset</w:t>
      </w:r>
      <w:r w:rsidR="003D1E99" w:rsidRPr="00812E8B">
        <w:rPr>
          <w:lang w:val="en-US"/>
        </w:rPr>
        <w:t xml:space="preserve"> ratio and banks’ profitability. Following the risk-return </w:t>
      </w:r>
      <w:r w:rsidR="007E413E" w:rsidRPr="00812E8B">
        <w:rPr>
          <w:lang w:val="en-US"/>
        </w:rPr>
        <w:t>tradeoff,</w:t>
      </w:r>
      <w:r w:rsidR="00967847" w:rsidRPr="00812E8B">
        <w:rPr>
          <w:lang w:val="en-US"/>
        </w:rPr>
        <w:t xml:space="preserve"> </w:t>
      </w:r>
      <w:r w:rsidR="0047456F" w:rsidRPr="00812E8B">
        <w:rPr>
          <w:lang w:val="en-US"/>
        </w:rPr>
        <w:t xml:space="preserve">a </w:t>
      </w:r>
      <w:r w:rsidR="00967847" w:rsidRPr="00812E8B">
        <w:rPr>
          <w:lang w:val="en-US"/>
        </w:rPr>
        <w:t xml:space="preserve">higher </w:t>
      </w:r>
      <w:r w:rsidR="0085153A" w:rsidRPr="00812E8B">
        <w:rPr>
          <w:lang w:val="en-US"/>
        </w:rPr>
        <w:t>equity-to-asset</w:t>
      </w:r>
      <w:r w:rsidR="00967847" w:rsidRPr="00812E8B">
        <w:rPr>
          <w:lang w:val="en-US"/>
        </w:rPr>
        <w:t xml:space="preserve"> ratio leads to a lower</w:t>
      </w:r>
      <w:r w:rsidR="003D1E99" w:rsidRPr="00812E8B">
        <w:rPr>
          <w:lang w:val="en-US"/>
        </w:rPr>
        <w:t xml:space="preserve"> expected retu</w:t>
      </w:r>
      <w:r w:rsidR="00967847" w:rsidRPr="00812E8B">
        <w:rPr>
          <w:lang w:val="en-US"/>
        </w:rPr>
        <w:t>r</w:t>
      </w:r>
      <w:r w:rsidR="003D1E99" w:rsidRPr="00812E8B">
        <w:rPr>
          <w:lang w:val="en-US"/>
        </w:rPr>
        <w:t xml:space="preserve">n. </w:t>
      </w:r>
      <w:r w:rsidR="00532751" w:rsidRPr="00812E8B">
        <w:rPr>
          <w:lang w:val="en-US"/>
        </w:rPr>
        <w:t xml:space="preserve">Opposed </w:t>
      </w:r>
      <w:r w:rsidR="003D1E99" w:rsidRPr="00812E8B">
        <w:rPr>
          <w:lang w:val="en-US"/>
        </w:rPr>
        <w:t xml:space="preserve">to </w:t>
      </w:r>
      <w:r w:rsidR="003D1E99" w:rsidRPr="00812E8B">
        <w:rPr>
          <w:lang w:val="en-US"/>
        </w:rPr>
        <w:lastRenderedPageBreak/>
        <w:t>the risk-return hypothesis,</w:t>
      </w:r>
      <w:r w:rsidR="003D1E99" w:rsidRPr="00812E8B">
        <w:rPr>
          <w:color w:val="365F91" w:themeColor="accent1" w:themeShade="BF"/>
          <w:lang w:val="en-US"/>
        </w:rPr>
        <w:t xml:space="preserve"> </w:t>
      </w:r>
      <w:r w:rsidR="00026D7B" w:rsidRPr="00812E8B">
        <w:rPr>
          <w:color w:val="365F91" w:themeColor="accent1" w:themeShade="BF"/>
          <w:lang w:val="en-US"/>
        </w:rPr>
        <w:t>Berger (1995)</w:t>
      </w:r>
      <w:r w:rsidR="003D1E99" w:rsidRPr="00812E8B">
        <w:rPr>
          <w:lang w:val="en-US"/>
        </w:rPr>
        <w:t xml:space="preserve"> examines the signaling hypothesis</w:t>
      </w:r>
      <w:r w:rsidR="0047456F" w:rsidRPr="00812E8B">
        <w:rPr>
          <w:lang w:val="en-US"/>
        </w:rPr>
        <w:t xml:space="preserve"> </w:t>
      </w:r>
      <w:r w:rsidR="003D1E99" w:rsidRPr="00812E8B">
        <w:rPr>
          <w:lang w:val="en-US"/>
        </w:rPr>
        <w:t>and bankruptcy cost hypothesis</w:t>
      </w:r>
      <w:r w:rsidR="00532751" w:rsidRPr="00812E8B">
        <w:rPr>
          <w:lang w:val="en-US"/>
        </w:rPr>
        <w:t xml:space="preserve">; suggesting that </w:t>
      </w:r>
      <w:r w:rsidR="00967847" w:rsidRPr="00812E8B">
        <w:rPr>
          <w:lang w:val="en-US"/>
        </w:rPr>
        <w:t xml:space="preserve">a higher </w:t>
      </w:r>
      <w:r w:rsidR="0085153A" w:rsidRPr="00812E8B">
        <w:rPr>
          <w:lang w:val="en-US"/>
        </w:rPr>
        <w:t>equity-to-asset</w:t>
      </w:r>
      <w:r w:rsidR="00967847" w:rsidRPr="00812E8B">
        <w:rPr>
          <w:lang w:val="en-US"/>
        </w:rPr>
        <w:t xml:space="preserve"> ratio increase profitability</w:t>
      </w:r>
      <w:r w:rsidR="00532751" w:rsidRPr="00812E8B">
        <w:rPr>
          <w:lang w:val="en-US"/>
        </w:rPr>
        <w:t xml:space="preserve"> due to signaling issues or lower costs of financial distress</w:t>
      </w:r>
      <w:r w:rsidR="00532751" w:rsidRPr="00812E8B">
        <w:rPr>
          <w:rStyle w:val="EndnoteReference"/>
          <w:lang w:val="en-US"/>
        </w:rPr>
        <w:endnoteReference w:id="8"/>
      </w:r>
      <w:r w:rsidR="00532751" w:rsidRPr="00812E8B">
        <w:rPr>
          <w:lang w:val="en-US"/>
        </w:rPr>
        <w:t xml:space="preserve">. </w:t>
      </w:r>
      <w:r w:rsidR="00967847" w:rsidRPr="00812E8B">
        <w:rPr>
          <w:lang w:val="en-US"/>
        </w:rPr>
        <w:t xml:space="preserve">Thus, the expected sign of the equity-to-asset ratio is </w:t>
      </w:r>
      <w:r w:rsidR="00FA1C4D" w:rsidRPr="00812E8B">
        <w:rPr>
          <w:lang w:val="en-US"/>
        </w:rPr>
        <w:t>unpredictable</w:t>
      </w:r>
      <w:r w:rsidR="00967847" w:rsidRPr="00812E8B">
        <w:rPr>
          <w:lang w:val="en-US"/>
        </w:rPr>
        <w:t xml:space="preserve"> based on prior research.</w:t>
      </w:r>
      <w:r w:rsidR="00194246" w:rsidRPr="00812E8B">
        <w:rPr>
          <w:lang w:val="en-US"/>
        </w:rPr>
        <w:t xml:space="preserve"> </w:t>
      </w:r>
    </w:p>
    <w:p w:rsidR="001E6354" w:rsidRPr="00812E8B" w:rsidRDefault="001E6354" w:rsidP="001E6354">
      <w:pPr>
        <w:pStyle w:val="NoSpacing"/>
        <w:spacing w:line="276" w:lineRule="auto"/>
        <w:jc w:val="both"/>
        <w:rPr>
          <w:color w:val="FF0000"/>
          <w:lang w:val="en-US"/>
        </w:rPr>
      </w:pPr>
    </w:p>
    <w:p w:rsidR="007C5CB0" w:rsidRPr="00812E8B" w:rsidRDefault="007B760C" w:rsidP="00DA4CB5">
      <w:pPr>
        <w:pStyle w:val="NoSpacing"/>
        <w:spacing w:line="276" w:lineRule="auto"/>
        <w:jc w:val="both"/>
        <w:rPr>
          <w:lang w:val="en-US"/>
        </w:rPr>
      </w:pPr>
      <w:r w:rsidRPr="00812E8B">
        <w:rPr>
          <w:i/>
          <w:u w:val="single"/>
          <w:lang w:val="en-US"/>
        </w:rPr>
        <w:t>Funding:</w:t>
      </w:r>
      <w:r w:rsidR="00967847" w:rsidRPr="00812E8B">
        <w:rPr>
          <w:lang w:val="en-US"/>
        </w:rPr>
        <w:t xml:space="preserve"> </w:t>
      </w:r>
      <w:r w:rsidR="00031FF2" w:rsidRPr="00812E8B">
        <w:rPr>
          <w:lang w:val="en-US"/>
        </w:rPr>
        <w:t>Besides equity, e</w:t>
      </w:r>
      <w:r w:rsidR="002E7343" w:rsidRPr="00812E8B">
        <w:rPr>
          <w:lang w:val="en-US"/>
        </w:rPr>
        <w:t>xternal funding resources determine the liability structure of a bank</w:t>
      </w:r>
      <w:r w:rsidR="00967847" w:rsidRPr="00812E8B">
        <w:rPr>
          <w:lang w:val="en-US"/>
        </w:rPr>
        <w:t>.</w:t>
      </w:r>
      <w:r w:rsidR="002E7343" w:rsidRPr="00812E8B">
        <w:rPr>
          <w:lang w:val="en-US"/>
        </w:rPr>
        <w:t xml:space="preserve"> Banks fund their loans to customers and securities mainly </w:t>
      </w:r>
      <w:r w:rsidR="0085153A" w:rsidRPr="00812E8B">
        <w:rPr>
          <w:lang w:val="en-US"/>
        </w:rPr>
        <w:t xml:space="preserve">by receiving customer deposits </w:t>
      </w:r>
      <w:r w:rsidR="002E7343" w:rsidRPr="00812E8B">
        <w:rPr>
          <w:lang w:val="en-US"/>
        </w:rPr>
        <w:t xml:space="preserve">but also </w:t>
      </w:r>
      <w:r w:rsidR="00FA1C4D" w:rsidRPr="00812E8B">
        <w:rPr>
          <w:lang w:val="en-US"/>
        </w:rPr>
        <w:t xml:space="preserve">by issuing </w:t>
      </w:r>
      <w:r w:rsidR="002E7343" w:rsidRPr="00812E8B">
        <w:rPr>
          <w:lang w:val="en-US"/>
        </w:rPr>
        <w:t xml:space="preserve">debt </w:t>
      </w:r>
      <w:r w:rsidR="007C5CB0" w:rsidRPr="00812E8B">
        <w:rPr>
          <w:lang w:val="en-US"/>
        </w:rPr>
        <w:t>securities</w:t>
      </w:r>
      <w:r w:rsidR="00FA1C4D" w:rsidRPr="00812E8B">
        <w:rPr>
          <w:lang w:val="en-US"/>
        </w:rPr>
        <w:t xml:space="preserve"> via t</w:t>
      </w:r>
      <w:r w:rsidR="007C5CB0" w:rsidRPr="00812E8B">
        <w:rPr>
          <w:lang w:val="en-US"/>
        </w:rPr>
        <w:t xml:space="preserve">he </w:t>
      </w:r>
      <w:r w:rsidR="002E7343" w:rsidRPr="00812E8B">
        <w:rPr>
          <w:lang w:val="en-US"/>
        </w:rPr>
        <w:t>capital market</w:t>
      </w:r>
      <w:r w:rsidR="007C5CB0" w:rsidRPr="00812E8B">
        <w:rPr>
          <w:lang w:val="en-US"/>
        </w:rPr>
        <w:t xml:space="preserve">. </w:t>
      </w:r>
      <w:r w:rsidRPr="00812E8B">
        <w:rPr>
          <w:lang w:val="en-US"/>
        </w:rPr>
        <w:t xml:space="preserve">According to </w:t>
      </w:r>
      <w:r w:rsidR="00881610" w:rsidRPr="00812E8B">
        <w:rPr>
          <w:color w:val="365F91" w:themeColor="accent1" w:themeShade="BF"/>
          <w:lang w:val="en-US"/>
        </w:rPr>
        <w:t>Trujillo-Ponce (2011)</w:t>
      </w:r>
      <w:r w:rsidRPr="00812E8B">
        <w:rPr>
          <w:lang w:val="en-US"/>
        </w:rPr>
        <w:t xml:space="preserve"> customer deposits </w:t>
      </w:r>
      <w:r w:rsidR="0085153A" w:rsidRPr="00812E8B">
        <w:rPr>
          <w:lang w:val="en-US"/>
        </w:rPr>
        <w:t xml:space="preserve">(both retail and corporate deposits) </w:t>
      </w:r>
      <w:r w:rsidRPr="00812E8B">
        <w:rPr>
          <w:lang w:val="en-US"/>
        </w:rPr>
        <w:t>are an inexpensive and stable funding resource</w:t>
      </w:r>
      <w:r w:rsidR="00C3323B" w:rsidRPr="00812E8B">
        <w:rPr>
          <w:lang w:val="en-US"/>
        </w:rPr>
        <w:t xml:space="preserve"> for banks. Hence, a higher ratio of customer deposits to total funding (excluding derivatives) </w:t>
      </w:r>
      <w:r w:rsidRPr="00812E8B">
        <w:rPr>
          <w:lang w:val="en-US"/>
        </w:rPr>
        <w:t xml:space="preserve">will likely </w:t>
      </w:r>
      <w:r w:rsidR="007C5CB0" w:rsidRPr="00812E8B">
        <w:rPr>
          <w:lang w:val="en-US"/>
        </w:rPr>
        <w:t>result in</w:t>
      </w:r>
      <w:r w:rsidR="00C3323B" w:rsidRPr="00812E8B">
        <w:rPr>
          <w:lang w:val="en-US"/>
        </w:rPr>
        <w:t xml:space="preserve"> </w:t>
      </w:r>
      <w:r w:rsidRPr="00812E8B">
        <w:rPr>
          <w:lang w:val="en-US"/>
        </w:rPr>
        <w:t>higher profitability</w:t>
      </w:r>
      <w:r w:rsidR="00031FF2" w:rsidRPr="00812E8B">
        <w:rPr>
          <w:rStyle w:val="EndnoteReference"/>
          <w:lang w:val="en-US"/>
        </w:rPr>
        <w:endnoteReference w:id="9"/>
      </w:r>
      <w:r w:rsidRPr="00812E8B">
        <w:rPr>
          <w:lang w:val="en-US"/>
        </w:rPr>
        <w:t>.</w:t>
      </w:r>
      <w:r w:rsidR="00C3323B" w:rsidRPr="00812E8B">
        <w:rPr>
          <w:lang w:val="en-US"/>
        </w:rPr>
        <w:t xml:space="preserve"> Hence, </w:t>
      </w:r>
      <w:r w:rsidR="00E039C6" w:rsidRPr="00812E8B">
        <w:rPr>
          <w:lang w:val="en-US"/>
        </w:rPr>
        <w:t xml:space="preserve">a positive </w:t>
      </w:r>
      <w:r w:rsidR="00C3323B" w:rsidRPr="00812E8B">
        <w:rPr>
          <w:lang w:val="en-US"/>
        </w:rPr>
        <w:t xml:space="preserve">sign is </w:t>
      </w:r>
      <w:r w:rsidR="00FA1C4D" w:rsidRPr="00812E8B">
        <w:rPr>
          <w:lang w:val="en-US"/>
        </w:rPr>
        <w:t>hypothesized</w:t>
      </w:r>
      <w:r w:rsidR="00C3323B" w:rsidRPr="00812E8B">
        <w:rPr>
          <w:lang w:val="en-US"/>
        </w:rPr>
        <w:t>.</w:t>
      </w:r>
      <w:r w:rsidR="007C5CB0" w:rsidRPr="00812E8B">
        <w:rPr>
          <w:lang w:val="en-US"/>
        </w:rPr>
        <w:t xml:space="preserve"> </w:t>
      </w:r>
      <w:r w:rsidR="00E039C6" w:rsidRPr="00812E8B">
        <w:rPr>
          <w:lang w:val="en-US"/>
        </w:rPr>
        <w:t xml:space="preserve">Using the </w:t>
      </w:r>
      <w:r w:rsidR="00C3323B" w:rsidRPr="00812E8B">
        <w:rPr>
          <w:lang w:val="en-US"/>
        </w:rPr>
        <w:t xml:space="preserve">ratio of </w:t>
      </w:r>
      <w:r w:rsidR="007C5CB0" w:rsidRPr="00812E8B">
        <w:rPr>
          <w:lang w:val="en-US"/>
        </w:rPr>
        <w:t xml:space="preserve">customer deposits to total funding (excluding derivatives) </w:t>
      </w:r>
      <w:r w:rsidR="00FA1C4D" w:rsidRPr="00812E8B">
        <w:rPr>
          <w:lang w:val="en-US"/>
        </w:rPr>
        <w:t xml:space="preserve">is of particular </w:t>
      </w:r>
      <w:r w:rsidR="00E039C6" w:rsidRPr="00812E8B">
        <w:rPr>
          <w:lang w:val="en-US"/>
        </w:rPr>
        <w:t>interest</w:t>
      </w:r>
      <w:r w:rsidR="00031FF2" w:rsidRPr="00812E8B">
        <w:rPr>
          <w:lang w:val="en-US"/>
        </w:rPr>
        <w:t xml:space="preserve"> of this thesis</w:t>
      </w:r>
      <w:r w:rsidR="00E039C6" w:rsidRPr="00812E8B">
        <w:rPr>
          <w:lang w:val="en-US"/>
        </w:rPr>
        <w:t>,</w:t>
      </w:r>
      <w:r w:rsidR="00FA1C4D" w:rsidRPr="00812E8B">
        <w:rPr>
          <w:lang w:val="en-US"/>
        </w:rPr>
        <w:t xml:space="preserve"> </w:t>
      </w:r>
      <w:r w:rsidR="00E039C6" w:rsidRPr="00812E8B">
        <w:rPr>
          <w:lang w:val="en-US"/>
        </w:rPr>
        <w:t xml:space="preserve">as future regulation </w:t>
      </w:r>
      <w:r w:rsidR="00C3323B" w:rsidRPr="00812E8B">
        <w:rPr>
          <w:lang w:val="en-US"/>
        </w:rPr>
        <w:t>will</w:t>
      </w:r>
      <w:r w:rsidR="00E039C6" w:rsidRPr="00812E8B">
        <w:rPr>
          <w:lang w:val="en-US"/>
        </w:rPr>
        <w:t xml:space="preserve"> </w:t>
      </w:r>
      <w:r w:rsidR="00031FF2" w:rsidRPr="00812E8B">
        <w:rPr>
          <w:lang w:val="en-US"/>
        </w:rPr>
        <w:t>i</w:t>
      </w:r>
      <w:r w:rsidR="00E039C6" w:rsidRPr="00812E8B">
        <w:rPr>
          <w:lang w:val="en-US"/>
        </w:rPr>
        <w:t xml:space="preserve">mpose </w:t>
      </w:r>
      <w:r w:rsidR="00C3323B" w:rsidRPr="00812E8B">
        <w:rPr>
          <w:lang w:val="en-US"/>
        </w:rPr>
        <w:t xml:space="preserve">requirements on </w:t>
      </w:r>
      <w:r w:rsidR="00FA1C4D" w:rsidRPr="00812E8B">
        <w:rPr>
          <w:lang w:val="en-US"/>
        </w:rPr>
        <w:t>long-term</w:t>
      </w:r>
      <w:r w:rsidR="00C3323B" w:rsidRPr="00812E8B">
        <w:rPr>
          <w:lang w:val="en-US"/>
        </w:rPr>
        <w:t xml:space="preserve"> </w:t>
      </w:r>
      <w:r w:rsidR="00FA1C4D" w:rsidRPr="00812E8B">
        <w:rPr>
          <w:lang w:val="en-US"/>
        </w:rPr>
        <w:t xml:space="preserve">stable </w:t>
      </w:r>
      <w:r w:rsidR="00C3323B" w:rsidRPr="00812E8B">
        <w:rPr>
          <w:lang w:val="en-US"/>
        </w:rPr>
        <w:t>funding resources</w:t>
      </w:r>
      <w:r w:rsidR="00E039C6" w:rsidRPr="00812E8B">
        <w:rPr>
          <w:lang w:val="en-US"/>
        </w:rPr>
        <w:t xml:space="preserve"> such as customer deposits.</w:t>
      </w:r>
      <w:r w:rsidR="00FA1C4D" w:rsidRPr="00812E8B">
        <w:rPr>
          <w:lang w:val="en-US"/>
        </w:rPr>
        <w:t xml:space="preserve"> </w:t>
      </w:r>
    </w:p>
    <w:p w:rsidR="007B760C" w:rsidRPr="00812E8B" w:rsidRDefault="007C5CB0" w:rsidP="00DA4CB5">
      <w:pPr>
        <w:pStyle w:val="NoSpacing"/>
        <w:spacing w:line="276" w:lineRule="auto"/>
        <w:jc w:val="both"/>
        <w:rPr>
          <w:lang w:val="en-US"/>
        </w:rPr>
      </w:pPr>
      <w:r w:rsidRPr="00812E8B">
        <w:rPr>
          <w:lang w:val="en-US"/>
        </w:rPr>
        <w:t xml:space="preserve"> </w:t>
      </w:r>
    </w:p>
    <w:p w:rsidR="00CF3AB4" w:rsidRPr="00812E8B" w:rsidRDefault="00CF3AB4" w:rsidP="00F33C32">
      <w:pPr>
        <w:pStyle w:val="NoSpacing"/>
        <w:spacing w:line="276" w:lineRule="auto"/>
        <w:jc w:val="both"/>
        <w:rPr>
          <w:lang w:val="en-US"/>
        </w:rPr>
      </w:pPr>
      <w:r w:rsidRPr="00812E8B">
        <w:rPr>
          <w:i/>
          <w:u w:val="single"/>
          <w:lang w:val="en-US"/>
        </w:rPr>
        <w:t>Credit risk;</w:t>
      </w:r>
      <w:r w:rsidRPr="00812E8B">
        <w:rPr>
          <w:lang w:val="en-US"/>
        </w:rPr>
        <w:t xml:space="preserve"> </w:t>
      </w:r>
      <w:r w:rsidR="00FE3932" w:rsidRPr="00812E8B">
        <w:rPr>
          <w:lang w:val="en-US"/>
        </w:rPr>
        <w:t>R</w:t>
      </w:r>
      <w:r w:rsidR="00182E12" w:rsidRPr="00812E8B">
        <w:rPr>
          <w:lang w:val="en-US"/>
        </w:rPr>
        <w:t xml:space="preserve">isk </w:t>
      </w:r>
      <w:r w:rsidR="00094DAA" w:rsidRPr="00812E8B">
        <w:rPr>
          <w:lang w:val="en-US"/>
        </w:rPr>
        <w:t>taking</w:t>
      </w:r>
      <w:r w:rsidR="00FE3932" w:rsidRPr="00812E8B">
        <w:rPr>
          <w:lang w:val="en-US"/>
        </w:rPr>
        <w:t xml:space="preserve">, </w:t>
      </w:r>
      <w:r w:rsidR="00976B11" w:rsidRPr="00812E8B">
        <w:rPr>
          <w:lang w:val="en-US"/>
        </w:rPr>
        <w:t>like</w:t>
      </w:r>
      <w:r w:rsidR="00FE3932" w:rsidRPr="00812E8B">
        <w:rPr>
          <w:lang w:val="en-US"/>
        </w:rPr>
        <w:t xml:space="preserve"> previously mentioned,</w:t>
      </w:r>
      <w:r w:rsidR="00094DAA" w:rsidRPr="00812E8B">
        <w:rPr>
          <w:lang w:val="en-US"/>
        </w:rPr>
        <w:t xml:space="preserve"> is one of the key drivers of banks’ profitability</w:t>
      </w:r>
      <w:r w:rsidR="00182E12" w:rsidRPr="00812E8B">
        <w:rPr>
          <w:lang w:val="en-US"/>
        </w:rPr>
        <w:t xml:space="preserve">. </w:t>
      </w:r>
      <w:r w:rsidR="00F305C4" w:rsidRPr="00812E8B">
        <w:rPr>
          <w:lang w:val="en-US"/>
        </w:rPr>
        <w:t>Therefore</w:t>
      </w:r>
      <w:r w:rsidR="00182E12" w:rsidRPr="00812E8B">
        <w:rPr>
          <w:lang w:val="en-US"/>
        </w:rPr>
        <w:t xml:space="preserve">, this </w:t>
      </w:r>
      <w:r w:rsidR="00120699" w:rsidRPr="00812E8B">
        <w:rPr>
          <w:lang w:val="en-US"/>
        </w:rPr>
        <w:t>thesis examines</w:t>
      </w:r>
      <w:r w:rsidR="00094DAA" w:rsidRPr="00812E8B">
        <w:rPr>
          <w:lang w:val="en-US"/>
        </w:rPr>
        <w:t xml:space="preserve"> credit risk and liquidity </w:t>
      </w:r>
      <w:r w:rsidR="00120699" w:rsidRPr="00812E8B">
        <w:rPr>
          <w:lang w:val="en-US"/>
        </w:rPr>
        <w:t>risk</w:t>
      </w:r>
      <w:r w:rsidR="00182E12" w:rsidRPr="00812E8B">
        <w:rPr>
          <w:lang w:val="en-US"/>
        </w:rPr>
        <w:t xml:space="preserve">. </w:t>
      </w:r>
      <w:r w:rsidR="00647C89" w:rsidRPr="00812E8B">
        <w:rPr>
          <w:lang w:val="en-US"/>
        </w:rPr>
        <w:t xml:space="preserve">The asset quality of the loan portfolio is used as </w:t>
      </w:r>
      <w:r w:rsidR="00182E12" w:rsidRPr="00812E8B">
        <w:rPr>
          <w:lang w:val="en-US"/>
        </w:rPr>
        <w:t xml:space="preserve">proxy for credit risk, measured by </w:t>
      </w:r>
      <w:r w:rsidR="00C82446" w:rsidRPr="00812E8B">
        <w:rPr>
          <w:lang w:val="en-US"/>
        </w:rPr>
        <w:t xml:space="preserve">the </w:t>
      </w:r>
      <w:r w:rsidR="00182E12" w:rsidRPr="00812E8B">
        <w:rPr>
          <w:lang w:val="en-US"/>
        </w:rPr>
        <w:t xml:space="preserve">ratio of loan loss </w:t>
      </w:r>
      <w:r w:rsidR="00F305C4" w:rsidRPr="00812E8B">
        <w:rPr>
          <w:lang w:val="en-US"/>
        </w:rPr>
        <w:t>provision</w:t>
      </w:r>
      <w:r w:rsidR="00182E12" w:rsidRPr="00812E8B">
        <w:rPr>
          <w:lang w:val="en-US"/>
        </w:rPr>
        <w:t xml:space="preserve"> divided by </w:t>
      </w:r>
      <w:r w:rsidR="00F305C4" w:rsidRPr="00812E8B">
        <w:rPr>
          <w:lang w:val="en-US"/>
        </w:rPr>
        <w:t>net interest revenue</w:t>
      </w:r>
      <w:r w:rsidR="00182E12" w:rsidRPr="00812E8B">
        <w:rPr>
          <w:lang w:val="en-US"/>
        </w:rPr>
        <w:t>.</w:t>
      </w:r>
      <w:r w:rsidR="00094DAA" w:rsidRPr="00812E8B">
        <w:rPr>
          <w:lang w:val="en-US"/>
        </w:rPr>
        <w:t xml:space="preserve"> </w:t>
      </w:r>
      <w:r w:rsidR="00F305C4" w:rsidRPr="00812E8B">
        <w:rPr>
          <w:lang w:val="en-US"/>
        </w:rPr>
        <w:t>T</w:t>
      </w:r>
      <w:r w:rsidRPr="00812E8B">
        <w:rPr>
          <w:lang w:val="en-US"/>
        </w:rPr>
        <w:t xml:space="preserve">he ratio is calculated as the value-adjustment in loans to customers, </w:t>
      </w:r>
      <w:r w:rsidR="00182E12" w:rsidRPr="00812E8B">
        <w:rPr>
          <w:lang w:val="en-US"/>
        </w:rPr>
        <w:t xml:space="preserve">recognized in the </w:t>
      </w:r>
      <w:r w:rsidRPr="00812E8B">
        <w:rPr>
          <w:lang w:val="en-US"/>
        </w:rPr>
        <w:t xml:space="preserve">in the income statement, to </w:t>
      </w:r>
      <w:r w:rsidR="00F305C4" w:rsidRPr="00812E8B">
        <w:rPr>
          <w:lang w:val="en-US"/>
        </w:rPr>
        <w:t>net interest revenue</w:t>
      </w:r>
      <w:r w:rsidRPr="00812E8B">
        <w:rPr>
          <w:lang w:val="en-US"/>
        </w:rPr>
        <w:t>.</w:t>
      </w:r>
      <w:r w:rsidR="00F305C4" w:rsidRPr="00812E8B">
        <w:rPr>
          <w:lang w:val="en-US"/>
        </w:rPr>
        <w:t xml:space="preserve"> This thesis does not use the ratio of loan loss reserve to gross loans similar to</w:t>
      </w:r>
      <w:r w:rsidRPr="00812E8B">
        <w:rPr>
          <w:lang w:val="en-US"/>
        </w:rPr>
        <w:t xml:space="preserve"> </w:t>
      </w:r>
      <w:r w:rsidR="007F1875" w:rsidRPr="00812E8B">
        <w:rPr>
          <w:color w:val="365F91" w:themeColor="accent1" w:themeShade="BF"/>
          <w:lang w:val="en-US"/>
        </w:rPr>
        <w:t>Iannotta et al. (2007)</w:t>
      </w:r>
      <w:r w:rsidR="00E34060" w:rsidRPr="00812E8B">
        <w:rPr>
          <w:color w:val="365F91" w:themeColor="accent1" w:themeShade="BF"/>
          <w:lang w:val="en-US"/>
        </w:rPr>
        <w:t xml:space="preserve">, Athanasoglou et al. (2008) </w:t>
      </w:r>
      <w:r w:rsidR="00F305C4" w:rsidRPr="00812E8B">
        <w:rPr>
          <w:lang w:val="en-US"/>
        </w:rPr>
        <w:t xml:space="preserve">and </w:t>
      </w:r>
      <w:r w:rsidR="001B30EB" w:rsidRPr="00812E8B">
        <w:rPr>
          <w:color w:val="365F91" w:themeColor="accent1" w:themeShade="BF"/>
          <w:lang w:val="en-US"/>
        </w:rPr>
        <w:t>Dietrich and Wanzenried (2011)</w:t>
      </w:r>
      <w:r w:rsidR="00F305C4" w:rsidRPr="00812E8B">
        <w:rPr>
          <w:lang w:val="en-US"/>
        </w:rPr>
        <w:t xml:space="preserve"> </w:t>
      </w:r>
      <w:r w:rsidR="00C82446" w:rsidRPr="00812E8B">
        <w:rPr>
          <w:lang w:val="en-US"/>
        </w:rPr>
        <w:t xml:space="preserve">because many data is missing </w:t>
      </w:r>
      <w:r w:rsidR="0085153A" w:rsidRPr="00812E8B">
        <w:rPr>
          <w:lang w:val="en-US"/>
        </w:rPr>
        <w:t xml:space="preserve">for this variable, hereby heavily reducing </w:t>
      </w:r>
      <w:r w:rsidR="00C82446" w:rsidRPr="00812E8B">
        <w:rPr>
          <w:lang w:val="en-US"/>
        </w:rPr>
        <w:t xml:space="preserve">the amount of observations. </w:t>
      </w:r>
      <w:r w:rsidR="00F305C4" w:rsidRPr="00812E8B">
        <w:rPr>
          <w:lang w:val="en-US"/>
        </w:rPr>
        <w:t>H</w:t>
      </w:r>
      <w:r w:rsidRPr="00812E8B">
        <w:rPr>
          <w:lang w:val="en-US"/>
        </w:rPr>
        <w:t xml:space="preserve">igher anticipated non-repayment of the loans, </w:t>
      </w:r>
      <w:r w:rsidR="009E49B7" w:rsidRPr="00812E8B">
        <w:rPr>
          <w:lang w:val="en-US"/>
        </w:rPr>
        <w:t>measured by the loan loss</w:t>
      </w:r>
      <w:r w:rsidR="00C82446" w:rsidRPr="00812E8B">
        <w:rPr>
          <w:lang w:val="en-US"/>
        </w:rPr>
        <w:t xml:space="preserve"> provisions</w:t>
      </w:r>
      <w:r w:rsidR="009E49B7" w:rsidRPr="00812E8B">
        <w:rPr>
          <w:lang w:val="en-US"/>
        </w:rPr>
        <w:t>, reflects</w:t>
      </w:r>
      <w:r w:rsidRPr="00812E8B">
        <w:rPr>
          <w:lang w:val="en-US"/>
        </w:rPr>
        <w:t xml:space="preserve"> a lower credit quality of the loans. Over a longer period, a lower credit quality could negatively influence the profitabilit</w:t>
      </w:r>
      <w:r w:rsidR="00976B11" w:rsidRPr="00812E8B">
        <w:rPr>
          <w:lang w:val="en-US"/>
        </w:rPr>
        <w:t>y since</w:t>
      </w:r>
      <w:r w:rsidR="006A568F" w:rsidRPr="00812E8B">
        <w:rPr>
          <w:lang w:val="en-US"/>
        </w:rPr>
        <w:t xml:space="preserve"> </w:t>
      </w:r>
      <w:r w:rsidRPr="00812E8B">
        <w:rPr>
          <w:lang w:val="en-US"/>
        </w:rPr>
        <w:t xml:space="preserve">the actual impairment costs of non-repayment are likely to be higher </w:t>
      </w:r>
      <w:r w:rsidR="009E49B7" w:rsidRPr="00812E8B">
        <w:rPr>
          <w:lang w:val="en-US"/>
        </w:rPr>
        <w:t xml:space="preserve">for banks with a lower asset quality </w:t>
      </w:r>
      <w:r w:rsidRPr="00812E8B">
        <w:rPr>
          <w:lang w:val="en-US"/>
        </w:rPr>
        <w:t>than for banks with higher</w:t>
      </w:r>
      <w:r w:rsidR="009E49B7" w:rsidRPr="00812E8B">
        <w:rPr>
          <w:lang w:val="en-US"/>
        </w:rPr>
        <w:t xml:space="preserve"> asset</w:t>
      </w:r>
      <w:r w:rsidRPr="00812E8B">
        <w:rPr>
          <w:lang w:val="en-US"/>
        </w:rPr>
        <w:t xml:space="preserve"> quality. </w:t>
      </w:r>
      <w:r w:rsidR="009E49B7" w:rsidRPr="00812E8B">
        <w:rPr>
          <w:lang w:val="en-US"/>
        </w:rPr>
        <w:t>Concluding, t</w:t>
      </w:r>
      <w:r w:rsidRPr="00812E8B">
        <w:rPr>
          <w:lang w:val="en-US"/>
        </w:rPr>
        <w:t xml:space="preserve">he predicted </w:t>
      </w:r>
      <w:r w:rsidR="009E49B7" w:rsidRPr="00812E8B">
        <w:rPr>
          <w:lang w:val="en-US"/>
        </w:rPr>
        <w:t>sign</w:t>
      </w:r>
      <w:r w:rsidRPr="00812E8B">
        <w:rPr>
          <w:lang w:val="en-US"/>
        </w:rPr>
        <w:t xml:space="preserve"> for the relationship between </w:t>
      </w:r>
      <w:r w:rsidR="00976297" w:rsidRPr="00812E8B">
        <w:rPr>
          <w:lang w:val="en-US"/>
        </w:rPr>
        <w:t>loan loss reserves divided by gross loans and profitability</w:t>
      </w:r>
      <w:r w:rsidRPr="00812E8B">
        <w:rPr>
          <w:lang w:val="en-US"/>
        </w:rPr>
        <w:t xml:space="preserve"> is </w:t>
      </w:r>
      <w:r w:rsidR="00976297" w:rsidRPr="00812E8B">
        <w:rPr>
          <w:lang w:val="en-US"/>
        </w:rPr>
        <w:t>negative</w:t>
      </w:r>
      <w:r w:rsidR="00067B31" w:rsidRPr="00812E8B">
        <w:rPr>
          <w:lang w:val="en-US"/>
        </w:rPr>
        <w:t>. In contrary to the risk-return hypothesis, a</w:t>
      </w:r>
      <w:r w:rsidRPr="00812E8B">
        <w:rPr>
          <w:lang w:val="en-US"/>
        </w:rPr>
        <w:t xml:space="preserve"> </w:t>
      </w:r>
      <w:r w:rsidR="00976297" w:rsidRPr="00812E8B">
        <w:rPr>
          <w:lang w:val="en-US"/>
        </w:rPr>
        <w:t>lower</w:t>
      </w:r>
      <w:r w:rsidRPr="00812E8B">
        <w:rPr>
          <w:lang w:val="en-US"/>
        </w:rPr>
        <w:t xml:space="preserve"> asset quality is </w:t>
      </w:r>
      <w:r w:rsidR="00976B11" w:rsidRPr="00812E8B">
        <w:rPr>
          <w:lang w:val="en-US"/>
        </w:rPr>
        <w:t xml:space="preserve">expected </w:t>
      </w:r>
      <w:r w:rsidRPr="00812E8B">
        <w:rPr>
          <w:lang w:val="en-US"/>
        </w:rPr>
        <w:t xml:space="preserve">to </w:t>
      </w:r>
      <w:r w:rsidR="00976297" w:rsidRPr="00812E8B">
        <w:rPr>
          <w:lang w:val="en-US"/>
        </w:rPr>
        <w:t>negati</w:t>
      </w:r>
      <w:r w:rsidRPr="00812E8B">
        <w:rPr>
          <w:lang w:val="en-US"/>
        </w:rPr>
        <w:t>vely i</w:t>
      </w:r>
      <w:r w:rsidR="000E7492" w:rsidRPr="00812E8B">
        <w:rPr>
          <w:lang w:val="en-US"/>
        </w:rPr>
        <w:t xml:space="preserve">nfluence banks’ profitability. </w:t>
      </w:r>
    </w:p>
    <w:p w:rsidR="00CF3AB4" w:rsidRPr="00812E8B" w:rsidRDefault="00CF3AB4" w:rsidP="00CF3AB4">
      <w:pPr>
        <w:pStyle w:val="NoSpacing"/>
        <w:spacing w:line="276" w:lineRule="auto"/>
        <w:jc w:val="both"/>
        <w:rPr>
          <w:lang w:val="en-US"/>
        </w:rPr>
      </w:pPr>
    </w:p>
    <w:p w:rsidR="001B0274" w:rsidRPr="00812E8B" w:rsidRDefault="00FE3932" w:rsidP="001B0274">
      <w:pPr>
        <w:pStyle w:val="NoSpacing"/>
        <w:spacing w:line="276" w:lineRule="auto"/>
        <w:jc w:val="both"/>
        <w:rPr>
          <w:lang w:val="en-US"/>
        </w:rPr>
      </w:pPr>
      <w:r w:rsidRPr="00812E8B">
        <w:rPr>
          <w:i/>
          <w:u w:val="single"/>
          <w:lang w:val="en-US"/>
        </w:rPr>
        <w:t>Liquidity risk:</w:t>
      </w:r>
      <w:r w:rsidRPr="00812E8B">
        <w:rPr>
          <w:lang w:val="en-US"/>
        </w:rPr>
        <w:t xml:space="preserve"> </w:t>
      </w:r>
      <w:r w:rsidR="006A568F" w:rsidRPr="00812E8B">
        <w:rPr>
          <w:lang w:val="en-US"/>
        </w:rPr>
        <w:t xml:space="preserve">Liquidity risk is another type of risk for banks; when banks hold </w:t>
      </w:r>
      <w:r w:rsidR="0085153A" w:rsidRPr="00812E8B">
        <w:rPr>
          <w:lang w:val="en-US"/>
        </w:rPr>
        <w:t>a lower amount of</w:t>
      </w:r>
      <w:r w:rsidR="006A568F" w:rsidRPr="00812E8B">
        <w:rPr>
          <w:lang w:val="en-US"/>
        </w:rPr>
        <w:t xml:space="preserve"> liquid assets they are more vulnerable to large deposit withdrawals. Therefore, liquidity risk is estimated </w:t>
      </w:r>
      <w:r w:rsidR="009E2040" w:rsidRPr="00812E8B">
        <w:rPr>
          <w:lang w:val="en-US"/>
        </w:rPr>
        <w:t>by the ratio of liquid assets to customer deposits and other short term funding</w:t>
      </w:r>
      <w:r w:rsidR="006A568F" w:rsidRPr="00812E8B">
        <w:rPr>
          <w:lang w:val="en-US"/>
        </w:rPr>
        <w:t xml:space="preserve">. </w:t>
      </w:r>
      <w:r w:rsidR="009E2040" w:rsidRPr="00812E8B">
        <w:rPr>
          <w:lang w:val="en-US"/>
        </w:rPr>
        <w:t>B</w:t>
      </w:r>
      <w:r w:rsidR="007B6E30" w:rsidRPr="00812E8B">
        <w:rPr>
          <w:lang w:val="en-US"/>
        </w:rPr>
        <w:t>ased on</w:t>
      </w:r>
      <w:r w:rsidR="001B0274" w:rsidRPr="00812E8B">
        <w:rPr>
          <w:lang w:val="en-US"/>
        </w:rPr>
        <w:t xml:space="preserve"> the risk-return hypothesis, </w:t>
      </w:r>
      <w:r w:rsidR="006A568F" w:rsidRPr="00812E8B">
        <w:rPr>
          <w:lang w:val="en-US"/>
        </w:rPr>
        <w:t xml:space="preserve">more </w:t>
      </w:r>
      <w:r w:rsidR="001B0274" w:rsidRPr="00812E8B">
        <w:rPr>
          <w:lang w:val="en-US"/>
        </w:rPr>
        <w:t>liquidity risk is associated with higher expected returns</w:t>
      </w:r>
      <w:r w:rsidR="007B6E30" w:rsidRPr="00812E8B">
        <w:rPr>
          <w:lang w:val="en-US"/>
        </w:rPr>
        <w:t xml:space="preserve">. </w:t>
      </w:r>
      <w:r w:rsidR="006A568F" w:rsidRPr="00812E8B">
        <w:rPr>
          <w:lang w:val="en-US"/>
        </w:rPr>
        <w:t xml:space="preserve">Otherwise stated more </w:t>
      </w:r>
      <w:r w:rsidR="007B6E30" w:rsidRPr="00812E8B">
        <w:rPr>
          <w:lang w:val="en-US"/>
        </w:rPr>
        <w:t xml:space="preserve">cash and other liquid </w:t>
      </w:r>
      <w:r w:rsidR="001B0274" w:rsidRPr="00812E8B">
        <w:rPr>
          <w:lang w:val="en-US"/>
        </w:rPr>
        <w:t>n</w:t>
      </w:r>
      <w:r w:rsidR="007B6E30" w:rsidRPr="00812E8B">
        <w:rPr>
          <w:lang w:val="en-US"/>
        </w:rPr>
        <w:t>on-earning assets</w:t>
      </w:r>
      <w:r w:rsidR="001B0274" w:rsidRPr="00812E8B">
        <w:rPr>
          <w:lang w:val="en-US"/>
        </w:rPr>
        <w:t xml:space="preserve"> </w:t>
      </w:r>
      <w:r w:rsidR="006A568F" w:rsidRPr="00812E8B">
        <w:rPr>
          <w:lang w:val="en-US"/>
        </w:rPr>
        <w:t xml:space="preserve">result in a lower </w:t>
      </w:r>
      <w:r w:rsidR="007B6E30" w:rsidRPr="00812E8B">
        <w:rPr>
          <w:lang w:val="en-US"/>
        </w:rPr>
        <w:t xml:space="preserve">expected return </w:t>
      </w:r>
      <w:r w:rsidR="006A568F" w:rsidRPr="00812E8B">
        <w:rPr>
          <w:lang w:val="en-US"/>
        </w:rPr>
        <w:t>b</w:t>
      </w:r>
      <w:r w:rsidR="009E2040" w:rsidRPr="00812E8B">
        <w:rPr>
          <w:lang w:val="en-US"/>
        </w:rPr>
        <w:t>ecause</w:t>
      </w:r>
      <w:r w:rsidR="007B6E30" w:rsidRPr="00812E8B">
        <w:rPr>
          <w:lang w:val="en-US"/>
        </w:rPr>
        <w:t xml:space="preserve"> th</w:t>
      </w:r>
      <w:r w:rsidR="009E2040" w:rsidRPr="00812E8B">
        <w:rPr>
          <w:lang w:val="en-US"/>
        </w:rPr>
        <w:t>e</w:t>
      </w:r>
      <w:r w:rsidR="007B6E30" w:rsidRPr="00812E8B">
        <w:rPr>
          <w:lang w:val="en-US"/>
        </w:rPr>
        <w:t>se ass</w:t>
      </w:r>
      <w:r w:rsidR="009E2040" w:rsidRPr="00812E8B">
        <w:rPr>
          <w:lang w:val="en-US"/>
        </w:rPr>
        <w:t>et</w:t>
      </w:r>
      <w:r w:rsidR="007B6E30" w:rsidRPr="00812E8B">
        <w:rPr>
          <w:lang w:val="en-US"/>
        </w:rPr>
        <w:t>s do not generat</w:t>
      </w:r>
      <w:r w:rsidR="009E2040" w:rsidRPr="00812E8B">
        <w:rPr>
          <w:lang w:val="en-US"/>
        </w:rPr>
        <w:t>e</w:t>
      </w:r>
      <w:r w:rsidR="007B6E30" w:rsidRPr="00812E8B">
        <w:rPr>
          <w:lang w:val="en-US"/>
        </w:rPr>
        <w:t xml:space="preserve"> </w:t>
      </w:r>
      <w:r w:rsidR="00976B11" w:rsidRPr="00812E8B">
        <w:rPr>
          <w:lang w:val="en-US"/>
        </w:rPr>
        <w:t>any return</w:t>
      </w:r>
      <w:r w:rsidR="001B0274" w:rsidRPr="00812E8B">
        <w:rPr>
          <w:lang w:val="en-US"/>
        </w:rPr>
        <w:t>. Following</w:t>
      </w:r>
      <w:r w:rsidR="009E2040" w:rsidRPr="00812E8B">
        <w:rPr>
          <w:lang w:val="en-US"/>
        </w:rPr>
        <w:t xml:space="preserve"> prior research of</w:t>
      </w:r>
      <w:r w:rsidR="001B0274" w:rsidRPr="00812E8B">
        <w:rPr>
          <w:lang w:val="en-US"/>
        </w:rPr>
        <w:t xml:space="preserve"> </w:t>
      </w:r>
      <w:r w:rsidR="007F1875" w:rsidRPr="00812E8B">
        <w:rPr>
          <w:color w:val="365F91" w:themeColor="accent1" w:themeShade="BF"/>
          <w:lang w:val="en-US"/>
        </w:rPr>
        <w:t xml:space="preserve">Iannotta et al. (2007) </w:t>
      </w:r>
      <w:r w:rsidR="001B0274" w:rsidRPr="00812E8B">
        <w:rPr>
          <w:lang w:val="en-US"/>
        </w:rPr>
        <w:t>and</w:t>
      </w:r>
      <w:r w:rsidR="00750769" w:rsidRPr="00812E8B">
        <w:rPr>
          <w:lang w:val="en-US"/>
        </w:rPr>
        <w:t xml:space="preserve"> </w:t>
      </w:r>
      <w:r w:rsidR="007D7CD9" w:rsidRPr="00812E8B">
        <w:rPr>
          <w:color w:val="365F91" w:themeColor="accent1" w:themeShade="BF"/>
          <w:lang w:val="en-US"/>
        </w:rPr>
        <w:t>Pasiouras and Kosmidou (2007)</w:t>
      </w:r>
      <w:r w:rsidR="007D7CD9" w:rsidRPr="00812E8B">
        <w:rPr>
          <w:lang w:val="en-US"/>
        </w:rPr>
        <w:t xml:space="preserve"> </w:t>
      </w:r>
      <w:r w:rsidR="001B0274" w:rsidRPr="00812E8B">
        <w:rPr>
          <w:lang w:val="en-US"/>
        </w:rPr>
        <w:t xml:space="preserve">a negative relationship </w:t>
      </w:r>
      <w:r w:rsidR="006A568F" w:rsidRPr="00812E8B">
        <w:rPr>
          <w:lang w:val="en-US"/>
        </w:rPr>
        <w:t>for l</w:t>
      </w:r>
      <w:r w:rsidR="001B0274" w:rsidRPr="00812E8B">
        <w:rPr>
          <w:lang w:val="en-US"/>
        </w:rPr>
        <w:t xml:space="preserve">iquid assets to customer deposits and short term funding is </w:t>
      </w:r>
      <w:r w:rsidR="009E2040" w:rsidRPr="00812E8B">
        <w:rPr>
          <w:lang w:val="en-US"/>
        </w:rPr>
        <w:t>hypothesized</w:t>
      </w:r>
      <w:r w:rsidR="001B0274" w:rsidRPr="00812E8B">
        <w:rPr>
          <w:lang w:val="en-US"/>
        </w:rPr>
        <w:t xml:space="preserve">. </w:t>
      </w:r>
    </w:p>
    <w:p w:rsidR="00423B7C" w:rsidRPr="00812E8B" w:rsidRDefault="00423B7C" w:rsidP="001B0274">
      <w:pPr>
        <w:pStyle w:val="NoSpacing"/>
        <w:spacing w:line="276" w:lineRule="auto"/>
        <w:jc w:val="both"/>
        <w:rPr>
          <w:lang w:val="en-US"/>
        </w:rPr>
      </w:pPr>
    </w:p>
    <w:p w:rsidR="009E2040" w:rsidRPr="00812E8B" w:rsidRDefault="00F33C32" w:rsidP="00F33C32">
      <w:pPr>
        <w:pStyle w:val="NoSpacing"/>
        <w:spacing w:line="276" w:lineRule="auto"/>
        <w:jc w:val="both"/>
        <w:rPr>
          <w:lang w:val="en-US"/>
        </w:rPr>
      </w:pPr>
      <w:r w:rsidRPr="00812E8B">
        <w:rPr>
          <w:i/>
          <w:u w:val="single"/>
          <w:lang w:val="en-US"/>
        </w:rPr>
        <w:t>Business model</w:t>
      </w:r>
      <w:r w:rsidR="00E878B7" w:rsidRPr="00812E8B">
        <w:rPr>
          <w:i/>
          <w:u w:val="single"/>
          <w:lang w:val="en-US"/>
        </w:rPr>
        <w:t>, efficiency and costs</w:t>
      </w:r>
      <w:r w:rsidR="00AB632E" w:rsidRPr="00812E8B">
        <w:rPr>
          <w:i/>
          <w:u w:val="single"/>
          <w:lang w:val="en-US"/>
        </w:rPr>
        <w:t>:</w:t>
      </w:r>
      <w:r w:rsidR="00AB632E" w:rsidRPr="00812E8B">
        <w:rPr>
          <w:lang w:val="en-US"/>
        </w:rPr>
        <w:t xml:space="preserve"> F</w:t>
      </w:r>
      <w:r w:rsidRPr="00812E8B">
        <w:rPr>
          <w:lang w:val="en-US"/>
        </w:rPr>
        <w:t xml:space="preserve">ollowing </w:t>
      </w:r>
      <w:r w:rsidR="001B30EB" w:rsidRPr="00812E8B">
        <w:rPr>
          <w:color w:val="365F91" w:themeColor="accent1" w:themeShade="BF"/>
          <w:lang w:val="en-US"/>
        </w:rPr>
        <w:t xml:space="preserve">Dietrich and Wanzenried (2011) </w:t>
      </w:r>
      <w:r w:rsidR="006A568F" w:rsidRPr="00812E8B">
        <w:rPr>
          <w:lang w:val="en-US"/>
        </w:rPr>
        <w:t xml:space="preserve">funding costs, </w:t>
      </w:r>
      <w:r w:rsidRPr="00812E8B">
        <w:rPr>
          <w:lang w:val="en-US"/>
        </w:rPr>
        <w:t>measured by the interest expense on customer deposits divided by average customer deposits in percentage</w:t>
      </w:r>
      <w:r w:rsidR="006A568F" w:rsidRPr="00812E8B">
        <w:rPr>
          <w:lang w:val="en-US"/>
        </w:rPr>
        <w:t xml:space="preserve">, are included under the independent variables. </w:t>
      </w:r>
      <w:r w:rsidR="0038360C" w:rsidRPr="00812E8B">
        <w:rPr>
          <w:lang w:val="en-US"/>
        </w:rPr>
        <w:t xml:space="preserve">Moreover, including funding costs could </w:t>
      </w:r>
      <w:r w:rsidR="00E878B7" w:rsidRPr="00812E8B">
        <w:rPr>
          <w:lang w:val="en-US"/>
        </w:rPr>
        <w:t xml:space="preserve">also avoid the potential omitted variables bias. Funding costs are expected to have a negative relationship with profitability. </w:t>
      </w:r>
    </w:p>
    <w:p w:rsidR="00F33C32" w:rsidRPr="00812E8B" w:rsidRDefault="00E878B7" w:rsidP="00F33C32">
      <w:pPr>
        <w:pStyle w:val="NoSpacing"/>
        <w:spacing w:line="276" w:lineRule="auto"/>
        <w:jc w:val="both"/>
        <w:rPr>
          <w:lang w:val="en-US"/>
        </w:rPr>
      </w:pPr>
      <w:r w:rsidRPr="00812E8B">
        <w:rPr>
          <w:lang w:val="en-US"/>
        </w:rPr>
        <w:lastRenderedPageBreak/>
        <w:t>Subsequently, the interest income share is included</w:t>
      </w:r>
      <w:r w:rsidR="007B6E30" w:rsidRPr="00812E8B">
        <w:rPr>
          <w:lang w:val="en-US"/>
        </w:rPr>
        <w:t xml:space="preserve"> to account for differences in business models between banks</w:t>
      </w:r>
      <w:r w:rsidR="00184FB3" w:rsidRPr="00812E8B">
        <w:rPr>
          <w:lang w:val="en-US"/>
        </w:rPr>
        <w:t xml:space="preserve"> similar to </w:t>
      </w:r>
      <w:r w:rsidR="001B30EB" w:rsidRPr="00812E8B">
        <w:rPr>
          <w:color w:val="365F91" w:themeColor="accent1" w:themeShade="BF"/>
          <w:lang w:val="en-US"/>
        </w:rPr>
        <w:t>Dietrich and Wanzenried (2011)</w:t>
      </w:r>
      <w:r w:rsidR="007B6E30" w:rsidRPr="00812E8B">
        <w:rPr>
          <w:lang w:val="en-US"/>
        </w:rPr>
        <w:t xml:space="preserve">. A lower share of interest income to total revenues share give rise to more income generated from fees and commissions </w:t>
      </w:r>
      <w:r w:rsidR="0091772D" w:rsidRPr="00812E8B">
        <w:rPr>
          <w:lang w:val="en-US"/>
        </w:rPr>
        <w:t>that</w:t>
      </w:r>
      <w:r w:rsidR="00EA71F4" w:rsidRPr="00812E8B">
        <w:rPr>
          <w:lang w:val="en-US"/>
        </w:rPr>
        <w:t xml:space="preserve"> do not </w:t>
      </w:r>
      <w:r w:rsidR="007B6E30" w:rsidRPr="00812E8B">
        <w:rPr>
          <w:lang w:val="en-US"/>
        </w:rPr>
        <w:t>aris</w:t>
      </w:r>
      <w:r w:rsidR="00EA71F4" w:rsidRPr="00812E8B">
        <w:rPr>
          <w:lang w:val="en-US"/>
        </w:rPr>
        <w:t>e</w:t>
      </w:r>
      <w:r w:rsidR="007B6E30" w:rsidRPr="00812E8B">
        <w:rPr>
          <w:lang w:val="en-US"/>
        </w:rPr>
        <w:t xml:space="preserve"> from</w:t>
      </w:r>
      <w:r w:rsidR="00EA71F4" w:rsidRPr="00812E8B">
        <w:rPr>
          <w:lang w:val="en-US"/>
        </w:rPr>
        <w:t xml:space="preserve"> core banking activities</w:t>
      </w:r>
      <w:r w:rsidR="0038360C" w:rsidRPr="00812E8B">
        <w:rPr>
          <w:lang w:val="en-US"/>
        </w:rPr>
        <w:t>. Returns from o</w:t>
      </w:r>
      <w:r w:rsidR="004A2244" w:rsidRPr="00812E8B">
        <w:rPr>
          <w:lang w:val="en-US"/>
        </w:rPr>
        <w:t xml:space="preserve">ff balance sheet </w:t>
      </w:r>
      <w:r w:rsidR="0038360C" w:rsidRPr="00812E8B">
        <w:rPr>
          <w:lang w:val="en-US"/>
        </w:rPr>
        <w:t xml:space="preserve">activities </w:t>
      </w:r>
      <w:r w:rsidR="007B6E30" w:rsidRPr="00812E8B">
        <w:rPr>
          <w:lang w:val="en-US"/>
        </w:rPr>
        <w:t xml:space="preserve">and </w:t>
      </w:r>
      <w:r w:rsidR="004A2244" w:rsidRPr="00812E8B">
        <w:rPr>
          <w:lang w:val="en-US"/>
        </w:rPr>
        <w:t xml:space="preserve">returns </w:t>
      </w:r>
      <w:r w:rsidR="0038360C" w:rsidRPr="00812E8B">
        <w:rPr>
          <w:lang w:val="en-US"/>
        </w:rPr>
        <w:t>from</w:t>
      </w:r>
      <w:r w:rsidR="004A2244" w:rsidRPr="00812E8B">
        <w:rPr>
          <w:lang w:val="en-US"/>
        </w:rPr>
        <w:t xml:space="preserve"> the</w:t>
      </w:r>
      <w:r w:rsidR="007B6E30" w:rsidRPr="00812E8B">
        <w:rPr>
          <w:lang w:val="en-US"/>
        </w:rPr>
        <w:t xml:space="preserve"> trading book</w:t>
      </w:r>
      <w:r w:rsidR="0038360C" w:rsidRPr="00812E8B">
        <w:rPr>
          <w:lang w:val="en-US"/>
        </w:rPr>
        <w:t xml:space="preserve"> are expected to be higher than traditional banking activities</w:t>
      </w:r>
      <w:r w:rsidR="00FF38E2" w:rsidRPr="00812E8B">
        <w:rPr>
          <w:lang w:val="en-US"/>
        </w:rPr>
        <w:t xml:space="preserve">. Moreover, following </w:t>
      </w:r>
      <w:r w:rsidR="000F17F0" w:rsidRPr="00812E8B">
        <w:rPr>
          <w:color w:val="365F91" w:themeColor="accent1" w:themeShade="BF"/>
          <w:lang w:val="en-US"/>
        </w:rPr>
        <w:t>Valverde and Fernández (2007)</w:t>
      </w:r>
      <w:r w:rsidR="00FF38E2" w:rsidRPr="00812E8B">
        <w:rPr>
          <w:lang w:val="en-US"/>
        </w:rPr>
        <w:t xml:space="preserve"> income from off balance sheet assets could also reflect income diversification </w:t>
      </w:r>
      <w:r w:rsidR="00E67C72">
        <w:rPr>
          <w:lang w:val="en-US"/>
        </w:rPr>
        <w:t>that</w:t>
      </w:r>
      <w:r w:rsidR="00FF38E2" w:rsidRPr="00812E8B">
        <w:rPr>
          <w:lang w:val="en-US"/>
        </w:rPr>
        <w:t xml:space="preserve"> could positively </w:t>
      </w:r>
      <w:r w:rsidR="00E67C72">
        <w:rPr>
          <w:lang w:val="en-US"/>
        </w:rPr>
        <w:t xml:space="preserve">influence </w:t>
      </w:r>
      <w:r w:rsidR="00FF38E2" w:rsidRPr="00812E8B">
        <w:rPr>
          <w:lang w:val="en-US"/>
        </w:rPr>
        <w:t xml:space="preserve">profitability. </w:t>
      </w:r>
      <w:r w:rsidR="00EA71F4" w:rsidRPr="00812E8B">
        <w:rPr>
          <w:lang w:val="en-US"/>
        </w:rPr>
        <w:t xml:space="preserve">Due to database </w:t>
      </w:r>
      <w:r w:rsidR="0038360C" w:rsidRPr="00812E8B">
        <w:rPr>
          <w:lang w:val="en-US"/>
        </w:rPr>
        <w:t>issues,</w:t>
      </w:r>
      <w:r w:rsidR="00EA71F4" w:rsidRPr="00812E8B">
        <w:rPr>
          <w:lang w:val="en-US"/>
        </w:rPr>
        <w:t xml:space="preserve"> this analysis </w:t>
      </w:r>
      <w:r w:rsidR="0038360C" w:rsidRPr="00812E8B">
        <w:rPr>
          <w:lang w:val="en-US"/>
        </w:rPr>
        <w:t xml:space="preserve">uses </w:t>
      </w:r>
      <w:r w:rsidR="00EA71F4" w:rsidRPr="00812E8B">
        <w:rPr>
          <w:lang w:val="en-US"/>
        </w:rPr>
        <w:t>non-interest inc</w:t>
      </w:r>
      <w:r w:rsidR="0038360C" w:rsidRPr="00812E8B">
        <w:rPr>
          <w:lang w:val="en-US"/>
        </w:rPr>
        <w:t>ome divided by gross revenues as</w:t>
      </w:r>
      <w:r w:rsidR="00EA71F4" w:rsidRPr="00812E8B">
        <w:rPr>
          <w:lang w:val="en-US"/>
        </w:rPr>
        <w:t xml:space="preserve"> proxy </w:t>
      </w:r>
      <w:r w:rsidR="0038360C" w:rsidRPr="00812E8B">
        <w:rPr>
          <w:lang w:val="en-US"/>
        </w:rPr>
        <w:t xml:space="preserve">for </w:t>
      </w:r>
      <w:r w:rsidR="00EA71F4" w:rsidRPr="00812E8B">
        <w:rPr>
          <w:lang w:val="en-US"/>
        </w:rPr>
        <w:t xml:space="preserve">the income share of non-banking activities. </w:t>
      </w:r>
      <w:r w:rsidR="0038360C" w:rsidRPr="00812E8B">
        <w:rPr>
          <w:lang w:val="en-US"/>
        </w:rPr>
        <w:t>A</w:t>
      </w:r>
      <w:r w:rsidR="00EA71F4" w:rsidRPr="00812E8B">
        <w:rPr>
          <w:lang w:val="en-US"/>
        </w:rPr>
        <w:t xml:space="preserve"> positive relationship between </w:t>
      </w:r>
      <w:r w:rsidR="0038360C" w:rsidRPr="00812E8B">
        <w:rPr>
          <w:lang w:val="en-US"/>
        </w:rPr>
        <w:t>the</w:t>
      </w:r>
      <w:r w:rsidR="00EA71F4" w:rsidRPr="00812E8B">
        <w:rPr>
          <w:lang w:val="en-US"/>
        </w:rPr>
        <w:t xml:space="preserve"> share of non-interest income to gross </w:t>
      </w:r>
      <w:r w:rsidR="0038360C" w:rsidRPr="00812E8B">
        <w:rPr>
          <w:lang w:val="en-US"/>
        </w:rPr>
        <w:t>revenues and p</w:t>
      </w:r>
      <w:r w:rsidR="00EA71F4" w:rsidRPr="00812E8B">
        <w:rPr>
          <w:lang w:val="en-US"/>
        </w:rPr>
        <w:t xml:space="preserve">rofitability is hypothesized. </w:t>
      </w:r>
    </w:p>
    <w:p w:rsidR="00EA71F4" w:rsidRPr="00812E8B" w:rsidRDefault="00EA71F4" w:rsidP="00F33C32">
      <w:pPr>
        <w:pStyle w:val="NoSpacing"/>
        <w:spacing w:line="276" w:lineRule="auto"/>
        <w:jc w:val="both"/>
        <w:rPr>
          <w:lang w:val="en-US"/>
        </w:rPr>
      </w:pPr>
    </w:p>
    <w:p w:rsidR="00D10C0D" w:rsidRPr="00812E8B" w:rsidRDefault="00D10C0D" w:rsidP="001B0274">
      <w:pPr>
        <w:pStyle w:val="NoSpacing"/>
        <w:spacing w:line="276" w:lineRule="auto"/>
        <w:jc w:val="both"/>
        <w:rPr>
          <w:lang w:val="en-US"/>
        </w:rPr>
      </w:pPr>
      <w:r w:rsidRPr="00812E8B">
        <w:rPr>
          <w:lang w:val="en-US"/>
        </w:rPr>
        <w:t>F</w:t>
      </w:r>
      <w:r w:rsidR="001B0274" w:rsidRPr="00812E8B">
        <w:rPr>
          <w:lang w:val="en-US"/>
        </w:rPr>
        <w:t>inally, operation</w:t>
      </w:r>
      <w:r w:rsidR="00E75AAD" w:rsidRPr="00812E8B">
        <w:rPr>
          <w:lang w:val="en-US"/>
        </w:rPr>
        <w:t>al</w:t>
      </w:r>
      <w:r w:rsidR="001B0274" w:rsidRPr="00812E8B">
        <w:rPr>
          <w:lang w:val="en-US"/>
        </w:rPr>
        <w:t xml:space="preserve"> efficiency is the last </w:t>
      </w:r>
      <w:r w:rsidRPr="00812E8B">
        <w:rPr>
          <w:lang w:val="en-US"/>
        </w:rPr>
        <w:t>key driver of profitability</w:t>
      </w:r>
      <w:r w:rsidR="001554FD" w:rsidRPr="00812E8B">
        <w:rPr>
          <w:lang w:val="en-US"/>
        </w:rPr>
        <w:t xml:space="preserve"> that is examined.</w:t>
      </w:r>
      <w:r w:rsidRPr="00812E8B">
        <w:rPr>
          <w:lang w:val="en-US"/>
        </w:rPr>
        <w:t xml:space="preserve"> Similar to</w:t>
      </w:r>
      <w:r w:rsidR="007D7CD9" w:rsidRPr="00812E8B">
        <w:rPr>
          <w:lang w:val="en-US"/>
        </w:rPr>
        <w:t xml:space="preserve"> </w:t>
      </w:r>
      <w:r w:rsidR="007D7CD9" w:rsidRPr="00812E8B">
        <w:rPr>
          <w:color w:val="365F91" w:themeColor="accent1" w:themeShade="BF"/>
          <w:lang w:val="en-US"/>
        </w:rPr>
        <w:t>Pasiouras and Kosmidou (2007)</w:t>
      </w:r>
      <w:r w:rsidR="007D7CD9" w:rsidRPr="00812E8B">
        <w:rPr>
          <w:lang w:val="en-US"/>
        </w:rPr>
        <w:t xml:space="preserve">, </w:t>
      </w:r>
      <w:r w:rsidR="001B30EB" w:rsidRPr="00812E8B">
        <w:rPr>
          <w:color w:val="365F91" w:themeColor="accent1" w:themeShade="BF"/>
          <w:lang w:val="en-US"/>
        </w:rPr>
        <w:t xml:space="preserve">Dietrich and Wanzenried (2011) </w:t>
      </w:r>
      <w:r w:rsidR="001554FD" w:rsidRPr="00812E8B">
        <w:rPr>
          <w:lang w:val="en-US"/>
        </w:rPr>
        <w:t>and others</w:t>
      </w:r>
      <w:r w:rsidR="001554FD" w:rsidRPr="00812E8B">
        <w:rPr>
          <w:color w:val="365F91" w:themeColor="accent1" w:themeShade="BF"/>
          <w:lang w:val="en-US"/>
        </w:rPr>
        <w:t xml:space="preserve">, </w:t>
      </w:r>
      <w:r w:rsidRPr="00812E8B">
        <w:rPr>
          <w:lang w:val="en-US"/>
        </w:rPr>
        <w:t>the cost-to-income ratio is used</w:t>
      </w:r>
      <w:r w:rsidR="007D4E85" w:rsidRPr="00812E8B">
        <w:rPr>
          <w:lang w:val="en-US"/>
        </w:rPr>
        <w:t>,</w:t>
      </w:r>
      <w:r w:rsidRPr="00812E8B">
        <w:rPr>
          <w:lang w:val="en-US"/>
        </w:rPr>
        <w:t xml:space="preserve"> to measure banks’ operational efficiency. The cost-to-income ratio </w:t>
      </w:r>
      <w:r w:rsidR="00290C48" w:rsidRPr="00812E8B">
        <w:rPr>
          <w:lang w:val="en-US"/>
        </w:rPr>
        <w:t xml:space="preserve">is </w:t>
      </w:r>
      <w:r w:rsidR="000036FE" w:rsidRPr="00812E8B">
        <w:rPr>
          <w:lang w:val="en-US"/>
        </w:rPr>
        <w:t>calculated by dividing</w:t>
      </w:r>
      <w:r w:rsidRPr="00812E8B">
        <w:rPr>
          <w:lang w:val="en-US"/>
        </w:rPr>
        <w:t xml:space="preserve"> the overhead costs (costs of operating a bank) to the income generated before provisions. Among others, </w:t>
      </w:r>
      <w:r w:rsidR="007D7CD9" w:rsidRPr="00812E8B">
        <w:rPr>
          <w:color w:val="365F91" w:themeColor="accent1" w:themeShade="BF"/>
          <w:lang w:val="en-US"/>
        </w:rPr>
        <w:t xml:space="preserve">Pasiouras and Kosmidou (2007), </w:t>
      </w:r>
      <w:r w:rsidR="00E34060" w:rsidRPr="00812E8B">
        <w:rPr>
          <w:color w:val="365F91" w:themeColor="accent1" w:themeShade="BF"/>
          <w:lang w:val="en-US"/>
        </w:rPr>
        <w:t xml:space="preserve">Athanasoglou et al. (2008) </w:t>
      </w:r>
      <w:r w:rsidR="00E34060" w:rsidRPr="00812E8B">
        <w:rPr>
          <w:lang w:val="en-US"/>
        </w:rPr>
        <w:t>and</w:t>
      </w:r>
      <w:r w:rsidR="001B30EB" w:rsidRPr="00812E8B">
        <w:rPr>
          <w:color w:val="365F91" w:themeColor="accent1" w:themeShade="BF"/>
          <w:lang w:val="en-US"/>
        </w:rPr>
        <w:t xml:space="preserve"> Dietrich and Wanzenried (2011) </w:t>
      </w:r>
      <w:r w:rsidR="00A24F31" w:rsidRPr="00812E8B">
        <w:rPr>
          <w:lang w:val="en-US"/>
        </w:rPr>
        <w:t xml:space="preserve">find that </w:t>
      </w:r>
      <w:r w:rsidR="007D4E85" w:rsidRPr="00812E8B">
        <w:rPr>
          <w:lang w:val="en-US"/>
        </w:rPr>
        <w:t xml:space="preserve">better </w:t>
      </w:r>
      <w:r w:rsidR="00A24F31" w:rsidRPr="00812E8B">
        <w:rPr>
          <w:lang w:val="en-US"/>
        </w:rPr>
        <w:t xml:space="preserve">efficiency is associated with higher profitability. </w:t>
      </w:r>
      <w:r w:rsidR="007D4E85" w:rsidRPr="00812E8B">
        <w:rPr>
          <w:lang w:val="en-US"/>
        </w:rPr>
        <w:t>Thus,</w:t>
      </w:r>
      <w:r w:rsidR="00A24F31" w:rsidRPr="00812E8B">
        <w:rPr>
          <w:lang w:val="en-US"/>
        </w:rPr>
        <w:t xml:space="preserve"> a negative sign between cost-to-income ratio</w:t>
      </w:r>
      <w:r w:rsidR="007D4E85" w:rsidRPr="00812E8B">
        <w:rPr>
          <w:lang w:val="en-US"/>
        </w:rPr>
        <w:t xml:space="preserve"> and banks’ profitability</w:t>
      </w:r>
      <w:r w:rsidR="00A24F31" w:rsidRPr="00812E8B">
        <w:rPr>
          <w:lang w:val="en-US"/>
        </w:rPr>
        <w:t xml:space="preserve"> is expected.</w:t>
      </w:r>
    </w:p>
    <w:p w:rsidR="009E2040" w:rsidRPr="00812E8B" w:rsidRDefault="009E2040" w:rsidP="001B0274">
      <w:pPr>
        <w:pStyle w:val="NoSpacing"/>
        <w:spacing w:line="276" w:lineRule="auto"/>
        <w:jc w:val="both"/>
        <w:rPr>
          <w:lang w:val="en-US"/>
        </w:rPr>
      </w:pPr>
    </w:p>
    <w:p w:rsidR="00194246" w:rsidRPr="00812E8B" w:rsidRDefault="00194246" w:rsidP="00194246">
      <w:pPr>
        <w:pStyle w:val="NoSpacing"/>
        <w:spacing w:line="276" w:lineRule="auto"/>
        <w:jc w:val="both"/>
        <w:rPr>
          <w:color w:val="FF0000"/>
          <w:lang w:val="en-US"/>
        </w:rPr>
      </w:pPr>
      <w:r w:rsidRPr="00812E8B">
        <w:rPr>
          <w:i/>
          <w:u w:val="single"/>
          <w:lang w:val="en-US"/>
        </w:rPr>
        <w:t>Growth of a bank</w:t>
      </w:r>
      <w:r w:rsidRPr="00812E8B">
        <w:rPr>
          <w:lang w:val="en-US"/>
        </w:rPr>
        <w:t xml:space="preserve">: </w:t>
      </w:r>
      <w:r w:rsidR="00B36E90" w:rsidRPr="00812E8B">
        <w:rPr>
          <w:lang w:val="en-US"/>
        </w:rPr>
        <w:t xml:space="preserve">The yearly growth in </w:t>
      </w:r>
      <w:r w:rsidR="00F305C4" w:rsidRPr="00812E8B">
        <w:rPr>
          <w:lang w:val="en-US"/>
        </w:rPr>
        <w:t xml:space="preserve">loans to customers is the </w:t>
      </w:r>
      <w:r w:rsidRPr="00812E8B">
        <w:rPr>
          <w:lang w:val="en-US"/>
        </w:rPr>
        <w:t>last bank-specific determinant of profitability that is examined</w:t>
      </w:r>
      <w:r w:rsidR="00F305C4" w:rsidRPr="00812E8B">
        <w:rPr>
          <w:lang w:val="en-US"/>
        </w:rPr>
        <w:t xml:space="preserve">. </w:t>
      </w:r>
      <w:r w:rsidRPr="00812E8B">
        <w:rPr>
          <w:lang w:val="en-US"/>
        </w:rPr>
        <w:t xml:space="preserve">Following </w:t>
      </w:r>
      <w:r w:rsidR="001B30EB" w:rsidRPr="00812E8B">
        <w:rPr>
          <w:color w:val="365F91" w:themeColor="accent1" w:themeShade="BF"/>
          <w:lang w:val="en-US"/>
        </w:rPr>
        <w:t xml:space="preserve">Dietrich and Wanzenried (2011) </w:t>
      </w:r>
      <w:r w:rsidR="00FF38E2" w:rsidRPr="00812E8B">
        <w:rPr>
          <w:lang w:val="en-US"/>
        </w:rPr>
        <w:t>a g</w:t>
      </w:r>
      <w:r w:rsidRPr="00812E8B">
        <w:rPr>
          <w:lang w:val="en-US"/>
        </w:rPr>
        <w:t xml:space="preserve">rowth in </w:t>
      </w:r>
      <w:r w:rsidR="005C1F64" w:rsidRPr="00812E8B">
        <w:rPr>
          <w:lang w:val="en-US"/>
        </w:rPr>
        <w:t>funding</w:t>
      </w:r>
      <w:r w:rsidRPr="00812E8B">
        <w:rPr>
          <w:lang w:val="en-US"/>
        </w:rPr>
        <w:t xml:space="preserve"> is only profitable for banks when </w:t>
      </w:r>
      <w:r w:rsidR="00FF38E2" w:rsidRPr="00812E8B">
        <w:rPr>
          <w:lang w:val="en-US"/>
        </w:rPr>
        <w:t xml:space="preserve">there </w:t>
      </w:r>
      <w:r w:rsidRPr="00812E8B">
        <w:rPr>
          <w:lang w:val="en-US"/>
        </w:rPr>
        <w:t>are investment opportunities, else said when the deposits could be converted into loans. Thus, a positive sign is expected.</w:t>
      </w:r>
    </w:p>
    <w:p w:rsidR="00194246" w:rsidRPr="00812E8B" w:rsidRDefault="00194246" w:rsidP="00194246">
      <w:pPr>
        <w:pStyle w:val="NoSpacing"/>
        <w:rPr>
          <w:lang w:val="en-US"/>
        </w:rPr>
      </w:pPr>
    </w:p>
    <w:p w:rsidR="00A24F31" w:rsidRPr="00812E8B" w:rsidRDefault="00A24F31" w:rsidP="00A24F31">
      <w:pPr>
        <w:pStyle w:val="Heading3"/>
        <w:rPr>
          <w:color w:val="auto"/>
          <w:lang w:val="en-US"/>
        </w:rPr>
      </w:pPr>
      <w:r w:rsidRPr="00812E8B">
        <w:rPr>
          <w:color w:val="auto"/>
          <w:lang w:val="en-US"/>
        </w:rPr>
        <w:t>4.2.2 I</w:t>
      </w:r>
      <w:r w:rsidR="00937B13" w:rsidRPr="00812E8B">
        <w:rPr>
          <w:color w:val="auto"/>
          <w:sz w:val="19"/>
          <w:szCs w:val="19"/>
          <w:lang w:val="en-US"/>
        </w:rPr>
        <w:t>NDUSTRY-SPECIFIC VARIABLES</w:t>
      </w:r>
    </w:p>
    <w:p w:rsidR="00D425E6" w:rsidRPr="00812E8B" w:rsidRDefault="001554FD" w:rsidP="001B797A">
      <w:pPr>
        <w:pStyle w:val="NoSpacing"/>
        <w:spacing w:line="276" w:lineRule="auto"/>
        <w:jc w:val="both"/>
        <w:rPr>
          <w:lang w:val="en-US"/>
        </w:rPr>
      </w:pPr>
      <w:r w:rsidRPr="00812E8B">
        <w:rPr>
          <w:lang w:val="en-US"/>
        </w:rPr>
        <w:t xml:space="preserve">Characteristics of the national banking sectors are used to control for variation in profitability arising by differences </w:t>
      </w:r>
      <w:r w:rsidR="007B4056" w:rsidRPr="00812E8B">
        <w:rPr>
          <w:lang w:val="en-US"/>
        </w:rPr>
        <w:t>between countries</w:t>
      </w:r>
      <w:r w:rsidRPr="00812E8B">
        <w:rPr>
          <w:lang w:val="en-US"/>
        </w:rPr>
        <w:t>. Furthermore, this section includes the ban</w:t>
      </w:r>
      <w:r w:rsidR="007B4056" w:rsidRPr="00812E8B">
        <w:rPr>
          <w:lang w:val="en-US"/>
        </w:rPr>
        <w:t>k size and ownership variables because t</w:t>
      </w:r>
      <w:r w:rsidRPr="00812E8B">
        <w:rPr>
          <w:lang w:val="en-US"/>
        </w:rPr>
        <w:t>hose variables are to some extent external</w:t>
      </w:r>
      <w:r w:rsidR="007B4056" w:rsidRPr="00812E8B">
        <w:rPr>
          <w:lang w:val="en-US"/>
        </w:rPr>
        <w:t xml:space="preserve">. Managers cannot change the variables </w:t>
      </w:r>
      <w:r w:rsidRPr="00812E8B">
        <w:rPr>
          <w:lang w:val="en-US"/>
        </w:rPr>
        <w:t xml:space="preserve">immediately </w:t>
      </w:r>
      <w:r w:rsidR="00085F46" w:rsidRPr="00812E8B">
        <w:rPr>
          <w:lang w:val="en-US"/>
        </w:rPr>
        <w:t>and</w:t>
      </w:r>
      <w:r w:rsidR="007B4056" w:rsidRPr="00812E8B">
        <w:rPr>
          <w:lang w:val="en-US"/>
        </w:rPr>
        <w:t xml:space="preserve"> they</w:t>
      </w:r>
      <w:r w:rsidR="00085F46" w:rsidRPr="00812E8B">
        <w:rPr>
          <w:lang w:val="en-US"/>
        </w:rPr>
        <w:t xml:space="preserve"> stand in relation to</w:t>
      </w:r>
      <w:r w:rsidR="00D94786" w:rsidRPr="00812E8B">
        <w:rPr>
          <w:lang w:val="en-US"/>
        </w:rPr>
        <w:t xml:space="preserve"> </w:t>
      </w:r>
      <w:r w:rsidR="007B4056" w:rsidRPr="00812E8B">
        <w:rPr>
          <w:lang w:val="en-US"/>
        </w:rPr>
        <w:t xml:space="preserve">the </w:t>
      </w:r>
      <w:r w:rsidR="00085F46" w:rsidRPr="00812E8B">
        <w:rPr>
          <w:lang w:val="en-US"/>
        </w:rPr>
        <w:t xml:space="preserve">characteristics of </w:t>
      </w:r>
      <w:r w:rsidR="007B4056" w:rsidRPr="00812E8B">
        <w:rPr>
          <w:lang w:val="en-US"/>
        </w:rPr>
        <w:t>the banks’</w:t>
      </w:r>
      <w:r w:rsidR="00085F46" w:rsidRPr="00812E8B">
        <w:rPr>
          <w:lang w:val="en-US"/>
        </w:rPr>
        <w:t xml:space="preserve"> </w:t>
      </w:r>
      <w:r w:rsidR="00D94786" w:rsidRPr="00812E8B">
        <w:rPr>
          <w:lang w:val="en-US"/>
        </w:rPr>
        <w:t>counterparts</w:t>
      </w:r>
      <w:r w:rsidR="00085F46" w:rsidRPr="00812E8B">
        <w:rPr>
          <w:lang w:val="en-US"/>
        </w:rPr>
        <w:t>.</w:t>
      </w:r>
    </w:p>
    <w:p w:rsidR="00085F46" w:rsidRPr="00812E8B" w:rsidRDefault="00085F46" w:rsidP="00085F46">
      <w:pPr>
        <w:pStyle w:val="NoSpacing"/>
        <w:spacing w:line="276" w:lineRule="auto"/>
        <w:jc w:val="both"/>
        <w:rPr>
          <w:i/>
          <w:u w:val="single"/>
          <w:lang w:val="en-US"/>
        </w:rPr>
      </w:pPr>
    </w:p>
    <w:p w:rsidR="00085F46" w:rsidRPr="00812E8B" w:rsidRDefault="00085F46" w:rsidP="00085F46">
      <w:pPr>
        <w:pStyle w:val="NoSpacing"/>
        <w:spacing w:line="276" w:lineRule="auto"/>
        <w:jc w:val="both"/>
        <w:rPr>
          <w:lang w:val="en-US"/>
        </w:rPr>
      </w:pPr>
      <w:r w:rsidRPr="00812E8B">
        <w:rPr>
          <w:i/>
          <w:u w:val="single"/>
          <w:lang w:val="en-US"/>
        </w:rPr>
        <w:t>Concentration:</w:t>
      </w:r>
      <w:r w:rsidRPr="00812E8B">
        <w:rPr>
          <w:i/>
          <w:lang w:val="en-US"/>
        </w:rPr>
        <w:t xml:space="preserve"> </w:t>
      </w:r>
      <w:r w:rsidRPr="00812E8B">
        <w:rPr>
          <w:lang w:val="en-US"/>
        </w:rPr>
        <w:t xml:space="preserve">An oft-examined </w:t>
      </w:r>
      <w:r w:rsidR="00E75AAD" w:rsidRPr="00812E8B">
        <w:rPr>
          <w:lang w:val="en-US"/>
        </w:rPr>
        <w:t xml:space="preserve">industry-specific variable </w:t>
      </w:r>
      <w:r w:rsidRPr="00812E8B">
        <w:rPr>
          <w:lang w:val="en-US"/>
        </w:rPr>
        <w:t>is the degree of concentration</w:t>
      </w:r>
      <w:r w:rsidR="00E75AAD" w:rsidRPr="00812E8B">
        <w:rPr>
          <w:lang w:val="en-US"/>
        </w:rPr>
        <w:t xml:space="preserve"> within each national banking sector. Concentration is</w:t>
      </w:r>
      <w:r w:rsidRPr="00812E8B">
        <w:rPr>
          <w:lang w:val="en-US"/>
        </w:rPr>
        <w:t xml:space="preserve"> measured by the Herfindahl-Hirschman index, which is the sum of the squares of all market shares. </w:t>
      </w:r>
      <w:r w:rsidR="006E495B" w:rsidRPr="00812E8B">
        <w:rPr>
          <w:lang w:val="en-US"/>
        </w:rPr>
        <w:t xml:space="preserve">An HH-index of 10,000 indicates that there is only one bank in the country while if the number of banks goes to infinite the HH-index will return to almost zero.  </w:t>
      </w:r>
      <w:r w:rsidRPr="00812E8B">
        <w:rPr>
          <w:lang w:val="en-US"/>
        </w:rPr>
        <w:t>Two different hypotheses predict a positive relationship between market concentration and banks’ profitability; the structure-conduct-performance (SCP) or market power hypothesis and the efficient-structure (ES) hypothesis. The first hypothesis state</w:t>
      </w:r>
      <w:r w:rsidR="00AE700C" w:rsidRPr="00812E8B">
        <w:rPr>
          <w:lang w:val="en-US"/>
        </w:rPr>
        <w:t>s</w:t>
      </w:r>
      <w:r w:rsidRPr="00812E8B">
        <w:rPr>
          <w:lang w:val="en-US"/>
        </w:rPr>
        <w:t xml:space="preserve"> that a higher market power results in non-competitive pricing and yields higher monopoly profits </w:t>
      </w:r>
      <w:r w:rsidR="00AE700C" w:rsidRPr="00812E8B">
        <w:rPr>
          <w:color w:val="365F91" w:themeColor="accent1" w:themeShade="BF"/>
          <w:lang w:val="en-US"/>
        </w:rPr>
        <w:t>(Goddard et al., 2007)</w:t>
      </w:r>
      <w:r w:rsidRPr="00812E8B">
        <w:rPr>
          <w:lang w:val="en-US"/>
        </w:rPr>
        <w:t xml:space="preserve">. The efficient hypothesis state that larger banks operate more efficient, thus in a more concentrated market there are more efficient and profitable banks </w:t>
      </w:r>
      <w:r w:rsidR="00AE700C" w:rsidRPr="00812E8B">
        <w:rPr>
          <w:color w:val="365F91" w:themeColor="accent1" w:themeShade="BF"/>
          <w:lang w:val="en-US"/>
        </w:rPr>
        <w:t>(Goddard et al., 2007)</w:t>
      </w:r>
      <w:r w:rsidRPr="00812E8B">
        <w:rPr>
          <w:color w:val="365F91" w:themeColor="accent1" w:themeShade="BF"/>
          <w:lang w:val="en-US"/>
        </w:rPr>
        <w:t xml:space="preserve">. </w:t>
      </w:r>
      <w:r w:rsidR="00E93D5A" w:rsidRPr="00812E8B">
        <w:rPr>
          <w:lang w:val="en-US"/>
        </w:rPr>
        <w:t xml:space="preserve">The empirical part of this thesis test whether a positive sign of concentration is present. </w:t>
      </w:r>
    </w:p>
    <w:p w:rsidR="00194246" w:rsidRPr="00812E8B" w:rsidRDefault="00194246" w:rsidP="00085F46">
      <w:pPr>
        <w:pStyle w:val="NoSpacing"/>
        <w:spacing w:line="276" w:lineRule="auto"/>
        <w:jc w:val="both"/>
        <w:rPr>
          <w:lang w:val="en-US"/>
        </w:rPr>
      </w:pPr>
    </w:p>
    <w:p w:rsidR="00D55B03" w:rsidRPr="00812E8B" w:rsidRDefault="00A24F31" w:rsidP="001B797A">
      <w:pPr>
        <w:pStyle w:val="NoSpacing"/>
        <w:spacing w:line="276" w:lineRule="auto"/>
        <w:jc w:val="both"/>
        <w:rPr>
          <w:lang w:val="en-US"/>
        </w:rPr>
      </w:pPr>
      <w:r w:rsidRPr="00812E8B">
        <w:rPr>
          <w:i/>
          <w:u w:val="single"/>
          <w:lang w:val="en-US"/>
        </w:rPr>
        <w:lastRenderedPageBreak/>
        <w:t>Size</w:t>
      </w:r>
      <w:r w:rsidR="00D55B03" w:rsidRPr="00812E8B">
        <w:rPr>
          <w:i/>
          <w:u w:val="single"/>
          <w:lang w:val="en-US"/>
        </w:rPr>
        <w:t>:</w:t>
      </w:r>
      <w:r w:rsidRPr="00812E8B">
        <w:rPr>
          <w:lang w:val="en-US"/>
        </w:rPr>
        <w:t xml:space="preserve"> </w:t>
      </w:r>
      <w:r w:rsidR="00D55B03" w:rsidRPr="00812E8B">
        <w:rPr>
          <w:lang w:val="en-US"/>
        </w:rPr>
        <w:t>There is consensus in academic literature that economies of scale and synergies arise up to a certain level</w:t>
      </w:r>
      <w:r w:rsidR="007A44EC" w:rsidRPr="00812E8B">
        <w:rPr>
          <w:lang w:val="en-US"/>
        </w:rPr>
        <w:t xml:space="preserve"> of size</w:t>
      </w:r>
      <w:r w:rsidR="00D55B03" w:rsidRPr="00812E8B">
        <w:rPr>
          <w:lang w:val="en-US"/>
        </w:rPr>
        <w:t xml:space="preserve">. Beyond that </w:t>
      </w:r>
      <w:r w:rsidR="007A44EC" w:rsidRPr="00812E8B">
        <w:rPr>
          <w:lang w:val="en-US"/>
        </w:rPr>
        <w:t>level,</w:t>
      </w:r>
      <w:r w:rsidR="00D55B03" w:rsidRPr="00812E8B">
        <w:rPr>
          <w:lang w:val="en-US"/>
        </w:rPr>
        <w:t xml:space="preserve"> financial organization</w:t>
      </w:r>
      <w:r w:rsidR="007A44EC" w:rsidRPr="00812E8B">
        <w:rPr>
          <w:lang w:val="en-US"/>
        </w:rPr>
        <w:t>s</w:t>
      </w:r>
      <w:r w:rsidR="00D55B03" w:rsidRPr="00812E8B">
        <w:rPr>
          <w:lang w:val="en-US"/>
        </w:rPr>
        <w:t xml:space="preserve"> become too complex </w:t>
      </w:r>
      <w:r w:rsidR="007D4E85" w:rsidRPr="00812E8B">
        <w:rPr>
          <w:lang w:val="en-US"/>
        </w:rPr>
        <w:t>to</w:t>
      </w:r>
      <w:r w:rsidR="00D55B03" w:rsidRPr="00812E8B">
        <w:rPr>
          <w:lang w:val="en-US"/>
        </w:rPr>
        <w:t xml:space="preserve"> manag</w:t>
      </w:r>
      <w:r w:rsidR="007D4E85" w:rsidRPr="00812E8B">
        <w:rPr>
          <w:lang w:val="en-US"/>
        </w:rPr>
        <w:t>e</w:t>
      </w:r>
      <w:r w:rsidR="00D55B03" w:rsidRPr="00812E8B">
        <w:rPr>
          <w:lang w:val="en-US"/>
        </w:rPr>
        <w:t xml:space="preserve"> and diseconomies of scale </w:t>
      </w:r>
      <w:r w:rsidR="007D4E85" w:rsidRPr="00812E8B">
        <w:rPr>
          <w:lang w:val="en-US"/>
        </w:rPr>
        <w:t>arise</w:t>
      </w:r>
      <w:r w:rsidR="00D55B03" w:rsidRPr="00812E8B">
        <w:rPr>
          <w:lang w:val="en-US"/>
        </w:rPr>
        <w:t xml:space="preserve">. The effect of size could therefore be </w:t>
      </w:r>
      <w:r w:rsidR="00571F23" w:rsidRPr="00812E8B">
        <w:rPr>
          <w:lang w:val="en-US"/>
        </w:rPr>
        <w:t>nonlinear;</w:t>
      </w:r>
      <w:r w:rsidR="00D55B03" w:rsidRPr="00812E8B">
        <w:rPr>
          <w:lang w:val="en-US"/>
        </w:rPr>
        <w:t xml:space="preserve"> </w:t>
      </w:r>
      <w:r w:rsidR="007D4E85" w:rsidRPr="00812E8B">
        <w:rPr>
          <w:lang w:val="en-US"/>
        </w:rPr>
        <w:t xml:space="preserve">meaning that </w:t>
      </w:r>
      <w:r w:rsidR="00D55B03" w:rsidRPr="00812E8B">
        <w:rPr>
          <w:lang w:val="en-US"/>
        </w:rPr>
        <w:t xml:space="preserve">profitability is likely to increase up to a certain </w:t>
      </w:r>
      <w:r w:rsidR="00571F23" w:rsidRPr="00812E8B">
        <w:rPr>
          <w:lang w:val="en-US"/>
        </w:rPr>
        <w:t>level</w:t>
      </w:r>
      <w:r w:rsidR="007A44EC" w:rsidRPr="00812E8B">
        <w:rPr>
          <w:lang w:val="en-US"/>
        </w:rPr>
        <w:t xml:space="preserve"> by achieving economies of scale</w:t>
      </w:r>
      <w:r w:rsidR="00D55B03" w:rsidRPr="00812E8B">
        <w:rPr>
          <w:lang w:val="en-US"/>
        </w:rPr>
        <w:t xml:space="preserve"> and</w:t>
      </w:r>
      <w:r w:rsidR="007A44EC" w:rsidRPr="00812E8B">
        <w:rPr>
          <w:lang w:val="en-US"/>
        </w:rPr>
        <w:t xml:space="preserve"> decline from a certain level in which banks become too complex and </w:t>
      </w:r>
      <w:r w:rsidR="00320B59" w:rsidRPr="00812E8B">
        <w:rPr>
          <w:lang w:val="en-US"/>
        </w:rPr>
        <w:t xml:space="preserve">bureaucratic. </w:t>
      </w:r>
      <w:r w:rsidR="006564B2" w:rsidRPr="00812E8B">
        <w:rPr>
          <w:lang w:val="en-US"/>
        </w:rPr>
        <w:t>Hence, the expected sign of the coefficient of bank size is unpredictable</w:t>
      </w:r>
      <w:r w:rsidR="007A44EC" w:rsidRPr="00812E8B">
        <w:rPr>
          <w:lang w:val="en-US"/>
        </w:rPr>
        <w:t xml:space="preserve"> based on academic literature</w:t>
      </w:r>
      <w:r w:rsidR="006564B2" w:rsidRPr="00812E8B">
        <w:rPr>
          <w:lang w:val="en-US"/>
        </w:rPr>
        <w:t xml:space="preserve">. </w:t>
      </w:r>
      <w:r w:rsidR="007A44EC" w:rsidRPr="00812E8B">
        <w:rPr>
          <w:lang w:val="en-US"/>
        </w:rPr>
        <w:t xml:space="preserve">In contrary to </w:t>
      </w:r>
      <w:r w:rsidR="001B30EB" w:rsidRPr="00812E8B">
        <w:rPr>
          <w:color w:val="365F91" w:themeColor="accent1" w:themeShade="BF"/>
          <w:lang w:val="en-US"/>
        </w:rPr>
        <w:t xml:space="preserve">Dietrich and Wanzenried (2011), </w:t>
      </w:r>
      <w:r w:rsidR="007A44EC" w:rsidRPr="00812E8B">
        <w:rPr>
          <w:lang w:val="en-US"/>
        </w:rPr>
        <w:t xml:space="preserve">this analysis do not use </w:t>
      </w:r>
      <w:r w:rsidR="00320B59" w:rsidRPr="00812E8B">
        <w:rPr>
          <w:lang w:val="en-US"/>
        </w:rPr>
        <w:t>dummy variables for size but use the logarithm of total asset</w:t>
      </w:r>
      <w:r w:rsidR="00AF0B23" w:rsidRPr="00812E8B">
        <w:rPr>
          <w:lang w:val="en-US"/>
        </w:rPr>
        <w:t xml:space="preserve"> </w:t>
      </w:r>
      <w:r w:rsidR="00320B59" w:rsidRPr="00812E8B">
        <w:rPr>
          <w:lang w:val="en-US"/>
        </w:rPr>
        <w:t>to</w:t>
      </w:r>
      <w:r w:rsidR="007D4E85" w:rsidRPr="00812E8B">
        <w:rPr>
          <w:lang w:val="en-US"/>
        </w:rPr>
        <w:t xml:space="preserve"> capture the </w:t>
      </w:r>
      <w:r w:rsidR="0085153A" w:rsidRPr="00812E8B">
        <w:rPr>
          <w:lang w:val="en-US"/>
        </w:rPr>
        <w:t xml:space="preserve">potential </w:t>
      </w:r>
      <w:r w:rsidR="007D4E85" w:rsidRPr="00812E8B">
        <w:rPr>
          <w:lang w:val="en-US"/>
        </w:rPr>
        <w:t>non-linear effect of size</w:t>
      </w:r>
      <w:r w:rsidR="0085153A" w:rsidRPr="00812E8B">
        <w:rPr>
          <w:lang w:val="en-US"/>
        </w:rPr>
        <w:t xml:space="preserve"> similar to </w:t>
      </w:r>
      <w:r w:rsidR="00E34060" w:rsidRPr="00812E8B">
        <w:rPr>
          <w:color w:val="365F91" w:themeColor="accent1" w:themeShade="BF"/>
          <w:lang w:val="en-US"/>
        </w:rPr>
        <w:t>Athanasoglou et al. (2008)</w:t>
      </w:r>
      <w:r w:rsidR="005B4F68" w:rsidRPr="00812E8B">
        <w:rPr>
          <w:lang w:val="en-US"/>
        </w:rPr>
        <w:t xml:space="preserve"> and</w:t>
      </w:r>
      <w:r w:rsidR="0085153A" w:rsidRPr="00812E8B">
        <w:rPr>
          <w:lang w:val="en-US"/>
        </w:rPr>
        <w:t xml:space="preserve"> </w:t>
      </w:r>
      <w:r w:rsidR="00881610" w:rsidRPr="00812E8B">
        <w:rPr>
          <w:color w:val="365F91" w:themeColor="accent1" w:themeShade="BF"/>
          <w:lang w:val="en-US"/>
        </w:rPr>
        <w:t>Trujillo-Ponce (2011)</w:t>
      </w:r>
      <w:r w:rsidR="00320B59" w:rsidRPr="00812E8B">
        <w:rPr>
          <w:lang w:val="en-US"/>
        </w:rPr>
        <w:t xml:space="preserve">. </w:t>
      </w:r>
    </w:p>
    <w:p w:rsidR="00D55B03" w:rsidRPr="00812E8B" w:rsidRDefault="00D55B03" w:rsidP="00D55B03">
      <w:pPr>
        <w:pStyle w:val="NoSpacing"/>
        <w:rPr>
          <w:lang w:val="en-US"/>
        </w:rPr>
      </w:pPr>
    </w:p>
    <w:p w:rsidR="008B3343" w:rsidRPr="00812E8B" w:rsidRDefault="00D55B03" w:rsidP="00393AA1">
      <w:pPr>
        <w:pStyle w:val="NoSpacing"/>
        <w:spacing w:line="276" w:lineRule="auto"/>
        <w:jc w:val="both"/>
        <w:rPr>
          <w:lang w:val="en-US"/>
        </w:rPr>
      </w:pPr>
      <w:r w:rsidRPr="00812E8B">
        <w:rPr>
          <w:i/>
          <w:u w:val="single"/>
          <w:lang w:val="en-US"/>
        </w:rPr>
        <w:t>Ownership structure:</w:t>
      </w:r>
      <w:r w:rsidRPr="00812E8B">
        <w:rPr>
          <w:lang w:val="en-US"/>
        </w:rPr>
        <w:t xml:space="preserve"> </w:t>
      </w:r>
      <w:r w:rsidR="00393AA1" w:rsidRPr="00812E8B">
        <w:rPr>
          <w:lang w:val="en-US"/>
        </w:rPr>
        <w:t>To capture the potential effect of the ownership structure on ba</w:t>
      </w:r>
      <w:r w:rsidR="00AF0B23" w:rsidRPr="00812E8B">
        <w:rPr>
          <w:lang w:val="en-US"/>
        </w:rPr>
        <w:t>nks’ profitability</w:t>
      </w:r>
      <w:r w:rsidR="00D17876" w:rsidRPr="00812E8B">
        <w:rPr>
          <w:lang w:val="en-US"/>
        </w:rPr>
        <w:t xml:space="preserve">, banks are classified into three groups based on </w:t>
      </w:r>
      <w:r w:rsidR="00393AA1" w:rsidRPr="00812E8B">
        <w:rPr>
          <w:lang w:val="en-US"/>
        </w:rPr>
        <w:t>different ownership forms. Fi</w:t>
      </w:r>
      <w:r w:rsidR="00D425E6" w:rsidRPr="00812E8B">
        <w:rPr>
          <w:lang w:val="en-US"/>
        </w:rPr>
        <w:t xml:space="preserve">rst, a </w:t>
      </w:r>
      <w:r w:rsidR="00D17876" w:rsidRPr="00812E8B">
        <w:rPr>
          <w:lang w:val="en-US"/>
        </w:rPr>
        <w:t xml:space="preserve">category </w:t>
      </w:r>
      <w:r w:rsidR="00D425E6" w:rsidRPr="00812E8B">
        <w:rPr>
          <w:lang w:val="en-US"/>
        </w:rPr>
        <w:t>is</w:t>
      </w:r>
      <w:r w:rsidR="00C82446" w:rsidRPr="00812E8B">
        <w:rPr>
          <w:lang w:val="en-US"/>
        </w:rPr>
        <w:t xml:space="preserve"> created </w:t>
      </w:r>
      <w:r w:rsidR="00393AA1" w:rsidRPr="00812E8B">
        <w:rPr>
          <w:lang w:val="en-US"/>
        </w:rPr>
        <w:t>for</w:t>
      </w:r>
      <w:r w:rsidR="00D425E6" w:rsidRPr="00812E8B">
        <w:rPr>
          <w:lang w:val="en-US"/>
        </w:rPr>
        <w:t xml:space="preserve"> banks listed on a stock exchange (controlled by shareholders). Second</w:t>
      </w:r>
      <w:r w:rsidR="00393AA1" w:rsidRPr="00812E8B">
        <w:rPr>
          <w:lang w:val="en-US"/>
        </w:rPr>
        <w:t>,</w:t>
      </w:r>
      <w:r w:rsidR="00D425E6" w:rsidRPr="00812E8B">
        <w:rPr>
          <w:lang w:val="en-US"/>
        </w:rPr>
        <w:t xml:space="preserve"> </w:t>
      </w:r>
      <w:r w:rsidR="00393AA1" w:rsidRPr="00812E8B">
        <w:rPr>
          <w:lang w:val="en-US"/>
        </w:rPr>
        <w:t>banks organized in a</w:t>
      </w:r>
      <w:r w:rsidR="00C82446" w:rsidRPr="00812E8B">
        <w:rPr>
          <w:lang w:val="en-US"/>
        </w:rPr>
        <w:t xml:space="preserve"> mutual or</w:t>
      </w:r>
      <w:r w:rsidR="00393AA1" w:rsidRPr="00812E8B">
        <w:rPr>
          <w:lang w:val="en-US"/>
        </w:rPr>
        <w:t xml:space="preserve"> co-operative structure</w:t>
      </w:r>
      <w:r w:rsidR="00D17876" w:rsidRPr="00812E8B">
        <w:rPr>
          <w:lang w:val="en-US"/>
        </w:rPr>
        <w:t xml:space="preserve"> are classified </w:t>
      </w:r>
      <w:r w:rsidR="00FC4976" w:rsidRPr="00812E8B">
        <w:rPr>
          <w:lang w:val="en-US"/>
        </w:rPr>
        <w:t>into</w:t>
      </w:r>
      <w:r w:rsidR="00D17876" w:rsidRPr="00812E8B">
        <w:rPr>
          <w:lang w:val="en-US"/>
        </w:rPr>
        <w:t xml:space="preserve"> a separate group</w:t>
      </w:r>
      <w:r w:rsidR="00C82446" w:rsidRPr="00812E8B">
        <w:rPr>
          <w:lang w:val="en-US"/>
        </w:rPr>
        <w:t xml:space="preserve">. </w:t>
      </w:r>
      <w:r w:rsidR="005B4F68" w:rsidRPr="00812E8B">
        <w:rPr>
          <w:lang w:val="en-US"/>
        </w:rPr>
        <w:t>Members or customers control these</w:t>
      </w:r>
      <w:r w:rsidR="00C82446" w:rsidRPr="00812E8B">
        <w:rPr>
          <w:lang w:val="en-US"/>
        </w:rPr>
        <w:t xml:space="preserve"> banks </w:t>
      </w:r>
      <w:r w:rsidR="005B4F68" w:rsidRPr="00812E8B">
        <w:rPr>
          <w:lang w:val="en-US"/>
        </w:rPr>
        <w:t xml:space="preserve">and are </w:t>
      </w:r>
      <w:r w:rsidR="00C82446" w:rsidRPr="00812E8B">
        <w:rPr>
          <w:lang w:val="en-US"/>
        </w:rPr>
        <w:t>rather</w:t>
      </w:r>
      <w:r w:rsidR="005B4F68" w:rsidRPr="00812E8B">
        <w:rPr>
          <w:lang w:val="en-US"/>
        </w:rPr>
        <w:t xml:space="preserve"> interested in </w:t>
      </w:r>
      <w:r w:rsidR="00C82446" w:rsidRPr="00812E8B">
        <w:rPr>
          <w:lang w:val="en-US"/>
        </w:rPr>
        <w:t>maximizing stakeholder value instead of shareholder value. Third,</w:t>
      </w:r>
      <w:r w:rsidR="00393AA1" w:rsidRPr="00812E8B">
        <w:rPr>
          <w:lang w:val="en-US"/>
        </w:rPr>
        <w:t xml:space="preserve"> a </w:t>
      </w:r>
      <w:r w:rsidR="00D17876" w:rsidRPr="00812E8B">
        <w:rPr>
          <w:lang w:val="en-US"/>
        </w:rPr>
        <w:t xml:space="preserve">group is created </w:t>
      </w:r>
      <w:r w:rsidR="00E75AAD" w:rsidRPr="00812E8B">
        <w:rPr>
          <w:lang w:val="en-US"/>
        </w:rPr>
        <w:t>for government-owned ban</w:t>
      </w:r>
      <w:r w:rsidR="00393AA1" w:rsidRPr="00812E8B">
        <w:rPr>
          <w:lang w:val="en-US"/>
        </w:rPr>
        <w:t>ks</w:t>
      </w:r>
      <w:r w:rsidR="004717B5" w:rsidRPr="00812E8B">
        <w:rPr>
          <w:lang w:val="en-US"/>
        </w:rPr>
        <w:t>.</w:t>
      </w:r>
      <w:r w:rsidR="00D17876" w:rsidRPr="00812E8B">
        <w:rPr>
          <w:lang w:val="en-US"/>
        </w:rPr>
        <w:t xml:space="preserve"> </w:t>
      </w:r>
      <w:r w:rsidR="00CC6F27" w:rsidRPr="00812E8B">
        <w:rPr>
          <w:lang w:val="en-US"/>
        </w:rPr>
        <w:t xml:space="preserve">From the three categories, the largest category (i.e. shareholder owned banks) </w:t>
      </w:r>
      <w:r w:rsidR="00FC4976" w:rsidRPr="00812E8B">
        <w:rPr>
          <w:lang w:val="en-US"/>
        </w:rPr>
        <w:t>is</w:t>
      </w:r>
      <w:r w:rsidR="00CC6F27" w:rsidRPr="00812E8B">
        <w:rPr>
          <w:lang w:val="en-US"/>
        </w:rPr>
        <w:t xml:space="preserve"> defined </w:t>
      </w:r>
      <w:r w:rsidR="00FC4976" w:rsidRPr="00812E8B">
        <w:rPr>
          <w:lang w:val="en-US"/>
        </w:rPr>
        <w:t>as</w:t>
      </w:r>
      <w:r w:rsidR="00CC6F27" w:rsidRPr="00812E8B">
        <w:rPr>
          <w:lang w:val="en-US"/>
        </w:rPr>
        <w:t xml:space="preserve"> the reference category. A dummy variable will not be assigned to the reference category but only to the stakeholder- and government owned banks</w:t>
      </w:r>
      <w:r w:rsidR="002810C6" w:rsidRPr="00812E8B">
        <w:rPr>
          <w:lang w:val="en-US"/>
        </w:rPr>
        <w:t xml:space="preserve"> in order</w:t>
      </w:r>
      <w:r w:rsidR="00CC6F27" w:rsidRPr="00812E8B">
        <w:rPr>
          <w:lang w:val="en-US"/>
        </w:rPr>
        <w:t xml:space="preserve"> to avoid </w:t>
      </w:r>
      <w:r w:rsidR="002810C6" w:rsidRPr="00812E8B">
        <w:rPr>
          <w:lang w:val="en-US"/>
        </w:rPr>
        <w:t>perfect multicollinearity between the dummy variables (mostly referred to</w:t>
      </w:r>
      <w:r w:rsidR="00B215FF" w:rsidRPr="00812E8B">
        <w:rPr>
          <w:lang w:val="en-US"/>
        </w:rPr>
        <w:t xml:space="preserve"> as</w:t>
      </w:r>
      <w:r w:rsidR="002810C6" w:rsidRPr="00812E8B">
        <w:rPr>
          <w:lang w:val="en-US"/>
        </w:rPr>
        <w:t xml:space="preserve"> the</w:t>
      </w:r>
      <w:r w:rsidR="00CC6F27" w:rsidRPr="00812E8B">
        <w:rPr>
          <w:lang w:val="en-US"/>
        </w:rPr>
        <w:t xml:space="preserve"> dummy variable trap</w:t>
      </w:r>
      <w:r w:rsidR="002810C6" w:rsidRPr="00812E8B">
        <w:rPr>
          <w:lang w:val="en-US"/>
        </w:rPr>
        <w:t>)</w:t>
      </w:r>
      <w:r w:rsidR="00CC6F27" w:rsidRPr="00812E8B">
        <w:rPr>
          <w:lang w:val="en-US"/>
        </w:rPr>
        <w:t xml:space="preserve">. </w:t>
      </w:r>
      <w:r w:rsidR="00393AA1" w:rsidRPr="00812E8B">
        <w:rPr>
          <w:lang w:val="en-US"/>
        </w:rPr>
        <w:t xml:space="preserve">Based on theoretical literature one should expect that </w:t>
      </w:r>
      <w:r w:rsidR="00D17876" w:rsidRPr="00812E8B">
        <w:rPr>
          <w:lang w:val="en-US"/>
        </w:rPr>
        <w:t>shareholder</w:t>
      </w:r>
      <w:r w:rsidR="00393AA1" w:rsidRPr="00812E8B">
        <w:rPr>
          <w:lang w:val="en-US"/>
        </w:rPr>
        <w:t xml:space="preserve"> controlled banks perform more efficient and are more profitable than government-owned and</w:t>
      </w:r>
      <w:r w:rsidR="00C82446" w:rsidRPr="00812E8B">
        <w:rPr>
          <w:lang w:val="en-US"/>
        </w:rPr>
        <w:t xml:space="preserve"> mutual or</w:t>
      </w:r>
      <w:r w:rsidR="00393AA1" w:rsidRPr="00812E8B">
        <w:rPr>
          <w:lang w:val="en-US"/>
        </w:rPr>
        <w:t xml:space="preserve"> co-operative banks. </w:t>
      </w:r>
      <w:r w:rsidR="00FC4976" w:rsidRPr="00812E8B">
        <w:rPr>
          <w:lang w:val="en-US"/>
        </w:rPr>
        <w:t>Nonetheless</w:t>
      </w:r>
      <w:r w:rsidR="00393AA1" w:rsidRPr="00812E8B">
        <w:rPr>
          <w:lang w:val="en-US"/>
        </w:rPr>
        <w:t>, t</w:t>
      </w:r>
      <w:r w:rsidR="00CC4F4C" w:rsidRPr="00812E8B">
        <w:rPr>
          <w:lang w:val="en-US"/>
        </w:rPr>
        <w:t xml:space="preserve">he literature review pointed </w:t>
      </w:r>
      <w:r w:rsidR="004717B5" w:rsidRPr="00812E8B">
        <w:rPr>
          <w:lang w:val="en-US"/>
        </w:rPr>
        <w:t>out that</w:t>
      </w:r>
      <w:r w:rsidR="00393AA1" w:rsidRPr="00812E8B">
        <w:rPr>
          <w:lang w:val="en-US"/>
        </w:rPr>
        <w:t xml:space="preserve"> empirical</w:t>
      </w:r>
      <w:r w:rsidR="004717B5" w:rsidRPr="00812E8B">
        <w:rPr>
          <w:lang w:val="en-US"/>
        </w:rPr>
        <w:t xml:space="preserve"> evidence whether the ownership structure affects profitability</w:t>
      </w:r>
      <w:r w:rsidR="00D17876" w:rsidRPr="00812E8B">
        <w:rPr>
          <w:lang w:val="en-US"/>
        </w:rPr>
        <w:t>,</w:t>
      </w:r>
      <w:r w:rsidR="004717B5" w:rsidRPr="00812E8B">
        <w:rPr>
          <w:lang w:val="en-US"/>
        </w:rPr>
        <w:t xml:space="preserve"> is mixed</w:t>
      </w:r>
      <w:r w:rsidR="0085153A" w:rsidRPr="00812E8B">
        <w:rPr>
          <w:lang w:val="en-US"/>
        </w:rPr>
        <w:t>. Findings depend</w:t>
      </w:r>
      <w:r w:rsidR="004717B5" w:rsidRPr="00812E8B">
        <w:rPr>
          <w:lang w:val="en-US"/>
        </w:rPr>
        <w:t xml:space="preserve"> on the sample and region of study</w:t>
      </w:r>
      <w:r w:rsidR="00393AA1" w:rsidRPr="00812E8B">
        <w:rPr>
          <w:lang w:val="en-US"/>
        </w:rPr>
        <w:t>.</w:t>
      </w:r>
      <w:r w:rsidR="00FC4976" w:rsidRPr="00812E8B">
        <w:rPr>
          <w:lang w:val="en-US"/>
        </w:rPr>
        <w:t xml:space="preserve"> This thesis hypothesize </w:t>
      </w:r>
      <w:r w:rsidR="005B4F68" w:rsidRPr="00812E8B">
        <w:rPr>
          <w:lang w:val="en-US"/>
        </w:rPr>
        <w:t xml:space="preserve">a negative sign for the two dummy variables </w:t>
      </w:r>
      <w:r w:rsidR="00FC4976" w:rsidRPr="00812E8B">
        <w:rPr>
          <w:lang w:val="en-US"/>
        </w:rPr>
        <w:t xml:space="preserve">based on the </w:t>
      </w:r>
      <w:r w:rsidR="005B4F68" w:rsidRPr="00812E8B">
        <w:rPr>
          <w:lang w:val="en-US"/>
        </w:rPr>
        <w:t xml:space="preserve">strong-bodied </w:t>
      </w:r>
      <w:r w:rsidR="00FC4976" w:rsidRPr="00812E8B">
        <w:rPr>
          <w:lang w:val="en-US"/>
        </w:rPr>
        <w:t xml:space="preserve">theoretical </w:t>
      </w:r>
      <w:r w:rsidR="005B4F68" w:rsidRPr="00812E8B">
        <w:rPr>
          <w:lang w:val="en-US"/>
        </w:rPr>
        <w:t xml:space="preserve">explanation of </w:t>
      </w:r>
      <w:r w:rsidR="00026D7B" w:rsidRPr="00812E8B">
        <w:rPr>
          <w:color w:val="365F91" w:themeColor="accent1" w:themeShade="BF"/>
          <w:lang w:val="en-US"/>
        </w:rPr>
        <w:t>Jensen and Meckling (1976).</w:t>
      </w:r>
    </w:p>
    <w:p w:rsidR="00AC4358" w:rsidRPr="00812E8B" w:rsidRDefault="00AC4358" w:rsidP="00AC4358">
      <w:pPr>
        <w:pStyle w:val="NoSpacing"/>
        <w:rPr>
          <w:sz w:val="20"/>
          <w:szCs w:val="20"/>
          <w:lang w:val="en-US"/>
        </w:rPr>
      </w:pPr>
    </w:p>
    <w:p w:rsidR="009E2040" w:rsidRPr="00812E8B" w:rsidRDefault="009E2040" w:rsidP="009E2040">
      <w:pPr>
        <w:pStyle w:val="Heading3"/>
        <w:rPr>
          <w:color w:val="auto"/>
          <w:lang w:val="en-US"/>
        </w:rPr>
      </w:pPr>
      <w:r w:rsidRPr="00812E8B">
        <w:rPr>
          <w:color w:val="auto"/>
          <w:lang w:val="en-US"/>
        </w:rPr>
        <w:t>4.2.3 M</w:t>
      </w:r>
      <w:r w:rsidR="00937B13" w:rsidRPr="00812E8B">
        <w:rPr>
          <w:color w:val="auto"/>
          <w:sz w:val="19"/>
          <w:szCs w:val="19"/>
          <w:lang w:val="en-US"/>
        </w:rPr>
        <w:t>ACROECONOMIC VARIABLES</w:t>
      </w:r>
    </w:p>
    <w:p w:rsidR="00184FB3" w:rsidRPr="00812E8B" w:rsidRDefault="009E2040" w:rsidP="00D414B5">
      <w:pPr>
        <w:pStyle w:val="NoSpacing"/>
        <w:spacing w:line="276" w:lineRule="auto"/>
        <w:jc w:val="both"/>
        <w:rPr>
          <w:lang w:val="en-US"/>
        </w:rPr>
      </w:pPr>
      <w:r w:rsidRPr="00812E8B">
        <w:rPr>
          <w:lang w:val="en-US"/>
        </w:rPr>
        <w:t xml:space="preserve">Among </w:t>
      </w:r>
      <w:r w:rsidR="00E67C72" w:rsidRPr="00812E8B">
        <w:rPr>
          <w:lang w:val="en-US"/>
        </w:rPr>
        <w:t>others,</w:t>
      </w:r>
      <w:r w:rsidRPr="00812E8B">
        <w:rPr>
          <w:lang w:val="en-US"/>
        </w:rPr>
        <w:t xml:space="preserve"> </w:t>
      </w:r>
      <w:r w:rsidR="001B30EB" w:rsidRPr="00812E8B">
        <w:rPr>
          <w:color w:val="365F91" w:themeColor="accent1" w:themeShade="BF"/>
          <w:lang w:val="en-US"/>
        </w:rPr>
        <w:t xml:space="preserve">Dietrich and Wanzenried (2011) </w:t>
      </w:r>
      <w:r w:rsidRPr="00812E8B">
        <w:rPr>
          <w:lang w:val="en-US"/>
        </w:rPr>
        <w:t xml:space="preserve">use several macroeconomic control variables that probably affect banks’ performance. The macroeconomic control variables are external for banks’ managers and uncontrollable. </w:t>
      </w:r>
      <w:r w:rsidR="005B4F68" w:rsidRPr="00812E8B">
        <w:rPr>
          <w:lang w:val="en-US"/>
        </w:rPr>
        <w:t xml:space="preserve">The growth of real gross domestic product (GDP) is </w:t>
      </w:r>
      <w:r w:rsidRPr="00812E8B">
        <w:rPr>
          <w:lang w:val="en-US"/>
        </w:rPr>
        <w:t>selected as</w:t>
      </w:r>
      <w:r w:rsidR="005B4F68" w:rsidRPr="00812E8B">
        <w:rPr>
          <w:lang w:val="en-US"/>
        </w:rPr>
        <w:t xml:space="preserve"> proxy for the business cycle and the effective tax rate as proxy for </w:t>
      </w:r>
      <w:r w:rsidRPr="00812E8B">
        <w:rPr>
          <w:lang w:val="en-US"/>
        </w:rPr>
        <w:t>differences in</w:t>
      </w:r>
      <w:r w:rsidR="005B4F68" w:rsidRPr="00812E8B">
        <w:rPr>
          <w:lang w:val="en-US"/>
        </w:rPr>
        <w:t xml:space="preserve"> the tax regime in different countries (the</w:t>
      </w:r>
      <w:r w:rsidRPr="00812E8B">
        <w:rPr>
          <w:lang w:val="en-US"/>
        </w:rPr>
        <w:t xml:space="preserve"> macroeconomic environment</w:t>
      </w:r>
      <w:r w:rsidR="005B4F68" w:rsidRPr="00812E8B">
        <w:rPr>
          <w:lang w:val="en-US"/>
        </w:rPr>
        <w:t>).</w:t>
      </w:r>
    </w:p>
    <w:p w:rsidR="00184FB3" w:rsidRPr="00812E8B" w:rsidRDefault="00184FB3" w:rsidP="00D414B5">
      <w:pPr>
        <w:pStyle w:val="NoSpacing"/>
        <w:spacing w:line="276" w:lineRule="auto"/>
        <w:jc w:val="both"/>
        <w:rPr>
          <w:lang w:val="en-US"/>
        </w:rPr>
      </w:pPr>
    </w:p>
    <w:p w:rsidR="00B36E90" w:rsidRPr="00812E8B" w:rsidRDefault="00184FB3" w:rsidP="00B84940">
      <w:pPr>
        <w:pStyle w:val="NoSpacing"/>
        <w:spacing w:line="276" w:lineRule="auto"/>
        <w:jc w:val="both"/>
        <w:rPr>
          <w:lang w:val="en-US"/>
        </w:rPr>
      </w:pPr>
      <w:r w:rsidRPr="00812E8B">
        <w:rPr>
          <w:i/>
          <w:u w:val="single"/>
          <w:lang w:val="en-US"/>
        </w:rPr>
        <w:t>Real GDP growth:</w:t>
      </w:r>
      <w:r w:rsidRPr="00812E8B">
        <w:rPr>
          <w:lang w:val="en-US"/>
        </w:rPr>
        <w:t xml:space="preserve"> Real GDP growth in </w:t>
      </w:r>
      <w:r w:rsidR="00E369D3" w:rsidRPr="00812E8B">
        <w:rPr>
          <w:lang w:val="en-US"/>
        </w:rPr>
        <w:t>percentages</w:t>
      </w:r>
      <w:r w:rsidRPr="00812E8B">
        <w:rPr>
          <w:lang w:val="en-US"/>
        </w:rPr>
        <w:t xml:space="preserve"> is examined </w:t>
      </w:r>
      <w:r w:rsidR="005A3EF2" w:rsidRPr="00812E8B">
        <w:rPr>
          <w:lang w:val="en-US"/>
        </w:rPr>
        <w:t xml:space="preserve">because </w:t>
      </w:r>
      <w:r w:rsidRPr="00812E8B">
        <w:rPr>
          <w:lang w:val="en-US"/>
        </w:rPr>
        <w:t>it is a proxy of the business cy</w:t>
      </w:r>
      <w:r w:rsidR="005A3EF2" w:rsidRPr="00812E8B">
        <w:rPr>
          <w:lang w:val="en-US"/>
        </w:rPr>
        <w:t>cle in which banks operate. H</w:t>
      </w:r>
      <w:r w:rsidRPr="00812E8B">
        <w:rPr>
          <w:lang w:val="en-US"/>
        </w:rPr>
        <w:t>ereby</w:t>
      </w:r>
      <w:r w:rsidR="005A3EF2" w:rsidRPr="00812E8B">
        <w:rPr>
          <w:lang w:val="en-US"/>
        </w:rPr>
        <w:t xml:space="preserve"> this variable</w:t>
      </w:r>
      <w:r w:rsidRPr="00812E8B">
        <w:rPr>
          <w:lang w:val="en-US"/>
        </w:rPr>
        <w:t xml:space="preserve"> controls </w:t>
      </w:r>
      <w:r w:rsidR="005A3EF2" w:rsidRPr="00812E8B">
        <w:rPr>
          <w:lang w:val="en-US"/>
        </w:rPr>
        <w:t>for</w:t>
      </w:r>
      <w:r w:rsidRPr="00812E8B">
        <w:rPr>
          <w:lang w:val="en-US"/>
        </w:rPr>
        <w:t xml:space="preserve"> </w:t>
      </w:r>
      <w:r w:rsidR="005A3EF2" w:rsidRPr="00812E8B">
        <w:rPr>
          <w:lang w:val="en-US"/>
        </w:rPr>
        <w:t xml:space="preserve">variance </w:t>
      </w:r>
      <w:r w:rsidRPr="00812E8B">
        <w:rPr>
          <w:lang w:val="en-US"/>
        </w:rPr>
        <w:t>in profitability due</w:t>
      </w:r>
      <w:r w:rsidR="005A3EF2" w:rsidRPr="00812E8B">
        <w:rPr>
          <w:lang w:val="en-US"/>
        </w:rPr>
        <w:t xml:space="preserve"> to differences in </w:t>
      </w:r>
      <w:r w:rsidRPr="00812E8B">
        <w:rPr>
          <w:lang w:val="en-US"/>
        </w:rPr>
        <w:t>business cycles</w:t>
      </w:r>
      <w:r w:rsidR="005A3EF2" w:rsidRPr="00812E8B">
        <w:rPr>
          <w:lang w:val="en-US"/>
        </w:rPr>
        <w:t xml:space="preserve"> between countries</w:t>
      </w:r>
      <w:r w:rsidRPr="00812E8B">
        <w:rPr>
          <w:lang w:val="en-US"/>
        </w:rPr>
        <w:t xml:space="preserve">. According to </w:t>
      </w:r>
      <w:r w:rsidR="00955C7E" w:rsidRPr="00812E8B">
        <w:rPr>
          <w:color w:val="365F91" w:themeColor="accent1" w:themeShade="BF"/>
          <w:lang w:val="en-US"/>
        </w:rPr>
        <w:t xml:space="preserve">Demirgüç-Kunt and Huizinga (1999), </w:t>
      </w:r>
      <w:r w:rsidR="00E34060" w:rsidRPr="00812E8B">
        <w:rPr>
          <w:color w:val="365F91" w:themeColor="accent1" w:themeShade="BF"/>
          <w:lang w:val="en-US"/>
        </w:rPr>
        <w:t xml:space="preserve">Athanasoglou et al. (2008) </w:t>
      </w:r>
      <w:r w:rsidR="00E34060" w:rsidRPr="00812E8B">
        <w:rPr>
          <w:lang w:val="en-US"/>
        </w:rPr>
        <w:t xml:space="preserve">and </w:t>
      </w:r>
      <w:r w:rsidR="001B30EB" w:rsidRPr="00812E8B">
        <w:rPr>
          <w:color w:val="365F91" w:themeColor="accent1" w:themeShade="BF"/>
          <w:lang w:val="en-US"/>
        </w:rPr>
        <w:t>Dietrich and Wanzenried (2011)</w:t>
      </w:r>
      <w:r w:rsidRPr="00812E8B">
        <w:rPr>
          <w:lang w:val="en-US"/>
        </w:rPr>
        <w:t xml:space="preserve"> the business cycle, with its up and downswings, influence the demand for borrowing. Following </w:t>
      </w:r>
      <w:r w:rsidR="000F17F0" w:rsidRPr="00812E8B">
        <w:rPr>
          <w:color w:val="365F91" w:themeColor="accent1" w:themeShade="BF"/>
          <w:lang w:val="en-US"/>
        </w:rPr>
        <w:t>Athanasoglou et al. (2008)</w:t>
      </w:r>
      <w:r w:rsidRPr="00812E8B">
        <w:rPr>
          <w:lang w:val="en-US"/>
        </w:rPr>
        <w:t xml:space="preserve"> cyclical downswings decrease the demand for borrowing and credit risk will increase due to uncertainty and volatility in the markets. Accordingly, during cyclical downswings the loan quality deteriorates and provision for non-repayments increase, lowering banks’ profitability. Hence, a positive relationship between real GDP growth and profitability is expected. In contrary to </w:t>
      </w:r>
      <w:r w:rsidR="000F17F0" w:rsidRPr="00812E8B">
        <w:rPr>
          <w:color w:val="365F91" w:themeColor="accent1" w:themeShade="BF"/>
          <w:lang w:val="en-US"/>
        </w:rPr>
        <w:t>García-Herrero, Gavilá and Santabárbara (2009)</w:t>
      </w:r>
      <w:r w:rsidRPr="00812E8B">
        <w:rPr>
          <w:color w:val="365F91" w:themeColor="accent1" w:themeShade="BF"/>
          <w:lang w:val="en-US"/>
        </w:rPr>
        <w:t xml:space="preserve"> </w:t>
      </w:r>
      <w:r w:rsidRPr="00812E8B">
        <w:rPr>
          <w:lang w:val="en-US"/>
        </w:rPr>
        <w:t>inflation is not separately examined as the real GDP growth captures inflation in the denominator.</w:t>
      </w:r>
      <w:r w:rsidR="00F305C4" w:rsidRPr="00812E8B">
        <w:rPr>
          <w:lang w:val="en-US"/>
        </w:rPr>
        <w:t xml:space="preserve"> </w:t>
      </w:r>
    </w:p>
    <w:p w:rsidR="00F305C4" w:rsidRPr="00812E8B" w:rsidRDefault="00F305C4" w:rsidP="00B84940">
      <w:pPr>
        <w:pStyle w:val="NoSpacing"/>
        <w:spacing w:line="276" w:lineRule="auto"/>
        <w:jc w:val="both"/>
        <w:rPr>
          <w:lang w:val="en-US"/>
        </w:rPr>
        <w:sectPr w:rsidR="00F305C4" w:rsidRPr="00812E8B" w:rsidSect="00D911B8">
          <w:headerReference w:type="default" r:id="rId22"/>
          <w:endnotePr>
            <w:numFmt w:val="decimal"/>
          </w:endnotePr>
          <w:pgSz w:w="11906" w:h="16838"/>
          <w:pgMar w:top="1417" w:right="1417" w:bottom="1417" w:left="1417" w:header="708" w:footer="708" w:gutter="0"/>
          <w:cols w:space="708"/>
          <w:titlePg/>
          <w:docGrid w:linePitch="360"/>
        </w:sectPr>
      </w:pPr>
    </w:p>
    <w:p w:rsidR="005C1F64" w:rsidRPr="00812E8B" w:rsidRDefault="005C1F64" w:rsidP="0078081A">
      <w:pPr>
        <w:pStyle w:val="Caption"/>
        <w:ind w:left="-450"/>
        <w:rPr>
          <w:lang w:val="en-US"/>
        </w:rPr>
      </w:pPr>
    </w:p>
    <w:p w:rsidR="005C1F64" w:rsidRPr="00812E8B" w:rsidRDefault="0078081A" w:rsidP="005C1F64">
      <w:pPr>
        <w:pStyle w:val="Caption"/>
        <w:ind w:left="-450"/>
        <w:rPr>
          <w:b w:val="0"/>
          <w:color w:val="auto"/>
          <w:lang w:val="en-US"/>
        </w:rPr>
      </w:pPr>
      <w:bookmarkStart w:id="27" w:name="_Toc305410554"/>
      <w:r w:rsidRPr="00812E8B">
        <w:rPr>
          <w:lang w:val="en-US"/>
        </w:rPr>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2</w:t>
      </w:r>
      <w:r w:rsidR="00D46A7F" w:rsidRPr="00812E8B">
        <w:rPr>
          <w:lang w:val="en-US"/>
        </w:rPr>
        <w:fldChar w:fldCharType="end"/>
      </w:r>
      <w:r w:rsidRPr="00812E8B">
        <w:rPr>
          <w:lang w:val="en-US"/>
        </w:rPr>
        <w:br/>
      </w:r>
      <w:r w:rsidRPr="00812E8B">
        <w:rPr>
          <w:b w:val="0"/>
          <w:color w:val="auto"/>
          <w:lang w:val="en-US"/>
        </w:rPr>
        <w:t>Selection of the determinants of profitability and used data source.</w:t>
      </w:r>
      <w:bookmarkEnd w:id="27"/>
    </w:p>
    <w:p w:rsidR="005C1F64" w:rsidRPr="00812E8B" w:rsidRDefault="005C1F64" w:rsidP="005C1F64">
      <w:pPr>
        <w:pStyle w:val="NoSpacing"/>
        <w:rPr>
          <w:sz w:val="8"/>
          <w:szCs w:val="8"/>
          <w:lang w:val="en-US"/>
        </w:rPr>
      </w:pPr>
    </w:p>
    <w:tbl>
      <w:tblPr>
        <w:tblW w:w="9992" w:type="dxa"/>
        <w:tblInd w:w="-432" w:type="dxa"/>
        <w:tblLook w:val="04A0"/>
      </w:tblPr>
      <w:tblGrid>
        <w:gridCol w:w="266"/>
        <w:gridCol w:w="3514"/>
        <w:gridCol w:w="3600"/>
        <w:gridCol w:w="1350"/>
        <w:gridCol w:w="1262"/>
      </w:tblGrid>
      <w:tr w:rsidR="0078081A" w:rsidRPr="00812E8B" w:rsidTr="00E22CAB">
        <w:trPr>
          <w:trHeight w:val="300"/>
        </w:trPr>
        <w:tc>
          <w:tcPr>
            <w:tcW w:w="3780" w:type="dxa"/>
            <w:gridSpan w:val="2"/>
            <w:tcBorders>
              <w:top w:val="single" w:sz="4" w:space="0" w:color="auto"/>
              <w:left w:val="nil"/>
              <w:bottom w:val="single" w:sz="4" w:space="0" w:color="auto"/>
              <w:right w:val="nil"/>
            </w:tcBorders>
            <w:shd w:val="clear" w:color="000000" w:fill="FFFFFF"/>
            <w:noWrap/>
            <w:vAlign w:val="bottom"/>
            <w:hideMark/>
          </w:tcPr>
          <w:p w:rsidR="0078081A" w:rsidRPr="00812E8B" w:rsidRDefault="0078081A" w:rsidP="0078081A">
            <w:pPr>
              <w:spacing w:after="0" w:line="240" w:lineRule="auto"/>
              <w:ind w:left="162" w:hanging="162"/>
              <w:rPr>
                <w:rFonts w:ascii="Calibri" w:eastAsia="Times New Roman" w:hAnsi="Calibri" w:cs="Times New Roman"/>
                <w:color w:val="000000"/>
                <w:lang w:val="en-US"/>
              </w:rPr>
            </w:pPr>
            <w:r w:rsidRPr="00812E8B">
              <w:rPr>
                <w:rFonts w:ascii="Calibri" w:eastAsia="Times New Roman" w:hAnsi="Calibri" w:cs="Times New Roman"/>
                <w:color w:val="000000"/>
                <w:lang w:val="en-US"/>
              </w:rPr>
              <w:t>Variables</w:t>
            </w:r>
          </w:p>
        </w:tc>
        <w:tc>
          <w:tcPr>
            <w:tcW w:w="3600" w:type="dxa"/>
            <w:tcBorders>
              <w:top w:val="single" w:sz="4" w:space="0" w:color="auto"/>
              <w:left w:val="nil"/>
              <w:bottom w:val="single" w:sz="4" w:space="0" w:color="auto"/>
              <w:right w:val="nil"/>
            </w:tcBorders>
            <w:shd w:val="clear" w:color="000000" w:fill="FFFFFF"/>
            <w:noWrap/>
            <w:vAlign w:val="bottom"/>
            <w:hideMark/>
          </w:tcPr>
          <w:p w:rsidR="0078081A" w:rsidRPr="00812E8B" w:rsidRDefault="0078081A" w:rsidP="0078081A">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Description</w:t>
            </w:r>
          </w:p>
        </w:tc>
        <w:tc>
          <w:tcPr>
            <w:tcW w:w="1350" w:type="dxa"/>
            <w:tcBorders>
              <w:top w:val="single" w:sz="4" w:space="0" w:color="auto"/>
              <w:left w:val="nil"/>
              <w:bottom w:val="single" w:sz="4" w:space="0" w:color="auto"/>
              <w:right w:val="nil"/>
            </w:tcBorders>
            <w:shd w:val="clear" w:color="000000" w:fill="FFFFFF"/>
            <w:noWrap/>
            <w:vAlign w:val="bottom"/>
            <w:hideMark/>
          </w:tcPr>
          <w:p w:rsidR="0078081A" w:rsidRPr="00812E8B" w:rsidRDefault="0078081A" w:rsidP="00492892">
            <w:pPr>
              <w:spacing w:after="0" w:line="240" w:lineRule="auto"/>
              <w:ind w:left="-288" w:right="-198"/>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Expected sign</w:t>
            </w:r>
          </w:p>
        </w:tc>
        <w:tc>
          <w:tcPr>
            <w:tcW w:w="1262" w:type="dxa"/>
            <w:tcBorders>
              <w:top w:val="single" w:sz="4" w:space="0" w:color="auto"/>
              <w:left w:val="nil"/>
              <w:bottom w:val="single" w:sz="4" w:space="0" w:color="auto"/>
              <w:right w:val="nil"/>
            </w:tcBorders>
            <w:shd w:val="clear" w:color="000000" w:fill="FFFFFF"/>
            <w:vAlign w:val="bottom"/>
          </w:tcPr>
          <w:p w:rsidR="0078081A" w:rsidRPr="00812E8B" w:rsidRDefault="0078081A" w:rsidP="00492892">
            <w:pPr>
              <w:spacing w:after="0" w:line="240" w:lineRule="auto"/>
              <w:ind w:right="-108"/>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Data source</w:t>
            </w:r>
          </w:p>
        </w:tc>
      </w:tr>
      <w:tr w:rsidR="0078081A" w:rsidRPr="00812E8B" w:rsidTr="00E22CAB">
        <w:trPr>
          <w:trHeight w:val="300"/>
        </w:trPr>
        <w:tc>
          <w:tcPr>
            <w:tcW w:w="3780" w:type="dxa"/>
            <w:gridSpan w:val="2"/>
            <w:tcBorders>
              <w:top w:val="nil"/>
              <w:left w:val="nil"/>
              <w:bottom w:val="nil"/>
              <w:right w:val="nil"/>
            </w:tcBorders>
            <w:shd w:val="clear" w:color="000000" w:fill="FFFFFF"/>
            <w:noWrap/>
            <w:vAlign w:val="bottom"/>
            <w:hideMark/>
          </w:tcPr>
          <w:p w:rsidR="0078081A" w:rsidRPr="00812E8B" w:rsidRDefault="0078081A" w:rsidP="005C1F64">
            <w:pPr>
              <w:spacing w:after="0" w:line="240" w:lineRule="auto"/>
              <w:ind w:right="-108"/>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Dependent variable: banks’ profitability </w:t>
            </w:r>
          </w:p>
        </w:tc>
        <w:tc>
          <w:tcPr>
            <w:tcW w:w="3600" w:type="dxa"/>
            <w:tcBorders>
              <w:top w:val="nil"/>
              <w:left w:val="nil"/>
              <w:bottom w:val="nil"/>
              <w:right w:val="nil"/>
            </w:tcBorders>
            <w:shd w:val="clear" w:color="000000" w:fill="FFFFFF"/>
            <w:noWrap/>
            <w:vAlign w:val="bottom"/>
            <w:hideMark/>
          </w:tcPr>
          <w:p w:rsidR="0078081A" w:rsidRPr="00812E8B" w:rsidRDefault="0078081A" w:rsidP="0078081A">
            <w:pPr>
              <w:spacing w:after="0" w:line="240" w:lineRule="auto"/>
              <w:jc w:val="right"/>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 </w:t>
            </w:r>
          </w:p>
        </w:tc>
        <w:tc>
          <w:tcPr>
            <w:tcW w:w="1350" w:type="dxa"/>
            <w:tcBorders>
              <w:top w:val="nil"/>
              <w:left w:val="nil"/>
              <w:bottom w:val="nil"/>
              <w:right w:val="nil"/>
            </w:tcBorders>
            <w:shd w:val="clear" w:color="000000" w:fill="FFFFFF"/>
            <w:noWrap/>
            <w:vAlign w:val="bottom"/>
            <w:hideMark/>
          </w:tcPr>
          <w:p w:rsidR="0078081A" w:rsidRPr="00812E8B" w:rsidRDefault="0078081A" w:rsidP="00FF1073">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vAlign w:val="bottom"/>
          </w:tcPr>
          <w:p w:rsidR="0078081A" w:rsidRPr="00812E8B" w:rsidRDefault="0078081A" w:rsidP="00FF1073">
            <w:pPr>
              <w:spacing w:after="0" w:line="240" w:lineRule="auto"/>
              <w:jc w:val="center"/>
              <w:rPr>
                <w:rFonts w:ascii="Calibri" w:eastAsia="Times New Roman" w:hAnsi="Calibri" w:cs="Times New Roman"/>
                <w:color w:val="000000"/>
                <w:lang w:val="en-US"/>
              </w:rPr>
            </w:pPr>
          </w:p>
        </w:tc>
      </w:tr>
      <w:tr w:rsidR="0078081A" w:rsidRPr="00812E8B" w:rsidTr="00E22CAB">
        <w:trPr>
          <w:trHeight w:val="300"/>
        </w:trPr>
        <w:tc>
          <w:tcPr>
            <w:tcW w:w="3780" w:type="dxa"/>
            <w:gridSpan w:val="2"/>
            <w:tcBorders>
              <w:top w:val="nil"/>
              <w:left w:val="nil"/>
              <w:bottom w:val="nil"/>
              <w:right w:val="nil"/>
            </w:tcBorders>
            <w:shd w:val="clear" w:color="000000" w:fill="FFFFFF"/>
            <w:noWrap/>
            <w:vAlign w:val="bottom"/>
            <w:hideMark/>
          </w:tcPr>
          <w:p w:rsidR="0078081A" w:rsidRPr="00812E8B" w:rsidRDefault="0078081A" w:rsidP="00FF1073">
            <w:pPr>
              <w:spacing w:after="0" w:line="240" w:lineRule="auto"/>
              <w:ind w:left="252"/>
              <w:rPr>
                <w:rFonts w:ascii="Calibri" w:eastAsia="Times New Roman" w:hAnsi="Calibri" w:cs="Times New Roman"/>
                <w:color w:val="000000"/>
                <w:lang w:val="en-US"/>
              </w:rPr>
            </w:pPr>
            <w:r w:rsidRPr="00812E8B">
              <w:rPr>
                <w:rFonts w:ascii="Calibri" w:eastAsia="Times New Roman" w:hAnsi="Calibri" w:cs="Times New Roman"/>
                <w:color w:val="000000"/>
                <w:lang w:val="en-US"/>
              </w:rPr>
              <w:t>ROAA</w:t>
            </w:r>
            <w:r w:rsidR="00FF1073" w:rsidRPr="00812E8B">
              <w:rPr>
                <w:rFonts w:ascii="Calibri" w:eastAsia="Times New Roman" w:hAnsi="Calibri" w:cs="Times New Roman"/>
                <w:color w:val="000000"/>
                <w:lang w:val="en-US"/>
              </w:rPr>
              <w:br/>
            </w:r>
          </w:p>
        </w:tc>
        <w:tc>
          <w:tcPr>
            <w:tcW w:w="3600" w:type="dxa"/>
            <w:tcBorders>
              <w:top w:val="nil"/>
              <w:left w:val="nil"/>
              <w:bottom w:val="nil"/>
              <w:right w:val="nil"/>
            </w:tcBorders>
            <w:shd w:val="clear" w:color="000000" w:fill="FFFFFF"/>
            <w:noWrap/>
            <w:vAlign w:val="bottom"/>
            <w:hideMark/>
          </w:tcPr>
          <w:p w:rsidR="0078081A" w:rsidRPr="00812E8B" w:rsidRDefault="0078081A" w:rsidP="00D414B5">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Return on average assets, net income divided by average asset</w:t>
            </w:r>
          </w:p>
        </w:tc>
        <w:tc>
          <w:tcPr>
            <w:tcW w:w="1350" w:type="dxa"/>
            <w:tcBorders>
              <w:top w:val="nil"/>
              <w:left w:val="nil"/>
              <w:bottom w:val="nil"/>
              <w:right w:val="nil"/>
            </w:tcBorders>
            <w:shd w:val="clear" w:color="000000" w:fill="FFFFFF"/>
            <w:noWrap/>
            <w:vAlign w:val="bottom"/>
            <w:hideMark/>
          </w:tcPr>
          <w:p w:rsidR="0078081A" w:rsidRPr="00812E8B" w:rsidRDefault="0078081A" w:rsidP="00FF1073">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vAlign w:val="bottom"/>
          </w:tcPr>
          <w:p w:rsidR="00FF1073" w:rsidRPr="00812E8B" w:rsidRDefault="00A1583F" w:rsidP="00FF1073">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r w:rsidR="00FF1073" w:rsidRPr="00812E8B">
              <w:rPr>
                <w:rFonts w:ascii="Calibri" w:eastAsia="Times New Roman" w:hAnsi="Calibri" w:cs="Times New Roman"/>
                <w:color w:val="000000"/>
                <w:lang w:val="en-US"/>
              </w:rPr>
              <w:br/>
            </w:r>
          </w:p>
        </w:tc>
      </w:tr>
      <w:tr w:rsidR="0078081A" w:rsidRPr="00812E8B" w:rsidTr="00E22CAB">
        <w:trPr>
          <w:trHeight w:val="300"/>
        </w:trPr>
        <w:tc>
          <w:tcPr>
            <w:tcW w:w="3780" w:type="dxa"/>
            <w:gridSpan w:val="2"/>
            <w:tcBorders>
              <w:top w:val="single" w:sz="4" w:space="0" w:color="auto"/>
              <w:left w:val="nil"/>
              <w:bottom w:val="single" w:sz="4" w:space="0" w:color="auto"/>
              <w:right w:val="nil"/>
            </w:tcBorders>
            <w:shd w:val="clear" w:color="000000" w:fill="FFFFFF"/>
            <w:noWrap/>
            <w:vAlign w:val="bottom"/>
            <w:hideMark/>
          </w:tcPr>
          <w:p w:rsidR="0078081A" w:rsidRPr="00812E8B" w:rsidRDefault="0078081A" w:rsidP="0078081A">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Independent variables</w:t>
            </w:r>
          </w:p>
        </w:tc>
        <w:tc>
          <w:tcPr>
            <w:tcW w:w="3600" w:type="dxa"/>
            <w:tcBorders>
              <w:top w:val="single" w:sz="4" w:space="0" w:color="auto"/>
              <w:left w:val="nil"/>
              <w:bottom w:val="single" w:sz="4" w:space="0" w:color="auto"/>
              <w:right w:val="nil"/>
            </w:tcBorders>
            <w:shd w:val="clear" w:color="000000" w:fill="FFFFFF"/>
            <w:noWrap/>
            <w:vAlign w:val="bottom"/>
            <w:hideMark/>
          </w:tcPr>
          <w:p w:rsidR="0078081A" w:rsidRPr="00812E8B" w:rsidRDefault="0078081A" w:rsidP="0078081A">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1350" w:type="dxa"/>
            <w:tcBorders>
              <w:top w:val="single" w:sz="4" w:space="0" w:color="auto"/>
              <w:left w:val="nil"/>
              <w:bottom w:val="single" w:sz="4" w:space="0" w:color="auto"/>
              <w:right w:val="nil"/>
            </w:tcBorders>
            <w:shd w:val="clear" w:color="000000" w:fill="FFFFFF"/>
            <w:noWrap/>
            <w:vAlign w:val="bottom"/>
            <w:hideMark/>
          </w:tcPr>
          <w:p w:rsidR="0078081A" w:rsidRPr="00812E8B" w:rsidRDefault="0078081A" w:rsidP="00FF1073">
            <w:pPr>
              <w:spacing w:after="0" w:line="240" w:lineRule="auto"/>
              <w:jc w:val="center"/>
              <w:rPr>
                <w:rFonts w:ascii="Calibri" w:eastAsia="Times New Roman" w:hAnsi="Calibri" w:cs="Times New Roman"/>
                <w:color w:val="000000"/>
                <w:lang w:val="en-US"/>
              </w:rPr>
            </w:pPr>
          </w:p>
        </w:tc>
        <w:tc>
          <w:tcPr>
            <w:tcW w:w="1262" w:type="dxa"/>
            <w:tcBorders>
              <w:top w:val="single" w:sz="4" w:space="0" w:color="auto"/>
              <w:left w:val="nil"/>
              <w:bottom w:val="single" w:sz="4" w:space="0" w:color="auto"/>
              <w:right w:val="nil"/>
            </w:tcBorders>
            <w:shd w:val="clear" w:color="000000" w:fill="FFFFFF"/>
            <w:vAlign w:val="bottom"/>
          </w:tcPr>
          <w:p w:rsidR="0078081A" w:rsidRPr="00812E8B" w:rsidRDefault="0078081A" w:rsidP="00FF1073">
            <w:pPr>
              <w:spacing w:after="0" w:line="240" w:lineRule="auto"/>
              <w:jc w:val="center"/>
              <w:rPr>
                <w:rFonts w:ascii="Calibri" w:eastAsia="Times New Roman" w:hAnsi="Calibri" w:cs="Times New Roman"/>
                <w:color w:val="000000"/>
                <w:lang w:val="en-US"/>
              </w:rPr>
            </w:pPr>
          </w:p>
        </w:tc>
      </w:tr>
      <w:tr w:rsidR="0078081A" w:rsidRPr="00812E8B" w:rsidTr="00E22CAB">
        <w:trPr>
          <w:trHeight w:val="300"/>
        </w:trPr>
        <w:tc>
          <w:tcPr>
            <w:tcW w:w="3780" w:type="dxa"/>
            <w:gridSpan w:val="2"/>
            <w:tcBorders>
              <w:top w:val="nil"/>
              <w:left w:val="nil"/>
              <w:bottom w:val="nil"/>
              <w:right w:val="nil"/>
            </w:tcBorders>
            <w:shd w:val="clear" w:color="000000" w:fill="FFFFFF"/>
            <w:noWrap/>
            <w:vAlign w:val="bottom"/>
            <w:hideMark/>
          </w:tcPr>
          <w:p w:rsidR="0078081A" w:rsidRPr="00812E8B" w:rsidRDefault="0078081A"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Bank-specific variables</w:t>
            </w:r>
          </w:p>
        </w:tc>
        <w:tc>
          <w:tcPr>
            <w:tcW w:w="3600" w:type="dxa"/>
            <w:tcBorders>
              <w:top w:val="nil"/>
              <w:left w:val="nil"/>
              <w:bottom w:val="nil"/>
              <w:right w:val="nil"/>
            </w:tcBorders>
            <w:shd w:val="clear" w:color="000000" w:fill="FFFFFF"/>
            <w:noWrap/>
            <w:vAlign w:val="bottom"/>
            <w:hideMark/>
          </w:tcPr>
          <w:p w:rsidR="0078081A" w:rsidRPr="00812E8B" w:rsidRDefault="0078081A"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1350" w:type="dxa"/>
            <w:tcBorders>
              <w:top w:val="nil"/>
              <w:left w:val="nil"/>
              <w:bottom w:val="nil"/>
              <w:right w:val="nil"/>
            </w:tcBorders>
            <w:shd w:val="clear" w:color="000000" w:fill="FFFFFF"/>
            <w:noWrap/>
            <w:vAlign w:val="bottom"/>
            <w:hideMark/>
          </w:tcPr>
          <w:p w:rsidR="0078081A" w:rsidRPr="00812E8B" w:rsidRDefault="0078081A" w:rsidP="00FF1073">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vAlign w:val="bottom"/>
          </w:tcPr>
          <w:p w:rsidR="0078081A" w:rsidRPr="00812E8B" w:rsidRDefault="0078081A" w:rsidP="00FF1073">
            <w:pPr>
              <w:spacing w:after="0" w:line="240" w:lineRule="auto"/>
              <w:jc w:val="center"/>
              <w:rPr>
                <w:rFonts w:ascii="Calibri" w:eastAsia="Times New Roman" w:hAnsi="Calibri" w:cs="Times New Roman"/>
                <w:color w:val="000000"/>
                <w:lang w:val="en-US"/>
              </w:rPr>
            </w:pPr>
          </w:p>
        </w:tc>
      </w:tr>
      <w:tr w:rsidR="0078081A" w:rsidRPr="00812E8B" w:rsidTr="00E22CAB">
        <w:trPr>
          <w:trHeight w:val="300"/>
        </w:trPr>
        <w:tc>
          <w:tcPr>
            <w:tcW w:w="266" w:type="dxa"/>
            <w:tcBorders>
              <w:top w:val="nil"/>
              <w:left w:val="nil"/>
              <w:bottom w:val="nil"/>
              <w:right w:val="nil"/>
            </w:tcBorders>
            <w:shd w:val="clear" w:color="000000" w:fill="FFFFFF"/>
            <w:noWrap/>
            <w:vAlign w:val="bottom"/>
            <w:hideMark/>
          </w:tcPr>
          <w:p w:rsidR="0078081A" w:rsidRPr="00812E8B" w:rsidRDefault="0078081A"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3514" w:type="dxa"/>
            <w:tcBorders>
              <w:top w:val="nil"/>
              <w:left w:val="nil"/>
              <w:bottom w:val="nil"/>
              <w:right w:val="nil"/>
            </w:tcBorders>
            <w:shd w:val="clear" w:color="000000" w:fill="FFFFFF"/>
            <w:noWrap/>
            <w:vAlign w:val="bottom"/>
            <w:hideMark/>
          </w:tcPr>
          <w:p w:rsidR="0078081A" w:rsidRPr="00812E8B" w:rsidRDefault="0078081A" w:rsidP="001D2249">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E</w:t>
            </w:r>
            <w:r w:rsidR="002E7343" w:rsidRPr="00812E8B">
              <w:rPr>
                <w:rFonts w:ascii="Calibri" w:eastAsia="Times New Roman" w:hAnsi="Calibri" w:cs="Times New Roman"/>
                <w:color w:val="000000"/>
                <w:lang w:val="en-US"/>
              </w:rPr>
              <w:t>q</w:t>
            </w:r>
            <w:r w:rsidRPr="00812E8B">
              <w:rPr>
                <w:rFonts w:ascii="Calibri" w:eastAsia="Times New Roman" w:hAnsi="Calibri" w:cs="Times New Roman"/>
                <w:color w:val="000000"/>
                <w:lang w:val="en-US"/>
              </w:rPr>
              <w:t xml:space="preserve">uity to total asset </w:t>
            </w:r>
            <w:r w:rsidR="0019243B" w:rsidRPr="00812E8B">
              <w:rPr>
                <w:rFonts w:ascii="Calibri" w:eastAsia="Times New Roman" w:hAnsi="Calibri" w:cs="Times New Roman"/>
                <w:color w:val="000000"/>
                <w:lang w:val="en-US"/>
              </w:rPr>
              <w:t>in %</w:t>
            </w:r>
            <w:r w:rsidR="00FF1073" w:rsidRPr="00812E8B">
              <w:rPr>
                <w:rFonts w:ascii="Calibri" w:eastAsia="Times New Roman" w:hAnsi="Calibri" w:cs="Times New Roman"/>
                <w:color w:val="000000"/>
                <w:lang w:val="en-US"/>
              </w:rPr>
              <w:br/>
            </w:r>
          </w:p>
        </w:tc>
        <w:tc>
          <w:tcPr>
            <w:tcW w:w="3600" w:type="dxa"/>
            <w:tcBorders>
              <w:top w:val="nil"/>
              <w:left w:val="nil"/>
              <w:bottom w:val="nil"/>
              <w:right w:val="nil"/>
            </w:tcBorders>
            <w:shd w:val="clear" w:color="000000" w:fill="FFFFFF"/>
            <w:noWrap/>
            <w:vAlign w:val="bottom"/>
            <w:hideMark/>
          </w:tcPr>
          <w:p w:rsidR="0078081A" w:rsidRPr="00812E8B" w:rsidRDefault="001D2249" w:rsidP="001D2249">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This ratio</w:t>
            </w:r>
            <w:r w:rsidR="002E7343" w:rsidRPr="00812E8B">
              <w:rPr>
                <w:rFonts w:ascii="Calibri" w:eastAsia="Times New Roman" w:hAnsi="Calibri" w:cs="Times New Roman"/>
                <w:color w:val="000000"/>
                <w:lang w:val="en-US"/>
              </w:rPr>
              <w:t xml:space="preserve"> </w:t>
            </w:r>
            <w:r w:rsidRPr="00812E8B">
              <w:rPr>
                <w:rFonts w:ascii="Calibri" w:eastAsia="Times New Roman" w:hAnsi="Calibri" w:cs="Times New Roman"/>
                <w:color w:val="000000"/>
                <w:lang w:val="en-US"/>
              </w:rPr>
              <w:t>is a measure</w:t>
            </w:r>
            <w:r w:rsidR="002E7343" w:rsidRPr="00812E8B">
              <w:rPr>
                <w:rFonts w:ascii="Calibri" w:eastAsia="Times New Roman" w:hAnsi="Calibri" w:cs="Times New Roman"/>
                <w:color w:val="000000"/>
                <w:lang w:val="en-US"/>
              </w:rPr>
              <w:t xml:space="preserve"> </w:t>
            </w:r>
            <w:r w:rsidRPr="00812E8B">
              <w:rPr>
                <w:rFonts w:ascii="Calibri" w:eastAsia="Times New Roman" w:hAnsi="Calibri" w:cs="Times New Roman"/>
                <w:color w:val="000000"/>
                <w:lang w:val="en-US"/>
              </w:rPr>
              <w:t xml:space="preserve">of </w:t>
            </w:r>
            <w:r w:rsidR="002E7343" w:rsidRPr="00812E8B">
              <w:rPr>
                <w:rFonts w:ascii="Calibri" w:eastAsia="Times New Roman" w:hAnsi="Calibri" w:cs="Times New Roman"/>
                <w:color w:val="000000"/>
                <w:lang w:val="en-US"/>
              </w:rPr>
              <w:t xml:space="preserve">the capital adequacy </w:t>
            </w:r>
            <w:r w:rsidR="00D414B5" w:rsidRPr="00812E8B">
              <w:rPr>
                <w:rFonts w:ascii="Calibri" w:eastAsia="Times New Roman" w:hAnsi="Calibri" w:cs="Times New Roman"/>
                <w:color w:val="000000"/>
                <w:lang w:val="en-US"/>
              </w:rPr>
              <w:t xml:space="preserve">and </w:t>
            </w:r>
            <w:r w:rsidR="000E7492" w:rsidRPr="00812E8B">
              <w:rPr>
                <w:rFonts w:ascii="Calibri" w:eastAsia="Times New Roman" w:hAnsi="Calibri" w:cs="Times New Roman"/>
                <w:color w:val="000000"/>
                <w:lang w:val="en-US"/>
              </w:rPr>
              <w:t>financial</w:t>
            </w:r>
            <w:r w:rsidR="00D414B5" w:rsidRPr="00812E8B">
              <w:rPr>
                <w:rFonts w:ascii="Calibri" w:eastAsia="Times New Roman" w:hAnsi="Calibri" w:cs="Times New Roman"/>
                <w:color w:val="000000"/>
                <w:lang w:val="en-US"/>
              </w:rPr>
              <w:t xml:space="preserve"> </w:t>
            </w:r>
            <w:r w:rsidR="002E7343" w:rsidRPr="00812E8B">
              <w:rPr>
                <w:rFonts w:ascii="Calibri" w:eastAsia="Times New Roman" w:hAnsi="Calibri" w:cs="Times New Roman"/>
                <w:color w:val="000000"/>
                <w:lang w:val="en-US"/>
              </w:rPr>
              <w:t>leverage</w:t>
            </w:r>
            <w:r w:rsidR="00D414B5" w:rsidRPr="00812E8B">
              <w:rPr>
                <w:rFonts w:ascii="Calibri" w:eastAsia="Times New Roman" w:hAnsi="Calibri" w:cs="Times New Roman"/>
                <w:color w:val="000000"/>
                <w:lang w:val="en-US"/>
              </w:rPr>
              <w:t>.</w:t>
            </w:r>
          </w:p>
        </w:tc>
        <w:tc>
          <w:tcPr>
            <w:tcW w:w="1350" w:type="dxa"/>
            <w:tcBorders>
              <w:top w:val="nil"/>
              <w:left w:val="nil"/>
              <w:bottom w:val="nil"/>
              <w:right w:val="nil"/>
            </w:tcBorders>
            <w:shd w:val="clear" w:color="000000" w:fill="FFFFFF"/>
            <w:vAlign w:val="bottom"/>
          </w:tcPr>
          <w:p w:rsidR="0078081A" w:rsidRPr="00812E8B" w:rsidRDefault="0078081A" w:rsidP="001D2249">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r w:rsidRPr="00812E8B">
              <w:rPr>
                <w:rFonts w:ascii="Calibri" w:eastAsia="Times New Roman" w:hAnsi="Calibri" w:cs="Times New Roman"/>
                <w:color w:val="000000"/>
                <w:lang w:val="en-US"/>
              </w:rPr>
              <w:br/>
            </w:r>
          </w:p>
        </w:tc>
        <w:tc>
          <w:tcPr>
            <w:tcW w:w="1262" w:type="dxa"/>
            <w:tcBorders>
              <w:top w:val="nil"/>
              <w:left w:val="nil"/>
              <w:bottom w:val="nil"/>
              <w:right w:val="nil"/>
            </w:tcBorders>
            <w:shd w:val="clear" w:color="000000" w:fill="FFFFFF"/>
            <w:noWrap/>
            <w:vAlign w:val="bottom"/>
            <w:hideMark/>
          </w:tcPr>
          <w:p w:rsidR="00DA4CB5" w:rsidRPr="00812E8B" w:rsidRDefault="00A1583F" w:rsidP="001D2249">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r w:rsidR="0078081A" w:rsidRPr="00812E8B">
              <w:rPr>
                <w:rFonts w:ascii="Calibri" w:eastAsia="Times New Roman" w:hAnsi="Calibri" w:cs="Times New Roman"/>
                <w:color w:val="000000"/>
                <w:lang w:val="en-US"/>
              </w:rPr>
              <w:br/>
            </w:r>
          </w:p>
        </w:tc>
      </w:tr>
      <w:tr w:rsidR="0078081A" w:rsidRPr="00812E8B" w:rsidTr="00E22CAB">
        <w:trPr>
          <w:trHeight w:val="887"/>
        </w:trPr>
        <w:tc>
          <w:tcPr>
            <w:tcW w:w="266" w:type="dxa"/>
            <w:tcBorders>
              <w:top w:val="nil"/>
              <w:left w:val="nil"/>
              <w:bottom w:val="nil"/>
              <w:right w:val="nil"/>
            </w:tcBorders>
            <w:shd w:val="clear" w:color="000000" w:fill="FFFFFF"/>
            <w:noWrap/>
            <w:vAlign w:val="bottom"/>
            <w:hideMark/>
          </w:tcPr>
          <w:p w:rsidR="0078081A" w:rsidRPr="00812E8B" w:rsidRDefault="0078081A"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3514" w:type="dxa"/>
            <w:tcBorders>
              <w:top w:val="nil"/>
              <w:left w:val="nil"/>
              <w:bottom w:val="nil"/>
              <w:right w:val="nil"/>
            </w:tcBorders>
            <w:shd w:val="clear" w:color="000000" w:fill="FFFFFF"/>
            <w:noWrap/>
            <w:vAlign w:val="bottom"/>
            <w:hideMark/>
          </w:tcPr>
          <w:p w:rsidR="00DA4CB5" w:rsidRPr="00812E8B" w:rsidRDefault="00DA4CB5"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Customer deposit to total </w:t>
            </w:r>
            <w:r w:rsidR="0019243B" w:rsidRPr="00812E8B">
              <w:rPr>
                <w:rFonts w:ascii="Calibri" w:eastAsia="Times New Roman" w:hAnsi="Calibri" w:cs="Times New Roman"/>
                <w:color w:val="000000"/>
                <w:lang w:val="en-US"/>
              </w:rPr>
              <w:t>funding (excluding derivatives) in %</w:t>
            </w:r>
          </w:p>
          <w:p w:rsidR="0078081A" w:rsidRPr="00812E8B" w:rsidRDefault="0078081A" w:rsidP="00D414B5">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DA4CB5" w:rsidRPr="00812E8B" w:rsidRDefault="00DA4CB5" w:rsidP="0019243B">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The ratio of deposits to total </w:t>
            </w:r>
            <w:r w:rsidR="0019243B" w:rsidRPr="00812E8B">
              <w:rPr>
                <w:rFonts w:ascii="Calibri" w:eastAsia="Times New Roman" w:hAnsi="Calibri" w:cs="Times New Roman"/>
                <w:color w:val="000000"/>
                <w:lang w:val="en-US"/>
              </w:rPr>
              <w:t>funding</w:t>
            </w:r>
            <w:r w:rsidRPr="00812E8B">
              <w:rPr>
                <w:rFonts w:ascii="Calibri" w:eastAsia="Times New Roman" w:hAnsi="Calibri" w:cs="Times New Roman"/>
                <w:color w:val="000000"/>
                <w:lang w:val="en-US"/>
              </w:rPr>
              <w:t xml:space="preserve"> (excluding derivatives) is a measure of </w:t>
            </w:r>
            <w:r w:rsidR="001D2249" w:rsidRPr="00812E8B">
              <w:rPr>
                <w:rFonts w:ascii="Calibri" w:eastAsia="Times New Roman" w:hAnsi="Calibri" w:cs="Times New Roman"/>
                <w:color w:val="000000"/>
                <w:lang w:val="en-US"/>
              </w:rPr>
              <w:t xml:space="preserve">the </w:t>
            </w:r>
            <w:r w:rsidRPr="00812E8B">
              <w:rPr>
                <w:rFonts w:ascii="Calibri" w:eastAsia="Times New Roman" w:hAnsi="Calibri" w:cs="Times New Roman"/>
                <w:color w:val="000000"/>
                <w:lang w:val="en-US"/>
              </w:rPr>
              <w:t xml:space="preserve">funding </w:t>
            </w:r>
            <w:r w:rsidR="000E7492" w:rsidRPr="00812E8B">
              <w:rPr>
                <w:rFonts w:ascii="Calibri" w:eastAsia="Times New Roman" w:hAnsi="Calibri" w:cs="Times New Roman"/>
                <w:color w:val="000000"/>
                <w:lang w:val="en-US"/>
              </w:rPr>
              <w:t>structure.</w:t>
            </w:r>
          </w:p>
        </w:tc>
        <w:tc>
          <w:tcPr>
            <w:tcW w:w="1350" w:type="dxa"/>
            <w:tcBorders>
              <w:top w:val="nil"/>
              <w:left w:val="nil"/>
              <w:bottom w:val="nil"/>
              <w:right w:val="nil"/>
            </w:tcBorders>
            <w:shd w:val="clear" w:color="000000" w:fill="FFFFFF"/>
            <w:vAlign w:val="bottom"/>
          </w:tcPr>
          <w:p w:rsidR="00DA4CB5" w:rsidRPr="00812E8B" w:rsidRDefault="00DA4CB5" w:rsidP="00FF1073">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DA4CB5" w:rsidRPr="00812E8B" w:rsidRDefault="00DA4CB5" w:rsidP="00FF1073">
            <w:pPr>
              <w:spacing w:after="0" w:line="240" w:lineRule="auto"/>
              <w:jc w:val="center"/>
              <w:rPr>
                <w:rFonts w:ascii="Calibri" w:eastAsia="Times New Roman" w:hAnsi="Calibri" w:cs="Times New Roman"/>
                <w:color w:val="000000"/>
                <w:lang w:val="en-US"/>
              </w:rPr>
            </w:pPr>
          </w:p>
          <w:p w:rsidR="00DA4CB5" w:rsidRPr="00812E8B" w:rsidRDefault="00DA4CB5" w:rsidP="00DA4CB5">
            <w:pPr>
              <w:spacing w:after="0" w:line="240" w:lineRule="auto"/>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DA4CB5" w:rsidRPr="00812E8B" w:rsidRDefault="00A1583F" w:rsidP="00DA4C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DA4CB5" w:rsidRPr="00812E8B" w:rsidRDefault="00DA4CB5" w:rsidP="00DA4CB5">
            <w:pPr>
              <w:spacing w:after="0" w:line="240" w:lineRule="auto"/>
              <w:rPr>
                <w:rFonts w:ascii="Calibri" w:eastAsia="Times New Roman" w:hAnsi="Calibri" w:cs="Times New Roman"/>
                <w:color w:val="000000"/>
                <w:lang w:val="en-US"/>
              </w:rPr>
            </w:pPr>
          </w:p>
          <w:p w:rsidR="00DA4CB5" w:rsidRPr="00812E8B" w:rsidRDefault="00DA4CB5" w:rsidP="00DA4CB5">
            <w:pPr>
              <w:spacing w:after="0" w:line="240" w:lineRule="auto"/>
              <w:rPr>
                <w:rFonts w:ascii="Calibri" w:eastAsia="Times New Roman" w:hAnsi="Calibri" w:cs="Times New Roman"/>
                <w:color w:val="000000"/>
                <w:lang w:val="en-US"/>
              </w:rPr>
            </w:pPr>
          </w:p>
        </w:tc>
      </w:tr>
      <w:tr w:rsidR="00CF3AB4" w:rsidRPr="00812E8B" w:rsidTr="00E22CAB">
        <w:trPr>
          <w:trHeight w:val="914"/>
        </w:trPr>
        <w:tc>
          <w:tcPr>
            <w:tcW w:w="266" w:type="dxa"/>
            <w:tcBorders>
              <w:top w:val="nil"/>
              <w:left w:val="nil"/>
              <w:bottom w:val="nil"/>
              <w:right w:val="nil"/>
            </w:tcBorders>
            <w:shd w:val="clear" w:color="000000" w:fill="FFFFFF"/>
            <w:noWrap/>
            <w:vAlign w:val="bottom"/>
            <w:hideMark/>
          </w:tcPr>
          <w:p w:rsidR="00CF3AB4" w:rsidRPr="00812E8B" w:rsidRDefault="00CF3AB4"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3514" w:type="dxa"/>
            <w:tcBorders>
              <w:top w:val="nil"/>
              <w:left w:val="nil"/>
              <w:bottom w:val="nil"/>
              <w:right w:val="nil"/>
            </w:tcBorders>
            <w:shd w:val="clear" w:color="000000" w:fill="FFFFFF"/>
            <w:noWrap/>
            <w:vAlign w:val="bottom"/>
            <w:hideMark/>
          </w:tcPr>
          <w:p w:rsidR="009E49B7" w:rsidRPr="00812E8B" w:rsidRDefault="009E49B7"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Loan loss </w:t>
            </w:r>
            <w:r w:rsidR="00FF38E2" w:rsidRPr="00812E8B">
              <w:rPr>
                <w:rFonts w:ascii="Calibri" w:eastAsia="Times New Roman" w:hAnsi="Calibri" w:cs="Times New Roman"/>
                <w:color w:val="000000"/>
                <w:lang w:val="en-US"/>
              </w:rPr>
              <w:t>provision</w:t>
            </w:r>
            <w:r w:rsidRPr="00812E8B">
              <w:rPr>
                <w:rFonts w:ascii="Calibri" w:eastAsia="Times New Roman" w:hAnsi="Calibri" w:cs="Times New Roman"/>
                <w:color w:val="000000"/>
                <w:lang w:val="en-US"/>
              </w:rPr>
              <w:t xml:space="preserve"> </w:t>
            </w:r>
            <w:r w:rsidR="00CF3AB4" w:rsidRPr="00812E8B">
              <w:rPr>
                <w:rFonts w:ascii="Calibri" w:eastAsia="Times New Roman" w:hAnsi="Calibri" w:cs="Times New Roman"/>
                <w:color w:val="000000"/>
                <w:lang w:val="en-US"/>
              </w:rPr>
              <w:t xml:space="preserve">to </w:t>
            </w:r>
            <w:r w:rsidR="00FF38E2" w:rsidRPr="00812E8B">
              <w:rPr>
                <w:rFonts w:ascii="Calibri" w:eastAsia="Times New Roman" w:hAnsi="Calibri" w:cs="Times New Roman"/>
                <w:color w:val="000000"/>
                <w:lang w:val="en-US"/>
              </w:rPr>
              <w:t xml:space="preserve">net income revenue </w:t>
            </w:r>
            <w:r w:rsidR="0019243B" w:rsidRPr="00812E8B">
              <w:rPr>
                <w:rFonts w:ascii="Calibri" w:eastAsia="Times New Roman" w:hAnsi="Calibri" w:cs="Times New Roman"/>
                <w:color w:val="000000"/>
                <w:lang w:val="en-US"/>
              </w:rPr>
              <w:t>in %</w:t>
            </w:r>
          </w:p>
          <w:p w:rsidR="009E49B7" w:rsidRPr="00812E8B" w:rsidRDefault="009E49B7" w:rsidP="00D414B5">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CF3AB4" w:rsidRPr="00812E8B" w:rsidRDefault="001D2249" w:rsidP="00FF38E2">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The</w:t>
            </w:r>
            <w:r w:rsidR="000E7492" w:rsidRPr="00812E8B">
              <w:rPr>
                <w:rFonts w:ascii="Calibri" w:eastAsia="Times New Roman" w:hAnsi="Calibri" w:cs="Times New Roman"/>
                <w:color w:val="000000"/>
                <w:lang w:val="en-US"/>
              </w:rPr>
              <w:t xml:space="preserve"> quality of </w:t>
            </w:r>
            <w:r w:rsidRPr="00812E8B">
              <w:rPr>
                <w:rFonts w:ascii="Calibri" w:eastAsia="Times New Roman" w:hAnsi="Calibri" w:cs="Times New Roman"/>
                <w:color w:val="000000"/>
                <w:lang w:val="en-US"/>
              </w:rPr>
              <w:t>the</w:t>
            </w:r>
            <w:r w:rsidR="000E7492" w:rsidRPr="00812E8B">
              <w:rPr>
                <w:rFonts w:ascii="Calibri" w:eastAsia="Times New Roman" w:hAnsi="Calibri" w:cs="Times New Roman"/>
                <w:color w:val="000000"/>
                <w:lang w:val="en-US"/>
              </w:rPr>
              <w:t xml:space="preserve"> asset portfolio </w:t>
            </w:r>
            <w:r w:rsidRPr="00812E8B">
              <w:rPr>
                <w:rFonts w:ascii="Calibri" w:eastAsia="Times New Roman" w:hAnsi="Calibri" w:cs="Times New Roman"/>
                <w:color w:val="000000"/>
                <w:lang w:val="en-US"/>
              </w:rPr>
              <w:t>is a proxy for credit risk</w:t>
            </w:r>
            <w:r w:rsidR="000E7492" w:rsidRPr="00812E8B">
              <w:rPr>
                <w:rFonts w:ascii="Calibri" w:eastAsia="Times New Roman" w:hAnsi="Calibri" w:cs="Times New Roman"/>
                <w:color w:val="000000"/>
                <w:lang w:val="en-US"/>
              </w:rPr>
              <w:t xml:space="preserve">, measured by </w:t>
            </w:r>
            <w:r w:rsidRPr="00812E8B">
              <w:rPr>
                <w:rFonts w:ascii="Calibri" w:eastAsia="Times New Roman" w:hAnsi="Calibri" w:cs="Times New Roman"/>
                <w:color w:val="000000"/>
                <w:lang w:val="en-US"/>
              </w:rPr>
              <w:t xml:space="preserve">loan loss </w:t>
            </w:r>
            <w:r w:rsidR="00FF38E2" w:rsidRPr="00812E8B">
              <w:rPr>
                <w:rFonts w:ascii="Calibri" w:eastAsia="Times New Roman" w:hAnsi="Calibri" w:cs="Times New Roman"/>
                <w:color w:val="000000"/>
                <w:lang w:val="en-US"/>
              </w:rPr>
              <w:t>provision</w:t>
            </w:r>
            <w:r w:rsidRPr="00812E8B">
              <w:rPr>
                <w:rFonts w:ascii="Calibri" w:eastAsia="Times New Roman" w:hAnsi="Calibri" w:cs="Times New Roman"/>
                <w:color w:val="000000"/>
                <w:lang w:val="en-US"/>
              </w:rPr>
              <w:t xml:space="preserve"> to </w:t>
            </w:r>
            <w:r w:rsidR="00FF38E2" w:rsidRPr="00812E8B">
              <w:rPr>
                <w:rFonts w:ascii="Calibri" w:eastAsia="Times New Roman" w:hAnsi="Calibri" w:cs="Times New Roman"/>
                <w:color w:val="000000"/>
                <w:lang w:val="en-US"/>
              </w:rPr>
              <w:t>net interest rev.</w:t>
            </w:r>
          </w:p>
        </w:tc>
        <w:tc>
          <w:tcPr>
            <w:tcW w:w="1350" w:type="dxa"/>
            <w:tcBorders>
              <w:top w:val="nil"/>
              <w:left w:val="nil"/>
              <w:bottom w:val="nil"/>
              <w:right w:val="nil"/>
            </w:tcBorders>
            <w:shd w:val="clear" w:color="000000" w:fill="FFFFFF"/>
            <w:vAlign w:val="bottom"/>
          </w:tcPr>
          <w:p w:rsidR="00CF3AB4" w:rsidRPr="00812E8B" w:rsidRDefault="00976297" w:rsidP="00CF3AB4">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9E49B7" w:rsidRPr="00812E8B" w:rsidRDefault="009E49B7" w:rsidP="00CF3AB4">
            <w:pPr>
              <w:spacing w:after="0" w:line="240" w:lineRule="auto"/>
              <w:jc w:val="center"/>
              <w:rPr>
                <w:rFonts w:ascii="Calibri" w:eastAsia="Times New Roman" w:hAnsi="Calibri" w:cs="Times New Roman"/>
                <w:color w:val="000000"/>
                <w:lang w:val="en-US"/>
              </w:rPr>
            </w:pPr>
          </w:p>
          <w:p w:rsidR="009E49B7" w:rsidRPr="00812E8B" w:rsidRDefault="009E49B7" w:rsidP="00CF3AB4">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CF3AB4" w:rsidRPr="00812E8B" w:rsidRDefault="00A1583F" w:rsidP="008A6688">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9E49B7" w:rsidRPr="00812E8B" w:rsidRDefault="009E49B7" w:rsidP="008A6688">
            <w:pPr>
              <w:spacing w:after="0" w:line="240" w:lineRule="auto"/>
              <w:rPr>
                <w:rFonts w:ascii="Calibri" w:eastAsia="Times New Roman" w:hAnsi="Calibri" w:cs="Times New Roman"/>
                <w:color w:val="000000"/>
                <w:lang w:val="en-US"/>
              </w:rPr>
            </w:pPr>
          </w:p>
          <w:p w:rsidR="009E49B7" w:rsidRPr="00812E8B" w:rsidRDefault="009E49B7" w:rsidP="008A6688">
            <w:pPr>
              <w:spacing w:after="0" w:line="240" w:lineRule="auto"/>
              <w:rPr>
                <w:rFonts w:ascii="Calibri" w:eastAsia="Times New Roman" w:hAnsi="Calibri" w:cs="Times New Roman"/>
                <w:color w:val="000000"/>
                <w:lang w:val="en-US"/>
              </w:rPr>
            </w:pPr>
          </w:p>
        </w:tc>
      </w:tr>
      <w:tr w:rsidR="00CF3AB4" w:rsidRPr="00812E8B" w:rsidTr="00E22CAB">
        <w:trPr>
          <w:trHeight w:val="644"/>
        </w:trPr>
        <w:tc>
          <w:tcPr>
            <w:tcW w:w="266" w:type="dxa"/>
            <w:tcBorders>
              <w:top w:val="nil"/>
              <w:left w:val="nil"/>
              <w:bottom w:val="nil"/>
              <w:right w:val="nil"/>
            </w:tcBorders>
            <w:shd w:val="clear" w:color="000000" w:fill="FFFFFF"/>
            <w:noWrap/>
            <w:vAlign w:val="bottom"/>
            <w:hideMark/>
          </w:tcPr>
          <w:p w:rsidR="00CF3AB4" w:rsidRPr="00812E8B" w:rsidRDefault="00CF3AB4" w:rsidP="00D414B5">
            <w:pPr>
              <w:spacing w:after="0" w:line="240" w:lineRule="auto"/>
              <w:rPr>
                <w:rFonts w:ascii="Calibri" w:eastAsia="Times New Roman" w:hAnsi="Calibri" w:cs="Times New Roman"/>
                <w:color w:val="000000"/>
                <w:lang w:val="en-US"/>
              </w:rPr>
            </w:pPr>
          </w:p>
        </w:tc>
        <w:tc>
          <w:tcPr>
            <w:tcW w:w="3514" w:type="dxa"/>
            <w:tcBorders>
              <w:top w:val="nil"/>
              <w:left w:val="nil"/>
              <w:bottom w:val="nil"/>
              <w:right w:val="nil"/>
            </w:tcBorders>
            <w:shd w:val="clear" w:color="000000" w:fill="FFFFFF"/>
            <w:noWrap/>
            <w:vAlign w:val="bottom"/>
            <w:hideMark/>
          </w:tcPr>
          <w:p w:rsidR="000E7492" w:rsidRPr="00812E8B" w:rsidRDefault="00372CE0"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Liquid assets to </w:t>
            </w:r>
            <w:r w:rsidR="000E7492" w:rsidRPr="00812E8B">
              <w:rPr>
                <w:rFonts w:ascii="Calibri" w:eastAsia="Times New Roman" w:hAnsi="Calibri" w:cs="Times New Roman"/>
                <w:color w:val="000000"/>
                <w:lang w:val="en-US"/>
              </w:rPr>
              <w:t xml:space="preserve">customer deposits and </w:t>
            </w:r>
            <w:r w:rsidRPr="00812E8B">
              <w:rPr>
                <w:rFonts w:ascii="Calibri" w:eastAsia="Times New Roman" w:hAnsi="Calibri" w:cs="Times New Roman"/>
                <w:color w:val="000000"/>
                <w:lang w:val="en-US"/>
              </w:rPr>
              <w:t>short term funding</w:t>
            </w:r>
            <w:r w:rsidR="0019243B" w:rsidRPr="00812E8B">
              <w:rPr>
                <w:rFonts w:ascii="Calibri" w:eastAsia="Times New Roman" w:hAnsi="Calibri" w:cs="Times New Roman"/>
                <w:color w:val="000000"/>
                <w:lang w:val="en-US"/>
              </w:rPr>
              <w:t xml:space="preserve"> in %</w:t>
            </w:r>
          </w:p>
        </w:tc>
        <w:tc>
          <w:tcPr>
            <w:tcW w:w="3600" w:type="dxa"/>
            <w:tcBorders>
              <w:top w:val="nil"/>
              <w:left w:val="nil"/>
              <w:bottom w:val="nil"/>
              <w:right w:val="nil"/>
            </w:tcBorders>
            <w:shd w:val="clear" w:color="000000" w:fill="FFFFFF"/>
            <w:noWrap/>
            <w:vAlign w:val="bottom"/>
            <w:hideMark/>
          </w:tcPr>
          <w:p w:rsidR="000E7492" w:rsidRPr="00812E8B" w:rsidRDefault="000E7492" w:rsidP="000A2E64">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Liquidity risk is measured by dividing liquid assets </w:t>
            </w:r>
            <w:r w:rsidR="000A2E64" w:rsidRPr="00812E8B">
              <w:rPr>
                <w:rFonts w:ascii="Calibri" w:eastAsia="Times New Roman" w:hAnsi="Calibri" w:cs="Times New Roman"/>
                <w:color w:val="000000"/>
                <w:lang w:val="en-US"/>
              </w:rPr>
              <w:t>to liquid liabilities</w:t>
            </w:r>
          </w:p>
        </w:tc>
        <w:tc>
          <w:tcPr>
            <w:tcW w:w="1350" w:type="dxa"/>
            <w:tcBorders>
              <w:top w:val="nil"/>
              <w:left w:val="nil"/>
              <w:bottom w:val="nil"/>
              <w:right w:val="nil"/>
            </w:tcBorders>
            <w:shd w:val="clear" w:color="000000" w:fill="FFFFFF"/>
            <w:vAlign w:val="bottom"/>
          </w:tcPr>
          <w:p w:rsidR="00CF3AB4" w:rsidRPr="00812E8B" w:rsidRDefault="00372CE0" w:rsidP="00CF3AB4">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976297" w:rsidRPr="00812E8B" w:rsidRDefault="00976297" w:rsidP="00CF3AB4">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CF3AB4" w:rsidRPr="00812E8B" w:rsidRDefault="00A1583F" w:rsidP="008A6688">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r w:rsidR="00976297" w:rsidRPr="00812E8B">
              <w:rPr>
                <w:rFonts w:ascii="Calibri" w:eastAsia="Times New Roman" w:hAnsi="Calibri" w:cs="Times New Roman"/>
                <w:color w:val="000000"/>
                <w:lang w:val="en-US"/>
              </w:rPr>
              <w:br/>
            </w:r>
          </w:p>
        </w:tc>
      </w:tr>
      <w:tr w:rsidR="00984323" w:rsidRPr="00812E8B" w:rsidTr="00E22CAB">
        <w:trPr>
          <w:trHeight w:val="914"/>
        </w:trPr>
        <w:tc>
          <w:tcPr>
            <w:tcW w:w="266"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rPr>
                <w:rFonts w:ascii="Calibri" w:eastAsia="Times New Roman" w:hAnsi="Calibri" w:cs="Times New Roman"/>
                <w:color w:val="000000"/>
                <w:lang w:val="en-US"/>
              </w:rPr>
            </w:pPr>
          </w:p>
        </w:tc>
        <w:tc>
          <w:tcPr>
            <w:tcW w:w="3514"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Interest expense on customer deposits to total average </w:t>
            </w:r>
            <w:r w:rsidRPr="00812E8B">
              <w:rPr>
                <w:rFonts w:ascii="Calibri" w:eastAsia="Times New Roman" w:hAnsi="Calibri" w:cs="Times New Roman"/>
                <w:color w:val="000000"/>
                <w:lang w:val="en-US"/>
              </w:rPr>
              <w:br/>
              <w:t>customer deposits in %</w:t>
            </w:r>
          </w:p>
        </w:tc>
        <w:tc>
          <w:tcPr>
            <w:tcW w:w="3600"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Interest expense on customer deposits is a proxy for the funding costs of a bank.</w:t>
            </w:r>
          </w:p>
        </w:tc>
        <w:tc>
          <w:tcPr>
            <w:tcW w:w="1350" w:type="dxa"/>
            <w:tcBorders>
              <w:top w:val="nil"/>
              <w:left w:val="nil"/>
              <w:bottom w:val="nil"/>
              <w:right w:val="nil"/>
            </w:tcBorders>
            <w:shd w:val="clear" w:color="000000" w:fill="FFFFFF"/>
            <w:vAlign w:val="bottom"/>
          </w:tcPr>
          <w:p w:rsidR="00984323" w:rsidRPr="00812E8B" w:rsidRDefault="00984323" w:rsidP="00984323">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r w:rsidRPr="00812E8B">
              <w:rPr>
                <w:rFonts w:ascii="Calibri" w:eastAsia="Times New Roman" w:hAnsi="Calibri" w:cs="Times New Roman"/>
                <w:color w:val="000000"/>
                <w:lang w:val="en-US"/>
              </w:rPr>
              <w:br/>
            </w:r>
          </w:p>
          <w:p w:rsidR="00984323" w:rsidRPr="00812E8B" w:rsidRDefault="00984323" w:rsidP="00CF3AB4">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984323" w:rsidRPr="00812E8B" w:rsidRDefault="00A1583F" w:rsidP="008A6688">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984323" w:rsidRPr="00812E8B" w:rsidRDefault="00984323" w:rsidP="008A6688">
            <w:pPr>
              <w:spacing w:after="0" w:line="240" w:lineRule="auto"/>
              <w:rPr>
                <w:rFonts w:ascii="Calibri" w:eastAsia="Times New Roman" w:hAnsi="Calibri" w:cs="Times New Roman"/>
                <w:color w:val="000000"/>
                <w:lang w:val="en-US"/>
              </w:rPr>
            </w:pPr>
          </w:p>
          <w:p w:rsidR="00984323" w:rsidRPr="00812E8B" w:rsidRDefault="00984323" w:rsidP="008A6688">
            <w:pPr>
              <w:spacing w:after="0" w:line="240" w:lineRule="auto"/>
              <w:rPr>
                <w:rFonts w:ascii="Calibri" w:eastAsia="Times New Roman" w:hAnsi="Calibri" w:cs="Times New Roman"/>
                <w:color w:val="000000"/>
                <w:lang w:val="en-US"/>
              </w:rPr>
            </w:pPr>
          </w:p>
        </w:tc>
      </w:tr>
      <w:tr w:rsidR="00984323" w:rsidRPr="00812E8B" w:rsidTr="00E22CAB">
        <w:trPr>
          <w:trHeight w:val="869"/>
        </w:trPr>
        <w:tc>
          <w:tcPr>
            <w:tcW w:w="266"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rPr>
                <w:rFonts w:ascii="Calibri" w:eastAsia="Times New Roman" w:hAnsi="Calibri" w:cs="Times New Roman"/>
                <w:color w:val="000000"/>
                <w:lang w:val="en-US"/>
              </w:rPr>
            </w:pPr>
          </w:p>
        </w:tc>
        <w:tc>
          <w:tcPr>
            <w:tcW w:w="3514" w:type="dxa"/>
            <w:tcBorders>
              <w:top w:val="nil"/>
              <w:left w:val="nil"/>
              <w:bottom w:val="nil"/>
              <w:right w:val="nil"/>
            </w:tcBorders>
            <w:shd w:val="clear" w:color="000000" w:fill="FFFFFF"/>
            <w:noWrap/>
            <w:vAlign w:val="bottom"/>
            <w:hideMark/>
          </w:tcPr>
          <w:p w:rsidR="00984323" w:rsidRPr="00812E8B" w:rsidRDefault="00984323" w:rsidP="00984323">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Non-interest income to gross revenue in %</w:t>
            </w:r>
          </w:p>
          <w:p w:rsidR="000A2E64" w:rsidRPr="00812E8B" w:rsidRDefault="000A2E64" w:rsidP="00984323">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984323" w:rsidRPr="00812E8B" w:rsidRDefault="000A2E64" w:rsidP="000A2E64">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This ratio is a proxy </w:t>
            </w:r>
            <w:r w:rsidR="00984323" w:rsidRPr="00812E8B">
              <w:rPr>
                <w:rFonts w:ascii="Calibri" w:eastAsia="Times New Roman" w:hAnsi="Calibri" w:cs="Times New Roman"/>
                <w:color w:val="000000"/>
                <w:lang w:val="en-US"/>
              </w:rPr>
              <w:t xml:space="preserve">for </w:t>
            </w:r>
            <w:r w:rsidRPr="00812E8B">
              <w:rPr>
                <w:rFonts w:ascii="Calibri" w:eastAsia="Times New Roman" w:hAnsi="Calibri" w:cs="Times New Roman"/>
                <w:color w:val="000000"/>
                <w:lang w:val="en-US"/>
              </w:rPr>
              <w:t xml:space="preserve">the </w:t>
            </w:r>
            <w:r w:rsidR="00984323" w:rsidRPr="00812E8B">
              <w:rPr>
                <w:rFonts w:ascii="Calibri" w:eastAsia="Times New Roman" w:hAnsi="Calibri" w:cs="Times New Roman"/>
                <w:color w:val="000000"/>
                <w:lang w:val="en-US"/>
              </w:rPr>
              <w:t>business model of bank in m</w:t>
            </w:r>
            <w:r w:rsidRPr="00812E8B">
              <w:rPr>
                <w:rFonts w:ascii="Calibri" w:eastAsia="Times New Roman" w:hAnsi="Calibri" w:cs="Times New Roman"/>
                <w:color w:val="000000"/>
                <w:lang w:val="en-US"/>
              </w:rPr>
              <w:t>easuring non-interest income (e.g. fees)</w:t>
            </w:r>
            <w:r w:rsidR="00984323" w:rsidRPr="00812E8B">
              <w:rPr>
                <w:rFonts w:ascii="Calibri" w:eastAsia="Times New Roman" w:hAnsi="Calibri" w:cs="Times New Roman"/>
                <w:color w:val="000000"/>
                <w:lang w:val="en-US"/>
              </w:rPr>
              <w:t>.</w:t>
            </w:r>
          </w:p>
        </w:tc>
        <w:tc>
          <w:tcPr>
            <w:tcW w:w="1350" w:type="dxa"/>
            <w:tcBorders>
              <w:top w:val="nil"/>
              <w:left w:val="nil"/>
              <w:bottom w:val="nil"/>
              <w:right w:val="nil"/>
            </w:tcBorders>
            <w:shd w:val="clear" w:color="000000" w:fill="FFFFFF"/>
            <w:vAlign w:val="bottom"/>
          </w:tcPr>
          <w:p w:rsidR="00984323" w:rsidRPr="00812E8B" w:rsidRDefault="00984323" w:rsidP="00984323">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0A2E64" w:rsidRPr="00812E8B" w:rsidRDefault="000A2E64" w:rsidP="00984323">
            <w:pPr>
              <w:spacing w:after="0" w:line="240" w:lineRule="auto"/>
              <w:jc w:val="center"/>
              <w:rPr>
                <w:rFonts w:ascii="Calibri" w:eastAsia="Times New Roman" w:hAnsi="Calibri" w:cs="Times New Roman"/>
                <w:color w:val="000000"/>
                <w:lang w:val="en-US"/>
              </w:rPr>
            </w:pPr>
          </w:p>
          <w:p w:rsidR="00984323" w:rsidRPr="00812E8B" w:rsidRDefault="00984323" w:rsidP="00984323">
            <w:pPr>
              <w:spacing w:after="0" w:line="240" w:lineRule="auto"/>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984323" w:rsidRPr="00812E8B" w:rsidRDefault="00A1583F" w:rsidP="00984323">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984323" w:rsidRPr="00812E8B" w:rsidRDefault="00984323" w:rsidP="00984323">
            <w:pPr>
              <w:spacing w:after="0" w:line="240" w:lineRule="auto"/>
              <w:rPr>
                <w:rFonts w:ascii="Calibri" w:eastAsia="Times New Roman" w:hAnsi="Calibri" w:cs="Times New Roman"/>
                <w:color w:val="000000"/>
                <w:lang w:val="en-US"/>
              </w:rPr>
            </w:pPr>
          </w:p>
          <w:p w:rsidR="000A2E64" w:rsidRPr="00812E8B" w:rsidRDefault="000A2E64" w:rsidP="00984323">
            <w:pPr>
              <w:spacing w:after="0" w:line="240" w:lineRule="auto"/>
              <w:rPr>
                <w:rFonts w:ascii="Calibri" w:eastAsia="Times New Roman" w:hAnsi="Calibri" w:cs="Times New Roman"/>
                <w:color w:val="000000"/>
                <w:lang w:val="en-US"/>
              </w:rPr>
            </w:pPr>
          </w:p>
        </w:tc>
      </w:tr>
      <w:tr w:rsidR="00984323" w:rsidRPr="00812E8B" w:rsidTr="00E22CAB">
        <w:trPr>
          <w:trHeight w:val="626"/>
        </w:trPr>
        <w:tc>
          <w:tcPr>
            <w:tcW w:w="266"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rPr>
                <w:rFonts w:ascii="Calibri" w:eastAsia="Times New Roman" w:hAnsi="Calibri" w:cs="Times New Roman"/>
                <w:color w:val="000000"/>
                <w:lang w:val="en-US"/>
              </w:rPr>
            </w:pPr>
          </w:p>
        </w:tc>
        <w:tc>
          <w:tcPr>
            <w:tcW w:w="3514"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Cost-to-income ratio in %</w:t>
            </w:r>
          </w:p>
          <w:p w:rsidR="00984323" w:rsidRPr="00812E8B" w:rsidRDefault="00984323" w:rsidP="00D414B5">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Cost-to-income ratio is a proxy for the operational efficiency of a bank. </w:t>
            </w:r>
          </w:p>
        </w:tc>
        <w:tc>
          <w:tcPr>
            <w:tcW w:w="1350" w:type="dxa"/>
            <w:tcBorders>
              <w:top w:val="nil"/>
              <w:left w:val="nil"/>
              <w:bottom w:val="nil"/>
              <w:right w:val="nil"/>
            </w:tcBorders>
            <w:shd w:val="clear" w:color="000000" w:fill="FFFFFF"/>
            <w:vAlign w:val="bottom"/>
          </w:tcPr>
          <w:p w:rsidR="00984323" w:rsidRPr="00812E8B" w:rsidRDefault="00984323" w:rsidP="00CF3AB4">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984323" w:rsidRPr="00812E8B" w:rsidRDefault="00984323" w:rsidP="00CF3AB4">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984323" w:rsidRPr="00812E8B" w:rsidRDefault="00A1583F" w:rsidP="008A6688">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984323" w:rsidRPr="00812E8B" w:rsidRDefault="00984323" w:rsidP="008A6688">
            <w:pPr>
              <w:spacing w:after="0" w:line="240" w:lineRule="auto"/>
              <w:rPr>
                <w:rFonts w:ascii="Calibri" w:eastAsia="Times New Roman" w:hAnsi="Calibri" w:cs="Times New Roman"/>
                <w:color w:val="000000"/>
                <w:lang w:val="en-US"/>
              </w:rPr>
            </w:pPr>
          </w:p>
        </w:tc>
      </w:tr>
      <w:tr w:rsidR="00377A6F" w:rsidRPr="00812E8B" w:rsidTr="00377A6F">
        <w:trPr>
          <w:trHeight w:val="918"/>
        </w:trPr>
        <w:tc>
          <w:tcPr>
            <w:tcW w:w="266" w:type="dxa"/>
            <w:tcBorders>
              <w:top w:val="nil"/>
              <w:left w:val="nil"/>
              <w:bottom w:val="nil"/>
              <w:right w:val="nil"/>
            </w:tcBorders>
            <w:shd w:val="clear" w:color="000000" w:fill="FFFFFF"/>
            <w:noWrap/>
            <w:vAlign w:val="bottom"/>
            <w:hideMark/>
          </w:tcPr>
          <w:p w:rsidR="00377A6F" w:rsidRPr="00812E8B" w:rsidRDefault="00377A6F" w:rsidP="00D414B5">
            <w:pPr>
              <w:spacing w:after="0" w:line="240" w:lineRule="auto"/>
              <w:rPr>
                <w:rFonts w:ascii="Calibri" w:eastAsia="Times New Roman" w:hAnsi="Calibri" w:cs="Times New Roman"/>
                <w:color w:val="000000"/>
                <w:lang w:val="en-US"/>
              </w:rPr>
            </w:pPr>
          </w:p>
        </w:tc>
        <w:tc>
          <w:tcPr>
            <w:tcW w:w="3514" w:type="dxa"/>
            <w:tcBorders>
              <w:top w:val="nil"/>
              <w:left w:val="nil"/>
              <w:bottom w:val="nil"/>
              <w:right w:val="nil"/>
            </w:tcBorders>
            <w:shd w:val="clear" w:color="000000" w:fill="FFFFFF"/>
            <w:noWrap/>
            <w:vAlign w:val="bottom"/>
            <w:hideMark/>
          </w:tcPr>
          <w:p w:rsidR="00377A6F" w:rsidRPr="00812E8B" w:rsidRDefault="00377A6F"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Growth of loans to customers in %</w:t>
            </w:r>
          </w:p>
          <w:p w:rsidR="00377A6F" w:rsidRPr="00812E8B" w:rsidRDefault="00377A6F" w:rsidP="00D414B5">
            <w:pPr>
              <w:spacing w:after="0" w:line="240" w:lineRule="auto"/>
              <w:rPr>
                <w:rFonts w:ascii="Calibri" w:eastAsia="Times New Roman" w:hAnsi="Calibri" w:cs="Times New Roman"/>
                <w:color w:val="000000"/>
                <w:lang w:val="en-US"/>
              </w:rPr>
            </w:pPr>
          </w:p>
          <w:p w:rsidR="00377A6F" w:rsidRPr="00812E8B" w:rsidRDefault="00377A6F" w:rsidP="00D414B5">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377A6F" w:rsidRPr="00812E8B" w:rsidRDefault="00377A6F" w:rsidP="00D414B5">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Growth of loans to customers is a proxy for the growth of a bank and its business.</w:t>
            </w:r>
          </w:p>
        </w:tc>
        <w:tc>
          <w:tcPr>
            <w:tcW w:w="1350" w:type="dxa"/>
            <w:tcBorders>
              <w:top w:val="nil"/>
              <w:left w:val="nil"/>
              <w:bottom w:val="nil"/>
              <w:right w:val="nil"/>
            </w:tcBorders>
            <w:shd w:val="clear" w:color="000000" w:fill="FFFFFF"/>
            <w:vAlign w:val="bottom"/>
          </w:tcPr>
          <w:p w:rsidR="00377A6F" w:rsidRPr="00812E8B" w:rsidRDefault="00377A6F" w:rsidP="00CF3AB4">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377A6F" w:rsidRPr="00812E8B" w:rsidRDefault="00377A6F" w:rsidP="00CF3AB4">
            <w:pPr>
              <w:spacing w:after="0" w:line="240" w:lineRule="auto"/>
              <w:jc w:val="center"/>
              <w:rPr>
                <w:rFonts w:ascii="Calibri" w:eastAsia="Times New Roman" w:hAnsi="Calibri" w:cs="Times New Roman"/>
                <w:color w:val="000000"/>
                <w:lang w:val="en-US"/>
              </w:rPr>
            </w:pPr>
          </w:p>
          <w:p w:rsidR="00377A6F" w:rsidRPr="00812E8B" w:rsidRDefault="00377A6F" w:rsidP="00CF3AB4">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377A6F" w:rsidRPr="00812E8B" w:rsidRDefault="00377A6F" w:rsidP="008A6688">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377A6F" w:rsidRPr="00812E8B" w:rsidRDefault="00377A6F" w:rsidP="008A6688">
            <w:pPr>
              <w:spacing w:after="0" w:line="240" w:lineRule="auto"/>
              <w:rPr>
                <w:rFonts w:ascii="Calibri" w:eastAsia="Times New Roman" w:hAnsi="Calibri" w:cs="Times New Roman"/>
                <w:color w:val="000000"/>
                <w:lang w:val="en-US"/>
              </w:rPr>
            </w:pPr>
          </w:p>
          <w:p w:rsidR="00377A6F" w:rsidRPr="00812E8B" w:rsidRDefault="00377A6F" w:rsidP="008A6688">
            <w:pPr>
              <w:spacing w:after="0" w:line="240" w:lineRule="auto"/>
              <w:rPr>
                <w:rFonts w:ascii="Calibri" w:eastAsia="Times New Roman" w:hAnsi="Calibri" w:cs="Times New Roman"/>
                <w:color w:val="000000"/>
                <w:lang w:val="en-US"/>
              </w:rPr>
            </w:pPr>
          </w:p>
        </w:tc>
      </w:tr>
      <w:tr w:rsidR="00984323" w:rsidRPr="00812E8B" w:rsidTr="00377A6F">
        <w:trPr>
          <w:trHeight w:val="270"/>
        </w:trPr>
        <w:tc>
          <w:tcPr>
            <w:tcW w:w="3780" w:type="dxa"/>
            <w:gridSpan w:val="2"/>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Industry-specific variables</w:t>
            </w:r>
          </w:p>
        </w:tc>
        <w:tc>
          <w:tcPr>
            <w:tcW w:w="3600" w:type="dxa"/>
            <w:tcBorders>
              <w:top w:val="nil"/>
              <w:left w:val="nil"/>
              <w:bottom w:val="nil"/>
              <w:right w:val="nil"/>
            </w:tcBorders>
            <w:shd w:val="clear" w:color="000000" w:fill="FFFFFF"/>
            <w:noWrap/>
            <w:vAlign w:val="bottom"/>
            <w:hideMark/>
          </w:tcPr>
          <w:p w:rsidR="00984323" w:rsidRPr="00812E8B" w:rsidRDefault="00984323" w:rsidP="00D414B5">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1350" w:type="dxa"/>
            <w:tcBorders>
              <w:top w:val="nil"/>
              <w:left w:val="nil"/>
              <w:bottom w:val="nil"/>
              <w:right w:val="nil"/>
            </w:tcBorders>
            <w:shd w:val="clear" w:color="000000" w:fill="FFFFFF"/>
            <w:noWrap/>
            <w:vAlign w:val="bottom"/>
            <w:hideMark/>
          </w:tcPr>
          <w:p w:rsidR="00984323" w:rsidRPr="00812E8B" w:rsidRDefault="00984323" w:rsidP="00FF1073">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vAlign w:val="bottom"/>
          </w:tcPr>
          <w:p w:rsidR="00984323" w:rsidRPr="00812E8B" w:rsidRDefault="00984323" w:rsidP="006564B2">
            <w:pPr>
              <w:spacing w:after="0" w:line="240" w:lineRule="auto"/>
              <w:rPr>
                <w:rFonts w:ascii="Calibri" w:eastAsia="Times New Roman" w:hAnsi="Calibri" w:cs="Times New Roman"/>
                <w:color w:val="000000"/>
                <w:lang w:val="en-US"/>
              </w:rPr>
            </w:pPr>
          </w:p>
        </w:tc>
      </w:tr>
      <w:tr w:rsidR="001D2249" w:rsidRPr="00812E8B" w:rsidTr="00E22CAB">
        <w:trPr>
          <w:trHeight w:val="300"/>
        </w:trPr>
        <w:tc>
          <w:tcPr>
            <w:tcW w:w="266" w:type="dxa"/>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p>
        </w:tc>
        <w:tc>
          <w:tcPr>
            <w:tcW w:w="3514" w:type="dxa"/>
            <w:tcBorders>
              <w:top w:val="nil"/>
              <w:left w:val="nil"/>
              <w:bottom w:val="nil"/>
              <w:right w:val="nil"/>
            </w:tcBorders>
            <w:shd w:val="clear" w:color="000000" w:fill="FFFFFF"/>
            <w:noWrap/>
            <w:vAlign w:val="bottom"/>
            <w:hideMark/>
          </w:tcPr>
          <w:p w:rsidR="001D2249" w:rsidRPr="00812E8B" w:rsidRDefault="001D2249" w:rsidP="001D2249">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Herfindahl-Hisrschman index</w:t>
            </w:r>
          </w:p>
          <w:p w:rsidR="001D2249" w:rsidRPr="00812E8B" w:rsidRDefault="001D2249" w:rsidP="001D2249">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1D2249" w:rsidRPr="00812E8B" w:rsidRDefault="001D2249" w:rsidP="001D2249">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HH is a measure of concentration within the banking sector</w:t>
            </w:r>
          </w:p>
        </w:tc>
        <w:tc>
          <w:tcPr>
            <w:tcW w:w="1350" w:type="dxa"/>
            <w:tcBorders>
              <w:top w:val="nil"/>
              <w:left w:val="nil"/>
              <w:bottom w:val="nil"/>
              <w:right w:val="nil"/>
            </w:tcBorders>
            <w:shd w:val="clear" w:color="000000" w:fill="FFFFFF"/>
            <w:vAlign w:val="bottom"/>
          </w:tcPr>
          <w:p w:rsidR="001D2249" w:rsidRPr="00812E8B" w:rsidRDefault="001D2249" w:rsidP="001D2249">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1D2249" w:rsidRPr="00812E8B" w:rsidRDefault="001D2249" w:rsidP="001D2249">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1D2249" w:rsidRPr="00812E8B" w:rsidRDefault="001D2249" w:rsidP="001D2249">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ECB</w:t>
            </w:r>
          </w:p>
          <w:p w:rsidR="001D2249" w:rsidRPr="00812E8B" w:rsidRDefault="001D2249" w:rsidP="001D2249">
            <w:pPr>
              <w:spacing w:after="0" w:line="240" w:lineRule="auto"/>
              <w:jc w:val="center"/>
              <w:rPr>
                <w:rFonts w:ascii="Calibri" w:eastAsia="Times New Roman" w:hAnsi="Calibri" w:cs="Times New Roman"/>
                <w:color w:val="000000"/>
                <w:lang w:val="en-US"/>
              </w:rPr>
            </w:pPr>
          </w:p>
        </w:tc>
      </w:tr>
      <w:tr w:rsidR="001D2249" w:rsidRPr="00812E8B" w:rsidTr="00E22CAB">
        <w:trPr>
          <w:trHeight w:val="914"/>
        </w:trPr>
        <w:tc>
          <w:tcPr>
            <w:tcW w:w="266" w:type="dxa"/>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3514" w:type="dxa"/>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xml:space="preserve">Logarithm of total asset </w:t>
            </w:r>
            <w:r w:rsidRPr="00812E8B">
              <w:rPr>
                <w:rFonts w:ascii="Calibri" w:eastAsia="Times New Roman" w:hAnsi="Calibri" w:cs="Times New Roman"/>
                <w:color w:val="000000"/>
                <w:lang w:val="en-US"/>
              </w:rPr>
              <w:br/>
            </w:r>
          </w:p>
          <w:p w:rsidR="001D2249" w:rsidRPr="00812E8B" w:rsidRDefault="001D2249" w:rsidP="00D414B5">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1D2249" w:rsidRPr="00812E8B" w:rsidRDefault="000A2E64" w:rsidP="00D414B5">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This ratio</w:t>
            </w:r>
            <w:r w:rsidR="001D2249" w:rsidRPr="00812E8B">
              <w:rPr>
                <w:rFonts w:ascii="Calibri" w:eastAsia="Times New Roman" w:hAnsi="Calibri" w:cs="Times New Roman"/>
                <w:color w:val="000000"/>
                <w:lang w:val="en-US"/>
              </w:rPr>
              <w:t xml:space="preserve"> a measure of bank size, to capture non-linear effects the natural logarithm is taken (ln).</w:t>
            </w:r>
          </w:p>
        </w:tc>
        <w:tc>
          <w:tcPr>
            <w:tcW w:w="1350" w:type="dxa"/>
            <w:tcBorders>
              <w:top w:val="nil"/>
              <w:left w:val="nil"/>
              <w:bottom w:val="nil"/>
              <w:right w:val="nil"/>
            </w:tcBorders>
            <w:shd w:val="clear" w:color="000000" w:fill="FFFFFF"/>
            <w:vAlign w:val="bottom"/>
          </w:tcPr>
          <w:p w:rsidR="001D2249" w:rsidRPr="00812E8B" w:rsidRDefault="001D2249" w:rsidP="00FF1073">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1D2249" w:rsidRPr="00812E8B" w:rsidRDefault="001D2249" w:rsidP="00FF1073">
            <w:pPr>
              <w:spacing w:after="0" w:line="240" w:lineRule="auto"/>
              <w:jc w:val="center"/>
              <w:rPr>
                <w:rFonts w:ascii="Calibri" w:eastAsia="Times New Roman" w:hAnsi="Calibri" w:cs="Times New Roman"/>
                <w:color w:val="000000"/>
                <w:lang w:val="en-US"/>
              </w:rPr>
            </w:pPr>
          </w:p>
          <w:p w:rsidR="001D2249" w:rsidRPr="00812E8B" w:rsidRDefault="001D2249" w:rsidP="00FF1073">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1D2249" w:rsidRPr="00812E8B" w:rsidRDefault="00A1583F" w:rsidP="006564B2">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1D2249" w:rsidRPr="00812E8B" w:rsidRDefault="001D2249" w:rsidP="006564B2">
            <w:pPr>
              <w:spacing w:after="0" w:line="240" w:lineRule="auto"/>
              <w:rPr>
                <w:rFonts w:ascii="Calibri" w:eastAsia="Times New Roman" w:hAnsi="Calibri" w:cs="Times New Roman"/>
                <w:color w:val="000000"/>
                <w:lang w:val="en-US"/>
              </w:rPr>
            </w:pPr>
          </w:p>
          <w:p w:rsidR="001D2249" w:rsidRPr="00812E8B" w:rsidRDefault="001D2249" w:rsidP="006564B2">
            <w:pPr>
              <w:spacing w:after="0" w:line="240" w:lineRule="auto"/>
              <w:rPr>
                <w:rFonts w:ascii="Calibri" w:eastAsia="Times New Roman" w:hAnsi="Calibri" w:cs="Times New Roman"/>
                <w:color w:val="000000"/>
                <w:lang w:val="en-US"/>
              </w:rPr>
            </w:pPr>
          </w:p>
        </w:tc>
      </w:tr>
      <w:tr w:rsidR="001D2249" w:rsidRPr="00812E8B" w:rsidTr="00E22CAB">
        <w:trPr>
          <w:trHeight w:val="932"/>
        </w:trPr>
        <w:tc>
          <w:tcPr>
            <w:tcW w:w="266" w:type="dxa"/>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3514" w:type="dxa"/>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Ownership structure</w:t>
            </w:r>
          </w:p>
          <w:p w:rsidR="001D2249" w:rsidRPr="00812E8B" w:rsidRDefault="001D2249" w:rsidP="00D414B5">
            <w:pPr>
              <w:spacing w:after="0" w:line="240" w:lineRule="auto"/>
              <w:rPr>
                <w:rFonts w:ascii="Calibri" w:eastAsia="Times New Roman" w:hAnsi="Calibri" w:cs="Times New Roman"/>
                <w:color w:val="000000"/>
                <w:lang w:val="en-US"/>
              </w:rPr>
            </w:pPr>
          </w:p>
          <w:p w:rsidR="001D2249" w:rsidRPr="00812E8B" w:rsidRDefault="001D2249" w:rsidP="00D414B5">
            <w:pPr>
              <w:spacing w:after="0" w:line="240" w:lineRule="auto"/>
              <w:rPr>
                <w:rFonts w:ascii="Calibri" w:eastAsia="Times New Roman" w:hAnsi="Calibri" w:cs="Times New Roman"/>
                <w:color w:val="000000"/>
                <w:lang w:val="en-US"/>
              </w:rPr>
            </w:pPr>
          </w:p>
        </w:tc>
        <w:tc>
          <w:tcPr>
            <w:tcW w:w="3600" w:type="dxa"/>
            <w:tcBorders>
              <w:top w:val="nil"/>
              <w:left w:val="nil"/>
              <w:bottom w:val="nil"/>
              <w:right w:val="nil"/>
            </w:tcBorders>
            <w:shd w:val="clear" w:color="000000" w:fill="FFFFFF"/>
            <w:noWrap/>
            <w:vAlign w:val="bottom"/>
            <w:hideMark/>
          </w:tcPr>
          <w:p w:rsidR="001D2249" w:rsidRPr="00812E8B" w:rsidRDefault="000A2E64" w:rsidP="000A2E64">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Separate d</w:t>
            </w:r>
            <w:r w:rsidR="001D2249" w:rsidRPr="00812E8B">
              <w:rPr>
                <w:rFonts w:ascii="Calibri" w:eastAsia="Times New Roman" w:hAnsi="Calibri" w:cs="Times New Roman"/>
                <w:color w:val="000000"/>
                <w:lang w:val="en-US"/>
              </w:rPr>
              <w:t xml:space="preserve">ummy variables for publicly listed bank, co-operative bank </w:t>
            </w:r>
            <w:r w:rsidRPr="00812E8B">
              <w:rPr>
                <w:rFonts w:ascii="Calibri" w:eastAsia="Times New Roman" w:hAnsi="Calibri" w:cs="Times New Roman"/>
                <w:color w:val="000000"/>
                <w:lang w:val="en-US"/>
              </w:rPr>
              <w:t>and</w:t>
            </w:r>
            <w:r w:rsidR="001D2249" w:rsidRPr="00812E8B">
              <w:rPr>
                <w:rFonts w:ascii="Calibri" w:eastAsia="Times New Roman" w:hAnsi="Calibri" w:cs="Times New Roman"/>
                <w:color w:val="000000"/>
                <w:lang w:val="en-US"/>
              </w:rPr>
              <w:t xml:space="preserve"> government owned bank</w:t>
            </w:r>
          </w:p>
        </w:tc>
        <w:tc>
          <w:tcPr>
            <w:tcW w:w="1350" w:type="dxa"/>
            <w:tcBorders>
              <w:top w:val="nil"/>
              <w:left w:val="nil"/>
              <w:bottom w:val="nil"/>
              <w:right w:val="nil"/>
            </w:tcBorders>
            <w:shd w:val="clear" w:color="000000" w:fill="FFFFFF"/>
            <w:vAlign w:val="bottom"/>
          </w:tcPr>
          <w:p w:rsidR="001D2249" w:rsidRPr="00812E8B" w:rsidRDefault="001D2249" w:rsidP="00FF1073">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1D2249" w:rsidRPr="00812E8B" w:rsidRDefault="001D2249" w:rsidP="00FF1073">
            <w:pPr>
              <w:spacing w:after="0" w:line="240" w:lineRule="auto"/>
              <w:jc w:val="center"/>
              <w:rPr>
                <w:rFonts w:ascii="Calibri" w:eastAsia="Times New Roman" w:hAnsi="Calibri" w:cs="Times New Roman"/>
                <w:color w:val="000000"/>
                <w:lang w:val="en-US"/>
              </w:rPr>
            </w:pPr>
          </w:p>
          <w:p w:rsidR="001D2249" w:rsidRPr="00812E8B" w:rsidRDefault="001D2249" w:rsidP="00FF1073">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noWrap/>
            <w:vAlign w:val="bottom"/>
            <w:hideMark/>
          </w:tcPr>
          <w:p w:rsidR="001D2249" w:rsidRPr="00812E8B" w:rsidRDefault="007B4056" w:rsidP="007B4056">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 annual reports</w:t>
            </w:r>
          </w:p>
        </w:tc>
      </w:tr>
      <w:tr w:rsidR="001D2249" w:rsidRPr="00812E8B" w:rsidTr="00E22CAB">
        <w:trPr>
          <w:trHeight w:val="329"/>
        </w:trPr>
        <w:tc>
          <w:tcPr>
            <w:tcW w:w="3780" w:type="dxa"/>
            <w:gridSpan w:val="2"/>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Macroeconomic variables</w:t>
            </w:r>
          </w:p>
        </w:tc>
        <w:tc>
          <w:tcPr>
            <w:tcW w:w="3600" w:type="dxa"/>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1350" w:type="dxa"/>
            <w:tcBorders>
              <w:top w:val="nil"/>
              <w:left w:val="nil"/>
              <w:bottom w:val="nil"/>
              <w:right w:val="nil"/>
            </w:tcBorders>
            <w:shd w:val="clear" w:color="000000" w:fill="FFFFFF"/>
            <w:noWrap/>
            <w:vAlign w:val="bottom"/>
            <w:hideMark/>
          </w:tcPr>
          <w:p w:rsidR="001D2249" w:rsidRPr="00812E8B" w:rsidRDefault="001D2249" w:rsidP="00FF1073">
            <w:pPr>
              <w:spacing w:after="0" w:line="240" w:lineRule="auto"/>
              <w:jc w:val="center"/>
              <w:rPr>
                <w:rFonts w:ascii="Calibri" w:eastAsia="Times New Roman" w:hAnsi="Calibri" w:cs="Times New Roman"/>
                <w:color w:val="000000"/>
                <w:lang w:val="en-US"/>
              </w:rPr>
            </w:pPr>
          </w:p>
        </w:tc>
        <w:tc>
          <w:tcPr>
            <w:tcW w:w="1262" w:type="dxa"/>
            <w:tcBorders>
              <w:top w:val="nil"/>
              <w:left w:val="nil"/>
              <w:bottom w:val="nil"/>
              <w:right w:val="nil"/>
            </w:tcBorders>
            <w:shd w:val="clear" w:color="000000" w:fill="FFFFFF"/>
            <w:vAlign w:val="bottom"/>
          </w:tcPr>
          <w:p w:rsidR="001D2249" w:rsidRPr="00812E8B" w:rsidRDefault="001D2249" w:rsidP="00FF1073">
            <w:pPr>
              <w:spacing w:after="0" w:line="240" w:lineRule="auto"/>
              <w:jc w:val="center"/>
              <w:rPr>
                <w:rFonts w:ascii="Calibri" w:eastAsia="Times New Roman" w:hAnsi="Calibri" w:cs="Times New Roman"/>
                <w:color w:val="000000"/>
                <w:lang w:val="en-US"/>
              </w:rPr>
            </w:pPr>
          </w:p>
        </w:tc>
      </w:tr>
      <w:tr w:rsidR="001D2249" w:rsidRPr="00812E8B" w:rsidTr="00377A6F">
        <w:trPr>
          <w:trHeight w:val="300"/>
        </w:trPr>
        <w:tc>
          <w:tcPr>
            <w:tcW w:w="266" w:type="dxa"/>
            <w:tcBorders>
              <w:top w:val="nil"/>
              <w:left w:val="nil"/>
              <w:bottom w:val="nil"/>
              <w:right w:val="nil"/>
            </w:tcBorders>
            <w:shd w:val="clear" w:color="000000" w:fill="FFFFFF"/>
            <w:noWrap/>
            <w:vAlign w:val="bottom"/>
            <w:hideMark/>
          </w:tcPr>
          <w:p w:rsidR="001D2249" w:rsidRPr="00812E8B" w:rsidRDefault="001D2249"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 </w:t>
            </w:r>
          </w:p>
        </w:tc>
        <w:tc>
          <w:tcPr>
            <w:tcW w:w="3514" w:type="dxa"/>
            <w:tcBorders>
              <w:top w:val="nil"/>
              <w:left w:val="nil"/>
              <w:right w:val="nil"/>
            </w:tcBorders>
            <w:shd w:val="clear" w:color="000000" w:fill="FFFFFF"/>
            <w:noWrap/>
            <w:vAlign w:val="bottom"/>
            <w:hideMark/>
          </w:tcPr>
          <w:p w:rsidR="001D2249" w:rsidRPr="00812E8B" w:rsidRDefault="001D2249" w:rsidP="0019243B">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Real GDP growth (in %)</w:t>
            </w:r>
          </w:p>
          <w:p w:rsidR="001D2249" w:rsidRPr="00812E8B" w:rsidRDefault="001D2249" w:rsidP="0019243B">
            <w:pPr>
              <w:spacing w:after="0" w:line="240" w:lineRule="auto"/>
              <w:rPr>
                <w:rFonts w:ascii="Calibri" w:eastAsia="Times New Roman" w:hAnsi="Calibri" w:cs="Times New Roman"/>
                <w:color w:val="000000"/>
                <w:lang w:val="en-US"/>
              </w:rPr>
            </w:pPr>
          </w:p>
        </w:tc>
        <w:tc>
          <w:tcPr>
            <w:tcW w:w="3600" w:type="dxa"/>
            <w:tcBorders>
              <w:top w:val="nil"/>
              <w:left w:val="nil"/>
              <w:right w:val="nil"/>
            </w:tcBorders>
            <w:shd w:val="clear" w:color="000000" w:fill="FFFFFF"/>
            <w:noWrap/>
            <w:vAlign w:val="bottom"/>
            <w:hideMark/>
          </w:tcPr>
          <w:p w:rsidR="001D2249" w:rsidRPr="00812E8B" w:rsidRDefault="001D2249" w:rsidP="000A2E64">
            <w:pPr>
              <w:spacing w:after="0" w:line="240" w:lineRule="auto"/>
              <w:jc w:val="both"/>
              <w:rPr>
                <w:rFonts w:ascii="Calibri" w:eastAsia="Times New Roman" w:hAnsi="Calibri" w:cs="Times New Roman"/>
                <w:color w:val="000000"/>
                <w:lang w:val="en-US"/>
              </w:rPr>
            </w:pPr>
            <w:r w:rsidRPr="00812E8B">
              <w:rPr>
                <w:rFonts w:ascii="Calibri" w:eastAsia="Times New Roman" w:hAnsi="Calibri" w:cs="Times New Roman"/>
                <w:color w:val="000000"/>
                <w:lang w:val="en-US"/>
              </w:rPr>
              <w:t>Growth o</w:t>
            </w:r>
            <w:r w:rsidR="000A2E64" w:rsidRPr="00812E8B">
              <w:rPr>
                <w:rFonts w:ascii="Calibri" w:eastAsia="Times New Roman" w:hAnsi="Calibri" w:cs="Times New Roman"/>
                <w:color w:val="000000"/>
                <w:lang w:val="en-US"/>
              </w:rPr>
              <w:t>f gross domestic product of</w:t>
            </w:r>
            <w:r w:rsidRPr="00812E8B">
              <w:rPr>
                <w:rFonts w:ascii="Calibri" w:eastAsia="Times New Roman" w:hAnsi="Calibri" w:cs="Times New Roman"/>
                <w:color w:val="000000"/>
                <w:lang w:val="en-US"/>
              </w:rPr>
              <w:t xml:space="preserve"> </w:t>
            </w:r>
            <w:r w:rsidR="000A2E64" w:rsidRPr="00812E8B">
              <w:rPr>
                <w:rFonts w:ascii="Calibri" w:eastAsia="Times New Roman" w:hAnsi="Calibri" w:cs="Times New Roman"/>
                <w:color w:val="000000"/>
                <w:lang w:val="en-US"/>
              </w:rPr>
              <w:t>countries</w:t>
            </w:r>
            <w:r w:rsidRPr="00812E8B">
              <w:rPr>
                <w:rFonts w:ascii="Calibri" w:eastAsia="Times New Roman" w:hAnsi="Calibri" w:cs="Times New Roman"/>
                <w:color w:val="000000"/>
                <w:lang w:val="en-US"/>
              </w:rPr>
              <w:t xml:space="preserve"> in %, </w:t>
            </w:r>
            <w:r w:rsidR="000A2E64" w:rsidRPr="00812E8B">
              <w:rPr>
                <w:rFonts w:ascii="Calibri" w:eastAsia="Times New Roman" w:hAnsi="Calibri" w:cs="Times New Roman"/>
                <w:color w:val="000000"/>
                <w:lang w:val="en-US"/>
              </w:rPr>
              <w:t>corrected for inflation</w:t>
            </w:r>
          </w:p>
        </w:tc>
        <w:tc>
          <w:tcPr>
            <w:tcW w:w="1350" w:type="dxa"/>
            <w:tcBorders>
              <w:top w:val="nil"/>
              <w:left w:val="nil"/>
              <w:right w:val="nil"/>
            </w:tcBorders>
            <w:shd w:val="clear" w:color="000000" w:fill="FFFFFF"/>
            <w:vAlign w:val="bottom"/>
          </w:tcPr>
          <w:p w:rsidR="001D2249" w:rsidRPr="00812E8B" w:rsidRDefault="001D2249" w:rsidP="0019243B">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1D2249" w:rsidRPr="00812E8B" w:rsidRDefault="001D2249" w:rsidP="0019243B">
            <w:pPr>
              <w:spacing w:after="0" w:line="240" w:lineRule="auto"/>
              <w:rPr>
                <w:rFonts w:ascii="Calibri" w:eastAsia="Times New Roman" w:hAnsi="Calibri" w:cs="Times New Roman"/>
                <w:color w:val="000000"/>
                <w:lang w:val="en-US"/>
              </w:rPr>
            </w:pPr>
          </w:p>
        </w:tc>
        <w:tc>
          <w:tcPr>
            <w:tcW w:w="1262" w:type="dxa"/>
            <w:tcBorders>
              <w:top w:val="nil"/>
              <w:left w:val="nil"/>
              <w:right w:val="nil"/>
            </w:tcBorders>
            <w:shd w:val="clear" w:color="000000" w:fill="FFFFFF"/>
            <w:noWrap/>
            <w:vAlign w:val="bottom"/>
            <w:hideMark/>
          </w:tcPr>
          <w:p w:rsidR="001D2249" w:rsidRPr="00812E8B" w:rsidRDefault="007B4056" w:rsidP="000A2E64">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Eurostat</w:t>
            </w:r>
            <w:r w:rsidRPr="00812E8B">
              <w:rPr>
                <w:rFonts w:ascii="Calibri" w:eastAsia="Times New Roman" w:hAnsi="Calibri" w:cs="Times New Roman"/>
                <w:color w:val="000000"/>
                <w:lang w:val="en-US"/>
              </w:rPr>
              <w:br/>
            </w:r>
          </w:p>
        </w:tc>
      </w:tr>
      <w:tr w:rsidR="00E22CAB" w:rsidRPr="00812E8B" w:rsidTr="00377A6F">
        <w:trPr>
          <w:trHeight w:val="581"/>
        </w:trPr>
        <w:tc>
          <w:tcPr>
            <w:tcW w:w="266" w:type="dxa"/>
            <w:tcBorders>
              <w:top w:val="nil"/>
              <w:left w:val="nil"/>
              <w:bottom w:val="nil"/>
              <w:right w:val="nil"/>
            </w:tcBorders>
            <w:shd w:val="clear" w:color="000000" w:fill="FFFFFF"/>
            <w:noWrap/>
            <w:vAlign w:val="bottom"/>
            <w:hideMark/>
          </w:tcPr>
          <w:p w:rsidR="00E22CAB" w:rsidRPr="00812E8B" w:rsidRDefault="00E22CAB" w:rsidP="00D414B5">
            <w:pPr>
              <w:spacing w:after="0" w:line="240" w:lineRule="auto"/>
              <w:rPr>
                <w:rFonts w:ascii="Calibri" w:eastAsia="Times New Roman" w:hAnsi="Calibri" w:cs="Times New Roman"/>
                <w:color w:val="000000"/>
                <w:lang w:val="en-US"/>
              </w:rPr>
            </w:pPr>
          </w:p>
        </w:tc>
        <w:tc>
          <w:tcPr>
            <w:tcW w:w="3514" w:type="dxa"/>
            <w:tcBorders>
              <w:top w:val="nil"/>
              <w:left w:val="nil"/>
              <w:right w:val="nil"/>
            </w:tcBorders>
            <w:shd w:val="clear" w:color="000000" w:fill="FFFFFF"/>
            <w:noWrap/>
            <w:vAlign w:val="bottom"/>
            <w:hideMark/>
          </w:tcPr>
          <w:p w:rsidR="00E22CAB" w:rsidRPr="00812E8B" w:rsidRDefault="00E22CAB" w:rsidP="001D2249">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Effective tax rate</w:t>
            </w:r>
          </w:p>
          <w:p w:rsidR="00E22CAB" w:rsidRPr="00812E8B" w:rsidRDefault="00E22CAB" w:rsidP="001D2249">
            <w:pPr>
              <w:spacing w:after="0" w:line="240" w:lineRule="auto"/>
              <w:rPr>
                <w:rFonts w:ascii="Calibri" w:eastAsia="Times New Roman" w:hAnsi="Calibri" w:cs="Times New Roman"/>
                <w:color w:val="000000"/>
                <w:lang w:val="en-US"/>
              </w:rPr>
            </w:pPr>
          </w:p>
        </w:tc>
        <w:tc>
          <w:tcPr>
            <w:tcW w:w="3600" w:type="dxa"/>
            <w:tcBorders>
              <w:top w:val="nil"/>
              <w:left w:val="nil"/>
              <w:right w:val="nil"/>
            </w:tcBorders>
            <w:shd w:val="clear" w:color="000000" w:fill="FFFFFF"/>
            <w:noWrap/>
            <w:vAlign w:val="bottom"/>
            <w:hideMark/>
          </w:tcPr>
          <w:p w:rsidR="00E22CAB" w:rsidRPr="00812E8B" w:rsidRDefault="00E22CAB" w:rsidP="00D414B5">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Taxes divided by pre-tax profit to control for differences in tax regime</w:t>
            </w:r>
          </w:p>
        </w:tc>
        <w:tc>
          <w:tcPr>
            <w:tcW w:w="1350" w:type="dxa"/>
            <w:tcBorders>
              <w:top w:val="nil"/>
              <w:left w:val="nil"/>
              <w:right w:val="nil"/>
            </w:tcBorders>
            <w:shd w:val="clear" w:color="000000" w:fill="FFFFFF"/>
            <w:vAlign w:val="bottom"/>
          </w:tcPr>
          <w:p w:rsidR="00E22CAB" w:rsidRPr="00812E8B" w:rsidRDefault="00E22CAB" w:rsidP="00E22CAB">
            <w:pPr>
              <w:pStyle w:val="ListParagraph"/>
              <w:spacing w:after="0" w:line="240" w:lineRule="auto"/>
              <w:ind w:left="72"/>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E22CAB" w:rsidRPr="00812E8B" w:rsidRDefault="00E22CAB" w:rsidP="00E22CAB">
            <w:pPr>
              <w:pStyle w:val="ListParagraph"/>
              <w:spacing w:after="0" w:line="240" w:lineRule="auto"/>
              <w:rPr>
                <w:rFonts w:ascii="Calibri" w:eastAsia="Times New Roman" w:hAnsi="Calibri" w:cs="Times New Roman"/>
                <w:color w:val="000000"/>
                <w:lang w:val="en-US"/>
              </w:rPr>
            </w:pPr>
          </w:p>
        </w:tc>
        <w:tc>
          <w:tcPr>
            <w:tcW w:w="1262" w:type="dxa"/>
            <w:tcBorders>
              <w:top w:val="nil"/>
              <w:left w:val="nil"/>
              <w:right w:val="nil"/>
            </w:tcBorders>
            <w:shd w:val="clear" w:color="000000" w:fill="FFFFFF"/>
            <w:noWrap/>
            <w:vAlign w:val="bottom"/>
            <w:hideMark/>
          </w:tcPr>
          <w:p w:rsidR="00E22CAB" w:rsidRPr="00812E8B" w:rsidRDefault="00E22CAB" w:rsidP="000A2E64">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Bankscope</w:t>
            </w:r>
          </w:p>
          <w:p w:rsidR="00E22CAB" w:rsidRPr="00812E8B" w:rsidRDefault="00E22CAB" w:rsidP="000A2E64">
            <w:pPr>
              <w:spacing w:after="0" w:line="240" w:lineRule="auto"/>
              <w:rPr>
                <w:rFonts w:ascii="Calibri" w:eastAsia="Times New Roman" w:hAnsi="Calibri" w:cs="Times New Roman"/>
                <w:color w:val="000000"/>
                <w:lang w:val="en-US"/>
              </w:rPr>
            </w:pPr>
          </w:p>
        </w:tc>
      </w:tr>
      <w:tr w:rsidR="00377A6F" w:rsidRPr="00812E8B" w:rsidTr="00377A6F">
        <w:trPr>
          <w:trHeight w:val="842"/>
        </w:trPr>
        <w:tc>
          <w:tcPr>
            <w:tcW w:w="266" w:type="dxa"/>
            <w:tcBorders>
              <w:top w:val="nil"/>
              <w:left w:val="nil"/>
              <w:bottom w:val="nil"/>
              <w:right w:val="nil"/>
            </w:tcBorders>
            <w:shd w:val="clear" w:color="000000" w:fill="FFFFFF"/>
            <w:noWrap/>
            <w:vAlign w:val="bottom"/>
            <w:hideMark/>
          </w:tcPr>
          <w:p w:rsidR="00377A6F" w:rsidRPr="00812E8B" w:rsidRDefault="00377A6F" w:rsidP="00D414B5">
            <w:pPr>
              <w:spacing w:after="0" w:line="240" w:lineRule="auto"/>
              <w:rPr>
                <w:rFonts w:ascii="Calibri" w:eastAsia="Times New Roman" w:hAnsi="Calibri" w:cs="Times New Roman"/>
                <w:color w:val="000000"/>
                <w:lang w:val="en-US"/>
              </w:rPr>
            </w:pPr>
          </w:p>
        </w:tc>
        <w:tc>
          <w:tcPr>
            <w:tcW w:w="3514" w:type="dxa"/>
            <w:tcBorders>
              <w:left w:val="nil"/>
              <w:bottom w:val="single" w:sz="4" w:space="0" w:color="auto"/>
              <w:right w:val="nil"/>
            </w:tcBorders>
            <w:shd w:val="clear" w:color="000000" w:fill="FFFFFF"/>
            <w:noWrap/>
            <w:vAlign w:val="bottom"/>
            <w:hideMark/>
          </w:tcPr>
          <w:p w:rsidR="00377A6F" w:rsidRPr="00812E8B" w:rsidRDefault="00377A6F" w:rsidP="001D2249">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Term structure of interest</w:t>
            </w:r>
          </w:p>
          <w:p w:rsidR="00377A6F" w:rsidRPr="00812E8B" w:rsidRDefault="00377A6F" w:rsidP="001D2249">
            <w:pPr>
              <w:spacing w:after="0" w:line="240" w:lineRule="auto"/>
              <w:rPr>
                <w:rFonts w:ascii="Calibri" w:eastAsia="Times New Roman" w:hAnsi="Calibri" w:cs="Times New Roman"/>
                <w:color w:val="000000"/>
                <w:lang w:val="en-US"/>
              </w:rPr>
            </w:pPr>
          </w:p>
          <w:p w:rsidR="00377A6F" w:rsidRPr="00812E8B" w:rsidRDefault="00377A6F" w:rsidP="001D2249">
            <w:pPr>
              <w:spacing w:after="0" w:line="240" w:lineRule="auto"/>
              <w:rPr>
                <w:rFonts w:ascii="Calibri" w:eastAsia="Times New Roman" w:hAnsi="Calibri" w:cs="Times New Roman"/>
                <w:color w:val="000000"/>
                <w:lang w:val="en-US"/>
              </w:rPr>
            </w:pPr>
          </w:p>
        </w:tc>
        <w:tc>
          <w:tcPr>
            <w:tcW w:w="3600" w:type="dxa"/>
            <w:tcBorders>
              <w:left w:val="nil"/>
              <w:bottom w:val="single" w:sz="4" w:space="0" w:color="auto"/>
              <w:right w:val="nil"/>
            </w:tcBorders>
            <w:shd w:val="clear" w:color="000000" w:fill="FFFFFF"/>
            <w:noWrap/>
            <w:vAlign w:val="bottom"/>
            <w:hideMark/>
          </w:tcPr>
          <w:p w:rsidR="00377A6F" w:rsidRPr="00812E8B" w:rsidRDefault="00377A6F" w:rsidP="00377A6F">
            <w:pPr>
              <w:spacing w:after="0" w:line="240" w:lineRule="auto"/>
              <w:rPr>
                <w:rFonts w:ascii="Calibri" w:eastAsia="Times New Roman" w:hAnsi="Calibri" w:cs="Times New Roman"/>
                <w:color w:val="000000"/>
                <w:lang w:val="en-US"/>
              </w:rPr>
            </w:pPr>
            <w:r w:rsidRPr="00812E8B">
              <w:rPr>
                <w:rFonts w:ascii="Calibri" w:eastAsia="Times New Roman" w:hAnsi="Calibri" w:cs="Times New Roman"/>
                <w:color w:val="000000"/>
                <w:lang w:val="en-US"/>
              </w:rPr>
              <w:t>Difference between 2-years and 5-years interest rate on government bonds in the Eurozone</w:t>
            </w:r>
          </w:p>
        </w:tc>
        <w:tc>
          <w:tcPr>
            <w:tcW w:w="1350" w:type="dxa"/>
            <w:tcBorders>
              <w:left w:val="nil"/>
              <w:bottom w:val="single" w:sz="4" w:space="0" w:color="auto"/>
              <w:right w:val="nil"/>
            </w:tcBorders>
            <w:shd w:val="clear" w:color="000000" w:fill="FFFFFF"/>
            <w:vAlign w:val="bottom"/>
          </w:tcPr>
          <w:p w:rsidR="00377A6F" w:rsidRPr="00812E8B" w:rsidRDefault="00377A6F" w:rsidP="00E22CAB">
            <w:pPr>
              <w:pStyle w:val="ListParagraph"/>
              <w:spacing w:after="0" w:line="240" w:lineRule="auto"/>
              <w:ind w:left="72"/>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w:t>
            </w:r>
          </w:p>
          <w:p w:rsidR="00377A6F" w:rsidRPr="00812E8B" w:rsidRDefault="00377A6F" w:rsidP="00E22CAB">
            <w:pPr>
              <w:pStyle w:val="ListParagraph"/>
              <w:spacing w:after="0" w:line="240" w:lineRule="auto"/>
              <w:ind w:left="72"/>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br/>
            </w:r>
          </w:p>
        </w:tc>
        <w:tc>
          <w:tcPr>
            <w:tcW w:w="1262" w:type="dxa"/>
            <w:tcBorders>
              <w:left w:val="nil"/>
              <w:bottom w:val="single" w:sz="4" w:space="0" w:color="auto"/>
              <w:right w:val="nil"/>
            </w:tcBorders>
            <w:shd w:val="clear" w:color="000000" w:fill="FFFFFF"/>
            <w:noWrap/>
            <w:vAlign w:val="bottom"/>
            <w:hideMark/>
          </w:tcPr>
          <w:p w:rsidR="00377A6F" w:rsidRPr="00812E8B" w:rsidRDefault="00377A6F" w:rsidP="00377A6F">
            <w:pPr>
              <w:spacing w:after="0" w:line="240" w:lineRule="auto"/>
              <w:jc w:val="center"/>
              <w:rPr>
                <w:rFonts w:ascii="Calibri" w:eastAsia="Times New Roman" w:hAnsi="Calibri" w:cs="Times New Roman"/>
                <w:color w:val="000000"/>
                <w:lang w:val="en-US"/>
              </w:rPr>
            </w:pPr>
            <w:r w:rsidRPr="00812E8B">
              <w:rPr>
                <w:rFonts w:ascii="Calibri" w:eastAsia="Times New Roman" w:hAnsi="Calibri" w:cs="Times New Roman"/>
                <w:color w:val="000000"/>
                <w:lang w:val="en-US"/>
              </w:rPr>
              <w:t>Eurostat</w:t>
            </w:r>
          </w:p>
          <w:p w:rsidR="00377A6F" w:rsidRPr="00812E8B" w:rsidRDefault="00377A6F" w:rsidP="000A2E64">
            <w:pPr>
              <w:spacing w:after="0" w:line="240" w:lineRule="auto"/>
              <w:rPr>
                <w:rFonts w:ascii="Calibri" w:eastAsia="Times New Roman" w:hAnsi="Calibri" w:cs="Times New Roman"/>
                <w:color w:val="000000"/>
                <w:lang w:val="en-US"/>
              </w:rPr>
            </w:pPr>
          </w:p>
          <w:p w:rsidR="00377A6F" w:rsidRPr="00812E8B" w:rsidRDefault="00377A6F" w:rsidP="00377A6F">
            <w:pPr>
              <w:spacing w:after="0" w:line="240" w:lineRule="auto"/>
              <w:rPr>
                <w:rFonts w:ascii="Calibri" w:eastAsia="Times New Roman" w:hAnsi="Calibri" w:cs="Times New Roman"/>
                <w:color w:val="000000"/>
                <w:lang w:val="en-US"/>
              </w:rPr>
            </w:pPr>
          </w:p>
        </w:tc>
      </w:tr>
    </w:tbl>
    <w:p w:rsidR="00377A6F" w:rsidRPr="00812E8B" w:rsidRDefault="00377A6F" w:rsidP="00684225">
      <w:pPr>
        <w:pStyle w:val="NoSpacing"/>
        <w:spacing w:line="276" w:lineRule="auto"/>
        <w:jc w:val="both"/>
        <w:rPr>
          <w:i/>
          <w:u w:val="single"/>
          <w:lang w:val="en-US"/>
        </w:rPr>
        <w:sectPr w:rsidR="00377A6F" w:rsidRPr="00812E8B" w:rsidSect="00377A6F">
          <w:endnotePr>
            <w:numFmt w:val="decimal"/>
          </w:endnotePr>
          <w:pgSz w:w="11906" w:h="16838"/>
          <w:pgMar w:top="1260" w:right="1417" w:bottom="1260" w:left="1417" w:header="708" w:footer="708" w:gutter="0"/>
          <w:cols w:space="708"/>
          <w:titlePg/>
          <w:docGrid w:linePitch="360"/>
        </w:sectPr>
      </w:pPr>
    </w:p>
    <w:p w:rsidR="00F305C4" w:rsidRPr="00812E8B" w:rsidRDefault="00F305C4" w:rsidP="00F305C4">
      <w:pPr>
        <w:pStyle w:val="NoSpacing"/>
        <w:spacing w:line="276" w:lineRule="auto"/>
        <w:jc w:val="both"/>
        <w:rPr>
          <w:lang w:val="en-US"/>
        </w:rPr>
      </w:pPr>
      <w:r w:rsidRPr="00812E8B">
        <w:rPr>
          <w:i/>
          <w:u w:val="single"/>
          <w:lang w:val="en-US"/>
        </w:rPr>
        <w:lastRenderedPageBreak/>
        <w:t>Effective tax rate:</w:t>
      </w:r>
      <w:r w:rsidRPr="00812E8B">
        <w:rPr>
          <w:lang w:val="en-US"/>
        </w:rPr>
        <w:t xml:space="preserve"> The analysis of determinants of banks’ profitability is </w:t>
      </w:r>
      <w:r w:rsidR="005B4F68" w:rsidRPr="00812E8B">
        <w:rPr>
          <w:lang w:val="en-US"/>
        </w:rPr>
        <w:t>based on the dependent variable</w:t>
      </w:r>
      <w:r w:rsidRPr="00812E8B">
        <w:rPr>
          <w:lang w:val="en-US"/>
        </w:rPr>
        <w:t xml:space="preserve"> ROAA.</w:t>
      </w:r>
      <w:r w:rsidRPr="00812E8B">
        <w:rPr>
          <w:color w:val="FF0000"/>
          <w:lang w:val="en-US"/>
        </w:rPr>
        <w:t xml:space="preserve"> </w:t>
      </w:r>
      <w:r w:rsidRPr="00812E8B">
        <w:rPr>
          <w:lang w:val="en-US"/>
        </w:rPr>
        <w:t>The profitability ratios use after tax profits in the numerator, hence the amount of taxes paid affect the profitability measures. Including the effective tax rate controls for differences in the individual countries’ tax regime under which banks operate. The effective tax rate is measured by the ratio of tax expenses to pre-tax profits.</w:t>
      </w:r>
      <w:r w:rsidR="005B4F68" w:rsidRPr="00812E8B">
        <w:rPr>
          <w:lang w:val="en-US"/>
        </w:rPr>
        <w:t xml:space="preserve"> Concluding a negative effective tax rate and bank performance is hypothesized. </w:t>
      </w:r>
      <w:r w:rsidRPr="00812E8B">
        <w:rPr>
          <w:lang w:val="en-US"/>
        </w:rPr>
        <w:t xml:space="preserve"> </w:t>
      </w:r>
    </w:p>
    <w:p w:rsidR="00F305C4" w:rsidRPr="00812E8B" w:rsidRDefault="00F305C4" w:rsidP="00684225">
      <w:pPr>
        <w:pStyle w:val="NoSpacing"/>
        <w:spacing w:line="276" w:lineRule="auto"/>
        <w:jc w:val="both"/>
        <w:rPr>
          <w:i/>
          <w:u w:val="single"/>
          <w:lang w:val="en-US"/>
        </w:rPr>
      </w:pPr>
    </w:p>
    <w:p w:rsidR="00EA47AE" w:rsidRPr="00812E8B" w:rsidRDefault="00684225" w:rsidP="00684225">
      <w:pPr>
        <w:pStyle w:val="NoSpacing"/>
        <w:spacing w:line="276" w:lineRule="auto"/>
        <w:jc w:val="both"/>
        <w:rPr>
          <w:lang w:val="en-US"/>
        </w:rPr>
      </w:pPr>
      <w:r w:rsidRPr="00812E8B">
        <w:rPr>
          <w:i/>
          <w:u w:val="single"/>
          <w:lang w:val="en-US"/>
        </w:rPr>
        <w:t>Term structure of interest rates:</w:t>
      </w:r>
      <w:r w:rsidRPr="00812E8B">
        <w:rPr>
          <w:lang w:val="en-US"/>
        </w:rPr>
        <w:t xml:space="preserve"> </w:t>
      </w:r>
      <w:r w:rsidR="001B30EB" w:rsidRPr="00812E8B">
        <w:rPr>
          <w:color w:val="365F91" w:themeColor="accent1" w:themeShade="BF"/>
          <w:lang w:val="en-US"/>
        </w:rPr>
        <w:t>Dietrich and Wanzenried (2011)</w:t>
      </w:r>
      <w:r w:rsidRPr="00812E8B">
        <w:rPr>
          <w:lang w:val="en-US"/>
        </w:rPr>
        <w:t xml:space="preserve"> are the first that examine the association between the term structure of the interest rate and determinant of banks’ profitability in a comprehensive framework. </w:t>
      </w:r>
      <w:r w:rsidR="00F6631D" w:rsidRPr="00812E8B">
        <w:rPr>
          <w:lang w:val="en-US"/>
        </w:rPr>
        <w:t>The interest rate position of banks is often hedged</w:t>
      </w:r>
      <w:r w:rsidR="00DA29EC" w:rsidRPr="00812E8B">
        <w:rPr>
          <w:lang w:val="en-US"/>
        </w:rPr>
        <w:t xml:space="preserve"> (using e.g. derivatives)</w:t>
      </w:r>
      <w:r w:rsidR="00F6631D" w:rsidRPr="00812E8B">
        <w:rPr>
          <w:lang w:val="en-US"/>
        </w:rPr>
        <w:t xml:space="preserve"> and closely managed but due to </w:t>
      </w:r>
      <w:r w:rsidR="00DA29EC" w:rsidRPr="00812E8B">
        <w:rPr>
          <w:lang w:val="en-US"/>
        </w:rPr>
        <w:t>the</w:t>
      </w:r>
      <w:r w:rsidR="00F6631D" w:rsidRPr="00812E8B">
        <w:rPr>
          <w:lang w:val="en-US"/>
        </w:rPr>
        <w:t xml:space="preserve"> balance sheet </w:t>
      </w:r>
      <w:r w:rsidR="00DA29EC" w:rsidRPr="00812E8B">
        <w:rPr>
          <w:lang w:val="en-US"/>
        </w:rPr>
        <w:t xml:space="preserve">nature banks </w:t>
      </w:r>
      <w:r w:rsidR="00F6631D" w:rsidRPr="00812E8B">
        <w:rPr>
          <w:lang w:val="en-US"/>
        </w:rPr>
        <w:t xml:space="preserve">have </w:t>
      </w:r>
      <w:r w:rsidR="00DA29EC" w:rsidRPr="00812E8B">
        <w:rPr>
          <w:lang w:val="en-US"/>
        </w:rPr>
        <w:t xml:space="preserve">often </w:t>
      </w:r>
      <w:r w:rsidR="00F6631D" w:rsidRPr="00812E8B">
        <w:rPr>
          <w:lang w:val="en-US"/>
        </w:rPr>
        <w:t xml:space="preserve">a position in which a steeper yield curve is preferred. The balance sheet </w:t>
      </w:r>
      <w:r w:rsidR="00DA29EC" w:rsidRPr="00812E8B">
        <w:rPr>
          <w:lang w:val="en-US"/>
        </w:rPr>
        <w:t>position arises</w:t>
      </w:r>
      <w:r w:rsidR="00F6631D" w:rsidRPr="00812E8B">
        <w:rPr>
          <w:lang w:val="en-US"/>
        </w:rPr>
        <w:t xml:space="preserve"> from the maturity transformation function</w:t>
      </w:r>
      <w:r w:rsidR="00DA29EC" w:rsidRPr="00812E8B">
        <w:rPr>
          <w:lang w:val="en-US"/>
        </w:rPr>
        <w:t>, as described in chapter one,</w:t>
      </w:r>
      <w:r w:rsidR="00F6631D" w:rsidRPr="00812E8B">
        <w:rPr>
          <w:lang w:val="en-US"/>
        </w:rPr>
        <w:t xml:space="preserve"> in which bank</w:t>
      </w:r>
      <w:r w:rsidR="00DA29EC" w:rsidRPr="00812E8B">
        <w:rPr>
          <w:lang w:val="en-US"/>
        </w:rPr>
        <w:t>s</w:t>
      </w:r>
      <w:r w:rsidR="00F6631D" w:rsidRPr="00812E8B">
        <w:rPr>
          <w:lang w:val="en-US"/>
        </w:rPr>
        <w:t xml:space="preserve"> receive short-term deposits and transfer these funding resources in</w:t>
      </w:r>
      <w:r w:rsidR="00DA29EC" w:rsidRPr="00812E8B">
        <w:rPr>
          <w:lang w:val="en-US"/>
        </w:rPr>
        <w:t>to</w:t>
      </w:r>
      <w:r w:rsidR="00F6631D" w:rsidRPr="00812E8B">
        <w:rPr>
          <w:lang w:val="en-US"/>
        </w:rPr>
        <w:t xml:space="preserve"> long-term loans. </w:t>
      </w:r>
      <w:r w:rsidR="00DA29EC" w:rsidRPr="00812E8B">
        <w:rPr>
          <w:lang w:val="en-US"/>
        </w:rPr>
        <w:t xml:space="preserve">Following </w:t>
      </w:r>
      <w:r w:rsidR="001B30EB" w:rsidRPr="00812E8B">
        <w:rPr>
          <w:color w:val="365F91" w:themeColor="accent1" w:themeShade="BF"/>
          <w:lang w:val="en-US"/>
        </w:rPr>
        <w:t>Dietrich and Wanzenried (2011)</w:t>
      </w:r>
      <w:r w:rsidRPr="00812E8B">
        <w:rPr>
          <w:lang w:val="en-US"/>
        </w:rPr>
        <w:t xml:space="preserve"> </w:t>
      </w:r>
      <w:r w:rsidR="00DA29EC" w:rsidRPr="00812E8B">
        <w:rPr>
          <w:lang w:val="en-US"/>
        </w:rPr>
        <w:t>a</w:t>
      </w:r>
      <w:r w:rsidRPr="00812E8B">
        <w:rPr>
          <w:lang w:val="en-US"/>
        </w:rPr>
        <w:t xml:space="preserve"> steeper yield curve is positively associated with banks’ profitability because a steeper yield curve reflects the higher interest earned on long term loans while a lower interest is paid on short-term funding. The difference between </w:t>
      </w:r>
      <w:r w:rsidR="005C7F19" w:rsidRPr="00812E8B">
        <w:rPr>
          <w:lang w:val="en-US"/>
        </w:rPr>
        <w:t>10</w:t>
      </w:r>
      <w:r w:rsidRPr="00812E8B">
        <w:rPr>
          <w:lang w:val="en-US"/>
        </w:rPr>
        <w:t xml:space="preserve">-years </w:t>
      </w:r>
      <w:r w:rsidR="00016C7B" w:rsidRPr="00812E8B">
        <w:rPr>
          <w:lang w:val="en-US"/>
        </w:rPr>
        <w:t xml:space="preserve">EUR interest swap rate </w:t>
      </w:r>
      <w:r w:rsidR="00DA29EC" w:rsidRPr="00812E8B">
        <w:rPr>
          <w:lang w:val="en-US"/>
        </w:rPr>
        <w:t xml:space="preserve">(IRS) </w:t>
      </w:r>
      <w:r w:rsidRPr="00812E8B">
        <w:rPr>
          <w:lang w:val="en-US"/>
        </w:rPr>
        <w:t xml:space="preserve">and </w:t>
      </w:r>
      <w:r w:rsidR="00F0677F" w:rsidRPr="00812E8B">
        <w:rPr>
          <w:lang w:val="en-US"/>
        </w:rPr>
        <w:t>3</w:t>
      </w:r>
      <w:r w:rsidRPr="00812E8B">
        <w:rPr>
          <w:lang w:val="en-US"/>
        </w:rPr>
        <w:t>-</w:t>
      </w:r>
      <w:r w:rsidR="00F0677F" w:rsidRPr="00812E8B">
        <w:rPr>
          <w:lang w:val="en-US"/>
        </w:rPr>
        <w:t>month</w:t>
      </w:r>
      <w:r w:rsidR="005438F1" w:rsidRPr="00812E8B">
        <w:rPr>
          <w:lang w:val="en-US"/>
        </w:rPr>
        <w:t>s</w:t>
      </w:r>
      <w:r w:rsidR="00F0677F" w:rsidRPr="00812E8B">
        <w:rPr>
          <w:lang w:val="en-US"/>
        </w:rPr>
        <w:t xml:space="preserve"> EURIBOR</w:t>
      </w:r>
      <w:r w:rsidRPr="00812E8B">
        <w:rPr>
          <w:lang w:val="en-US"/>
        </w:rPr>
        <w:t xml:space="preserve"> is used </w:t>
      </w:r>
      <w:r w:rsidR="00EA47AE" w:rsidRPr="00812E8B">
        <w:rPr>
          <w:lang w:val="en-US"/>
        </w:rPr>
        <w:t>as proxy for the term structure</w:t>
      </w:r>
      <w:r w:rsidR="00016C7B" w:rsidRPr="00812E8B">
        <w:rPr>
          <w:rStyle w:val="EndnoteReference"/>
          <w:lang w:val="en-US"/>
        </w:rPr>
        <w:endnoteReference w:id="10"/>
      </w:r>
      <w:r w:rsidR="00EA47AE" w:rsidRPr="00812E8B">
        <w:rPr>
          <w:lang w:val="en-US"/>
        </w:rPr>
        <w:t>. This proxy is q</w:t>
      </w:r>
      <w:r w:rsidR="005C7F19" w:rsidRPr="00812E8B">
        <w:rPr>
          <w:lang w:val="en-US"/>
        </w:rPr>
        <w:t xml:space="preserve">uite </w:t>
      </w:r>
      <w:r w:rsidR="00DA29EC" w:rsidRPr="00812E8B">
        <w:rPr>
          <w:lang w:val="en-US"/>
        </w:rPr>
        <w:t>different from the one used by</w:t>
      </w:r>
      <w:r w:rsidR="005C7F19" w:rsidRPr="00812E8B">
        <w:rPr>
          <w:lang w:val="en-US"/>
        </w:rPr>
        <w:t xml:space="preserve"> </w:t>
      </w:r>
      <w:r w:rsidR="001B30EB" w:rsidRPr="00812E8B">
        <w:rPr>
          <w:color w:val="365F91" w:themeColor="accent1" w:themeShade="BF"/>
          <w:lang w:val="en-US"/>
        </w:rPr>
        <w:t xml:space="preserve">Dietrich and Wanzenried (2011); </w:t>
      </w:r>
      <w:r w:rsidR="005C7F19" w:rsidRPr="00812E8B">
        <w:rPr>
          <w:lang w:val="en-US"/>
        </w:rPr>
        <w:t>the difference between 5-years and 2-years Treasury bills</w:t>
      </w:r>
      <w:r w:rsidR="00EA47AE" w:rsidRPr="00812E8B">
        <w:rPr>
          <w:lang w:val="en-US"/>
        </w:rPr>
        <w:t xml:space="preserve">. The choice is </w:t>
      </w:r>
      <w:r w:rsidR="00F74D92" w:rsidRPr="00812E8B">
        <w:rPr>
          <w:lang w:val="en-US"/>
        </w:rPr>
        <w:t>argued</w:t>
      </w:r>
      <w:r w:rsidR="00EA47AE" w:rsidRPr="00812E8B">
        <w:rPr>
          <w:lang w:val="en-US"/>
        </w:rPr>
        <w:t xml:space="preserve"> by the fact that the EURIBOR</w:t>
      </w:r>
      <w:r w:rsidR="00DA29EC" w:rsidRPr="00812E8B">
        <w:rPr>
          <w:lang w:val="en-US"/>
        </w:rPr>
        <w:t xml:space="preserve"> and IRS </w:t>
      </w:r>
      <w:r w:rsidR="00EA47AE" w:rsidRPr="00812E8B">
        <w:rPr>
          <w:lang w:val="en-US"/>
        </w:rPr>
        <w:t xml:space="preserve">curve is more relevant for banks and that the </w:t>
      </w:r>
      <w:r w:rsidR="00DA29EC" w:rsidRPr="00812E8B">
        <w:rPr>
          <w:lang w:val="en-US"/>
        </w:rPr>
        <w:t xml:space="preserve">maturity </w:t>
      </w:r>
      <w:r w:rsidR="00EA47AE" w:rsidRPr="00812E8B">
        <w:rPr>
          <w:lang w:val="en-US"/>
        </w:rPr>
        <w:t xml:space="preserve">gap is much longer as assumed by </w:t>
      </w:r>
      <w:r w:rsidR="001B30EB" w:rsidRPr="00812E8B">
        <w:rPr>
          <w:color w:val="365F91" w:themeColor="accent1" w:themeShade="BF"/>
          <w:lang w:val="en-US"/>
        </w:rPr>
        <w:t>Dietrich and Wanzenried (2011).</w:t>
      </w:r>
    </w:p>
    <w:p w:rsidR="005C7F19" w:rsidRPr="00812E8B" w:rsidRDefault="005C7F19" w:rsidP="00684225">
      <w:pPr>
        <w:pStyle w:val="NoSpacing"/>
        <w:spacing w:line="276" w:lineRule="auto"/>
        <w:jc w:val="both"/>
        <w:rPr>
          <w:lang w:val="en-US"/>
        </w:rPr>
      </w:pPr>
    </w:p>
    <w:p w:rsidR="00F475FE" w:rsidRPr="00812E8B" w:rsidRDefault="004717B5" w:rsidP="00F475FE">
      <w:pPr>
        <w:pStyle w:val="Heading2"/>
        <w:rPr>
          <w:color w:val="auto"/>
          <w:lang w:val="en-US"/>
        </w:rPr>
      </w:pPr>
      <w:bookmarkStart w:id="28" w:name="_Toc306359647"/>
      <w:r w:rsidRPr="00812E8B">
        <w:rPr>
          <w:color w:val="auto"/>
          <w:lang w:val="en-US"/>
        </w:rPr>
        <w:t>4</w:t>
      </w:r>
      <w:r w:rsidR="00F475FE" w:rsidRPr="00812E8B">
        <w:rPr>
          <w:color w:val="auto"/>
          <w:lang w:val="en-US"/>
        </w:rPr>
        <w:t>.3 S</w:t>
      </w:r>
      <w:r w:rsidR="00937B13" w:rsidRPr="00812E8B">
        <w:rPr>
          <w:color w:val="auto"/>
          <w:sz w:val="20"/>
          <w:szCs w:val="20"/>
          <w:lang w:val="en-US"/>
        </w:rPr>
        <w:t>UMMARY</w:t>
      </w:r>
      <w:bookmarkEnd w:id="28"/>
    </w:p>
    <w:p w:rsidR="003B2DD7" w:rsidRPr="00812E8B" w:rsidRDefault="00884A9C" w:rsidP="003B2DD7">
      <w:pPr>
        <w:pStyle w:val="NoSpacing"/>
        <w:spacing w:line="276" w:lineRule="auto"/>
        <w:jc w:val="both"/>
        <w:rPr>
          <w:lang w:val="en-US"/>
        </w:rPr>
      </w:pPr>
      <w:r w:rsidRPr="00812E8B">
        <w:rPr>
          <w:lang w:val="en-US"/>
        </w:rPr>
        <w:t>The empirical part of this</w:t>
      </w:r>
      <w:r w:rsidR="00F475FE" w:rsidRPr="00812E8B">
        <w:rPr>
          <w:lang w:val="en-US"/>
        </w:rPr>
        <w:t xml:space="preserve"> thesis use widely employed </w:t>
      </w:r>
      <w:r w:rsidRPr="00812E8B">
        <w:rPr>
          <w:lang w:val="en-US"/>
        </w:rPr>
        <w:t>determinants</w:t>
      </w:r>
      <w:r w:rsidR="00F475FE" w:rsidRPr="00812E8B">
        <w:rPr>
          <w:lang w:val="en-US"/>
        </w:rPr>
        <w:t xml:space="preserve"> for profitability in banking literature</w:t>
      </w:r>
      <w:r w:rsidRPr="00812E8B">
        <w:rPr>
          <w:lang w:val="en-US"/>
        </w:rPr>
        <w:t xml:space="preserve">. In particular, several independent variables are very similar to those employed by </w:t>
      </w:r>
      <w:r w:rsidR="001B30EB" w:rsidRPr="00812E8B">
        <w:rPr>
          <w:color w:val="365F91" w:themeColor="accent1" w:themeShade="BF"/>
          <w:lang w:val="en-US"/>
        </w:rPr>
        <w:t>Dietrich and Wanzenried (2011)</w:t>
      </w:r>
      <w:r w:rsidRPr="00812E8B">
        <w:rPr>
          <w:lang w:val="en-US"/>
        </w:rPr>
        <w:t xml:space="preserve"> </w:t>
      </w:r>
      <w:r w:rsidR="005A3EF2" w:rsidRPr="00812E8B">
        <w:rPr>
          <w:lang w:val="en-US"/>
        </w:rPr>
        <w:t xml:space="preserve">in order </w:t>
      </w:r>
      <w:r w:rsidRPr="00812E8B">
        <w:rPr>
          <w:lang w:val="en-US"/>
        </w:rPr>
        <w:t>to compare results found in the Swiss banking market with results of this study towards the European banking market. Accordingly, the following independent variables will be examined; equity to total asset</w:t>
      </w:r>
      <w:r w:rsidR="00FF38E2" w:rsidRPr="00812E8B">
        <w:rPr>
          <w:lang w:val="en-US"/>
        </w:rPr>
        <w:t>s</w:t>
      </w:r>
      <w:r w:rsidRPr="00812E8B">
        <w:rPr>
          <w:lang w:val="en-US"/>
        </w:rPr>
        <w:t xml:space="preserve">, loan loss </w:t>
      </w:r>
      <w:r w:rsidR="00FF38E2" w:rsidRPr="00812E8B">
        <w:rPr>
          <w:lang w:val="en-US"/>
        </w:rPr>
        <w:t>provisions</w:t>
      </w:r>
      <w:r w:rsidRPr="00812E8B">
        <w:rPr>
          <w:lang w:val="en-US"/>
        </w:rPr>
        <w:t xml:space="preserve"> to </w:t>
      </w:r>
      <w:r w:rsidR="00FF38E2" w:rsidRPr="00812E8B">
        <w:rPr>
          <w:lang w:val="en-US"/>
        </w:rPr>
        <w:t>net income revenue</w:t>
      </w:r>
      <w:r w:rsidRPr="00812E8B">
        <w:rPr>
          <w:lang w:val="en-US"/>
        </w:rPr>
        <w:t>, interest expense on customers’ deposits to short term funding, Herfindahl-Hirschman index, dummy variables for ownership structure, real GDP growth and</w:t>
      </w:r>
      <w:r w:rsidR="005C7F19" w:rsidRPr="00812E8B">
        <w:rPr>
          <w:lang w:val="en-US"/>
        </w:rPr>
        <w:t xml:space="preserve"> effective tax rate</w:t>
      </w:r>
      <w:r w:rsidRPr="00812E8B">
        <w:rPr>
          <w:lang w:val="en-US"/>
        </w:rPr>
        <w:t xml:space="preserve">. </w:t>
      </w:r>
      <w:r w:rsidR="00904089" w:rsidRPr="00812E8B">
        <w:rPr>
          <w:lang w:val="en-US"/>
        </w:rPr>
        <w:t xml:space="preserve">Besides, this thesis use some different independent variables compared to </w:t>
      </w:r>
      <w:r w:rsidR="001B30EB" w:rsidRPr="00812E8B">
        <w:rPr>
          <w:color w:val="365F91" w:themeColor="accent1" w:themeShade="BF"/>
          <w:lang w:val="en-US"/>
        </w:rPr>
        <w:t>Dietrich and Wanzenried (2011)</w:t>
      </w:r>
      <w:r w:rsidR="00904089" w:rsidRPr="00812E8B">
        <w:rPr>
          <w:color w:val="365F91" w:themeColor="accent1" w:themeShade="BF"/>
          <w:lang w:val="en-US"/>
        </w:rPr>
        <w:t xml:space="preserve">. </w:t>
      </w:r>
      <w:r w:rsidR="00904089" w:rsidRPr="00812E8B">
        <w:rPr>
          <w:lang w:val="en-US"/>
        </w:rPr>
        <w:t xml:space="preserve">Due to database issues </w:t>
      </w:r>
      <w:r w:rsidR="00FF38E2" w:rsidRPr="00812E8B">
        <w:rPr>
          <w:lang w:val="en-US"/>
        </w:rPr>
        <w:t xml:space="preserve">the </w:t>
      </w:r>
      <w:r w:rsidRPr="00812E8B">
        <w:rPr>
          <w:lang w:val="en-US"/>
        </w:rPr>
        <w:t>non-in</w:t>
      </w:r>
      <w:r w:rsidR="005572EB" w:rsidRPr="00812E8B">
        <w:rPr>
          <w:lang w:val="en-US"/>
        </w:rPr>
        <w:t>terest income to gross revenues</w:t>
      </w:r>
      <w:r w:rsidR="00FF38E2" w:rsidRPr="00812E8B">
        <w:rPr>
          <w:lang w:val="en-US"/>
        </w:rPr>
        <w:t xml:space="preserve"> </w:t>
      </w:r>
      <w:r w:rsidR="00904089" w:rsidRPr="00812E8B">
        <w:rPr>
          <w:lang w:val="en-US"/>
        </w:rPr>
        <w:t xml:space="preserve">is used as </w:t>
      </w:r>
      <w:r w:rsidR="00FF38E2" w:rsidRPr="00812E8B">
        <w:rPr>
          <w:lang w:val="en-US"/>
        </w:rPr>
        <w:t xml:space="preserve">proxy for the business model, loan loss provisions to net interest revenue </w:t>
      </w:r>
      <w:r w:rsidR="00904089" w:rsidRPr="00812E8B">
        <w:rPr>
          <w:lang w:val="en-US"/>
        </w:rPr>
        <w:t xml:space="preserve">is used </w:t>
      </w:r>
      <w:r w:rsidR="00FF38E2" w:rsidRPr="00812E8B">
        <w:rPr>
          <w:lang w:val="en-US"/>
        </w:rPr>
        <w:t xml:space="preserve">as proxy for credit quality and growth of loans to customers </w:t>
      </w:r>
      <w:r w:rsidR="00904089" w:rsidRPr="00812E8B">
        <w:rPr>
          <w:lang w:val="en-US"/>
        </w:rPr>
        <w:t xml:space="preserve">is used </w:t>
      </w:r>
      <w:r w:rsidR="00FF38E2" w:rsidRPr="00812E8B">
        <w:rPr>
          <w:lang w:val="en-US"/>
        </w:rPr>
        <w:t>as proxy for bank growth.</w:t>
      </w:r>
      <w:r w:rsidR="00904089" w:rsidRPr="00812E8B">
        <w:rPr>
          <w:lang w:val="en-US"/>
        </w:rPr>
        <w:t xml:space="preserve"> Furthermore, the assessment of different variables resulted in some other proxies, bank size is measured by the logarithm of total assets in contrary to a classification in dummy variables. Thereby as proxy for the term structure of interest is the difference between the 10-years </w:t>
      </w:r>
      <w:r w:rsidR="005438F1" w:rsidRPr="00812E8B">
        <w:rPr>
          <w:lang w:val="en-US"/>
        </w:rPr>
        <w:t xml:space="preserve">IRS rate </w:t>
      </w:r>
      <w:r w:rsidR="00904089" w:rsidRPr="00812E8B">
        <w:rPr>
          <w:lang w:val="en-US"/>
        </w:rPr>
        <w:t xml:space="preserve">and </w:t>
      </w:r>
      <w:r w:rsidR="005438F1" w:rsidRPr="00812E8B">
        <w:rPr>
          <w:lang w:val="en-US"/>
        </w:rPr>
        <w:t xml:space="preserve">3-months EURIBOR </w:t>
      </w:r>
      <w:r w:rsidR="00904089" w:rsidRPr="00812E8B">
        <w:rPr>
          <w:lang w:val="en-US"/>
        </w:rPr>
        <w:t>is used. Moreover</w:t>
      </w:r>
      <w:r w:rsidR="005572EB" w:rsidRPr="00812E8B">
        <w:rPr>
          <w:lang w:val="en-US"/>
        </w:rPr>
        <w:t xml:space="preserve">, </w:t>
      </w:r>
      <w:r w:rsidR="005A3EF2" w:rsidRPr="00812E8B">
        <w:rPr>
          <w:lang w:val="en-US"/>
        </w:rPr>
        <w:t>to</w:t>
      </w:r>
      <w:r w:rsidR="005572EB" w:rsidRPr="00812E8B">
        <w:rPr>
          <w:lang w:val="en-US"/>
        </w:rPr>
        <w:t xml:space="preserve"> extent current research liquidity and funding structures are examined, using the variables: customer deposit to total funding and liquid asset</w:t>
      </w:r>
      <w:r w:rsidR="00892EF6" w:rsidRPr="00812E8B">
        <w:rPr>
          <w:lang w:val="en-US"/>
        </w:rPr>
        <w:t>s</w:t>
      </w:r>
      <w:r w:rsidR="005572EB" w:rsidRPr="00812E8B">
        <w:rPr>
          <w:lang w:val="en-US"/>
        </w:rPr>
        <w:t xml:space="preserve"> to customer deposits and short term funding.</w:t>
      </w:r>
    </w:p>
    <w:p w:rsidR="00B84940" w:rsidRPr="00812E8B" w:rsidRDefault="00B84940" w:rsidP="00B84940">
      <w:pPr>
        <w:pStyle w:val="NoSpacing"/>
        <w:rPr>
          <w:color w:val="FF0000"/>
          <w:lang w:val="en-US"/>
        </w:rPr>
      </w:pPr>
    </w:p>
    <w:p w:rsidR="00B84940" w:rsidRPr="00812E8B" w:rsidRDefault="00B84940" w:rsidP="00B84940">
      <w:pPr>
        <w:pStyle w:val="NoSpacing"/>
        <w:rPr>
          <w:color w:val="FF0000"/>
          <w:lang w:val="en-US"/>
        </w:rPr>
      </w:pPr>
    </w:p>
    <w:p w:rsidR="00B84940" w:rsidRPr="00812E8B" w:rsidRDefault="00B84940">
      <w:pPr>
        <w:rPr>
          <w:rFonts w:asciiTheme="majorHAnsi" w:eastAsiaTheme="majorEastAsia" w:hAnsiTheme="majorHAnsi" w:cstheme="majorBidi"/>
          <w:b/>
          <w:bCs/>
          <w:color w:val="E36C0A" w:themeColor="accent6" w:themeShade="BF"/>
          <w:sz w:val="24"/>
          <w:szCs w:val="26"/>
          <w:lang w:val="en-US"/>
        </w:rPr>
        <w:sectPr w:rsidR="00B84940" w:rsidRPr="00812E8B" w:rsidSect="00D911B8">
          <w:endnotePr>
            <w:numFmt w:val="decimal"/>
          </w:endnotePr>
          <w:pgSz w:w="11906" w:h="16838"/>
          <w:pgMar w:top="1417" w:right="1417" w:bottom="1417" w:left="1417" w:header="708" w:footer="708" w:gutter="0"/>
          <w:cols w:space="708"/>
          <w:titlePg/>
          <w:docGrid w:linePitch="360"/>
        </w:sectPr>
      </w:pPr>
    </w:p>
    <w:p w:rsidR="00487CB4" w:rsidRPr="00812E8B" w:rsidRDefault="00487CB4" w:rsidP="00C468F1">
      <w:pPr>
        <w:pStyle w:val="Heading1"/>
        <w:jc w:val="left"/>
        <w:rPr>
          <w:rStyle w:val="Strong"/>
          <w:rFonts w:asciiTheme="majorHAnsi" w:hAnsiTheme="majorHAnsi"/>
          <w:color w:val="auto"/>
          <w:lang w:val="en-US"/>
        </w:rPr>
      </w:pPr>
      <w:bookmarkStart w:id="29" w:name="_Toc306359648"/>
      <w:r w:rsidRPr="00812E8B">
        <w:rPr>
          <w:color w:val="auto"/>
          <w:lang w:val="en-US"/>
        </w:rPr>
        <w:lastRenderedPageBreak/>
        <w:t>5. R</w:t>
      </w:r>
      <w:r w:rsidR="004C6A5F" w:rsidRPr="00812E8B">
        <w:rPr>
          <w:color w:val="auto"/>
          <w:sz w:val="30"/>
          <w:szCs w:val="30"/>
          <w:lang w:val="en-US"/>
        </w:rPr>
        <w:t>ESEARCH DESIGN AND DATA</w:t>
      </w:r>
      <w:bookmarkEnd w:id="29"/>
    </w:p>
    <w:p w:rsidR="005A6B5C" w:rsidRPr="00812E8B" w:rsidRDefault="005A6B5C" w:rsidP="00012F36">
      <w:pPr>
        <w:pStyle w:val="NoSpacing"/>
        <w:rPr>
          <w:sz w:val="16"/>
          <w:szCs w:val="16"/>
          <w:lang w:val="en-US"/>
        </w:rPr>
      </w:pPr>
    </w:p>
    <w:p w:rsidR="00F475FE" w:rsidRPr="00812E8B" w:rsidRDefault="00F475FE" w:rsidP="00F475FE">
      <w:pPr>
        <w:pStyle w:val="NoSpacing"/>
        <w:spacing w:line="276" w:lineRule="auto"/>
        <w:jc w:val="both"/>
        <w:rPr>
          <w:lang w:val="en-US"/>
        </w:rPr>
      </w:pPr>
      <w:r w:rsidRPr="00812E8B">
        <w:rPr>
          <w:lang w:val="en-US"/>
        </w:rPr>
        <w:t xml:space="preserve">This chapter </w:t>
      </w:r>
      <w:r w:rsidR="005C2E9B" w:rsidRPr="00812E8B">
        <w:rPr>
          <w:lang w:val="en-US"/>
        </w:rPr>
        <w:t xml:space="preserve">sets out the research design in which </w:t>
      </w:r>
      <w:r w:rsidRPr="00812E8B">
        <w:rPr>
          <w:lang w:val="en-US"/>
        </w:rPr>
        <w:t>a</w:t>
      </w:r>
      <w:r w:rsidR="00AF7061" w:rsidRPr="00812E8B">
        <w:rPr>
          <w:lang w:val="en-US"/>
        </w:rPr>
        <w:t>n econometric</w:t>
      </w:r>
      <w:r w:rsidRPr="00812E8B">
        <w:rPr>
          <w:lang w:val="en-US"/>
        </w:rPr>
        <w:t xml:space="preserve"> model</w:t>
      </w:r>
      <w:r w:rsidR="005C2E9B" w:rsidRPr="00812E8B">
        <w:rPr>
          <w:lang w:val="en-US"/>
        </w:rPr>
        <w:t xml:space="preserve"> is developed. The </w:t>
      </w:r>
      <w:r w:rsidRPr="00812E8B">
        <w:rPr>
          <w:lang w:val="en-US"/>
        </w:rPr>
        <w:t>depen</w:t>
      </w:r>
      <w:r w:rsidR="005C2E9B" w:rsidRPr="00812E8B">
        <w:rPr>
          <w:lang w:val="en-US"/>
        </w:rPr>
        <w:t>dent and independent variables</w:t>
      </w:r>
      <w:r w:rsidR="00482FB7" w:rsidRPr="00812E8B">
        <w:rPr>
          <w:lang w:val="en-US"/>
        </w:rPr>
        <w:t xml:space="preserve"> of the econometric model</w:t>
      </w:r>
      <w:r w:rsidR="005C2E9B" w:rsidRPr="00812E8B">
        <w:rPr>
          <w:lang w:val="en-US"/>
        </w:rPr>
        <w:t xml:space="preserve">, as </w:t>
      </w:r>
      <w:r w:rsidRPr="00812E8B">
        <w:rPr>
          <w:lang w:val="en-US"/>
        </w:rPr>
        <w:t xml:space="preserve">selected in the previous chapter, are used to empirical analyze </w:t>
      </w:r>
      <w:r w:rsidR="005A3EF2" w:rsidRPr="00812E8B">
        <w:rPr>
          <w:lang w:val="en-US"/>
        </w:rPr>
        <w:t xml:space="preserve">the </w:t>
      </w:r>
      <w:r w:rsidRPr="00812E8B">
        <w:rPr>
          <w:lang w:val="en-US"/>
        </w:rPr>
        <w:t xml:space="preserve">determinants of banks’ profitability. Besides the elaboration of the model, </w:t>
      </w:r>
      <w:r w:rsidR="00DB037C" w:rsidRPr="00812E8B">
        <w:rPr>
          <w:lang w:val="en-US"/>
        </w:rPr>
        <w:t xml:space="preserve">this chapter </w:t>
      </w:r>
      <w:r w:rsidR="007724EA" w:rsidRPr="00812E8B">
        <w:rPr>
          <w:lang w:val="en-US"/>
        </w:rPr>
        <w:t xml:space="preserve">describes </w:t>
      </w:r>
      <w:r w:rsidR="00DB037C" w:rsidRPr="00812E8B">
        <w:rPr>
          <w:lang w:val="en-US"/>
        </w:rPr>
        <w:t>the sample and databases that are</w:t>
      </w:r>
      <w:r w:rsidR="00012F36" w:rsidRPr="00812E8B">
        <w:rPr>
          <w:lang w:val="en-US"/>
        </w:rPr>
        <w:t xml:space="preserve"> used.</w:t>
      </w:r>
    </w:p>
    <w:p w:rsidR="005C2E9B" w:rsidRPr="00812E8B" w:rsidRDefault="005C2E9B" w:rsidP="00012F36">
      <w:pPr>
        <w:pStyle w:val="NoSpacing"/>
        <w:rPr>
          <w:sz w:val="16"/>
          <w:szCs w:val="16"/>
          <w:lang w:val="en-US"/>
        </w:rPr>
      </w:pPr>
    </w:p>
    <w:p w:rsidR="00F475FE" w:rsidRPr="00812E8B" w:rsidRDefault="00F475FE" w:rsidP="00F475FE">
      <w:pPr>
        <w:pStyle w:val="Heading2"/>
        <w:rPr>
          <w:color w:val="auto"/>
          <w:lang w:val="en-US"/>
        </w:rPr>
      </w:pPr>
      <w:bookmarkStart w:id="30" w:name="_Toc306359649"/>
      <w:r w:rsidRPr="00812E8B">
        <w:rPr>
          <w:color w:val="auto"/>
          <w:lang w:val="en-US"/>
        </w:rPr>
        <w:t>5.1 M</w:t>
      </w:r>
      <w:r w:rsidR="00937B13" w:rsidRPr="00812E8B">
        <w:rPr>
          <w:color w:val="auto"/>
          <w:sz w:val="20"/>
          <w:szCs w:val="20"/>
          <w:lang w:val="en-US"/>
        </w:rPr>
        <w:t>ETHODOLOGY</w:t>
      </w:r>
      <w:bookmarkEnd w:id="30"/>
    </w:p>
    <w:p w:rsidR="00F475FE" w:rsidRPr="00812E8B" w:rsidRDefault="00F475FE" w:rsidP="00F475FE">
      <w:pPr>
        <w:pStyle w:val="NoSpacing"/>
        <w:spacing w:line="276" w:lineRule="auto"/>
        <w:jc w:val="both"/>
        <w:rPr>
          <w:lang w:val="en-US"/>
        </w:rPr>
      </w:pPr>
      <w:r w:rsidRPr="00812E8B">
        <w:rPr>
          <w:lang w:val="en-US"/>
        </w:rPr>
        <w:t>The previous chapter selected the dependent variable and independent variables based on academic literature. Consequently, this paragraph describes the methodology</w:t>
      </w:r>
      <w:r w:rsidR="00DB037C" w:rsidRPr="00812E8B">
        <w:rPr>
          <w:lang w:val="en-US"/>
        </w:rPr>
        <w:t xml:space="preserve"> that is used in the empirical analysis to test</w:t>
      </w:r>
      <w:r w:rsidR="006C53A1" w:rsidRPr="00812E8B">
        <w:rPr>
          <w:lang w:val="en-US"/>
        </w:rPr>
        <w:t xml:space="preserve"> the</w:t>
      </w:r>
      <w:r w:rsidR="00DB037C" w:rsidRPr="00812E8B">
        <w:rPr>
          <w:lang w:val="en-US"/>
        </w:rPr>
        <w:t xml:space="preserve"> different hypotheses</w:t>
      </w:r>
      <w:r w:rsidRPr="00812E8B">
        <w:rPr>
          <w:lang w:val="en-US"/>
        </w:rPr>
        <w:t xml:space="preserve">. Modeling </w:t>
      </w:r>
      <w:r w:rsidR="006C53A1" w:rsidRPr="00812E8B">
        <w:rPr>
          <w:lang w:val="en-US"/>
        </w:rPr>
        <w:t>is</w:t>
      </w:r>
      <w:r w:rsidRPr="00812E8B">
        <w:rPr>
          <w:lang w:val="en-US"/>
        </w:rPr>
        <w:t xml:space="preserve"> based on panel data</w:t>
      </w:r>
      <w:r w:rsidR="005A3EF2" w:rsidRPr="00812E8B">
        <w:rPr>
          <w:lang w:val="en-US"/>
        </w:rPr>
        <w:t xml:space="preserve"> techniques</w:t>
      </w:r>
      <w:r w:rsidR="007724EA" w:rsidRPr="00812E8B">
        <w:rPr>
          <w:lang w:val="en-US"/>
        </w:rPr>
        <w:t xml:space="preserve">. </w:t>
      </w:r>
      <w:r w:rsidRPr="00812E8B">
        <w:rPr>
          <w:lang w:val="en-US"/>
        </w:rPr>
        <w:t>Panel data or longitudinal</w:t>
      </w:r>
      <w:r w:rsidR="005C2E9B" w:rsidRPr="00812E8B">
        <w:rPr>
          <w:lang w:val="en-US"/>
        </w:rPr>
        <w:t xml:space="preserve"> data</w:t>
      </w:r>
      <w:r w:rsidR="006C53A1" w:rsidRPr="00812E8B">
        <w:rPr>
          <w:lang w:val="en-US"/>
        </w:rPr>
        <w:t>,</w:t>
      </w:r>
      <w:r w:rsidRPr="00812E8B">
        <w:rPr>
          <w:lang w:val="en-US"/>
        </w:rPr>
        <w:t xml:space="preserve"> comprise</w:t>
      </w:r>
      <w:r w:rsidR="005C2E9B" w:rsidRPr="00812E8B">
        <w:rPr>
          <w:lang w:val="en-US"/>
        </w:rPr>
        <w:t>s</w:t>
      </w:r>
      <w:r w:rsidRPr="00812E8B">
        <w:rPr>
          <w:lang w:val="en-US"/>
        </w:rPr>
        <w:t xml:space="preserve"> of both cross-sectional elem</w:t>
      </w:r>
      <w:r w:rsidR="0081187D" w:rsidRPr="00812E8B">
        <w:rPr>
          <w:lang w:val="en-US"/>
        </w:rPr>
        <w:t>ents and time-series elements</w:t>
      </w:r>
      <w:r w:rsidR="005C2E9B" w:rsidRPr="00812E8B">
        <w:rPr>
          <w:lang w:val="en-US"/>
        </w:rPr>
        <w:t>;</w:t>
      </w:r>
      <w:r w:rsidRPr="00812E8B">
        <w:rPr>
          <w:lang w:val="en-US"/>
        </w:rPr>
        <w:t xml:space="preserve"> </w:t>
      </w:r>
      <w:r w:rsidR="005C2E9B" w:rsidRPr="00812E8B">
        <w:rPr>
          <w:lang w:val="en-US"/>
        </w:rPr>
        <w:t xml:space="preserve">the </w:t>
      </w:r>
      <w:r w:rsidRPr="00812E8B">
        <w:rPr>
          <w:lang w:val="en-US"/>
        </w:rPr>
        <w:t xml:space="preserve">cross-sectional </w:t>
      </w:r>
      <w:r w:rsidR="005C2E9B" w:rsidRPr="00812E8B">
        <w:rPr>
          <w:lang w:val="en-US"/>
        </w:rPr>
        <w:t>element is reflected by the</w:t>
      </w:r>
      <w:r w:rsidRPr="00812E8B">
        <w:rPr>
          <w:lang w:val="en-US"/>
        </w:rPr>
        <w:t xml:space="preserve"> different European banks and </w:t>
      </w:r>
      <w:r w:rsidR="005C2E9B" w:rsidRPr="00812E8B">
        <w:rPr>
          <w:lang w:val="en-US"/>
        </w:rPr>
        <w:t xml:space="preserve">the </w:t>
      </w:r>
      <w:r w:rsidRPr="00812E8B">
        <w:rPr>
          <w:lang w:val="en-US"/>
        </w:rPr>
        <w:t xml:space="preserve">time-series </w:t>
      </w:r>
      <w:r w:rsidR="005C2E9B" w:rsidRPr="00812E8B">
        <w:rPr>
          <w:lang w:val="en-US"/>
        </w:rPr>
        <w:t xml:space="preserve">element is reflected in the </w:t>
      </w:r>
      <w:r w:rsidR="0041488E" w:rsidRPr="00812E8B">
        <w:rPr>
          <w:lang w:val="en-US"/>
        </w:rPr>
        <w:t>period</w:t>
      </w:r>
      <w:r w:rsidR="005438F1" w:rsidRPr="00812E8B">
        <w:rPr>
          <w:lang w:val="en-US"/>
        </w:rPr>
        <w:t xml:space="preserve"> of study (2000-2009</w:t>
      </w:r>
      <w:r w:rsidR="005C2E9B" w:rsidRPr="00812E8B">
        <w:rPr>
          <w:lang w:val="en-US"/>
        </w:rPr>
        <w:t>)</w:t>
      </w:r>
      <w:r w:rsidR="00583329" w:rsidRPr="00812E8B">
        <w:rPr>
          <w:lang w:val="en-US"/>
        </w:rPr>
        <w:t xml:space="preserve">. </w:t>
      </w:r>
      <w:r w:rsidR="007724EA" w:rsidRPr="00812E8B">
        <w:rPr>
          <w:lang w:val="en-US"/>
        </w:rPr>
        <w:t xml:space="preserve">Panel data is favored over pure time-series or cross-sectional data because it can control for individual heterogeneity and there is a less degree of multicollinearity between variables </w:t>
      </w:r>
      <w:r w:rsidR="000F17F0" w:rsidRPr="00812E8B">
        <w:rPr>
          <w:color w:val="365F91" w:themeColor="accent1" w:themeShade="BF"/>
          <w:lang w:val="en-US"/>
        </w:rPr>
        <w:t>(Baltagi, 2005)</w:t>
      </w:r>
      <w:r w:rsidR="007724EA" w:rsidRPr="00812E8B">
        <w:rPr>
          <w:lang w:val="en-US"/>
        </w:rPr>
        <w:t>.</w:t>
      </w:r>
      <w:r w:rsidR="007724EA" w:rsidRPr="00812E8B">
        <w:rPr>
          <w:color w:val="365F91" w:themeColor="accent1" w:themeShade="BF"/>
          <w:lang w:val="en-US"/>
        </w:rPr>
        <w:t xml:space="preserve"> </w:t>
      </w:r>
      <w:r w:rsidR="007724EA" w:rsidRPr="00812E8B">
        <w:rPr>
          <w:lang w:val="en-US"/>
        </w:rPr>
        <w:t>Heterogeneity relates to the unobserved characteristics of banks that are not captured by the independent variables described in chapter four</w:t>
      </w:r>
      <w:r w:rsidR="007724EA" w:rsidRPr="00812E8B">
        <w:rPr>
          <w:rStyle w:val="EndnoteReference"/>
          <w:lang w:val="en-US"/>
        </w:rPr>
        <w:endnoteReference w:id="11"/>
      </w:r>
      <w:r w:rsidR="007724EA" w:rsidRPr="00812E8B">
        <w:rPr>
          <w:lang w:val="en-US"/>
        </w:rPr>
        <w:t>.</w:t>
      </w:r>
    </w:p>
    <w:p w:rsidR="00F475FE" w:rsidRPr="00812E8B" w:rsidRDefault="00F475FE" w:rsidP="007724EA">
      <w:pPr>
        <w:pStyle w:val="NoSpacing"/>
        <w:rPr>
          <w:sz w:val="16"/>
          <w:szCs w:val="16"/>
          <w:lang w:val="en-US"/>
        </w:rPr>
      </w:pPr>
    </w:p>
    <w:p w:rsidR="00F475FE" w:rsidRPr="00812E8B" w:rsidRDefault="00F475FE" w:rsidP="00F475FE">
      <w:pPr>
        <w:pStyle w:val="Heading3"/>
        <w:rPr>
          <w:color w:val="auto"/>
          <w:lang w:val="en-US"/>
        </w:rPr>
      </w:pPr>
      <w:r w:rsidRPr="00812E8B">
        <w:rPr>
          <w:color w:val="auto"/>
          <w:lang w:val="en-US"/>
        </w:rPr>
        <w:t>5.1.1</w:t>
      </w:r>
      <w:r w:rsidR="005C2E9B" w:rsidRPr="00812E8B">
        <w:rPr>
          <w:color w:val="auto"/>
          <w:lang w:val="en-US"/>
        </w:rPr>
        <w:t xml:space="preserve"> E</w:t>
      </w:r>
      <w:r w:rsidR="00937B13" w:rsidRPr="00812E8B">
        <w:rPr>
          <w:color w:val="auto"/>
          <w:sz w:val="19"/>
          <w:szCs w:val="19"/>
          <w:lang w:val="en-US"/>
        </w:rPr>
        <w:t xml:space="preserve">CONOMETRIC MODEL </w:t>
      </w:r>
    </w:p>
    <w:p w:rsidR="00380241" w:rsidRPr="00812E8B" w:rsidRDefault="003D4AB0" w:rsidP="003D4AB0">
      <w:pPr>
        <w:pStyle w:val="NoSpacing"/>
        <w:spacing w:line="276" w:lineRule="auto"/>
        <w:jc w:val="both"/>
        <w:rPr>
          <w:lang w:val="en-US"/>
        </w:rPr>
      </w:pPr>
      <w:r w:rsidRPr="00812E8B">
        <w:rPr>
          <w:lang w:val="en-US"/>
        </w:rPr>
        <w:t>The research de</w:t>
      </w:r>
      <w:r w:rsidR="00DB037C" w:rsidRPr="00812E8B">
        <w:rPr>
          <w:lang w:val="en-US"/>
        </w:rPr>
        <w:t>s</w:t>
      </w:r>
      <w:r w:rsidRPr="00812E8B">
        <w:rPr>
          <w:lang w:val="en-US"/>
        </w:rPr>
        <w:t xml:space="preserve">ign of this thesis </w:t>
      </w:r>
      <w:r w:rsidR="00F475FE" w:rsidRPr="00812E8B">
        <w:rPr>
          <w:lang w:val="en-US"/>
        </w:rPr>
        <w:t>builds on the</w:t>
      </w:r>
      <w:r w:rsidR="00172CDA" w:rsidRPr="00812E8B">
        <w:rPr>
          <w:lang w:val="en-US"/>
        </w:rPr>
        <w:t xml:space="preserve"> econometric</w:t>
      </w:r>
      <w:r w:rsidR="00F475FE" w:rsidRPr="00812E8B">
        <w:rPr>
          <w:lang w:val="en-US"/>
        </w:rPr>
        <w:t xml:space="preserve"> model </w:t>
      </w:r>
      <w:r w:rsidR="00172CDA" w:rsidRPr="00812E8B">
        <w:rPr>
          <w:lang w:val="en-US"/>
        </w:rPr>
        <w:t>suggested</w:t>
      </w:r>
      <w:r w:rsidR="00F475FE" w:rsidRPr="00812E8B">
        <w:rPr>
          <w:lang w:val="en-US"/>
        </w:rPr>
        <w:t xml:space="preserve"> by </w:t>
      </w:r>
      <w:r w:rsidR="00E34060" w:rsidRPr="00812E8B">
        <w:rPr>
          <w:color w:val="365F91" w:themeColor="accent1" w:themeShade="BF"/>
          <w:lang w:val="en-US"/>
        </w:rPr>
        <w:t xml:space="preserve">Athanasoglou et al. (2008) </w:t>
      </w:r>
      <w:r w:rsidR="00BF58CA" w:rsidRPr="00812E8B">
        <w:rPr>
          <w:lang w:val="en-US"/>
        </w:rPr>
        <w:t xml:space="preserve">and </w:t>
      </w:r>
      <w:r w:rsidR="001B30EB" w:rsidRPr="00812E8B">
        <w:rPr>
          <w:color w:val="365F91" w:themeColor="accent1" w:themeShade="BF"/>
          <w:lang w:val="en-US"/>
        </w:rPr>
        <w:t xml:space="preserve">Dietrich and Wanzenried (2011), </w:t>
      </w:r>
      <w:r w:rsidR="00DB037C" w:rsidRPr="00812E8B">
        <w:rPr>
          <w:lang w:val="en-US"/>
        </w:rPr>
        <w:t xml:space="preserve">presented </w:t>
      </w:r>
      <w:r w:rsidR="007724EA" w:rsidRPr="00812E8B">
        <w:rPr>
          <w:lang w:val="en-US"/>
        </w:rPr>
        <w:t>in</w:t>
      </w:r>
      <w:r w:rsidR="00F475FE" w:rsidRPr="00812E8B">
        <w:rPr>
          <w:lang w:val="en-US"/>
        </w:rPr>
        <w:t xml:space="preserve"> equation </w:t>
      </w:r>
      <w:r w:rsidRPr="00812E8B">
        <w:rPr>
          <w:lang w:val="en-US"/>
        </w:rPr>
        <w:t>(</w:t>
      </w:r>
      <w:r w:rsidR="00F475FE" w:rsidRPr="00812E8B">
        <w:rPr>
          <w:lang w:val="en-US"/>
        </w:rPr>
        <w:t>i).</w:t>
      </w:r>
      <m:oMath>
        <m:r>
          <w:rPr>
            <w:rFonts w:ascii="Cambria Math" w:hAnsi="Times New Roman"/>
            <w:sz w:val="24"/>
            <w:szCs w:val="24"/>
            <w:lang w:val="en-US"/>
          </w:rPr>
          <m:t xml:space="preserve"> </m:t>
        </m:r>
      </m:oMath>
    </w:p>
    <w:p w:rsidR="00F475FE" w:rsidRPr="00812E8B" w:rsidRDefault="007544CF" w:rsidP="007544CF">
      <w:pPr>
        <w:pStyle w:val="Caption"/>
        <w:rPr>
          <w:rFonts w:ascii="Cambria Math" w:hAnsi="Cambria Math"/>
          <w:b w:val="0"/>
          <w:color w:val="auto"/>
          <w:sz w:val="24"/>
          <w:szCs w:val="24"/>
          <w:lang w:val="en-US"/>
        </w:rPr>
      </w:pPr>
      <w:r w:rsidRPr="00812E8B">
        <w:rPr>
          <w:b w:val="0"/>
          <w:color w:val="FFFFFF" w:themeColor="background1"/>
          <w:sz w:val="8"/>
          <w:szCs w:val="8"/>
          <w:lang w:val="en-US"/>
        </w:rPr>
        <w:t xml:space="preserve">Equation </w:t>
      </w:r>
      <w:r w:rsidR="00D46A7F" w:rsidRPr="00812E8B">
        <w:rPr>
          <w:b w:val="0"/>
          <w:color w:val="FFFFFF" w:themeColor="background1"/>
          <w:sz w:val="8"/>
          <w:szCs w:val="8"/>
          <w:lang w:val="en-US"/>
        </w:rPr>
        <w:fldChar w:fldCharType="begin"/>
      </w:r>
      <w:r w:rsidRPr="00812E8B">
        <w:rPr>
          <w:b w:val="0"/>
          <w:color w:val="FFFFFF" w:themeColor="background1"/>
          <w:sz w:val="8"/>
          <w:szCs w:val="8"/>
          <w:lang w:val="en-US"/>
        </w:rPr>
        <w:instrText xml:space="preserve"> SEQ Equation \* roman </w:instrText>
      </w:r>
      <w:r w:rsidR="00D46A7F" w:rsidRPr="00812E8B">
        <w:rPr>
          <w:b w:val="0"/>
          <w:color w:val="FFFFFF" w:themeColor="background1"/>
          <w:sz w:val="8"/>
          <w:szCs w:val="8"/>
          <w:lang w:val="en-US"/>
        </w:rPr>
        <w:fldChar w:fldCharType="separate"/>
      </w:r>
      <w:r w:rsidR="00DD7D45">
        <w:rPr>
          <w:b w:val="0"/>
          <w:noProof/>
          <w:color w:val="FFFFFF" w:themeColor="background1"/>
          <w:sz w:val="8"/>
          <w:szCs w:val="8"/>
          <w:lang w:val="en-US"/>
        </w:rPr>
        <w:t>i</w:t>
      </w:r>
      <w:r w:rsidR="00D46A7F" w:rsidRPr="00812E8B">
        <w:rPr>
          <w:b w:val="0"/>
          <w:color w:val="FFFFFF" w:themeColor="background1"/>
          <w:sz w:val="8"/>
          <w:szCs w:val="8"/>
          <w:lang w:val="en-US"/>
        </w:rPr>
        <w:fldChar w:fldCharType="end"/>
      </w:r>
      <w:r w:rsidR="0011117C" w:rsidRPr="00812E8B">
        <w:rPr>
          <w:b w:val="0"/>
          <w:color w:val="FFFFFF" w:themeColor="background1"/>
          <w:sz w:val="8"/>
          <w:szCs w:val="8"/>
          <w:lang w:val="en-US"/>
        </w:rPr>
        <w:t xml:space="preserve"> </w:t>
      </w:r>
      <w:r w:rsidRPr="00812E8B">
        <w:rPr>
          <w:b w:val="0"/>
          <w:color w:val="FFFFFF" w:themeColor="background1"/>
          <w:sz w:val="8"/>
          <w:szCs w:val="8"/>
          <w:lang w:val="en-US"/>
        </w:rPr>
        <w:t>is.</w:t>
      </w:r>
      <w:r w:rsidRPr="00812E8B">
        <w:rPr>
          <w:rFonts w:ascii="Cambria Math" w:hAnsi="Cambria Math"/>
          <w:b w:val="0"/>
          <w:color w:val="BFBFBF" w:themeColor="background1" w:themeShade="BF"/>
          <w:sz w:val="8"/>
          <w:szCs w:val="8"/>
          <w:lang w:val="en-US"/>
        </w:rPr>
        <w:br/>
      </w:r>
      <m:oMathPara>
        <m:oMath>
          <m:d>
            <m:dPr>
              <m:ctrlPr>
                <w:rPr>
                  <w:rStyle w:val="NoSpacingChar"/>
                  <w:rFonts w:ascii="Cambria Math" w:hAnsi="Cambria Math"/>
                  <w:b w:val="0"/>
                  <w:color w:val="auto"/>
                  <w:sz w:val="24"/>
                  <w:szCs w:val="24"/>
                  <w:lang w:val="en-US"/>
                </w:rPr>
              </m:ctrlPr>
            </m:dPr>
            <m:e>
              <m:r>
                <m:rPr>
                  <m:sty m:val="b"/>
                </m:rPr>
                <w:rPr>
                  <w:rStyle w:val="NoSpacingChar"/>
                  <w:rFonts w:ascii="Cambria Math" w:hAnsi="Cambria Math"/>
                  <w:color w:val="auto"/>
                  <w:sz w:val="24"/>
                  <w:szCs w:val="24"/>
                  <w:lang w:val="en-US"/>
                </w:rPr>
                <m:t>i</m:t>
              </m:r>
            </m:e>
          </m:d>
          <m:r>
            <m:rPr>
              <m:sty m:val="b"/>
            </m:rPr>
            <w:rPr>
              <w:rStyle w:val="NoSpacingChar"/>
              <w:rFonts w:ascii="Cambria Math" w:hAnsi="Cambria Math"/>
              <w:color w:val="auto"/>
              <w:sz w:val="24"/>
              <w:szCs w:val="24"/>
              <w:lang w:val="en-US"/>
            </w:rPr>
            <m:t xml:space="preserve"> </m:t>
          </m:r>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 xml:space="preserve"> π</m:t>
              </m:r>
            </m:e>
            <m:sub>
              <m:r>
                <m:rPr>
                  <m:sty m:val="bi"/>
                </m:rPr>
                <w:rPr>
                  <w:rFonts w:ascii="Cambria Math" w:hAnsi="Cambria Math" w:cs="Times New Roman"/>
                  <w:color w:val="auto"/>
                  <w:sz w:val="24"/>
                  <w:szCs w:val="24"/>
                  <w:lang w:val="en-US"/>
                </w:rPr>
                <m:t>it</m:t>
              </m:r>
            </m:sub>
          </m:sSub>
          <m:r>
            <m:rPr>
              <m:sty m:val="bi"/>
            </m:rPr>
            <w:rPr>
              <w:rFonts w:ascii="Cambria Math" w:hAnsi="Cambria Math" w:cs="Times New Roman"/>
              <w:color w:val="auto"/>
              <w:sz w:val="24"/>
              <w:szCs w:val="24"/>
              <w:lang w:val="en-US"/>
            </w:rPr>
            <m:t>= α + ∂</m:t>
          </m:r>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π</m:t>
              </m:r>
            </m:e>
            <m:sub>
              <m:r>
                <m:rPr>
                  <m:sty m:val="bi"/>
                </m:rPr>
                <w:rPr>
                  <w:rFonts w:ascii="Cambria Math" w:hAnsi="Cambria Math" w:cs="Times New Roman"/>
                  <w:color w:val="auto"/>
                  <w:sz w:val="24"/>
                  <w:szCs w:val="24"/>
                  <w:lang w:val="en-US"/>
                </w:rPr>
                <m:t>i,t-1</m:t>
              </m:r>
            </m:sub>
          </m:sSub>
          <m:r>
            <m:rPr>
              <m:sty m:val="bi"/>
            </m:rPr>
            <w:rPr>
              <w:rFonts w:ascii="Cambria Math" w:hAnsi="Cambria Math" w:cs="Times New Roman"/>
              <w:color w:val="auto"/>
              <w:sz w:val="24"/>
              <w:szCs w:val="24"/>
              <w:lang w:val="en-US"/>
            </w:rPr>
            <m:t xml:space="preserve"> + </m:t>
          </m:r>
          <m:nary>
            <m:naryPr>
              <m:chr m:val="∑"/>
              <m:limLoc m:val="undOvr"/>
              <m:ctrlPr>
                <w:rPr>
                  <w:rFonts w:ascii="Cambria Math" w:hAnsi="Cambria Math" w:cs="Times New Roman"/>
                  <w:b w:val="0"/>
                  <w:i/>
                  <w:color w:val="auto"/>
                  <w:sz w:val="24"/>
                  <w:szCs w:val="24"/>
                  <w:lang w:val="en-US"/>
                </w:rPr>
              </m:ctrlPr>
            </m:naryPr>
            <m:sub>
              <m:r>
                <m:rPr>
                  <m:sty m:val="bi"/>
                </m:rPr>
                <w:rPr>
                  <w:rFonts w:ascii="Cambria Math" w:hAnsi="Cambria Math" w:cs="Times New Roman"/>
                  <w:color w:val="auto"/>
                  <w:sz w:val="24"/>
                  <w:szCs w:val="24"/>
                  <w:lang w:val="en-US"/>
                </w:rPr>
                <m:t>j=1</m:t>
              </m:r>
            </m:sub>
            <m:sup>
              <m:r>
                <m:rPr>
                  <m:sty m:val="bi"/>
                </m:rPr>
                <w:rPr>
                  <w:rFonts w:ascii="Cambria Math" w:hAnsi="Cambria Math" w:cs="Times New Roman"/>
                  <w:color w:val="auto"/>
                  <w:sz w:val="24"/>
                  <w:szCs w:val="24"/>
                  <w:lang w:val="en-US"/>
                </w:rPr>
                <m:t>J</m:t>
              </m:r>
            </m:sup>
            <m:e>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β</m:t>
                  </m:r>
                </m:e>
                <m:sub>
                  <m:r>
                    <m:rPr>
                      <m:sty m:val="bi"/>
                    </m:rPr>
                    <w:rPr>
                      <w:rFonts w:ascii="Cambria Math" w:hAnsi="Cambria Math" w:cs="Times New Roman"/>
                      <w:color w:val="auto"/>
                      <w:sz w:val="24"/>
                      <w:szCs w:val="24"/>
                      <w:lang w:val="en-US"/>
                    </w:rPr>
                    <m:t>j</m:t>
                  </m:r>
                </m:sub>
              </m:sSub>
              <m:r>
                <m:rPr>
                  <m:sty m:val="bi"/>
                </m:rPr>
                <w:rPr>
                  <w:rFonts w:ascii="Cambria Math" w:hAnsi="Cambria Math" w:cs="Times New Roman"/>
                  <w:color w:val="auto"/>
                  <w:sz w:val="24"/>
                  <w:szCs w:val="24"/>
                  <w:lang w:val="en-US"/>
                </w:rPr>
                <m:t>X</m:t>
              </m:r>
              <m:m>
                <m:mPr>
                  <m:mcs>
                    <m:mc>
                      <m:mcPr>
                        <m:count m:val="1"/>
                        <m:mcJc m:val="center"/>
                      </m:mcPr>
                    </m:mc>
                  </m:mcs>
                  <m:ctrlPr>
                    <w:rPr>
                      <w:rFonts w:ascii="Cambria Math" w:hAnsi="Cambria Math" w:cs="Times New Roman"/>
                      <w:b w:val="0"/>
                      <w:i/>
                      <w:color w:val="auto"/>
                      <w:sz w:val="24"/>
                      <w:szCs w:val="24"/>
                      <w:lang w:val="en-US"/>
                    </w:rPr>
                  </m:ctrlPr>
                </m:mPr>
                <m:mr>
                  <m:e>
                    <m:r>
                      <m:rPr>
                        <m:sty m:val="bi"/>
                      </m:rPr>
                      <w:rPr>
                        <w:rFonts w:ascii="Cambria Math" w:hAnsi="Cambria Math" w:cs="Times New Roman"/>
                        <w:color w:val="auto"/>
                        <w:sz w:val="24"/>
                        <w:szCs w:val="24"/>
                        <w:lang w:val="en-US"/>
                      </w:rPr>
                      <m:t>j</m:t>
                    </m:r>
                  </m:e>
                </m:mr>
                <m:mr>
                  <m:e>
                    <m:r>
                      <m:rPr>
                        <m:sty m:val="bi"/>
                      </m:rPr>
                      <w:rPr>
                        <w:rFonts w:ascii="Cambria Math" w:hAnsi="Cambria Math" w:cs="Times New Roman"/>
                        <w:color w:val="auto"/>
                        <w:sz w:val="24"/>
                        <w:szCs w:val="24"/>
                        <w:lang w:val="en-US"/>
                      </w:rPr>
                      <m:t>it</m:t>
                    </m:r>
                  </m:e>
                </m:mr>
              </m:m>
            </m:e>
          </m:nary>
          <m:r>
            <m:rPr>
              <m:sty m:val="bi"/>
            </m:rPr>
            <w:rPr>
              <w:rFonts w:ascii="Cambria Math" w:hAnsi="Cambria Math" w:cs="Times New Roman"/>
              <w:color w:val="auto"/>
              <w:sz w:val="24"/>
              <w:szCs w:val="24"/>
              <w:lang w:val="en-US"/>
            </w:rPr>
            <m:t xml:space="preserve"> + </m:t>
          </m:r>
          <m:nary>
            <m:naryPr>
              <m:chr m:val="∑"/>
              <m:limLoc m:val="undOvr"/>
              <m:ctrlPr>
                <w:rPr>
                  <w:rFonts w:ascii="Cambria Math" w:hAnsi="Cambria Math" w:cs="Times New Roman"/>
                  <w:b w:val="0"/>
                  <w:i/>
                  <w:color w:val="auto"/>
                  <w:sz w:val="24"/>
                  <w:szCs w:val="24"/>
                  <w:lang w:val="en-US"/>
                </w:rPr>
              </m:ctrlPr>
            </m:naryPr>
            <m:sub>
              <m:r>
                <m:rPr>
                  <m:sty m:val="bi"/>
                </m:rPr>
                <w:rPr>
                  <w:rFonts w:ascii="Cambria Math" w:hAnsi="Cambria Math" w:cs="Times New Roman"/>
                  <w:color w:val="auto"/>
                  <w:sz w:val="24"/>
                  <w:szCs w:val="24"/>
                  <w:lang w:val="en-US"/>
                </w:rPr>
                <m:t>l=1</m:t>
              </m:r>
            </m:sub>
            <m:sup>
              <m:r>
                <m:rPr>
                  <m:sty m:val="bi"/>
                </m:rPr>
                <w:rPr>
                  <w:rFonts w:ascii="Cambria Math" w:hAnsi="Cambria Math" w:cs="Times New Roman"/>
                  <w:color w:val="auto"/>
                  <w:sz w:val="24"/>
                  <w:szCs w:val="24"/>
                  <w:lang w:val="en-US"/>
                </w:rPr>
                <m:t>L</m:t>
              </m:r>
            </m:sup>
            <m:e>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β</m:t>
                  </m:r>
                </m:e>
                <m:sub>
                  <m:r>
                    <m:rPr>
                      <m:sty m:val="bi"/>
                    </m:rPr>
                    <w:rPr>
                      <w:rFonts w:ascii="Cambria Math" w:hAnsi="Cambria Math" w:cs="Times New Roman"/>
                      <w:color w:val="auto"/>
                      <w:sz w:val="24"/>
                      <w:szCs w:val="24"/>
                      <w:lang w:val="en-US"/>
                    </w:rPr>
                    <m:t>l</m:t>
                  </m:r>
                </m:sub>
              </m:sSub>
              <m:r>
                <m:rPr>
                  <m:sty m:val="bi"/>
                </m:rPr>
                <w:rPr>
                  <w:rFonts w:ascii="Cambria Math" w:hAnsi="Cambria Math" w:cs="Times New Roman"/>
                  <w:color w:val="auto"/>
                  <w:sz w:val="24"/>
                  <w:szCs w:val="24"/>
                  <w:lang w:val="en-US"/>
                </w:rPr>
                <m:t>X</m:t>
              </m:r>
              <m:m>
                <m:mPr>
                  <m:mcs>
                    <m:mc>
                      <m:mcPr>
                        <m:count m:val="1"/>
                        <m:mcJc m:val="center"/>
                      </m:mcPr>
                    </m:mc>
                  </m:mcs>
                  <m:ctrlPr>
                    <w:rPr>
                      <w:rFonts w:ascii="Cambria Math" w:hAnsi="Cambria Math" w:cs="Times New Roman"/>
                      <w:b w:val="0"/>
                      <w:i/>
                      <w:color w:val="auto"/>
                      <w:sz w:val="24"/>
                      <w:szCs w:val="24"/>
                      <w:lang w:val="en-US"/>
                    </w:rPr>
                  </m:ctrlPr>
                </m:mPr>
                <m:mr>
                  <m:e>
                    <m:r>
                      <m:rPr>
                        <m:sty m:val="bi"/>
                      </m:rPr>
                      <w:rPr>
                        <w:rFonts w:ascii="Cambria Math" w:hAnsi="Cambria Math" w:cs="Times New Roman"/>
                        <w:color w:val="auto"/>
                        <w:sz w:val="24"/>
                        <w:szCs w:val="24"/>
                        <w:lang w:val="en-US"/>
                      </w:rPr>
                      <m:t>l</m:t>
                    </m:r>
                  </m:e>
                </m:mr>
                <m:mr>
                  <m:e>
                    <m:r>
                      <m:rPr>
                        <m:sty m:val="bi"/>
                      </m:rPr>
                      <w:rPr>
                        <w:rFonts w:ascii="Cambria Math" w:hAnsi="Cambria Math" w:cs="Times New Roman"/>
                        <w:color w:val="auto"/>
                        <w:sz w:val="24"/>
                        <w:szCs w:val="24"/>
                        <w:lang w:val="en-US"/>
                      </w:rPr>
                      <m:t>it</m:t>
                    </m:r>
                  </m:e>
                </m:mr>
              </m:m>
            </m:e>
          </m:nary>
          <m:r>
            <m:rPr>
              <m:sty m:val="bi"/>
            </m:rPr>
            <w:rPr>
              <w:rFonts w:ascii="Cambria Math" w:hAnsi="Cambria Math" w:cs="Times New Roman"/>
              <w:color w:val="auto"/>
              <w:sz w:val="24"/>
              <w:szCs w:val="24"/>
              <w:lang w:val="en-US"/>
            </w:rPr>
            <m:t xml:space="preserve"> + </m:t>
          </m:r>
          <m:nary>
            <m:naryPr>
              <m:chr m:val="∑"/>
              <m:limLoc m:val="undOvr"/>
              <m:ctrlPr>
                <w:rPr>
                  <w:rFonts w:ascii="Cambria Math" w:hAnsi="Cambria Math" w:cs="Times New Roman"/>
                  <w:b w:val="0"/>
                  <w:i/>
                  <w:color w:val="auto"/>
                  <w:sz w:val="24"/>
                  <w:szCs w:val="24"/>
                  <w:lang w:val="en-US"/>
                </w:rPr>
              </m:ctrlPr>
            </m:naryPr>
            <m:sub>
              <m:r>
                <m:rPr>
                  <m:sty m:val="bi"/>
                </m:rPr>
                <w:rPr>
                  <w:rFonts w:ascii="Cambria Math" w:hAnsi="Cambria Math" w:cs="Times New Roman"/>
                  <w:color w:val="auto"/>
                  <w:sz w:val="24"/>
                  <w:szCs w:val="24"/>
                  <w:lang w:val="en-US"/>
                </w:rPr>
                <m:t>k=1</m:t>
              </m:r>
            </m:sub>
            <m:sup>
              <m:r>
                <m:rPr>
                  <m:sty m:val="bi"/>
                </m:rPr>
                <w:rPr>
                  <w:rFonts w:ascii="Cambria Math" w:hAnsi="Cambria Math" w:cs="Times New Roman"/>
                  <w:color w:val="auto"/>
                  <w:sz w:val="24"/>
                  <w:szCs w:val="24"/>
                  <w:lang w:val="en-US"/>
                </w:rPr>
                <m:t>M</m:t>
              </m:r>
            </m:sup>
            <m:e>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β</m:t>
                  </m:r>
                </m:e>
                <m:sub>
                  <m:r>
                    <m:rPr>
                      <m:sty m:val="bi"/>
                    </m:rPr>
                    <w:rPr>
                      <w:rFonts w:ascii="Cambria Math" w:hAnsi="Cambria Math" w:cs="Times New Roman"/>
                      <w:color w:val="auto"/>
                      <w:sz w:val="24"/>
                      <w:szCs w:val="24"/>
                      <w:lang w:val="en-US"/>
                    </w:rPr>
                    <m:t>m</m:t>
                  </m:r>
                </m:sub>
              </m:sSub>
              <m:r>
                <m:rPr>
                  <m:sty m:val="bi"/>
                </m:rPr>
                <w:rPr>
                  <w:rFonts w:ascii="Cambria Math" w:hAnsi="Cambria Math" w:cs="Times New Roman"/>
                  <w:color w:val="auto"/>
                  <w:sz w:val="24"/>
                  <w:szCs w:val="24"/>
                  <w:lang w:val="en-US"/>
                </w:rPr>
                <m:t>X</m:t>
              </m:r>
              <m:m>
                <m:mPr>
                  <m:mcs>
                    <m:mc>
                      <m:mcPr>
                        <m:count m:val="1"/>
                        <m:mcJc m:val="center"/>
                      </m:mcPr>
                    </m:mc>
                  </m:mcs>
                  <m:ctrlPr>
                    <w:rPr>
                      <w:rFonts w:ascii="Cambria Math" w:hAnsi="Cambria Math" w:cs="Times New Roman"/>
                      <w:b w:val="0"/>
                      <w:i/>
                      <w:color w:val="auto"/>
                      <w:sz w:val="24"/>
                      <w:szCs w:val="24"/>
                      <w:lang w:val="en-US"/>
                    </w:rPr>
                  </m:ctrlPr>
                </m:mPr>
                <m:mr>
                  <m:e>
                    <m:r>
                      <m:rPr>
                        <m:sty m:val="bi"/>
                      </m:rPr>
                      <w:rPr>
                        <w:rFonts w:ascii="Cambria Math" w:hAnsi="Cambria Math" w:cs="Times New Roman"/>
                        <w:color w:val="auto"/>
                        <w:sz w:val="24"/>
                        <w:szCs w:val="24"/>
                        <w:lang w:val="en-US"/>
                      </w:rPr>
                      <m:t>m</m:t>
                    </m:r>
                  </m:e>
                </m:mr>
                <m:mr>
                  <m:e>
                    <m:r>
                      <m:rPr>
                        <m:sty m:val="bi"/>
                      </m:rPr>
                      <w:rPr>
                        <w:rFonts w:ascii="Cambria Math" w:hAnsi="Cambria Math" w:cs="Times New Roman"/>
                        <w:color w:val="auto"/>
                        <w:sz w:val="24"/>
                        <w:szCs w:val="24"/>
                        <w:lang w:val="en-US"/>
                      </w:rPr>
                      <m:t>it</m:t>
                    </m:r>
                  </m:e>
                </m:mr>
              </m:m>
            </m:e>
          </m:nary>
          <m:r>
            <m:rPr>
              <m:sty m:val="bi"/>
            </m:rPr>
            <w:rPr>
              <w:rFonts w:ascii="Cambria Math" w:hAnsi="Cambria Math" w:cs="Times New Roman"/>
              <w:color w:val="auto"/>
              <w:sz w:val="24"/>
              <w:szCs w:val="24"/>
              <w:lang w:val="en-US"/>
            </w:rPr>
            <m:t xml:space="preserve"> +</m:t>
          </m:r>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u</m:t>
              </m:r>
            </m:e>
            <m:sub>
              <m:r>
                <m:rPr>
                  <m:sty m:val="bi"/>
                </m:rPr>
                <w:rPr>
                  <w:rFonts w:ascii="Cambria Math" w:hAnsi="Cambria Math" w:cs="Times New Roman"/>
                  <w:color w:val="auto"/>
                  <w:sz w:val="24"/>
                  <w:szCs w:val="24"/>
                  <w:lang w:val="en-US"/>
                </w:rPr>
                <m:t>it</m:t>
              </m:r>
            </m:sub>
          </m:sSub>
          <m:r>
            <m:rPr>
              <m:sty m:val="bi"/>
            </m:rPr>
            <w:rPr>
              <w:rFonts w:ascii="Cambria Math" w:hAnsi="Cambria Math" w:cs="Times New Roman"/>
              <w:color w:val="auto"/>
              <w:sz w:val="24"/>
              <w:szCs w:val="24"/>
              <w:lang w:val="en-US"/>
            </w:rPr>
            <m:t xml:space="preserve">,     </m:t>
          </m:r>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u</m:t>
              </m:r>
            </m:e>
            <m:sub>
              <m:r>
                <m:rPr>
                  <m:sty m:val="bi"/>
                </m:rPr>
                <w:rPr>
                  <w:rFonts w:ascii="Cambria Math" w:hAnsi="Cambria Math" w:cs="Times New Roman"/>
                  <w:color w:val="auto"/>
                  <w:sz w:val="24"/>
                  <w:szCs w:val="24"/>
                  <w:lang w:val="en-US"/>
                </w:rPr>
                <m:t>it</m:t>
              </m:r>
            </m:sub>
          </m:sSub>
          <m:r>
            <m:rPr>
              <m:sty m:val="bi"/>
            </m:rPr>
            <w:rPr>
              <w:rFonts w:ascii="Cambria Math" w:hAnsi="Cambria Math" w:cs="Times New Roman"/>
              <w:color w:val="auto"/>
              <w:sz w:val="24"/>
              <w:szCs w:val="24"/>
              <w:lang w:val="en-US"/>
            </w:rPr>
            <m:t xml:space="preserve">= </m:t>
          </m:r>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μ</m:t>
              </m:r>
            </m:e>
            <m:sub>
              <m:r>
                <m:rPr>
                  <m:sty m:val="bi"/>
                </m:rPr>
                <w:rPr>
                  <w:rFonts w:ascii="Cambria Math" w:hAnsi="Cambria Math" w:cs="Times New Roman"/>
                  <w:color w:val="auto"/>
                  <w:sz w:val="24"/>
                  <w:szCs w:val="24"/>
                  <w:lang w:val="en-US"/>
                </w:rPr>
                <m:t>i</m:t>
              </m:r>
            </m:sub>
          </m:sSub>
          <m:r>
            <m:rPr>
              <m:sty m:val="bi"/>
            </m:rPr>
            <w:rPr>
              <w:rFonts w:ascii="Cambria Math" w:hAnsi="Cambria Math" w:cs="Times New Roman"/>
              <w:color w:val="auto"/>
              <w:sz w:val="24"/>
              <w:szCs w:val="24"/>
              <w:lang w:val="en-US"/>
            </w:rPr>
            <m:t xml:space="preserve"> + </m:t>
          </m:r>
          <m:sSub>
            <m:sSubPr>
              <m:ctrlPr>
                <w:rPr>
                  <w:rFonts w:ascii="Cambria Math" w:hAnsi="Cambria Math" w:cs="Times New Roman"/>
                  <w:b w:val="0"/>
                  <w:i/>
                  <w:color w:val="auto"/>
                  <w:sz w:val="24"/>
                  <w:szCs w:val="24"/>
                  <w:lang w:val="en-US"/>
                </w:rPr>
              </m:ctrlPr>
            </m:sSubPr>
            <m:e>
              <m:r>
                <m:rPr>
                  <m:sty m:val="bi"/>
                </m:rPr>
                <w:rPr>
                  <w:rFonts w:ascii="Cambria Math" w:hAnsi="Cambria Math" w:cs="Times New Roman"/>
                  <w:color w:val="auto"/>
                  <w:sz w:val="24"/>
                  <w:szCs w:val="24"/>
                  <w:lang w:val="en-US"/>
                </w:rPr>
                <m:t>v</m:t>
              </m:r>
            </m:e>
            <m:sub>
              <m:r>
                <m:rPr>
                  <m:sty m:val="bi"/>
                </m:rPr>
                <w:rPr>
                  <w:rFonts w:ascii="Cambria Math" w:hAnsi="Cambria Math" w:cs="Times New Roman"/>
                  <w:color w:val="auto"/>
                  <w:sz w:val="24"/>
                  <w:szCs w:val="24"/>
                  <w:lang w:val="en-US"/>
                </w:rPr>
                <m:t>it</m:t>
              </m:r>
            </m:sub>
          </m:sSub>
        </m:oMath>
      </m:oMathPara>
    </w:p>
    <w:p w:rsidR="00380241" w:rsidRPr="00812E8B" w:rsidRDefault="00380241" w:rsidP="00380241">
      <w:pPr>
        <w:pStyle w:val="NoSpacing"/>
        <w:rPr>
          <w:sz w:val="8"/>
          <w:szCs w:val="8"/>
          <w:lang w:val="en-US"/>
        </w:rPr>
      </w:pPr>
    </w:p>
    <w:p w:rsidR="003A4373" w:rsidRPr="00812E8B" w:rsidRDefault="003A4373" w:rsidP="003A4373">
      <w:pPr>
        <w:pStyle w:val="NoSpacing"/>
        <w:spacing w:line="276" w:lineRule="auto"/>
        <w:jc w:val="both"/>
        <w:rPr>
          <w:bCs/>
          <w:lang w:val="en-US"/>
        </w:rPr>
      </w:pPr>
      <w:r w:rsidRPr="00812E8B">
        <w:rPr>
          <w:lang w:val="en-US"/>
        </w:rPr>
        <w:t>Where the dependent variabl</w:t>
      </w:r>
      <w:r w:rsidRPr="00812E8B">
        <w:rPr>
          <w:bCs/>
          <w:lang w:val="en-US"/>
        </w:rPr>
        <w:t>e</w:t>
      </w:r>
      <m:oMath>
        <m:r>
          <w:rPr>
            <w:rFonts w:ascii="Cambria Math" w:hAnsi="Cambria Math"/>
            <w:sz w:val="24"/>
            <w:szCs w:val="24"/>
            <w:lang w:val="en-US"/>
          </w:rPr>
          <m:t xml:space="preserve"> </m:t>
        </m:r>
        <m:d>
          <m:dPr>
            <m:ctrlPr>
              <w:rPr>
                <w:rFonts w:ascii="Cambria Math" w:hAnsi="Cambria Math"/>
                <w:bCs/>
                <w:i/>
                <w:sz w:val="24"/>
                <w:szCs w:val="24"/>
                <w:lang w:val="en-US"/>
              </w:rPr>
            </m:ctrlPr>
          </m:dPr>
          <m:e>
            <m:sSub>
              <m:sSubPr>
                <m:ctrlPr>
                  <w:rPr>
                    <w:rFonts w:ascii="Cambria Math" w:hAnsi="Cambria Math"/>
                    <w:bCs/>
                    <w:i/>
                    <w:sz w:val="24"/>
                    <w:szCs w:val="24"/>
                    <w:lang w:val="en-US"/>
                  </w:rPr>
                </m:ctrlPr>
              </m:sSubPr>
              <m:e>
                <m:r>
                  <w:rPr>
                    <w:rFonts w:ascii="Cambria Math" w:hAnsi="Cambria Math"/>
                    <w:sz w:val="24"/>
                    <w:szCs w:val="24"/>
                    <w:lang w:val="en-US"/>
                  </w:rPr>
                  <m:t>π</m:t>
                </m:r>
              </m:e>
              <m:sub>
                <m:r>
                  <w:rPr>
                    <w:rFonts w:ascii="Cambria Math" w:hAnsi="Cambria Math"/>
                    <w:sz w:val="24"/>
                    <w:szCs w:val="24"/>
                    <w:lang w:val="en-US"/>
                  </w:rPr>
                  <m:t>it</m:t>
                </m:r>
              </m:sub>
            </m:sSub>
          </m:e>
        </m:d>
      </m:oMath>
      <w:r w:rsidRPr="00812E8B">
        <w:rPr>
          <w:bCs/>
          <w:lang w:val="en-US"/>
        </w:rPr>
        <w:t xml:space="preserve"> </w:t>
      </w:r>
      <w:r w:rsidR="00012F36" w:rsidRPr="00812E8B">
        <w:rPr>
          <w:bCs/>
          <w:lang w:val="en-US"/>
        </w:rPr>
        <w:t>measures</w:t>
      </w:r>
      <w:r w:rsidRPr="00812E8B">
        <w:rPr>
          <w:bCs/>
          <w:lang w:val="en-US"/>
        </w:rPr>
        <w:t xml:space="preserve"> profitability, </w:t>
      </w:r>
      <w:r w:rsidR="00012F36" w:rsidRPr="00812E8B">
        <w:rPr>
          <w:bCs/>
          <w:lang w:val="en-US"/>
        </w:rPr>
        <w:t xml:space="preserve">estimated </w:t>
      </w:r>
      <w:r w:rsidRPr="00812E8B">
        <w:rPr>
          <w:bCs/>
          <w:lang w:val="en-US"/>
        </w:rPr>
        <w:t xml:space="preserve">by ROA or ROE, for bank </w:t>
      </w:r>
      <m:oMath>
        <m:r>
          <w:rPr>
            <w:rFonts w:ascii="Cambria Math" w:hAnsi="Cambria Math"/>
            <w:lang w:val="en-US"/>
          </w:rPr>
          <m:t>i</m:t>
        </m:r>
      </m:oMath>
      <w:r w:rsidRPr="00812E8B">
        <w:rPr>
          <w:lang w:val="en-US"/>
        </w:rPr>
        <w:t xml:space="preserve"> </w:t>
      </w:r>
      <w:r w:rsidRPr="00812E8B">
        <w:rPr>
          <w:bCs/>
          <w:lang w:val="en-US"/>
        </w:rPr>
        <w:t xml:space="preserve">at time </w:t>
      </w:r>
      <m:oMath>
        <m:r>
          <w:rPr>
            <w:rFonts w:ascii="Cambria Math" w:hAnsi="Cambria Math"/>
            <w:lang w:val="en-US"/>
          </w:rPr>
          <m:t>t</m:t>
        </m:r>
      </m:oMath>
      <w:r w:rsidRPr="00812E8B">
        <w:rPr>
          <w:lang w:val="en-US"/>
        </w:rPr>
        <w:t>,</w:t>
      </w:r>
      <w:r w:rsidRPr="00812E8B">
        <w:rPr>
          <w:bCs/>
          <w:lang w:val="en-US"/>
        </w:rPr>
        <w:t xml:space="preserve"> with </w:t>
      </w:r>
      <m:oMath>
        <m:r>
          <w:rPr>
            <w:rFonts w:ascii="Cambria Math" w:hAnsi="Cambria Math"/>
            <w:lang w:val="en-US"/>
          </w:rPr>
          <m:t xml:space="preserve">i=1,…, N </m:t>
        </m:r>
      </m:oMath>
      <w:r w:rsidRPr="00812E8B">
        <w:rPr>
          <w:bCs/>
          <w:lang w:val="en-US"/>
        </w:rPr>
        <w:t xml:space="preserve">and </w:t>
      </w:r>
      <m:oMath>
        <m:r>
          <w:rPr>
            <w:rFonts w:ascii="Cambria Math" w:hAnsi="Cambria Math"/>
            <w:lang w:val="en-US"/>
          </w:rPr>
          <m:t>t=1,…, T</m:t>
        </m:r>
      </m:oMath>
      <w:r w:rsidR="00E23DF3" w:rsidRPr="00812E8B">
        <w:rPr>
          <w:lang w:val="en-US"/>
        </w:rPr>
        <w:t>. N denotes the number of cross-sectional observations and T the length of the sample period.</w:t>
      </w:r>
      <w:r w:rsidRPr="00812E8B">
        <w:rPr>
          <w:bCs/>
          <w:color w:val="FF0000"/>
          <w:lang w:val="en-US"/>
        </w:rPr>
        <w:t xml:space="preserve"> </w:t>
      </w:r>
      <w:r w:rsidRPr="00812E8B">
        <w:rPr>
          <w:bCs/>
          <w:lang w:val="en-US"/>
        </w:rPr>
        <w:t>The model further consist of a constant term</w:t>
      </w:r>
      <w:r w:rsidR="00583329" w:rsidRPr="00812E8B">
        <w:rPr>
          <w:bCs/>
          <w:lang w:val="en-US"/>
        </w:rPr>
        <w:t>,</w:t>
      </w:r>
      <w:r w:rsidRPr="00812E8B">
        <w:rPr>
          <w:bCs/>
          <w:lang w:val="en-US"/>
        </w:rPr>
        <w:t xml:space="preserve"> measured by</w:t>
      </w:r>
      <w:r w:rsidR="005A3EF2" w:rsidRPr="00812E8B">
        <w:rPr>
          <w:bCs/>
          <w:lang w:val="en-US"/>
        </w:rPr>
        <w:t xml:space="preserve"> the scalar</w:t>
      </w:r>
      <w:r w:rsidRPr="00812E8B">
        <w:rPr>
          <w:bCs/>
          <w:lang w:val="en-US"/>
        </w:rPr>
        <w:t xml:space="preserve"> </w:t>
      </w:r>
      <m:oMath>
        <m:r>
          <w:rPr>
            <w:rFonts w:ascii="Cambria Math" w:hAnsi="Cambria Math"/>
            <w:lang w:val="en-US"/>
          </w:rPr>
          <m:t>α</m:t>
        </m:r>
      </m:oMath>
      <w:r w:rsidR="00583329" w:rsidRPr="00812E8B">
        <w:rPr>
          <w:lang w:val="en-US"/>
        </w:rPr>
        <w:t>,</w:t>
      </w:r>
      <w:r w:rsidRPr="00812E8B">
        <w:rPr>
          <w:bCs/>
          <w:lang w:val="en-US"/>
        </w:rPr>
        <w:t xml:space="preserve"> and </w:t>
      </w:r>
      <w:r w:rsidR="003D4AB0" w:rsidRPr="00812E8B">
        <w:rPr>
          <w:bCs/>
          <w:lang w:val="en-US"/>
        </w:rPr>
        <w:t xml:space="preserve">of a </w:t>
      </w:r>
      <w:r w:rsidR="00583329" w:rsidRPr="00812E8B">
        <w:rPr>
          <w:bCs/>
          <w:lang w:val="en-US"/>
        </w:rPr>
        <w:t>vector of</w:t>
      </w:r>
      <w:r w:rsidR="00012F36" w:rsidRPr="00812E8B">
        <w:rPr>
          <w:bCs/>
          <w:lang w:val="en-US"/>
        </w:rPr>
        <w:t xml:space="preserve"> </w:t>
      </w:r>
      <m:oMath>
        <m:r>
          <w:rPr>
            <w:rFonts w:ascii="Cambria Math" w:hAnsi="Cambria Math"/>
            <w:lang w:val="en-US"/>
          </w:rPr>
          <m:t>k×1</m:t>
        </m:r>
      </m:oMath>
      <w:r w:rsidR="00012F36" w:rsidRPr="00812E8B">
        <w:rPr>
          <w:bCs/>
          <w:lang w:val="en-US"/>
        </w:rPr>
        <w:t xml:space="preserve"> </w:t>
      </w:r>
      <w:r w:rsidR="003D4AB0" w:rsidRPr="00812E8B">
        <w:rPr>
          <w:bCs/>
          <w:lang w:val="en-US"/>
        </w:rPr>
        <w:t>slope parameters</w:t>
      </w:r>
      <w:r w:rsidRPr="00812E8B">
        <w:rPr>
          <w:bCs/>
          <w:lang w:val="en-US"/>
        </w:rPr>
        <w:t xml:space="preserve"> </w:t>
      </w:r>
      <m:oMath>
        <m:r>
          <w:rPr>
            <w:rFonts w:ascii="Cambria Math" w:hAnsi="Cambria Math"/>
            <w:lang w:val="en-US"/>
          </w:rPr>
          <m:t>(β)</m:t>
        </m:r>
      </m:oMath>
      <w:r w:rsidR="000E0FDE" w:rsidRPr="00812E8B">
        <w:rPr>
          <w:bCs/>
          <w:lang w:val="en-US"/>
        </w:rPr>
        <w:t xml:space="preserve"> that</w:t>
      </w:r>
      <w:r w:rsidRPr="00812E8B">
        <w:rPr>
          <w:bCs/>
          <w:lang w:val="en-US"/>
        </w:rPr>
        <w:t xml:space="preserve"> estim</w:t>
      </w:r>
      <w:r w:rsidR="003D4AB0" w:rsidRPr="00812E8B">
        <w:rPr>
          <w:bCs/>
          <w:lang w:val="en-US"/>
        </w:rPr>
        <w:t>ate the</w:t>
      </w:r>
      <w:r w:rsidR="005A3EF2" w:rsidRPr="00812E8B">
        <w:rPr>
          <w:bCs/>
          <w:lang w:val="en-US"/>
        </w:rPr>
        <w:t xml:space="preserve"> sign of the</w:t>
      </w:r>
      <w:r w:rsidR="003D4AB0" w:rsidRPr="00812E8B">
        <w:rPr>
          <w:bCs/>
          <w:lang w:val="en-US"/>
        </w:rPr>
        <w:t xml:space="preserve"> explanatory variables. </w:t>
      </w:r>
      <w:r w:rsidRPr="00812E8B">
        <w:rPr>
          <w:bCs/>
          <w:lang w:val="en-US"/>
        </w:rPr>
        <w:t xml:space="preserve">The explanatory variables are divided into </w:t>
      </w:r>
      <m:oMath>
        <m:r>
          <w:rPr>
            <w:rFonts w:ascii="Cambria Math" w:hAnsi="Cambria Math"/>
            <w:lang w:val="en-US"/>
          </w:rPr>
          <m:t>1×k</m:t>
        </m:r>
      </m:oMath>
      <w:r w:rsidRPr="00812E8B">
        <w:rPr>
          <w:bCs/>
          <w:lang w:val="en-US"/>
        </w:rPr>
        <w:t xml:space="preserve"> vectors of bank-specific </w:t>
      </w:r>
      <m:oMath>
        <m:d>
          <m:dPr>
            <m:ctrlPr>
              <w:rPr>
                <w:rFonts w:ascii="Cambria Math" w:hAnsi="Cambria Math"/>
                <w:b/>
                <w:bCs/>
                <w:i/>
                <w:lang w:val="en-US"/>
              </w:rPr>
            </m:ctrlPr>
          </m:dPr>
          <m:e>
            <m:r>
              <w:rPr>
                <w:rFonts w:ascii="Cambria Math" w:hAnsi="Cambria Math"/>
                <w:lang w:val="en-US"/>
              </w:rPr>
              <m:t>X</m:t>
            </m:r>
            <m:m>
              <m:mPr>
                <m:mcs>
                  <m:mc>
                    <m:mcPr>
                      <m:count m:val="1"/>
                      <m:mcJc m:val="center"/>
                    </m:mcPr>
                  </m:mc>
                </m:mcs>
                <m:ctrlPr>
                  <w:rPr>
                    <w:rFonts w:ascii="Cambria Math" w:hAnsi="Cambria Math"/>
                    <w:bCs/>
                    <w:i/>
                    <w:lang w:val="en-US"/>
                  </w:rPr>
                </m:ctrlPr>
              </m:mPr>
              <m:mr>
                <m:e>
                  <m:r>
                    <w:rPr>
                      <w:rFonts w:ascii="Cambria Math" w:hAnsi="Cambria Math"/>
                      <w:lang w:val="en-US"/>
                    </w:rPr>
                    <m:t>j</m:t>
                  </m:r>
                </m:e>
              </m:mr>
              <m:mr>
                <m:e>
                  <m:r>
                    <w:rPr>
                      <w:rFonts w:ascii="Cambria Math" w:hAnsi="Cambria Math"/>
                      <w:lang w:val="en-US"/>
                    </w:rPr>
                    <m:t>it</m:t>
                  </m:r>
                </m:e>
              </m:mr>
            </m:m>
          </m:e>
        </m:d>
      </m:oMath>
      <w:r w:rsidRPr="00812E8B">
        <w:rPr>
          <w:bCs/>
          <w:lang w:val="en-US"/>
        </w:rPr>
        <w:t xml:space="preserve">, industry-specific </w:t>
      </w:r>
      <m:oMath>
        <m:d>
          <m:dPr>
            <m:ctrlPr>
              <w:rPr>
                <w:rFonts w:ascii="Cambria Math" w:hAnsi="Cambria Math"/>
                <w:b/>
                <w:bCs/>
                <w:i/>
                <w:lang w:val="en-US"/>
              </w:rPr>
            </m:ctrlPr>
          </m:dPr>
          <m:e>
            <m:r>
              <w:rPr>
                <w:rFonts w:ascii="Cambria Math" w:hAnsi="Cambria Math"/>
                <w:lang w:val="en-US"/>
              </w:rPr>
              <m:t>X</m:t>
            </m:r>
            <m:m>
              <m:mPr>
                <m:mcs>
                  <m:mc>
                    <m:mcPr>
                      <m:count m:val="1"/>
                      <m:mcJc m:val="center"/>
                    </m:mcPr>
                  </m:mc>
                </m:mcs>
                <m:ctrlPr>
                  <w:rPr>
                    <w:rFonts w:ascii="Cambria Math" w:hAnsi="Cambria Math"/>
                    <w:bCs/>
                    <w:i/>
                    <w:lang w:val="en-US"/>
                  </w:rPr>
                </m:ctrlPr>
              </m:mPr>
              <m:mr>
                <m:e>
                  <m:r>
                    <w:rPr>
                      <w:rFonts w:ascii="Cambria Math" w:hAnsi="Cambria Math"/>
                      <w:lang w:val="en-US"/>
                    </w:rPr>
                    <m:t>l</m:t>
                  </m:r>
                </m:e>
              </m:mr>
              <m:mr>
                <m:e>
                  <m:r>
                    <w:rPr>
                      <w:rFonts w:ascii="Cambria Math" w:hAnsi="Cambria Math"/>
                      <w:lang w:val="en-US"/>
                    </w:rPr>
                    <m:t>it</m:t>
                  </m:r>
                </m:e>
              </m:mr>
            </m:m>
          </m:e>
        </m:d>
      </m:oMath>
      <w:r w:rsidRPr="00812E8B">
        <w:rPr>
          <w:bCs/>
          <w:lang w:val="en-US"/>
        </w:rPr>
        <w:t xml:space="preserve"> and </w:t>
      </w:r>
      <w:r w:rsidRPr="00812E8B">
        <w:rPr>
          <w:lang w:val="en-US"/>
        </w:rPr>
        <w:t xml:space="preserve">macroeconomic variables </w:t>
      </w:r>
      <m:oMath>
        <m:d>
          <m:dPr>
            <m:ctrlPr>
              <w:rPr>
                <w:rFonts w:ascii="Cambria Math" w:hAnsi="Cambria Math"/>
                <w:b/>
                <w:bCs/>
                <w:i/>
                <w:lang w:val="en-US"/>
              </w:rPr>
            </m:ctrlPr>
          </m:dPr>
          <m:e>
            <m:r>
              <w:rPr>
                <w:rFonts w:ascii="Cambria Math" w:hAnsi="Cambria Math"/>
                <w:lang w:val="en-US"/>
              </w:rPr>
              <m:t>X</m:t>
            </m:r>
            <m:m>
              <m:mPr>
                <m:mcs>
                  <m:mc>
                    <m:mcPr>
                      <m:count m:val="1"/>
                      <m:mcJc m:val="center"/>
                    </m:mcPr>
                  </m:mc>
                </m:mcs>
                <m:ctrlPr>
                  <w:rPr>
                    <w:rFonts w:ascii="Cambria Math" w:hAnsi="Cambria Math"/>
                    <w:bCs/>
                    <w:i/>
                    <w:lang w:val="en-US"/>
                  </w:rPr>
                </m:ctrlPr>
              </m:mPr>
              <m:mr>
                <m:e>
                  <m:r>
                    <w:rPr>
                      <w:rFonts w:ascii="Cambria Math" w:hAnsi="Cambria Math"/>
                      <w:lang w:val="en-US"/>
                    </w:rPr>
                    <m:t>m</m:t>
                  </m:r>
                </m:e>
              </m:mr>
              <m:mr>
                <m:e>
                  <m:r>
                    <w:rPr>
                      <w:rFonts w:ascii="Cambria Math" w:hAnsi="Cambria Math"/>
                      <w:lang w:val="en-US"/>
                    </w:rPr>
                    <m:t>it</m:t>
                  </m:r>
                </m:e>
              </m:mr>
            </m:m>
          </m:e>
        </m:d>
      </m:oMath>
      <w:r w:rsidRPr="00812E8B">
        <w:rPr>
          <w:b/>
          <w:bCs/>
          <w:lang w:val="en-US"/>
        </w:rPr>
        <w:t xml:space="preserve">, </w:t>
      </w:r>
      <w:r w:rsidRPr="00812E8B">
        <w:rPr>
          <w:bCs/>
          <w:lang w:val="en-US"/>
        </w:rPr>
        <w:t xml:space="preserve">where </w:t>
      </w:r>
      <m:oMath>
        <m:r>
          <w:rPr>
            <w:rFonts w:ascii="Cambria Math" w:hAnsi="Cambria Math"/>
            <w:lang w:val="en-US"/>
          </w:rPr>
          <m:t>k</m:t>
        </m:r>
      </m:oMath>
      <w:r w:rsidRPr="00812E8B">
        <w:rPr>
          <w:bCs/>
          <w:lang w:val="en-US"/>
        </w:rPr>
        <w:t xml:space="preserve"> refers to the number of slope parameters for the different variables classes. Finally, the model includes a</w:t>
      </w:r>
      <w:r w:rsidR="00844A28" w:rsidRPr="00812E8B">
        <w:rPr>
          <w:bCs/>
          <w:lang w:val="en-US"/>
        </w:rPr>
        <w:t xml:space="preserve"> </w:t>
      </w:r>
      <w:r w:rsidR="006F7F45" w:rsidRPr="00812E8B">
        <w:rPr>
          <w:bCs/>
          <w:lang w:val="en-US"/>
        </w:rPr>
        <w:t xml:space="preserve">one-way error </w:t>
      </w:r>
      <w:r w:rsidRPr="00812E8B">
        <w:rPr>
          <w:bCs/>
          <w:lang w:val="en-US"/>
        </w:rPr>
        <w:t xml:space="preserve">disturbance term </w:t>
      </w:r>
      <m:oMath>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it</m:t>
            </m:r>
          </m:sub>
        </m:sSub>
      </m:oMath>
      <w:r w:rsidR="007724EA" w:rsidRPr="00812E8B">
        <w:rPr>
          <w:bCs/>
          <w:lang w:val="en-US"/>
        </w:rPr>
        <w:t xml:space="preserve"> capturing </w:t>
      </w:r>
      <w:r w:rsidR="004A750A" w:rsidRPr="00812E8B">
        <w:rPr>
          <w:bCs/>
          <w:lang w:val="en-US"/>
        </w:rPr>
        <w:t>a bank-specific</w:t>
      </w:r>
      <w:r w:rsidR="00895DFF" w:rsidRPr="00812E8B">
        <w:rPr>
          <w:bCs/>
          <w:lang w:val="en-US"/>
        </w:rPr>
        <w:t xml:space="preserve"> or </w:t>
      </w:r>
      <w:r w:rsidR="00AC5DF2" w:rsidRPr="00812E8B">
        <w:rPr>
          <w:bCs/>
          <w:lang w:val="en-US"/>
        </w:rPr>
        <w:t>fixed</w:t>
      </w:r>
      <w:r w:rsidR="004A750A" w:rsidRPr="00812E8B">
        <w:rPr>
          <w:bCs/>
          <w:lang w:val="en-US"/>
        </w:rPr>
        <w:t xml:space="preserve"> effect </w:t>
      </w:r>
      <w:r w:rsidR="003D4AB0" w:rsidRPr="00812E8B">
        <w:rPr>
          <w:bCs/>
          <w:lang w:val="en-US"/>
        </w:rPr>
        <w:t xml:space="preserve"> </w:t>
      </w:r>
      <m:oMath>
        <m:sSub>
          <m:sSubPr>
            <m:ctrlPr>
              <w:rPr>
                <w:rFonts w:ascii="Cambria Math" w:hAnsi="Cambria Math"/>
                <w:bCs/>
                <w:i/>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oMath>
      <w:r w:rsidRPr="00812E8B">
        <w:rPr>
          <w:b/>
          <w:bCs/>
          <w:lang w:val="en-US"/>
        </w:rPr>
        <w:t xml:space="preserve"> </w:t>
      </w:r>
      <w:r w:rsidR="004A750A" w:rsidRPr="00812E8B">
        <w:rPr>
          <w:bCs/>
          <w:lang w:val="en-US"/>
        </w:rPr>
        <w:t xml:space="preserve">and a remainder </w:t>
      </w:r>
      <w:r w:rsidR="00895DFF" w:rsidRPr="00812E8B">
        <w:rPr>
          <w:bCs/>
          <w:lang w:val="en-US"/>
        </w:rPr>
        <w:t xml:space="preserve">or idiosyncratic effect </w:t>
      </w:r>
      <w:r w:rsidR="003B2651" w:rsidRPr="00812E8B">
        <w:rPr>
          <w:bCs/>
          <w:lang w:val="en-US"/>
        </w:rPr>
        <w:t>that</w:t>
      </w:r>
      <w:r w:rsidR="003D4AB0" w:rsidRPr="00812E8B">
        <w:rPr>
          <w:bCs/>
          <w:lang w:val="en-US"/>
        </w:rPr>
        <w:t xml:space="preserve"> vary</w:t>
      </w:r>
      <w:r w:rsidR="004A750A" w:rsidRPr="00812E8B">
        <w:rPr>
          <w:bCs/>
          <w:lang w:val="en-US"/>
        </w:rPr>
        <w:t xml:space="preserve"> over time and </w:t>
      </w:r>
      <w:r w:rsidR="003D4AB0" w:rsidRPr="00812E8B">
        <w:rPr>
          <w:bCs/>
          <w:lang w:val="en-US"/>
        </w:rPr>
        <w:t xml:space="preserve">between </w:t>
      </w:r>
      <w:r w:rsidR="004A750A" w:rsidRPr="00812E8B">
        <w:rPr>
          <w:bCs/>
          <w:lang w:val="en-US"/>
        </w:rPr>
        <w:t xml:space="preserve">banks </w:t>
      </w:r>
      <m:oMath>
        <m:r>
          <w:rPr>
            <w:rFonts w:ascii="Cambria Math" w:hAnsi="Cambria Math"/>
            <w:lang w:val="en-US"/>
          </w:rPr>
          <m:t>(</m:t>
        </m:r>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it</m:t>
            </m:r>
          </m:sub>
        </m:sSub>
        <m:r>
          <m:rPr>
            <m:sty m:val="bi"/>
          </m:rPr>
          <w:rPr>
            <w:rFonts w:ascii="Cambria Math" w:hAnsi="Cambria Math" w:cs="Times New Roman"/>
            <w:sz w:val="24"/>
            <w:szCs w:val="24"/>
            <w:lang w:val="en-US"/>
          </w:rPr>
          <m:t>)</m:t>
        </m:r>
      </m:oMath>
      <w:r w:rsidR="00522A1D" w:rsidRPr="00812E8B">
        <w:rPr>
          <w:rStyle w:val="EndnoteReference"/>
          <w:bCs/>
          <w:lang w:val="en-US"/>
        </w:rPr>
        <w:endnoteReference w:id="12"/>
      </w:r>
      <w:r w:rsidR="00522A1D" w:rsidRPr="00812E8B">
        <w:rPr>
          <w:bCs/>
          <w:lang w:val="en-US"/>
        </w:rPr>
        <w:t>.</w:t>
      </w:r>
    </w:p>
    <w:p w:rsidR="006F7F45" w:rsidRPr="00812E8B" w:rsidRDefault="006F7F45" w:rsidP="003A4373">
      <w:pPr>
        <w:pStyle w:val="NoSpacing"/>
        <w:spacing w:line="276" w:lineRule="auto"/>
        <w:jc w:val="both"/>
        <w:rPr>
          <w:b/>
          <w:bCs/>
          <w:lang w:val="en-US"/>
        </w:rPr>
      </w:pPr>
    </w:p>
    <w:p w:rsidR="003A4373" w:rsidRPr="00812E8B" w:rsidRDefault="00844A28" w:rsidP="003A4373">
      <w:pPr>
        <w:pStyle w:val="NoSpacing"/>
        <w:spacing w:line="276" w:lineRule="auto"/>
        <w:jc w:val="both"/>
        <w:rPr>
          <w:bCs/>
          <w:lang w:val="en-US"/>
        </w:rPr>
      </w:pPr>
      <w:r w:rsidRPr="00812E8B">
        <w:rPr>
          <w:bCs/>
          <w:lang w:val="en-US"/>
        </w:rPr>
        <w:t xml:space="preserve">Following </w:t>
      </w:r>
      <w:r w:rsidR="00E34060" w:rsidRPr="00812E8B">
        <w:rPr>
          <w:color w:val="365F91" w:themeColor="accent1" w:themeShade="BF"/>
          <w:lang w:val="en-US"/>
        </w:rPr>
        <w:t xml:space="preserve">Athanasoglou et al. (2008) </w:t>
      </w:r>
      <w:r w:rsidR="00BF58CA" w:rsidRPr="00812E8B">
        <w:rPr>
          <w:bCs/>
          <w:lang w:val="en-US"/>
        </w:rPr>
        <w:t xml:space="preserve">and </w:t>
      </w:r>
      <w:r w:rsidR="001B30EB" w:rsidRPr="00812E8B">
        <w:rPr>
          <w:color w:val="365F91" w:themeColor="accent1" w:themeShade="BF"/>
          <w:lang w:val="en-US"/>
        </w:rPr>
        <w:t xml:space="preserve">Dietrich and Wanzenried (2011) </w:t>
      </w:r>
      <w:r w:rsidR="003A4373" w:rsidRPr="00812E8B">
        <w:rPr>
          <w:bCs/>
          <w:lang w:val="en-US"/>
        </w:rPr>
        <w:t>banks’ profitability tend to persist over time. Therefore the</w:t>
      </w:r>
      <w:r w:rsidR="003D4AB0" w:rsidRPr="00812E8B">
        <w:rPr>
          <w:bCs/>
          <w:lang w:val="en-US"/>
        </w:rPr>
        <w:t xml:space="preserve"> econometric</w:t>
      </w:r>
      <w:r w:rsidR="003A4373" w:rsidRPr="00812E8B">
        <w:rPr>
          <w:bCs/>
          <w:lang w:val="en-US"/>
        </w:rPr>
        <w:t xml:space="preserve"> model</w:t>
      </w:r>
      <w:r w:rsidR="00583329" w:rsidRPr="00812E8B">
        <w:rPr>
          <w:bCs/>
          <w:lang w:val="en-US"/>
        </w:rPr>
        <w:t xml:space="preserve"> includes a one-period lagged dependent variable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sz w:val="28"/>
                    <w:szCs w:val="28"/>
                    <w:lang w:val="en-US"/>
                  </w:rPr>
                  <m:t>π</m:t>
                </m:r>
              </m:e>
              <m:sub>
                <m:r>
                  <w:rPr>
                    <w:rFonts w:ascii="Cambria Math" w:hAnsi="Cambria Math"/>
                    <w:lang w:val="en-US"/>
                  </w:rPr>
                  <m:t>i,t-1</m:t>
                </m:r>
              </m:sub>
            </m:sSub>
          </m:e>
        </m:d>
      </m:oMath>
      <w:r w:rsidR="003A4373" w:rsidRPr="00812E8B">
        <w:rPr>
          <w:lang w:val="en-US"/>
        </w:rPr>
        <w:t xml:space="preserve"> o</w:t>
      </w:r>
      <w:r w:rsidR="003A4373" w:rsidRPr="00812E8B">
        <w:rPr>
          <w:bCs/>
          <w:lang w:val="en-US"/>
        </w:rPr>
        <w:t xml:space="preserve">f bank </w:t>
      </w:r>
      <m:oMath>
        <m:r>
          <w:rPr>
            <w:rFonts w:ascii="Cambria Math" w:hAnsi="Cambria Math"/>
            <w:lang w:val="en-US"/>
          </w:rPr>
          <m:t>i</m:t>
        </m:r>
      </m:oMath>
      <w:r w:rsidR="003A4373" w:rsidRPr="00812E8B">
        <w:rPr>
          <w:bCs/>
          <w:lang w:val="en-US"/>
        </w:rPr>
        <w:t xml:space="preserve"> at time </w:t>
      </w:r>
      <m:oMath>
        <m:r>
          <w:rPr>
            <w:rFonts w:ascii="Cambria Math" w:hAnsi="Cambria Math"/>
            <w:lang w:val="en-US"/>
          </w:rPr>
          <m:t>t</m:t>
        </m:r>
      </m:oMath>
      <w:r w:rsidR="00583329" w:rsidRPr="00812E8B">
        <w:rPr>
          <w:lang w:val="en-US"/>
        </w:rPr>
        <w:t xml:space="preserve">; hence, a dynamic model is </w:t>
      </w:r>
      <w:r w:rsidR="00AA3770" w:rsidRPr="00812E8B">
        <w:rPr>
          <w:lang w:val="en-US"/>
        </w:rPr>
        <w:t>used</w:t>
      </w:r>
      <w:r w:rsidR="003A4373" w:rsidRPr="00812E8B">
        <w:rPr>
          <w:lang w:val="en-US"/>
        </w:rPr>
        <w:t xml:space="preserve">. </w:t>
      </w:r>
      <w:r w:rsidR="003A4373" w:rsidRPr="00812E8B">
        <w:rPr>
          <w:bCs/>
          <w:lang w:val="en-US"/>
        </w:rPr>
        <w:t>The coefficient (</w:t>
      </w:r>
      <m:oMath>
        <m:r>
          <w:rPr>
            <w:rFonts w:ascii="Cambria Math" w:hAnsi="Cambria Math"/>
            <w:lang w:val="en-US"/>
          </w:rPr>
          <m:t>∂</m:t>
        </m:r>
      </m:oMath>
      <w:r w:rsidR="003A4373" w:rsidRPr="00812E8B">
        <w:rPr>
          <w:lang w:val="en-US"/>
        </w:rPr>
        <w:t>)</w:t>
      </w:r>
      <w:r w:rsidR="003A4373" w:rsidRPr="00812E8B">
        <w:rPr>
          <w:bCs/>
          <w:lang w:val="en-US"/>
        </w:rPr>
        <w:t xml:space="preserve"> of the one-period lagged </w:t>
      </w:r>
      <w:r w:rsidR="003D4AB0" w:rsidRPr="00812E8B">
        <w:rPr>
          <w:bCs/>
          <w:lang w:val="en-US"/>
        </w:rPr>
        <w:t xml:space="preserve">dependent </w:t>
      </w:r>
      <w:r w:rsidR="003A4373" w:rsidRPr="00812E8B">
        <w:rPr>
          <w:bCs/>
          <w:lang w:val="en-US"/>
        </w:rPr>
        <w:t>variable measures the adjustment sp</w:t>
      </w:r>
      <w:r w:rsidR="003D4AB0" w:rsidRPr="00812E8B">
        <w:rPr>
          <w:bCs/>
          <w:lang w:val="en-US"/>
        </w:rPr>
        <w:t xml:space="preserve">eed of banks’ profitability to </w:t>
      </w:r>
      <w:r w:rsidR="003A4373" w:rsidRPr="00812E8B">
        <w:rPr>
          <w:bCs/>
          <w:lang w:val="en-US"/>
        </w:rPr>
        <w:t xml:space="preserve">equilibrium. </w:t>
      </w:r>
      <w:r w:rsidR="00583329" w:rsidRPr="00812E8B">
        <w:rPr>
          <w:bCs/>
          <w:lang w:val="en-US"/>
        </w:rPr>
        <w:t>A</w:t>
      </w:r>
      <w:r w:rsidR="00B373DB" w:rsidRPr="00812E8B">
        <w:rPr>
          <w:bCs/>
          <w:lang w:val="en-US"/>
        </w:rPr>
        <w:t xml:space="preserve"> </w:t>
      </w:r>
      <w:r w:rsidR="003A4373" w:rsidRPr="00812E8B">
        <w:rPr>
          <w:bCs/>
          <w:lang w:val="en-US"/>
        </w:rPr>
        <w:t>value</w:t>
      </w:r>
      <w:r w:rsidR="00583329" w:rsidRPr="00812E8B">
        <w:rPr>
          <w:bCs/>
          <w:lang w:val="en-US"/>
        </w:rPr>
        <w:t xml:space="preserve"> of delta</w:t>
      </w:r>
      <w:r w:rsidR="003A4373" w:rsidRPr="00812E8B">
        <w:rPr>
          <w:bCs/>
          <w:lang w:val="en-US"/>
        </w:rPr>
        <w:t xml:space="preserve"> between </w:t>
      </w:r>
      <w:r w:rsidR="003D4AB0" w:rsidRPr="00812E8B">
        <w:rPr>
          <w:bCs/>
          <w:lang w:val="en-US"/>
        </w:rPr>
        <w:t>0 and 1</w:t>
      </w:r>
      <w:r w:rsidR="00583329" w:rsidRPr="00812E8B">
        <w:rPr>
          <w:bCs/>
          <w:lang w:val="en-US"/>
        </w:rPr>
        <w:t xml:space="preserve"> implies that</w:t>
      </w:r>
      <w:r w:rsidR="00B373DB" w:rsidRPr="00812E8B">
        <w:rPr>
          <w:bCs/>
          <w:lang w:val="en-US"/>
        </w:rPr>
        <w:t xml:space="preserve"> </w:t>
      </w:r>
      <w:r w:rsidR="00583329" w:rsidRPr="00812E8B">
        <w:rPr>
          <w:bCs/>
          <w:lang w:val="en-US"/>
        </w:rPr>
        <w:t xml:space="preserve">profits will eventually return to their equilibrium but </w:t>
      </w:r>
      <w:r w:rsidR="003B2651" w:rsidRPr="00812E8B">
        <w:rPr>
          <w:bCs/>
          <w:lang w:val="en-US"/>
        </w:rPr>
        <w:t xml:space="preserve">some degree of </w:t>
      </w:r>
      <w:r w:rsidR="003A4373" w:rsidRPr="00812E8B">
        <w:rPr>
          <w:bCs/>
          <w:lang w:val="en-US"/>
        </w:rPr>
        <w:t xml:space="preserve">profit persistence </w:t>
      </w:r>
      <w:r w:rsidR="00583329" w:rsidRPr="00812E8B">
        <w:rPr>
          <w:bCs/>
          <w:lang w:val="en-US"/>
        </w:rPr>
        <w:t>exist</w:t>
      </w:r>
      <w:r w:rsidR="003A4373" w:rsidRPr="00812E8B">
        <w:rPr>
          <w:bCs/>
          <w:lang w:val="en-US"/>
        </w:rPr>
        <w:t xml:space="preserve">. </w:t>
      </w:r>
    </w:p>
    <w:p w:rsidR="003A4373" w:rsidRPr="00812E8B" w:rsidRDefault="003A4373" w:rsidP="003A4373">
      <w:pPr>
        <w:pStyle w:val="Heading3"/>
        <w:rPr>
          <w:color w:val="auto"/>
          <w:lang w:val="en-US"/>
        </w:rPr>
      </w:pPr>
      <w:r w:rsidRPr="00812E8B">
        <w:rPr>
          <w:color w:val="auto"/>
          <w:lang w:val="en-US"/>
        </w:rPr>
        <w:lastRenderedPageBreak/>
        <w:t xml:space="preserve">5.1.2 </w:t>
      </w:r>
      <w:r w:rsidR="00B368E5" w:rsidRPr="00812E8B">
        <w:rPr>
          <w:color w:val="auto"/>
          <w:lang w:val="en-US"/>
        </w:rPr>
        <w:t>O</w:t>
      </w:r>
      <w:r w:rsidR="00937B13" w:rsidRPr="00812E8B">
        <w:rPr>
          <w:color w:val="auto"/>
          <w:sz w:val="19"/>
          <w:szCs w:val="19"/>
          <w:lang w:val="en-US"/>
        </w:rPr>
        <w:t>RDINARY LEAST SQUARES</w:t>
      </w:r>
    </w:p>
    <w:p w:rsidR="003A4373" w:rsidRPr="00812E8B" w:rsidRDefault="00817824" w:rsidP="003A4373">
      <w:pPr>
        <w:pStyle w:val="NoSpacing"/>
        <w:spacing w:line="276" w:lineRule="auto"/>
        <w:jc w:val="both"/>
        <w:rPr>
          <w:bCs/>
          <w:lang w:val="en-US"/>
        </w:rPr>
      </w:pPr>
      <w:r w:rsidRPr="00812E8B">
        <w:rPr>
          <w:lang w:val="en-US"/>
        </w:rPr>
        <w:t xml:space="preserve">Prior academic literature, as mentioned in the literature review, examines determinants of banks’ profitability using different panel data modeling techniques. </w:t>
      </w:r>
      <w:r w:rsidR="003A4373" w:rsidRPr="00812E8B">
        <w:rPr>
          <w:lang w:val="en-US"/>
        </w:rPr>
        <w:t>Among others</w:t>
      </w:r>
      <w:r w:rsidR="007D7CD9" w:rsidRPr="00812E8B">
        <w:rPr>
          <w:lang w:val="en-US"/>
        </w:rPr>
        <w:t xml:space="preserve">, </w:t>
      </w:r>
      <w:r w:rsidR="007D7CD9" w:rsidRPr="00812E8B">
        <w:rPr>
          <w:color w:val="365F91" w:themeColor="accent1" w:themeShade="BF"/>
          <w:lang w:val="en-US"/>
        </w:rPr>
        <w:t>Pasiouras and Kosmidou (2007)</w:t>
      </w:r>
      <w:r w:rsidR="007D7CD9" w:rsidRPr="00812E8B">
        <w:rPr>
          <w:lang w:val="en-US"/>
        </w:rPr>
        <w:t xml:space="preserve"> use</w:t>
      </w:r>
      <w:r w:rsidR="003A4373" w:rsidRPr="00812E8B">
        <w:rPr>
          <w:lang w:val="en-US"/>
        </w:rPr>
        <w:t xml:space="preserve"> a pooled ordinary least square</w:t>
      </w:r>
      <w:r w:rsidR="00583329" w:rsidRPr="00812E8B">
        <w:rPr>
          <w:lang w:val="en-US"/>
        </w:rPr>
        <w:t>s</w:t>
      </w:r>
      <w:r w:rsidR="003A4373" w:rsidRPr="00812E8B">
        <w:rPr>
          <w:lang w:val="en-US"/>
        </w:rPr>
        <w:t xml:space="preserve"> (OLS) </w:t>
      </w:r>
      <w:r w:rsidR="007724EA" w:rsidRPr="00812E8B">
        <w:rPr>
          <w:lang w:val="en-US"/>
        </w:rPr>
        <w:t xml:space="preserve">technique </w:t>
      </w:r>
      <w:r w:rsidRPr="00812E8B">
        <w:rPr>
          <w:lang w:val="en-US"/>
        </w:rPr>
        <w:t>in which differences between the observations and estimations are minimized in terms of sum of squares. However, the characteristics of the model</w:t>
      </w:r>
      <w:r w:rsidR="00B9115B" w:rsidRPr="00812E8B">
        <w:rPr>
          <w:lang w:val="en-US"/>
        </w:rPr>
        <w:t xml:space="preserve"> and proposed variables </w:t>
      </w:r>
      <w:r w:rsidRPr="00812E8B">
        <w:rPr>
          <w:lang w:val="en-US"/>
        </w:rPr>
        <w:t>in equation (i)</w:t>
      </w:r>
      <w:r w:rsidR="00B9115B" w:rsidRPr="00812E8B">
        <w:rPr>
          <w:lang w:val="en-US"/>
        </w:rPr>
        <w:t xml:space="preserve"> </w:t>
      </w:r>
      <w:r w:rsidRPr="00812E8B">
        <w:rPr>
          <w:lang w:val="en-US"/>
        </w:rPr>
        <w:t>likely violate the classical assumptions underlying the OLS model.</w:t>
      </w:r>
      <w:r w:rsidR="00F14F11" w:rsidRPr="00812E8B">
        <w:rPr>
          <w:lang w:val="en-US"/>
        </w:rPr>
        <w:t xml:space="preserve"> </w:t>
      </w:r>
      <w:r w:rsidR="00390444" w:rsidRPr="00812E8B">
        <w:rPr>
          <w:lang w:val="en-US"/>
        </w:rPr>
        <w:t xml:space="preserve">First, </w:t>
      </w:r>
      <w:r w:rsidR="0023756A" w:rsidRPr="00812E8B">
        <w:rPr>
          <w:lang w:val="en-US"/>
        </w:rPr>
        <w:t xml:space="preserve">among other assumptions of OLS to give unbiased, consistent and efficient estimates, it is a prerequisite that the data follows a normal distribution with unknown mean and variance and that the kurtosis of the distribution equals three. In finance, the distribution of the data is often heavy-tailed and skewed with numerous large outliers, which violate the assumptions of OLS. </w:t>
      </w:r>
      <w:r w:rsidR="00390444" w:rsidRPr="00812E8B">
        <w:rPr>
          <w:lang w:val="en-US"/>
        </w:rPr>
        <w:t xml:space="preserve">Second, </w:t>
      </w:r>
      <w:r w:rsidR="0023756A" w:rsidRPr="00812E8B">
        <w:rPr>
          <w:lang w:val="en-US"/>
        </w:rPr>
        <w:t xml:space="preserve">OLS assumes </w:t>
      </w:r>
      <w:r w:rsidR="0015076E" w:rsidRPr="00812E8B">
        <w:rPr>
          <w:lang w:val="en-US"/>
        </w:rPr>
        <w:t xml:space="preserve">that </w:t>
      </w:r>
      <w:r w:rsidR="003D4AB0" w:rsidRPr="00812E8B">
        <w:rPr>
          <w:lang w:val="en-US"/>
        </w:rPr>
        <w:t xml:space="preserve">the explanatory variables </w:t>
      </w:r>
      <w:r w:rsidR="00E26ECD" w:rsidRPr="00812E8B">
        <w:rPr>
          <w:lang w:val="en-US"/>
        </w:rPr>
        <w:t>are exogenous (</w:t>
      </w:r>
      <w:r w:rsidR="003A4373" w:rsidRPr="00812E8B">
        <w:rPr>
          <w:lang w:val="en-US"/>
        </w:rPr>
        <w:t>uncorrelated with the error item</w:t>
      </w:r>
      <w:r w:rsidR="00E26ECD" w:rsidRPr="00812E8B">
        <w:rPr>
          <w:lang w:val="en-US"/>
        </w:rPr>
        <w:t>)</w:t>
      </w:r>
      <w:r w:rsidR="00FB123B" w:rsidRPr="00812E8B">
        <w:rPr>
          <w:lang w:val="en-US"/>
        </w:rPr>
        <w:t xml:space="preserve"> and homoscedastic.</w:t>
      </w:r>
      <w:r w:rsidR="00F14F11" w:rsidRPr="00812E8B">
        <w:rPr>
          <w:lang w:val="en-US"/>
        </w:rPr>
        <w:t xml:space="preserve"> </w:t>
      </w:r>
      <w:r w:rsidR="00390444" w:rsidRPr="00812E8B">
        <w:rPr>
          <w:lang w:val="en-US"/>
        </w:rPr>
        <w:t>However</w:t>
      </w:r>
      <w:r w:rsidR="006C53A1" w:rsidRPr="00812E8B">
        <w:rPr>
          <w:lang w:val="en-US"/>
        </w:rPr>
        <w:t xml:space="preserve">, these prerequisites do not </w:t>
      </w:r>
      <w:r w:rsidR="00B9115B" w:rsidRPr="00812E8B">
        <w:rPr>
          <w:lang w:val="en-US"/>
        </w:rPr>
        <w:t xml:space="preserve">necessarily </w:t>
      </w:r>
      <w:r w:rsidR="006C53A1" w:rsidRPr="00812E8B">
        <w:rPr>
          <w:lang w:val="en-US"/>
        </w:rPr>
        <w:t>hold</w:t>
      </w:r>
      <w:r w:rsidR="00C73C2D" w:rsidRPr="00812E8B">
        <w:rPr>
          <w:lang w:val="en-US"/>
        </w:rPr>
        <w:t xml:space="preserve"> for the model proposed in equation (i)</w:t>
      </w:r>
      <w:r w:rsidR="006C53A1" w:rsidRPr="00812E8B">
        <w:rPr>
          <w:lang w:val="en-US"/>
        </w:rPr>
        <w:t>; namely, a</w:t>
      </w:r>
      <w:r w:rsidR="003A4373" w:rsidRPr="00812E8B">
        <w:rPr>
          <w:lang w:val="en-US"/>
        </w:rPr>
        <w:t>cademic research point</w:t>
      </w:r>
      <w:r w:rsidR="00A31900" w:rsidRPr="00812E8B">
        <w:rPr>
          <w:lang w:val="en-US"/>
        </w:rPr>
        <w:t>s</w:t>
      </w:r>
      <w:r w:rsidR="003A4373" w:rsidRPr="00812E8B">
        <w:rPr>
          <w:lang w:val="en-US"/>
        </w:rPr>
        <w:t xml:space="preserve"> out that some independent variables could suffer from endogeneity. </w:t>
      </w:r>
      <w:r w:rsidR="007724EA" w:rsidRPr="00812E8B">
        <w:rPr>
          <w:lang w:val="en-US"/>
        </w:rPr>
        <w:t xml:space="preserve">For instance, </w:t>
      </w:r>
      <w:r w:rsidR="00026D7B" w:rsidRPr="00812E8B">
        <w:rPr>
          <w:color w:val="365F91" w:themeColor="accent1" w:themeShade="BF"/>
          <w:lang w:val="en-US"/>
        </w:rPr>
        <w:t>Berger (1995)</w:t>
      </w:r>
      <w:r w:rsidR="003A4373" w:rsidRPr="00812E8B">
        <w:rPr>
          <w:lang w:val="en-US"/>
        </w:rPr>
        <w:t xml:space="preserve"> questions whether the equity-to-asset ratio influences banks’ profitability or vice versa. </w:t>
      </w:r>
      <w:r w:rsidR="00A168E2" w:rsidRPr="00812E8B">
        <w:rPr>
          <w:lang w:val="en-US"/>
        </w:rPr>
        <w:t xml:space="preserve">Besides the equity-to-asset ratio, incorporating profit persistence into an econometric model, proposed by research of </w:t>
      </w:r>
      <w:r w:rsidR="00AE700C" w:rsidRPr="00812E8B">
        <w:rPr>
          <w:color w:val="365F91" w:themeColor="accent1" w:themeShade="BF"/>
          <w:lang w:val="en-US"/>
        </w:rPr>
        <w:t xml:space="preserve">Goddard et al. (2004) </w:t>
      </w:r>
      <w:r w:rsidR="00A168E2" w:rsidRPr="00812E8B">
        <w:rPr>
          <w:lang w:val="en-US"/>
        </w:rPr>
        <w:t xml:space="preserve">will </w:t>
      </w:r>
      <w:r w:rsidR="00F124C7" w:rsidRPr="00812E8B">
        <w:rPr>
          <w:lang w:val="en-US"/>
        </w:rPr>
        <w:t xml:space="preserve">incorporate </w:t>
      </w:r>
      <w:r w:rsidR="00A168E2" w:rsidRPr="00812E8B">
        <w:rPr>
          <w:lang w:val="en-US"/>
        </w:rPr>
        <w:t xml:space="preserve">a source of </w:t>
      </w:r>
      <w:r w:rsidR="0015076E" w:rsidRPr="00812E8B">
        <w:rPr>
          <w:lang w:val="en-US"/>
        </w:rPr>
        <w:t>endogeneity</w:t>
      </w:r>
      <w:r w:rsidR="00A168E2" w:rsidRPr="00812E8B">
        <w:rPr>
          <w:lang w:val="en-US"/>
        </w:rPr>
        <w:t xml:space="preserve">. </w:t>
      </w:r>
      <w:r w:rsidR="00F124C7" w:rsidRPr="00812E8B">
        <w:rPr>
          <w:lang w:val="en-US"/>
        </w:rPr>
        <w:t>Since t</w:t>
      </w:r>
      <w:r w:rsidR="003A4373" w:rsidRPr="00812E8B">
        <w:rPr>
          <w:lang w:val="en-US"/>
        </w:rPr>
        <w:t xml:space="preserve">he </w:t>
      </w:r>
      <w:r w:rsidR="00A168E2" w:rsidRPr="00812E8B">
        <w:rPr>
          <w:lang w:val="en-US"/>
        </w:rPr>
        <w:t xml:space="preserve">dependent </w:t>
      </w:r>
      <w:r w:rsidR="003A4373" w:rsidRPr="00812E8B">
        <w:rPr>
          <w:lang w:val="en-US"/>
        </w:rPr>
        <w:t xml:space="preserve">variable </w:t>
      </w:r>
      <m:oMath>
        <m:r>
          <w:rPr>
            <w:rFonts w:ascii="Cambria Math" w:hAnsi="Cambria Math"/>
            <w:lang w:val="en-US"/>
          </w:rPr>
          <m:t>(</m:t>
        </m:r>
        <m:sSub>
          <m:sSubPr>
            <m:ctrlPr>
              <w:rPr>
                <w:rFonts w:ascii="Cambria Math" w:hAnsi="Times New Roman"/>
                <w:bCs/>
                <w:i/>
                <w:lang w:val="en-US"/>
              </w:rPr>
            </m:ctrlPr>
          </m:sSubPr>
          <m:e>
            <m:r>
              <w:rPr>
                <w:rFonts w:ascii="Cambria Math" w:hAnsi="Cambria Math"/>
                <w:lang w:val="en-US"/>
              </w:rPr>
              <m:t>π</m:t>
            </m:r>
          </m:e>
          <m:sub>
            <m:r>
              <w:rPr>
                <w:rFonts w:ascii="Cambria Math" w:hAnsi="Cambria Math"/>
                <w:lang w:val="en-US"/>
              </w:rPr>
              <m:t>it</m:t>
            </m:r>
          </m:sub>
        </m:sSub>
        <m:r>
          <w:rPr>
            <w:rFonts w:ascii="Cambria Math" w:hAnsi="Times New Roman"/>
            <w:lang w:val="en-US"/>
          </w:rPr>
          <m:t>)</m:t>
        </m:r>
      </m:oMath>
      <w:r w:rsidR="003A4373" w:rsidRPr="00812E8B">
        <w:rPr>
          <w:bCs/>
          <w:lang w:val="en-US"/>
        </w:rPr>
        <w:t xml:space="preserve"> is</w:t>
      </w:r>
      <w:r w:rsidR="00A168E2" w:rsidRPr="00812E8B">
        <w:rPr>
          <w:bCs/>
          <w:lang w:val="en-US"/>
        </w:rPr>
        <w:t xml:space="preserve"> </w:t>
      </w:r>
      <w:r w:rsidR="003A4373" w:rsidRPr="00812E8B">
        <w:rPr>
          <w:bCs/>
          <w:lang w:val="en-US"/>
        </w:rPr>
        <w:t xml:space="preserve">a function of the disturbance term </w:t>
      </w:r>
      <m:oMath>
        <m:r>
          <w:rPr>
            <w:rFonts w:ascii="Cambria Math" w:hAnsi="Cambria Math"/>
            <w:lang w:val="en-US"/>
          </w:rPr>
          <m:t>(</m:t>
        </m:r>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i</m:t>
            </m:r>
          </m:sub>
        </m:sSub>
        <m:r>
          <w:rPr>
            <w:rFonts w:ascii="Cambria Math" w:hAnsi="Cambria Math"/>
            <w:lang w:val="en-US"/>
          </w:rPr>
          <m:t>)</m:t>
        </m:r>
      </m:oMath>
      <w:r w:rsidR="00F124C7" w:rsidRPr="00812E8B">
        <w:rPr>
          <w:lang w:val="en-US"/>
        </w:rPr>
        <w:t>,</w:t>
      </w:r>
      <w:r w:rsidR="003A4373" w:rsidRPr="00812E8B">
        <w:rPr>
          <w:bCs/>
          <w:lang w:val="en-US"/>
        </w:rPr>
        <w:t xml:space="preserve"> </w:t>
      </w:r>
      <w:r w:rsidR="0015076E" w:rsidRPr="00812E8B">
        <w:rPr>
          <w:bCs/>
          <w:lang w:val="en-US"/>
        </w:rPr>
        <w:t xml:space="preserve">the lagged dependent variable </w:t>
      </w:r>
      <m:oMath>
        <m:r>
          <w:rPr>
            <w:rFonts w:ascii="Cambria Math" w:hAnsi="Cambria Math"/>
            <w:lang w:val="en-US"/>
          </w:rPr>
          <m:t>(</m:t>
        </m:r>
        <m:sSub>
          <m:sSubPr>
            <m:ctrlPr>
              <w:rPr>
                <w:rFonts w:ascii="Cambria Math" w:hAnsi="Times New Roman"/>
                <w:bCs/>
                <w:i/>
                <w:lang w:val="en-US"/>
              </w:rPr>
            </m:ctrlPr>
          </m:sSubPr>
          <m:e>
            <m:r>
              <w:rPr>
                <w:rFonts w:ascii="Cambria Math" w:hAnsi="Cambria Math"/>
                <w:lang w:val="en-US"/>
              </w:rPr>
              <m:t>π</m:t>
            </m:r>
          </m:e>
          <m:sub>
            <m:r>
              <w:rPr>
                <w:rFonts w:ascii="Cambria Math" w:hAnsi="Cambria Math"/>
                <w:lang w:val="en-US"/>
              </w:rPr>
              <m:t>it-1</m:t>
            </m:r>
          </m:sub>
        </m:sSub>
      </m:oMath>
      <w:r w:rsidR="0015076E" w:rsidRPr="00812E8B">
        <w:rPr>
          <w:bCs/>
          <w:lang w:val="en-US"/>
        </w:rPr>
        <w:t>)</w:t>
      </w:r>
      <w:r w:rsidR="003A4373" w:rsidRPr="00812E8B">
        <w:rPr>
          <w:lang w:val="en-US"/>
        </w:rPr>
        <w:t xml:space="preserve"> is </w:t>
      </w:r>
      <w:r w:rsidR="00F124C7" w:rsidRPr="00812E8B">
        <w:rPr>
          <w:lang w:val="en-US"/>
        </w:rPr>
        <w:t xml:space="preserve">immediately </w:t>
      </w:r>
      <w:r w:rsidR="003A4373" w:rsidRPr="00812E8B">
        <w:rPr>
          <w:lang w:val="en-US"/>
        </w:rPr>
        <w:t xml:space="preserve"> a function of </w:t>
      </w:r>
      <m:oMath>
        <m:r>
          <w:rPr>
            <w:rFonts w:ascii="Cambria Math" w:hAnsi="Cambria Math"/>
            <w:lang w:val="en-US"/>
          </w:rPr>
          <m:t>(</m:t>
        </m:r>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i</m:t>
            </m:r>
          </m:sub>
        </m:sSub>
        <m:r>
          <w:rPr>
            <w:rFonts w:ascii="Cambria Math" w:hAnsi="Cambria Math"/>
            <w:lang w:val="en-US"/>
          </w:rPr>
          <m:t>)</m:t>
        </m:r>
      </m:oMath>
      <w:r w:rsidR="003A4373" w:rsidRPr="00812E8B">
        <w:rPr>
          <w:bCs/>
          <w:lang w:val="en-US"/>
        </w:rPr>
        <w:t xml:space="preserve">. </w:t>
      </w:r>
      <w:r w:rsidR="00B9115B" w:rsidRPr="00812E8B">
        <w:rPr>
          <w:bCs/>
          <w:lang w:val="en-US"/>
        </w:rPr>
        <w:t>In general</w:t>
      </w:r>
      <w:r w:rsidR="003A4373" w:rsidRPr="00812E8B">
        <w:rPr>
          <w:bCs/>
          <w:lang w:val="en-US"/>
        </w:rPr>
        <w:t xml:space="preserve">, </w:t>
      </w:r>
      <w:r w:rsidR="00F93076" w:rsidRPr="00812E8B">
        <w:rPr>
          <w:bCs/>
          <w:lang w:val="en-US"/>
        </w:rPr>
        <w:t>autocorrelation (or serial correlation)</w:t>
      </w:r>
      <w:r w:rsidR="00087BF5" w:rsidRPr="00812E8B">
        <w:rPr>
          <w:bCs/>
          <w:lang w:val="en-US"/>
        </w:rPr>
        <w:t xml:space="preserve">, </w:t>
      </w:r>
      <w:r w:rsidR="00C73C2D" w:rsidRPr="00812E8B">
        <w:rPr>
          <w:bCs/>
          <w:lang w:val="en-US"/>
        </w:rPr>
        <w:t>between the</w:t>
      </w:r>
      <w:r w:rsidR="003A4373" w:rsidRPr="00812E8B">
        <w:rPr>
          <w:bCs/>
          <w:lang w:val="en-US"/>
        </w:rPr>
        <w:t xml:space="preserve"> disturbance term</w:t>
      </w:r>
      <w:r w:rsidR="00C73C2D" w:rsidRPr="00812E8B">
        <w:rPr>
          <w:bCs/>
          <w:lang w:val="en-US"/>
        </w:rPr>
        <w:t>s</w:t>
      </w:r>
      <w:r w:rsidR="00087BF5" w:rsidRPr="00812E8B">
        <w:rPr>
          <w:bCs/>
          <w:lang w:val="en-US"/>
        </w:rPr>
        <w:t>, exists</w:t>
      </w:r>
      <w:r w:rsidR="00B9115B" w:rsidRPr="00812E8B">
        <w:rPr>
          <w:bCs/>
          <w:color w:val="365F91" w:themeColor="accent1" w:themeShade="BF"/>
          <w:lang w:val="en-US"/>
        </w:rPr>
        <w:t xml:space="preserve"> </w:t>
      </w:r>
      <w:r w:rsidR="000F17F0" w:rsidRPr="00812E8B">
        <w:rPr>
          <w:color w:val="365F91" w:themeColor="accent1" w:themeShade="BF"/>
          <w:lang w:val="en-US"/>
        </w:rPr>
        <w:t>(Baltagi, 2005)</w:t>
      </w:r>
      <w:r w:rsidR="00A168E2" w:rsidRPr="00812E8B">
        <w:rPr>
          <w:bCs/>
          <w:lang w:val="en-US"/>
        </w:rPr>
        <w:t xml:space="preserve">. </w:t>
      </w:r>
      <w:r w:rsidR="00B9115B" w:rsidRPr="00812E8B">
        <w:rPr>
          <w:bCs/>
          <w:lang w:val="en-US"/>
        </w:rPr>
        <w:t>A</w:t>
      </w:r>
      <w:r w:rsidR="00A168E2" w:rsidRPr="00812E8B">
        <w:rPr>
          <w:bCs/>
          <w:lang w:val="en-US"/>
        </w:rPr>
        <w:t xml:space="preserve">utocorrelation </w:t>
      </w:r>
      <w:r w:rsidR="00F124C7" w:rsidRPr="00812E8B">
        <w:rPr>
          <w:bCs/>
          <w:lang w:val="en-US"/>
        </w:rPr>
        <w:t xml:space="preserve">and endogeneity </w:t>
      </w:r>
      <w:r w:rsidR="00A168E2" w:rsidRPr="00812E8B">
        <w:rPr>
          <w:bCs/>
          <w:lang w:val="en-US"/>
        </w:rPr>
        <w:t xml:space="preserve">will </w:t>
      </w:r>
      <w:r w:rsidR="00370D8C" w:rsidRPr="00812E8B">
        <w:rPr>
          <w:bCs/>
          <w:lang w:val="en-US"/>
        </w:rPr>
        <w:t xml:space="preserve">give </w:t>
      </w:r>
      <w:r w:rsidR="003A4373" w:rsidRPr="00812E8B">
        <w:rPr>
          <w:bCs/>
          <w:lang w:val="en-US"/>
        </w:rPr>
        <w:t xml:space="preserve">biased </w:t>
      </w:r>
      <w:r w:rsidR="00370D8C" w:rsidRPr="00812E8B">
        <w:rPr>
          <w:bCs/>
          <w:lang w:val="en-US"/>
        </w:rPr>
        <w:t xml:space="preserve">and inconsistent </w:t>
      </w:r>
      <w:r w:rsidR="003A4373" w:rsidRPr="00812E8B">
        <w:rPr>
          <w:bCs/>
          <w:lang w:val="en-US"/>
        </w:rPr>
        <w:t>coefficients</w:t>
      </w:r>
      <w:r w:rsidR="00A168E2" w:rsidRPr="00812E8B">
        <w:rPr>
          <w:bCs/>
          <w:lang w:val="en-US"/>
        </w:rPr>
        <w:t xml:space="preserve"> in </w:t>
      </w:r>
      <w:r w:rsidR="0015076E" w:rsidRPr="00812E8B">
        <w:rPr>
          <w:bCs/>
          <w:lang w:val="en-US"/>
        </w:rPr>
        <w:t>a</w:t>
      </w:r>
      <w:r w:rsidR="00A168E2" w:rsidRPr="00812E8B">
        <w:rPr>
          <w:bCs/>
          <w:lang w:val="en-US"/>
        </w:rPr>
        <w:t xml:space="preserve"> pooled OLS regression</w:t>
      </w:r>
      <w:r w:rsidR="00AA7552" w:rsidRPr="00812E8B">
        <w:rPr>
          <w:bCs/>
          <w:color w:val="365F91" w:themeColor="accent1" w:themeShade="BF"/>
          <w:lang w:val="en-US"/>
        </w:rPr>
        <w:t>.</w:t>
      </w:r>
    </w:p>
    <w:p w:rsidR="00A31900" w:rsidRPr="00812E8B" w:rsidRDefault="00A31900" w:rsidP="00F82AB4">
      <w:pPr>
        <w:pStyle w:val="NoSpacing"/>
        <w:rPr>
          <w:sz w:val="18"/>
          <w:szCs w:val="18"/>
          <w:lang w:val="en-US"/>
        </w:rPr>
      </w:pPr>
    </w:p>
    <w:p w:rsidR="00B368E5" w:rsidRPr="00812E8B" w:rsidRDefault="00B368E5" w:rsidP="00B368E5">
      <w:pPr>
        <w:pStyle w:val="Heading3"/>
        <w:rPr>
          <w:color w:val="auto"/>
          <w:lang w:val="en-US"/>
        </w:rPr>
      </w:pPr>
      <w:r w:rsidRPr="00812E8B">
        <w:rPr>
          <w:color w:val="auto"/>
          <w:lang w:val="en-US"/>
        </w:rPr>
        <w:t>5.1.2 G</w:t>
      </w:r>
      <w:r w:rsidR="00937B13" w:rsidRPr="00812E8B">
        <w:rPr>
          <w:color w:val="auto"/>
          <w:sz w:val="19"/>
          <w:szCs w:val="19"/>
          <w:lang w:val="en-US"/>
        </w:rPr>
        <w:t>ENERALIZED METHOD OF MOMENTS</w:t>
      </w:r>
    </w:p>
    <w:p w:rsidR="007724EA" w:rsidRPr="00812E8B" w:rsidRDefault="003B2651" w:rsidP="00486578">
      <w:pPr>
        <w:pStyle w:val="NoSpacing"/>
        <w:spacing w:line="276" w:lineRule="auto"/>
        <w:jc w:val="both"/>
        <w:rPr>
          <w:lang w:val="en-US"/>
        </w:rPr>
      </w:pPr>
      <w:r w:rsidRPr="00812E8B">
        <w:rPr>
          <w:bCs/>
          <w:lang w:val="en-US"/>
        </w:rPr>
        <w:t xml:space="preserve">Recent academic </w:t>
      </w:r>
      <w:r w:rsidR="003A4373" w:rsidRPr="00812E8B">
        <w:rPr>
          <w:bCs/>
          <w:lang w:val="en-US"/>
        </w:rPr>
        <w:t xml:space="preserve">research </w:t>
      </w:r>
      <w:r w:rsidR="007724EA" w:rsidRPr="00812E8B">
        <w:rPr>
          <w:bCs/>
          <w:lang w:val="en-US"/>
        </w:rPr>
        <w:t xml:space="preserve">towards profitability in </w:t>
      </w:r>
      <w:r w:rsidR="00CA4C31" w:rsidRPr="00812E8B">
        <w:rPr>
          <w:bCs/>
          <w:lang w:val="en-US"/>
        </w:rPr>
        <w:t xml:space="preserve">the banking sector </w:t>
      </w:r>
      <w:r w:rsidR="007724EA" w:rsidRPr="00812E8B">
        <w:rPr>
          <w:bCs/>
          <w:lang w:val="en-US"/>
        </w:rPr>
        <w:t>uses generalized m</w:t>
      </w:r>
      <w:r w:rsidR="003A4373" w:rsidRPr="00812E8B">
        <w:rPr>
          <w:bCs/>
          <w:lang w:val="en-US"/>
        </w:rPr>
        <w:t xml:space="preserve">ethod of moments (GMM) </w:t>
      </w:r>
      <w:r w:rsidRPr="00812E8B">
        <w:rPr>
          <w:bCs/>
          <w:lang w:val="en-US"/>
        </w:rPr>
        <w:t>technique</w:t>
      </w:r>
      <w:r w:rsidR="00903552" w:rsidRPr="00812E8B">
        <w:rPr>
          <w:bCs/>
          <w:lang w:val="en-US"/>
        </w:rPr>
        <w:t>s</w:t>
      </w:r>
      <w:r w:rsidR="00B368E5" w:rsidRPr="00812E8B">
        <w:rPr>
          <w:bCs/>
          <w:lang w:val="en-US"/>
        </w:rPr>
        <w:t xml:space="preserve"> to overcome the above mentioned problems of </w:t>
      </w:r>
      <w:r w:rsidR="007724EA" w:rsidRPr="00812E8B">
        <w:rPr>
          <w:bCs/>
          <w:lang w:val="en-US"/>
        </w:rPr>
        <w:t xml:space="preserve">pooled </w:t>
      </w:r>
      <w:r w:rsidR="00B368E5" w:rsidRPr="00812E8B">
        <w:rPr>
          <w:bCs/>
          <w:lang w:val="en-US"/>
        </w:rPr>
        <w:t xml:space="preserve">ordinary least squares </w:t>
      </w:r>
      <w:r w:rsidR="007724EA" w:rsidRPr="00812E8B">
        <w:rPr>
          <w:bCs/>
          <w:lang w:val="en-US"/>
        </w:rPr>
        <w:t>techniques</w:t>
      </w:r>
      <w:r w:rsidR="00B368E5" w:rsidRPr="00812E8B">
        <w:rPr>
          <w:bCs/>
          <w:lang w:val="en-US"/>
        </w:rPr>
        <w:t xml:space="preserve">. In contrary to OLS, </w:t>
      </w:r>
      <w:r w:rsidR="007724EA" w:rsidRPr="00812E8B">
        <w:rPr>
          <w:bCs/>
          <w:lang w:val="en-US"/>
        </w:rPr>
        <w:t>GMM techniques do</w:t>
      </w:r>
      <w:r w:rsidR="00B368E5" w:rsidRPr="00812E8B">
        <w:rPr>
          <w:bCs/>
          <w:lang w:val="en-US"/>
        </w:rPr>
        <w:t xml:space="preserve"> not make assumption</w:t>
      </w:r>
      <w:r w:rsidR="00F14CA1" w:rsidRPr="00812E8B">
        <w:rPr>
          <w:bCs/>
          <w:lang w:val="en-US"/>
        </w:rPr>
        <w:t>s</w:t>
      </w:r>
      <w:r w:rsidR="00B368E5" w:rsidRPr="00812E8B">
        <w:rPr>
          <w:bCs/>
          <w:lang w:val="en-US"/>
        </w:rPr>
        <w:t xml:space="preserve"> surrounding the distribution of the data (i.e. normality</w:t>
      </w:r>
      <w:r w:rsidR="007724EA" w:rsidRPr="00812E8B">
        <w:rPr>
          <w:bCs/>
          <w:lang w:val="en-US"/>
        </w:rPr>
        <w:t xml:space="preserve"> or </w:t>
      </w:r>
      <w:r w:rsidR="00B368E5" w:rsidRPr="00812E8B">
        <w:rPr>
          <w:bCs/>
          <w:lang w:val="en-US"/>
        </w:rPr>
        <w:t>skewness)</w:t>
      </w:r>
      <w:r w:rsidR="007724EA" w:rsidRPr="00812E8B">
        <w:rPr>
          <w:bCs/>
          <w:lang w:val="en-US"/>
        </w:rPr>
        <w:t>.</w:t>
      </w:r>
      <w:r w:rsidR="002355F2" w:rsidRPr="00812E8B">
        <w:rPr>
          <w:bCs/>
          <w:lang w:val="en-US"/>
        </w:rPr>
        <w:t xml:space="preserve"> In this context, the potential non-normal distribution of the variables does not affect the results. </w:t>
      </w:r>
      <w:r w:rsidR="0023756A" w:rsidRPr="00812E8B">
        <w:rPr>
          <w:lang w:val="en-US"/>
        </w:rPr>
        <w:t xml:space="preserve">Moreover, GMM techniques </w:t>
      </w:r>
      <w:r w:rsidR="003A4373" w:rsidRPr="00812E8B">
        <w:rPr>
          <w:bCs/>
          <w:lang w:val="en-US"/>
        </w:rPr>
        <w:t xml:space="preserve">overcome the problem </w:t>
      </w:r>
      <w:r w:rsidRPr="00812E8B">
        <w:rPr>
          <w:bCs/>
          <w:lang w:val="en-US"/>
        </w:rPr>
        <w:t>of</w:t>
      </w:r>
      <w:r w:rsidR="003A4373" w:rsidRPr="00812E8B">
        <w:rPr>
          <w:bCs/>
          <w:lang w:val="en-US"/>
        </w:rPr>
        <w:t xml:space="preserve"> </w:t>
      </w:r>
      <w:r w:rsidR="003A4373" w:rsidRPr="00812E8B">
        <w:rPr>
          <w:lang w:val="en-US"/>
        </w:rPr>
        <w:t>endogeneity</w:t>
      </w:r>
      <w:r w:rsidRPr="00812E8B">
        <w:rPr>
          <w:lang w:val="en-US"/>
        </w:rPr>
        <w:t xml:space="preserve"> of variables</w:t>
      </w:r>
      <w:r w:rsidR="0054475E" w:rsidRPr="00812E8B">
        <w:rPr>
          <w:lang w:val="en-US"/>
        </w:rPr>
        <w:t xml:space="preserve"> and serial correlation with the disturbance term</w:t>
      </w:r>
      <w:r w:rsidR="0028380C" w:rsidRPr="00812E8B">
        <w:rPr>
          <w:lang w:val="en-US"/>
        </w:rPr>
        <w:t xml:space="preserve"> </w:t>
      </w:r>
      <w:r w:rsidR="007D7CD9" w:rsidRPr="00812E8B">
        <w:rPr>
          <w:color w:val="365F91" w:themeColor="accent1" w:themeShade="BF"/>
          <w:lang w:val="en-US"/>
        </w:rPr>
        <w:t>(Pasiouras and Kosmidou, 2007;</w:t>
      </w:r>
      <w:r w:rsidR="0028380C" w:rsidRPr="00812E8B">
        <w:rPr>
          <w:color w:val="365F91" w:themeColor="accent1" w:themeShade="BF"/>
          <w:lang w:val="en-US"/>
        </w:rPr>
        <w:t xml:space="preserve"> </w:t>
      </w:r>
      <w:r w:rsidR="00E34060" w:rsidRPr="00812E8B">
        <w:rPr>
          <w:color w:val="365F91" w:themeColor="accent1" w:themeShade="BF"/>
          <w:lang w:val="en-US"/>
        </w:rPr>
        <w:t xml:space="preserve">Athanasoglou et al., 2008 </w:t>
      </w:r>
      <w:r w:rsidR="0028380C" w:rsidRPr="00812E8B">
        <w:rPr>
          <w:lang w:val="en-US"/>
        </w:rPr>
        <w:t xml:space="preserve">and </w:t>
      </w:r>
      <w:r w:rsidR="001B30EB" w:rsidRPr="00812E8B">
        <w:rPr>
          <w:color w:val="365F91" w:themeColor="accent1" w:themeShade="BF"/>
          <w:lang w:val="en-US"/>
        </w:rPr>
        <w:t>Dietrich and Wanzenried, 2011)</w:t>
      </w:r>
      <w:r w:rsidRPr="00812E8B">
        <w:rPr>
          <w:lang w:val="en-US"/>
        </w:rPr>
        <w:t>.</w:t>
      </w:r>
      <w:r w:rsidR="0054475E" w:rsidRPr="00812E8B">
        <w:rPr>
          <w:lang w:val="en-US"/>
        </w:rPr>
        <w:t xml:space="preserve"> </w:t>
      </w:r>
    </w:p>
    <w:p w:rsidR="007724EA" w:rsidRPr="00812E8B" w:rsidRDefault="007724EA" w:rsidP="00F82AB4">
      <w:pPr>
        <w:pStyle w:val="NoSpacing"/>
        <w:rPr>
          <w:lang w:val="en-US"/>
        </w:rPr>
      </w:pPr>
    </w:p>
    <w:p w:rsidR="00C73C2D" w:rsidRPr="00812E8B" w:rsidRDefault="00B368E5" w:rsidP="00486578">
      <w:pPr>
        <w:pStyle w:val="NoSpacing"/>
        <w:spacing w:line="276" w:lineRule="auto"/>
        <w:jc w:val="both"/>
        <w:rPr>
          <w:lang w:val="en-US"/>
        </w:rPr>
      </w:pPr>
      <w:r w:rsidRPr="00812E8B">
        <w:rPr>
          <w:lang w:val="en-US"/>
        </w:rPr>
        <w:t xml:space="preserve">By now, there are two widely applied GMM techniques; the Difference GMM estimator as </w:t>
      </w:r>
      <w:r w:rsidR="00471E70" w:rsidRPr="00812E8B">
        <w:rPr>
          <w:lang w:val="en-US"/>
        </w:rPr>
        <w:t xml:space="preserve">described </w:t>
      </w:r>
      <w:r w:rsidR="00471E70" w:rsidRPr="00812E8B">
        <w:rPr>
          <w:bCs/>
          <w:lang w:val="en-US"/>
        </w:rPr>
        <w:t xml:space="preserve">in </w:t>
      </w:r>
      <w:r w:rsidR="000F17F0" w:rsidRPr="00812E8B">
        <w:rPr>
          <w:color w:val="365F91" w:themeColor="accent1" w:themeShade="BF"/>
          <w:lang w:val="en-US"/>
        </w:rPr>
        <w:t>Arellano and Bond (1991)</w:t>
      </w:r>
      <w:r w:rsidRPr="00812E8B">
        <w:rPr>
          <w:bCs/>
          <w:color w:val="365F91" w:themeColor="accent1" w:themeShade="BF"/>
          <w:lang w:val="en-US"/>
        </w:rPr>
        <w:t xml:space="preserve"> </w:t>
      </w:r>
      <w:r w:rsidRPr="00812E8B">
        <w:rPr>
          <w:bCs/>
          <w:lang w:val="en-US"/>
        </w:rPr>
        <w:t xml:space="preserve">and the System GMM estimator described in </w:t>
      </w:r>
      <w:r w:rsidR="000F17F0" w:rsidRPr="00812E8B">
        <w:rPr>
          <w:color w:val="365F91" w:themeColor="accent1" w:themeShade="BF"/>
          <w:lang w:val="en-US"/>
        </w:rPr>
        <w:t>Arellano and Bover (1995)</w:t>
      </w:r>
      <w:r w:rsidRPr="00812E8B">
        <w:rPr>
          <w:bCs/>
          <w:color w:val="365F91" w:themeColor="accent1" w:themeShade="BF"/>
          <w:lang w:val="en-US"/>
        </w:rPr>
        <w:t xml:space="preserve">. </w:t>
      </w:r>
      <w:r w:rsidR="00F22F45" w:rsidRPr="00812E8B">
        <w:rPr>
          <w:bCs/>
          <w:lang w:val="en-US"/>
        </w:rPr>
        <w:t xml:space="preserve">According </w:t>
      </w:r>
      <w:r w:rsidR="00F14CA1" w:rsidRPr="00812E8B">
        <w:rPr>
          <w:bCs/>
          <w:lang w:val="en-US"/>
        </w:rPr>
        <w:t>to</w:t>
      </w:r>
      <w:r w:rsidR="00F14CA1" w:rsidRPr="00812E8B">
        <w:rPr>
          <w:bCs/>
          <w:color w:val="365F91" w:themeColor="accent1" w:themeShade="BF"/>
          <w:lang w:val="en-US"/>
        </w:rPr>
        <w:t xml:space="preserve"> </w:t>
      </w:r>
      <w:r w:rsidR="000F17F0" w:rsidRPr="00812E8B">
        <w:rPr>
          <w:color w:val="365F91" w:themeColor="accent1" w:themeShade="BF"/>
          <w:lang w:val="en-US"/>
        </w:rPr>
        <w:t>Baltagi (2005)</w:t>
      </w:r>
      <w:r w:rsidR="00F22F45" w:rsidRPr="00812E8B">
        <w:rPr>
          <w:bCs/>
          <w:lang w:val="en-US"/>
        </w:rPr>
        <w:t xml:space="preserve"> and </w:t>
      </w:r>
      <w:r w:rsidR="000F17F0" w:rsidRPr="00812E8B">
        <w:rPr>
          <w:color w:val="365F91" w:themeColor="accent1" w:themeShade="BF"/>
          <w:lang w:val="en-US"/>
        </w:rPr>
        <w:t>Roodman (2009)</w:t>
      </w:r>
      <w:r w:rsidR="00F22F45" w:rsidRPr="00812E8B">
        <w:rPr>
          <w:bCs/>
          <w:color w:val="365F91" w:themeColor="accent1" w:themeShade="BF"/>
          <w:lang w:val="en-US"/>
        </w:rPr>
        <w:t xml:space="preserve"> </w:t>
      </w:r>
      <w:r w:rsidR="00F22F45" w:rsidRPr="00812E8B">
        <w:rPr>
          <w:bCs/>
          <w:lang w:val="en-US"/>
        </w:rPr>
        <w:t xml:space="preserve">the Difference GMM technique first-differentiate equation (i) </w:t>
      </w:r>
      <w:r w:rsidR="007724EA" w:rsidRPr="00812E8B">
        <w:rPr>
          <w:bCs/>
          <w:lang w:val="en-US"/>
        </w:rPr>
        <w:t>in time</w:t>
      </w:r>
      <w:r w:rsidR="00F22F45" w:rsidRPr="00812E8B">
        <w:rPr>
          <w:bCs/>
          <w:lang w:val="en-US"/>
        </w:rPr>
        <w:t xml:space="preserve"> to remove the unobserved </w:t>
      </w:r>
      <w:r w:rsidR="00F22F45" w:rsidRPr="00812E8B">
        <w:rPr>
          <w:lang w:val="en-US"/>
        </w:rPr>
        <w:t xml:space="preserve">bank-specific effect in the error item </w:t>
      </w:r>
      <m:oMath>
        <m:r>
          <w:rPr>
            <w:rFonts w:ascii="Cambria Math" w:hAnsi="Cambria Math"/>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i</m:t>
            </m:r>
          </m:sub>
        </m:sSub>
        <m:r>
          <w:rPr>
            <w:rFonts w:ascii="Cambria Math" w:hAnsi="Cambria Math" w:cs="Times New Roman"/>
            <w:sz w:val="24"/>
            <w:szCs w:val="24"/>
            <w:lang w:val="en-US"/>
          </w:rPr>
          <m:t>)</m:t>
        </m:r>
      </m:oMath>
      <w:r w:rsidR="00F22F45" w:rsidRPr="00812E8B">
        <w:rPr>
          <w:bCs/>
          <w:lang w:val="en-US"/>
        </w:rPr>
        <w:t xml:space="preserve">. The first-differentiated equation is then estimated by using lags of the potential predetermined and endogenous explanatory variables, e.g. </w:t>
      </w:r>
      <w:r w:rsidR="00335EFC" w:rsidRPr="00812E8B">
        <w:rPr>
          <w:bCs/>
          <w:lang w:val="en-US"/>
        </w:rPr>
        <w:t>equity-to-asset ratio</w:t>
      </w:r>
      <w:r w:rsidR="00F22F45" w:rsidRPr="00812E8B">
        <w:rPr>
          <w:bCs/>
          <w:lang w:val="en-US"/>
        </w:rPr>
        <w:t xml:space="preserve"> and lagged profitability. These lags are used as instrumental variables in the transformed equation and serve as proxy for the true observations. Hence, the Difference GMM estimator elimi</w:t>
      </w:r>
      <w:r w:rsidR="00471E70" w:rsidRPr="00812E8B">
        <w:rPr>
          <w:lang w:val="en-US"/>
        </w:rPr>
        <w:t xml:space="preserve">nates </w:t>
      </w:r>
      <w:r w:rsidR="00C73C2D" w:rsidRPr="00812E8B">
        <w:rPr>
          <w:lang w:val="en-US"/>
        </w:rPr>
        <w:t>the problem of autocorrelation and endogeneity</w:t>
      </w:r>
      <w:r w:rsidR="00F22F45" w:rsidRPr="00812E8B">
        <w:rPr>
          <w:lang w:val="en-US"/>
        </w:rPr>
        <w:t xml:space="preserve"> by removing the fixed effect in the error item and by using lags of the explanatory variables</w:t>
      </w:r>
      <w:r w:rsidR="002355F2" w:rsidRPr="00812E8B">
        <w:rPr>
          <w:lang w:val="en-US"/>
        </w:rPr>
        <w:t xml:space="preserve"> as instruments</w:t>
      </w:r>
      <w:r w:rsidR="00F22F45" w:rsidRPr="00812E8B">
        <w:rPr>
          <w:lang w:val="en-US"/>
        </w:rPr>
        <w:t xml:space="preserve">. </w:t>
      </w:r>
      <w:r w:rsidR="00A4014B" w:rsidRPr="00812E8B">
        <w:rPr>
          <w:lang w:val="en-US"/>
        </w:rPr>
        <w:t>A drawback of the Difference GMM is that the technique performs rather weak when there is little correlation between the lagged values and current values of the</w:t>
      </w:r>
      <w:r w:rsidR="00120833" w:rsidRPr="00812E8B">
        <w:rPr>
          <w:lang w:val="en-US"/>
        </w:rPr>
        <w:t xml:space="preserve"> potential endogenous variables</w:t>
      </w:r>
      <w:r w:rsidR="00A4014B" w:rsidRPr="00812E8B">
        <w:rPr>
          <w:lang w:val="en-US"/>
        </w:rPr>
        <w:t xml:space="preserve">. </w:t>
      </w:r>
      <w:r w:rsidR="006B6B3F" w:rsidRPr="00812E8B">
        <w:rPr>
          <w:lang w:val="en-US"/>
        </w:rPr>
        <w:t xml:space="preserve">Moreover, </w:t>
      </w:r>
      <w:r w:rsidR="002355F2" w:rsidRPr="00812E8B">
        <w:rPr>
          <w:lang w:val="en-US"/>
        </w:rPr>
        <w:t>by using only lags of variables as observations the D</w:t>
      </w:r>
      <w:r w:rsidR="006B6B3F" w:rsidRPr="00812E8B">
        <w:rPr>
          <w:lang w:val="en-US"/>
        </w:rPr>
        <w:t xml:space="preserve">ifference GMM </w:t>
      </w:r>
      <w:r w:rsidR="002355F2" w:rsidRPr="00812E8B">
        <w:rPr>
          <w:lang w:val="en-US"/>
        </w:rPr>
        <w:t xml:space="preserve">estimator </w:t>
      </w:r>
      <w:r w:rsidR="00A4014B" w:rsidRPr="00812E8B">
        <w:rPr>
          <w:lang w:val="en-US"/>
        </w:rPr>
        <w:t>magnifies gaps in unbalanced panel data</w:t>
      </w:r>
      <w:r w:rsidR="002355F2" w:rsidRPr="00812E8B">
        <w:rPr>
          <w:lang w:val="en-US"/>
        </w:rPr>
        <w:t xml:space="preserve">. These problems will </w:t>
      </w:r>
      <w:r w:rsidR="00A4014B" w:rsidRPr="00812E8B">
        <w:rPr>
          <w:bCs/>
          <w:lang w:val="en-US"/>
        </w:rPr>
        <w:t>giv</w:t>
      </w:r>
      <w:r w:rsidR="002355F2" w:rsidRPr="00812E8B">
        <w:rPr>
          <w:bCs/>
          <w:lang w:val="en-US"/>
        </w:rPr>
        <w:t>e</w:t>
      </w:r>
      <w:r w:rsidR="00A4014B" w:rsidRPr="00812E8B">
        <w:rPr>
          <w:bCs/>
          <w:lang w:val="en-US"/>
        </w:rPr>
        <w:t xml:space="preserve"> biased results in </w:t>
      </w:r>
      <w:r w:rsidR="00A4014B" w:rsidRPr="00812E8B">
        <w:rPr>
          <w:bCs/>
          <w:lang w:val="en-US"/>
        </w:rPr>
        <w:lastRenderedPageBreak/>
        <w:t>particularly small panels</w:t>
      </w:r>
      <w:r w:rsidR="006B6B3F" w:rsidRPr="00812E8B">
        <w:rPr>
          <w:bCs/>
          <w:lang w:val="en-US"/>
        </w:rPr>
        <w:t>; the finite sample bias</w:t>
      </w:r>
      <w:r w:rsidR="00A4014B" w:rsidRPr="00812E8B">
        <w:rPr>
          <w:bCs/>
          <w:lang w:val="en-US"/>
        </w:rPr>
        <w:t xml:space="preserve"> </w:t>
      </w:r>
      <w:r w:rsidR="000F17F0" w:rsidRPr="00812E8B">
        <w:rPr>
          <w:color w:val="365F91" w:themeColor="accent1" w:themeShade="BF"/>
          <w:lang w:val="en-US"/>
        </w:rPr>
        <w:t>(Roodman, 2009)</w:t>
      </w:r>
      <w:r w:rsidR="00A4014B" w:rsidRPr="00812E8B">
        <w:rPr>
          <w:lang w:val="en-US"/>
        </w:rPr>
        <w:t>. The System GMM technique</w:t>
      </w:r>
      <w:r w:rsidR="006B6B3F" w:rsidRPr="00812E8B">
        <w:rPr>
          <w:lang w:val="en-US"/>
        </w:rPr>
        <w:t xml:space="preserve">, as proposed by </w:t>
      </w:r>
      <w:r w:rsidR="000F17F0" w:rsidRPr="00812E8B">
        <w:rPr>
          <w:color w:val="365F91" w:themeColor="accent1" w:themeShade="BF"/>
          <w:lang w:val="en-US"/>
        </w:rPr>
        <w:t>Arellano and Bover (1995)</w:t>
      </w:r>
      <w:r w:rsidR="006B6B3F" w:rsidRPr="00812E8B">
        <w:rPr>
          <w:bCs/>
          <w:color w:val="365F91" w:themeColor="accent1" w:themeShade="BF"/>
          <w:lang w:val="en-US"/>
        </w:rPr>
        <w:t>,</w:t>
      </w:r>
      <w:r w:rsidR="00A4014B" w:rsidRPr="00812E8B">
        <w:rPr>
          <w:lang w:val="en-US"/>
        </w:rPr>
        <w:t xml:space="preserve"> overcomes these problems by </w:t>
      </w:r>
      <w:r w:rsidR="00120833" w:rsidRPr="00812E8B">
        <w:rPr>
          <w:lang w:val="en-US"/>
        </w:rPr>
        <w:t>using</w:t>
      </w:r>
      <w:r w:rsidR="006B6B3F" w:rsidRPr="00812E8B">
        <w:rPr>
          <w:lang w:val="en-US"/>
        </w:rPr>
        <w:t xml:space="preserve"> an equation in levels in addition to the equation in first-differences. In the equation in </w:t>
      </w:r>
      <w:r w:rsidR="00C73C2D" w:rsidRPr="00812E8B">
        <w:rPr>
          <w:lang w:val="en-US"/>
        </w:rPr>
        <w:t>levels,</w:t>
      </w:r>
      <w:r w:rsidR="006B6B3F" w:rsidRPr="00812E8B">
        <w:rPr>
          <w:lang w:val="en-US"/>
        </w:rPr>
        <w:t xml:space="preserve"> the variables are instrumented with their own first differences while in the difference equation the </w:t>
      </w:r>
      <w:r w:rsidR="00486578" w:rsidRPr="00812E8B">
        <w:rPr>
          <w:lang w:val="en-US"/>
        </w:rPr>
        <w:t>lagged levels are used as instruments</w:t>
      </w:r>
      <w:r w:rsidR="00F22F45" w:rsidRPr="00812E8B">
        <w:rPr>
          <w:lang w:val="en-US"/>
        </w:rPr>
        <w:t xml:space="preserve"> </w:t>
      </w:r>
      <w:r w:rsidR="000F17F0" w:rsidRPr="00812E8B">
        <w:rPr>
          <w:color w:val="365F91" w:themeColor="accent1" w:themeShade="BF"/>
          <w:lang w:val="en-US"/>
        </w:rPr>
        <w:t>(Roodman, 2009)</w:t>
      </w:r>
      <w:r w:rsidR="009C5BA7" w:rsidRPr="00812E8B">
        <w:rPr>
          <w:rStyle w:val="EndnoteReference"/>
          <w:color w:val="365F91" w:themeColor="accent1" w:themeShade="BF"/>
          <w:lang w:val="en-US"/>
        </w:rPr>
        <w:endnoteReference w:id="13"/>
      </w:r>
      <w:r w:rsidR="00486578" w:rsidRPr="00812E8B">
        <w:rPr>
          <w:lang w:val="en-US"/>
        </w:rPr>
        <w:t xml:space="preserve">. </w:t>
      </w:r>
      <w:r w:rsidR="00C73C2D" w:rsidRPr="00812E8B">
        <w:rPr>
          <w:lang w:val="en-US"/>
        </w:rPr>
        <w:t xml:space="preserve">Moreover, </w:t>
      </w:r>
      <w:r w:rsidR="00F22F45" w:rsidRPr="00812E8B">
        <w:rPr>
          <w:lang w:val="en-US"/>
        </w:rPr>
        <w:t xml:space="preserve">the </w:t>
      </w:r>
      <w:r w:rsidR="00C73C2D" w:rsidRPr="00812E8B">
        <w:rPr>
          <w:lang w:val="en-US"/>
        </w:rPr>
        <w:t>System GMM technique i</w:t>
      </w:r>
      <w:r w:rsidR="00F22F45" w:rsidRPr="00812E8B">
        <w:rPr>
          <w:lang w:val="en-US"/>
        </w:rPr>
        <w:t>s able to incorporate</w:t>
      </w:r>
      <w:r w:rsidR="00C73C2D" w:rsidRPr="00812E8B">
        <w:rPr>
          <w:lang w:val="en-US"/>
        </w:rPr>
        <w:t xml:space="preserve"> time-invariant variables</w:t>
      </w:r>
      <w:r w:rsidR="00CA4F45" w:rsidRPr="00812E8B">
        <w:rPr>
          <w:lang w:val="en-US"/>
        </w:rPr>
        <w:t xml:space="preserve"> while the D</w:t>
      </w:r>
      <w:r w:rsidR="009C5BA7" w:rsidRPr="00812E8B">
        <w:rPr>
          <w:lang w:val="en-US"/>
        </w:rPr>
        <w:t>ifference GMM does not. The latter u</w:t>
      </w:r>
      <w:r w:rsidR="00CA4F45" w:rsidRPr="00812E8B">
        <w:rPr>
          <w:lang w:val="en-US"/>
        </w:rPr>
        <w:t>se</w:t>
      </w:r>
      <w:r w:rsidR="009C5BA7" w:rsidRPr="00812E8B">
        <w:rPr>
          <w:lang w:val="en-US"/>
        </w:rPr>
        <w:t>s</w:t>
      </w:r>
      <w:r w:rsidR="00CA4F45" w:rsidRPr="00812E8B">
        <w:rPr>
          <w:lang w:val="en-US"/>
        </w:rPr>
        <w:t xml:space="preserve"> a differentiation technique in which the</w:t>
      </w:r>
      <w:r w:rsidR="009C5BA7" w:rsidRPr="00812E8B">
        <w:rPr>
          <w:lang w:val="en-US"/>
        </w:rPr>
        <w:t xml:space="preserve"> cross-dimension of the data as well as the </w:t>
      </w:r>
      <w:r w:rsidR="00CA4F45" w:rsidRPr="00812E8B">
        <w:rPr>
          <w:lang w:val="en-US"/>
        </w:rPr>
        <w:t xml:space="preserve">time-invariant variables (without subscript t in equation </w:t>
      </w:r>
      <w:r w:rsidR="009C5BA7" w:rsidRPr="00812E8B">
        <w:rPr>
          <w:lang w:val="en-US"/>
        </w:rPr>
        <w:t>(i), e.g. dummy for ownership</w:t>
      </w:r>
      <w:r w:rsidR="00CA4F45" w:rsidRPr="00812E8B">
        <w:rPr>
          <w:lang w:val="en-US"/>
        </w:rPr>
        <w:t xml:space="preserve">) are removed. </w:t>
      </w:r>
      <w:r w:rsidR="00CE72E3" w:rsidRPr="00812E8B">
        <w:rPr>
          <w:lang w:val="en-US"/>
        </w:rPr>
        <w:t>Hence, regressions are performed using the System GMM technique.</w:t>
      </w:r>
    </w:p>
    <w:p w:rsidR="00F22F45" w:rsidRPr="00812E8B" w:rsidRDefault="00F22F45" w:rsidP="00F82AB4">
      <w:pPr>
        <w:pStyle w:val="NoSpacing"/>
        <w:rPr>
          <w:lang w:val="en-US"/>
        </w:rPr>
      </w:pPr>
    </w:p>
    <w:p w:rsidR="00390444" w:rsidRPr="00812E8B" w:rsidRDefault="00F45869" w:rsidP="00F82AB4">
      <w:pPr>
        <w:pStyle w:val="NoSpacing"/>
        <w:spacing w:line="276" w:lineRule="auto"/>
        <w:jc w:val="both"/>
        <w:rPr>
          <w:lang w:val="en-US"/>
        </w:rPr>
      </w:pPr>
      <w:r w:rsidRPr="00812E8B">
        <w:rPr>
          <w:color w:val="365F91" w:themeColor="accent1" w:themeShade="BF"/>
          <w:lang w:val="en-US"/>
        </w:rPr>
        <w:t>Roodman (2008)</w:t>
      </w:r>
      <w:r w:rsidR="00F22F45" w:rsidRPr="00812E8B">
        <w:rPr>
          <w:lang w:val="en-US"/>
        </w:rPr>
        <w:t xml:space="preserve"> </w:t>
      </w:r>
      <w:r w:rsidR="00CE72E3" w:rsidRPr="00812E8B">
        <w:rPr>
          <w:lang w:val="en-US"/>
        </w:rPr>
        <w:t>points out that there are se</w:t>
      </w:r>
      <w:r w:rsidR="007F5005" w:rsidRPr="00812E8B">
        <w:rPr>
          <w:lang w:val="en-US"/>
        </w:rPr>
        <w:t xml:space="preserve">veral </w:t>
      </w:r>
      <w:r w:rsidR="002355F2" w:rsidRPr="00812E8B">
        <w:rPr>
          <w:lang w:val="en-US"/>
        </w:rPr>
        <w:t>choices within the S</w:t>
      </w:r>
      <w:r w:rsidR="009C5BA7" w:rsidRPr="00812E8B">
        <w:rPr>
          <w:lang w:val="en-US"/>
        </w:rPr>
        <w:t xml:space="preserve">ystem </w:t>
      </w:r>
      <w:r w:rsidR="007F5005" w:rsidRPr="00812E8B">
        <w:rPr>
          <w:lang w:val="en-US"/>
        </w:rPr>
        <w:t xml:space="preserve">GMM </w:t>
      </w:r>
      <w:r w:rsidR="009C5BA7" w:rsidRPr="00812E8B">
        <w:rPr>
          <w:lang w:val="en-US"/>
        </w:rPr>
        <w:t xml:space="preserve">estimator and that the validity and consistency of the model depend on these </w:t>
      </w:r>
      <w:r w:rsidR="002355F2" w:rsidRPr="00812E8B">
        <w:rPr>
          <w:lang w:val="en-US"/>
        </w:rPr>
        <w:t>choices</w:t>
      </w:r>
      <w:r w:rsidR="009C5BA7" w:rsidRPr="00812E8B">
        <w:rPr>
          <w:lang w:val="en-US"/>
        </w:rPr>
        <w:t xml:space="preserve">. </w:t>
      </w:r>
      <w:r w:rsidR="0060401A" w:rsidRPr="00812E8B">
        <w:rPr>
          <w:lang w:val="en-US"/>
        </w:rPr>
        <w:t>H</w:t>
      </w:r>
      <w:r w:rsidR="007F5005" w:rsidRPr="00812E8B">
        <w:rPr>
          <w:lang w:val="en-US"/>
        </w:rPr>
        <w:t xml:space="preserve">e </w:t>
      </w:r>
      <w:r w:rsidR="002355F2" w:rsidRPr="00812E8B">
        <w:rPr>
          <w:lang w:val="en-US"/>
        </w:rPr>
        <w:t>proposes</w:t>
      </w:r>
      <w:r w:rsidR="00CE72E3" w:rsidRPr="00812E8B">
        <w:rPr>
          <w:lang w:val="en-US"/>
        </w:rPr>
        <w:t xml:space="preserve"> a</w:t>
      </w:r>
      <w:r w:rsidR="002355F2" w:rsidRPr="00812E8B">
        <w:rPr>
          <w:lang w:val="en-US"/>
        </w:rPr>
        <w:t>n</w:t>
      </w:r>
      <w:r w:rsidR="00CE72E3" w:rsidRPr="00812E8B">
        <w:rPr>
          <w:lang w:val="en-US"/>
        </w:rPr>
        <w:t xml:space="preserve"> </w:t>
      </w:r>
      <w:r w:rsidR="009C5BA7" w:rsidRPr="00812E8B">
        <w:rPr>
          <w:lang w:val="en-US"/>
        </w:rPr>
        <w:t xml:space="preserve">extensive </w:t>
      </w:r>
      <w:r w:rsidR="00CE72E3" w:rsidRPr="00812E8B">
        <w:rPr>
          <w:lang w:val="en-US"/>
        </w:rPr>
        <w:t xml:space="preserve">description of the </w:t>
      </w:r>
      <w:r w:rsidR="002355F2" w:rsidRPr="00812E8B">
        <w:rPr>
          <w:lang w:val="en-US"/>
        </w:rPr>
        <w:t xml:space="preserve">used </w:t>
      </w:r>
      <w:r w:rsidR="009C5BA7" w:rsidRPr="00812E8B">
        <w:rPr>
          <w:lang w:val="en-US"/>
        </w:rPr>
        <w:t>System GMM technique and</w:t>
      </w:r>
      <w:r w:rsidR="002355F2" w:rsidRPr="00812E8B">
        <w:rPr>
          <w:lang w:val="en-US"/>
        </w:rPr>
        <w:t xml:space="preserve"> a clear</w:t>
      </w:r>
      <w:r w:rsidR="009C5BA7" w:rsidRPr="00812E8B">
        <w:rPr>
          <w:lang w:val="en-US"/>
        </w:rPr>
        <w:t xml:space="preserve"> presentation of the robustness test. </w:t>
      </w:r>
      <w:r w:rsidR="00CE72E3" w:rsidRPr="00812E8B">
        <w:rPr>
          <w:lang w:val="en-US"/>
        </w:rPr>
        <w:t xml:space="preserve"> Accordingly, the steps</w:t>
      </w:r>
      <w:r w:rsidR="00327CF3" w:rsidRPr="00812E8B">
        <w:rPr>
          <w:lang w:val="en-US"/>
        </w:rPr>
        <w:t xml:space="preserve"> and specifications</w:t>
      </w:r>
      <w:r w:rsidR="00CE72E3" w:rsidRPr="00812E8B">
        <w:rPr>
          <w:lang w:val="en-US"/>
        </w:rPr>
        <w:t xml:space="preserve"> to estimate the model </w:t>
      </w:r>
      <w:r w:rsidR="00327CF3" w:rsidRPr="00812E8B">
        <w:rPr>
          <w:lang w:val="en-US"/>
        </w:rPr>
        <w:t>are discussed extensively</w:t>
      </w:r>
      <w:r w:rsidR="009C5BA7" w:rsidRPr="00812E8B">
        <w:rPr>
          <w:lang w:val="en-US"/>
        </w:rPr>
        <w:t xml:space="preserve"> here below. First,</w:t>
      </w:r>
      <w:r w:rsidR="002355F2" w:rsidRPr="00812E8B">
        <w:rPr>
          <w:lang w:val="en-US"/>
        </w:rPr>
        <w:t xml:space="preserve"> one should choose between a </w:t>
      </w:r>
      <w:r w:rsidR="009C5BA7" w:rsidRPr="00812E8B">
        <w:rPr>
          <w:lang w:val="en-US"/>
        </w:rPr>
        <w:t xml:space="preserve">one-step and two-step </w:t>
      </w:r>
      <w:r w:rsidR="002355F2" w:rsidRPr="00812E8B">
        <w:rPr>
          <w:lang w:val="en-US"/>
        </w:rPr>
        <w:t xml:space="preserve">GMM estimation </w:t>
      </w:r>
      <w:r w:rsidR="009C5BA7" w:rsidRPr="00812E8B">
        <w:rPr>
          <w:lang w:val="en-US"/>
        </w:rPr>
        <w:t>procedure</w:t>
      </w:r>
      <w:r w:rsidR="002355F2" w:rsidRPr="00812E8B">
        <w:rPr>
          <w:lang w:val="en-US"/>
        </w:rPr>
        <w:t xml:space="preserve">. </w:t>
      </w:r>
      <w:r w:rsidR="00FB0343" w:rsidRPr="00812E8B">
        <w:rPr>
          <w:lang w:val="en-US"/>
        </w:rPr>
        <w:t xml:space="preserve">Following </w:t>
      </w:r>
      <w:r w:rsidRPr="00812E8B">
        <w:rPr>
          <w:color w:val="365F91" w:themeColor="accent1" w:themeShade="BF"/>
          <w:lang w:val="en-US"/>
        </w:rPr>
        <w:t>Arellano and Bover (1995)</w:t>
      </w:r>
      <w:r w:rsidR="00FB0343" w:rsidRPr="00812E8B">
        <w:rPr>
          <w:lang w:val="en-US"/>
        </w:rPr>
        <w:t xml:space="preserve"> in the one-step </w:t>
      </w:r>
      <w:r w:rsidR="00F73DCA" w:rsidRPr="00812E8B">
        <w:rPr>
          <w:lang w:val="en-US"/>
        </w:rPr>
        <w:t xml:space="preserve">GMM </w:t>
      </w:r>
      <w:r w:rsidR="00FB0343" w:rsidRPr="00812E8B">
        <w:rPr>
          <w:lang w:val="en-US"/>
        </w:rPr>
        <w:t xml:space="preserve">estimator the error items are assumed to be independent and </w:t>
      </w:r>
      <w:r w:rsidRPr="00812E8B">
        <w:rPr>
          <w:lang w:val="en-US"/>
        </w:rPr>
        <w:t>homoscedastic</w:t>
      </w:r>
      <w:r w:rsidR="00FB0343" w:rsidRPr="00812E8B">
        <w:rPr>
          <w:lang w:val="en-US"/>
        </w:rPr>
        <w:t xml:space="preserve"> over time and cross-sectional, while in the second step estimator, these assumptions are relaxed and the standard variance-covariance matrix is robust to autocorrelation and </w:t>
      </w:r>
      <w:r w:rsidRPr="00812E8B">
        <w:rPr>
          <w:lang w:val="en-US"/>
        </w:rPr>
        <w:t>heteroscedasticity</w:t>
      </w:r>
      <w:r w:rsidR="00FB0343" w:rsidRPr="00812E8B">
        <w:rPr>
          <w:lang w:val="en-US"/>
        </w:rPr>
        <w:t xml:space="preserve">. In the </w:t>
      </w:r>
      <w:r w:rsidR="00F14CA1" w:rsidRPr="00812E8B">
        <w:rPr>
          <w:lang w:val="en-US"/>
        </w:rPr>
        <w:t>second-step,</w:t>
      </w:r>
      <w:r w:rsidR="00FB0343" w:rsidRPr="00812E8B">
        <w:rPr>
          <w:lang w:val="en-US"/>
        </w:rPr>
        <w:t xml:space="preserve"> the residuals of the first-step are used to construct the standard variance-covariance matrix. </w:t>
      </w:r>
      <w:r w:rsidR="00925388" w:rsidRPr="00812E8B">
        <w:rPr>
          <w:lang w:val="en-US"/>
        </w:rPr>
        <w:t>Simulation studies show that the two-step</w:t>
      </w:r>
      <w:r w:rsidR="00C73C2D" w:rsidRPr="00812E8B">
        <w:rPr>
          <w:lang w:val="en-US"/>
        </w:rPr>
        <w:t xml:space="preserve"> procedure result in a small increase in efficiency while the </w:t>
      </w:r>
      <w:r w:rsidR="00925388" w:rsidRPr="00812E8B">
        <w:rPr>
          <w:lang w:val="en-US"/>
        </w:rPr>
        <w:t xml:space="preserve">standard deviations </w:t>
      </w:r>
      <w:r w:rsidR="00CE72E3" w:rsidRPr="00812E8B">
        <w:rPr>
          <w:lang w:val="en-US"/>
        </w:rPr>
        <w:t xml:space="preserve">can be severely </w:t>
      </w:r>
      <w:r w:rsidR="00925388" w:rsidRPr="00812E8B">
        <w:rPr>
          <w:lang w:val="en-US"/>
        </w:rPr>
        <w:t>downward biased</w:t>
      </w:r>
      <w:r w:rsidR="00CE72E3" w:rsidRPr="00812E8B">
        <w:rPr>
          <w:lang w:val="en-US"/>
        </w:rPr>
        <w:t xml:space="preserve">, especially in </w:t>
      </w:r>
      <w:r w:rsidR="007F5005" w:rsidRPr="00812E8B">
        <w:rPr>
          <w:lang w:val="en-US"/>
        </w:rPr>
        <w:t xml:space="preserve">small and </w:t>
      </w:r>
      <w:r w:rsidR="00CE72E3" w:rsidRPr="00812E8B">
        <w:rPr>
          <w:lang w:val="en-US"/>
        </w:rPr>
        <w:t>finite samples</w:t>
      </w:r>
      <w:r w:rsidR="00925388" w:rsidRPr="00812E8B">
        <w:rPr>
          <w:lang w:val="en-US"/>
        </w:rPr>
        <w:t xml:space="preserve"> </w:t>
      </w:r>
      <w:r w:rsidRPr="00812E8B">
        <w:rPr>
          <w:lang w:val="en-US"/>
        </w:rPr>
        <w:t>(</w:t>
      </w:r>
      <w:r w:rsidRPr="00812E8B">
        <w:rPr>
          <w:color w:val="365F91" w:themeColor="accent1" w:themeShade="BF"/>
          <w:lang w:val="en-US"/>
        </w:rPr>
        <w:t>Baltagi, 2005)</w:t>
      </w:r>
      <w:r w:rsidR="00CE72E3" w:rsidRPr="00812E8B">
        <w:rPr>
          <w:lang w:val="en-US"/>
        </w:rPr>
        <w:t>.</w:t>
      </w:r>
      <w:r w:rsidR="002355F2" w:rsidRPr="00812E8B">
        <w:rPr>
          <w:lang w:val="en-US"/>
        </w:rPr>
        <w:t xml:space="preserve"> However, using the Windmeijer correction will result in robust two-step standard deviations </w:t>
      </w:r>
      <w:r w:rsidRPr="00812E8B">
        <w:rPr>
          <w:color w:val="365F91" w:themeColor="accent1" w:themeShade="BF"/>
          <w:lang w:val="en-US"/>
        </w:rPr>
        <w:t>(Windmeijer, 2005)</w:t>
      </w:r>
      <w:r w:rsidR="007F5005" w:rsidRPr="00812E8B">
        <w:rPr>
          <w:lang w:val="en-US"/>
        </w:rPr>
        <w:t>.</w:t>
      </w:r>
      <w:r w:rsidR="002355F2" w:rsidRPr="00812E8B">
        <w:rPr>
          <w:lang w:val="en-US"/>
        </w:rPr>
        <w:t xml:space="preserve"> Hence, a two-step procedure is adopted. </w:t>
      </w:r>
      <w:r w:rsidR="00F82AB4" w:rsidRPr="00812E8B">
        <w:rPr>
          <w:lang w:val="en-US"/>
        </w:rPr>
        <w:t>M</w:t>
      </w:r>
      <w:r w:rsidR="009C5BA7" w:rsidRPr="00812E8B">
        <w:rPr>
          <w:lang w:val="en-US"/>
        </w:rPr>
        <w:t>oreover,</w:t>
      </w:r>
      <w:r w:rsidR="002355F2" w:rsidRPr="00812E8B">
        <w:rPr>
          <w:lang w:val="en-US"/>
        </w:rPr>
        <w:t xml:space="preserve"> another choice within GMM estimation concerns the </w:t>
      </w:r>
      <w:r w:rsidR="009652C2" w:rsidRPr="00812E8B">
        <w:rPr>
          <w:lang w:val="en-US"/>
        </w:rPr>
        <w:t xml:space="preserve">classification </w:t>
      </w:r>
      <w:r w:rsidR="002355F2" w:rsidRPr="00812E8B">
        <w:rPr>
          <w:lang w:val="en-US"/>
        </w:rPr>
        <w:t xml:space="preserve">of endogenous variables </w:t>
      </w:r>
      <w:r w:rsidR="009652C2" w:rsidRPr="00812E8B">
        <w:rPr>
          <w:lang w:val="en-US"/>
        </w:rPr>
        <w:t xml:space="preserve">and potential predetermined variables. These variables are, </w:t>
      </w:r>
      <w:r w:rsidRPr="00812E8B">
        <w:rPr>
          <w:lang w:val="en-US"/>
        </w:rPr>
        <w:t>similar to t</w:t>
      </w:r>
      <w:r w:rsidR="009652C2" w:rsidRPr="00812E8B">
        <w:rPr>
          <w:lang w:val="en-US"/>
        </w:rPr>
        <w:t xml:space="preserve">he lagged dependent variable, instrumented using their own lags in GMM techniques. Only the </w:t>
      </w:r>
      <w:r w:rsidR="00335EFC" w:rsidRPr="00812E8B">
        <w:rPr>
          <w:lang w:val="en-US"/>
        </w:rPr>
        <w:t>equity-to-asset ratio</w:t>
      </w:r>
      <w:r w:rsidR="00327CF3" w:rsidRPr="00812E8B">
        <w:rPr>
          <w:lang w:val="en-US"/>
        </w:rPr>
        <w:t xml:space="preserve"> </w:t>
      </w:r>
      <w:r w:rsidR="009652C2" w:rsidRPr="00812E8B">
        <w:rPr>
          <w:lang w:val="en-US"/>
        </w:rPr>
        <w:t xml:space="preserve">is treated as </w:t>
      </w:r>
      <w:r w:rsidR="00327CF3" w:rsidRPr="00812E8B">
        <w:rPr>
          <w:lang w:val="en-US"/>
        </w:rPr>
        <w:t>endogenous vari</w:t>
      </w:r>
      <w:r w:rsidR="009C5BA7" w:rsidRPr="00812E8B">
        <w:rPr>
          <w:lang w:val="en-US"/>
        </w:rPr>
        <w:t>a</w:t>
      </w:r>
      <w:r w:rsidR="00327CF3" w:rsidRPr="00812E8B">
        <w:rPr>
          <w:lang w:val="en-US"/>
        </w:rPr>
        <w:t>bles</w:t>
      </w:r>
      <w:r w:rsidR="009652C2" w:rsidRPr="00812E8B">
        <w:rPr>
          <w:lang w:val="en-US"/>
        </w:rPr>
        <w:t xml:space="preserve"> while t</w:t>
      </w:r>
      <w:r w:rsidR="009C5BA7" w:rsidRPr="00812E8B">
        <w:rPr>
          <w:lang w:val="en-US"/>
        </w:rPr>
        <w:t>he following variables are treated as strictly</w:t>
      </w:r>
      <w:r w:rsidR="00F82AB4" w:rsidRPr="00812E8B">
        <w:rPr>
          <w:lang w:val="en-US"/>
        </w:rPr>
        <w:t xml:space="preserve"> exogenous; Herfindahl-</w:t>
      </w:r>
      <w:r w:rsidR="00483DDB">
        <w:rPr>
          <w:lang w:val="en-US"/>
        </w:rPr>
        <w:t>Hi</w:t>
      </w:r>
      <w:r w:rsidR="00F82AB4" w:rsidRPr="00812E8B">
        <w:rPr>
          <w:lang w:val="en-US"/>
        </w:rPr>
        <w:t>rschman index, the own</w:t>
      </w:r>
      <w:r w:rsidR="00AA3770" w:rsidRPr="00812E8B">
        <w:rPr>
          <w:lang w:val="en-US"/>
        </w:rPr>
        <w:t>ership dummies, real GDP growth</w:t>
      </w:r>
      <w:r w:rsidR="00F82AB4" w:rsidRPr="00812E8B">
        <w:rPr>
          <w:lang w:val="en-US"/>
        </w:rPr>
        <w:t xml:space="preserve"> and the </w:t>
      </w:r>
      <w:r w:rsidR="009652C2" w:rsidRPr="00812E8B">
        <w:rPr>
          <w:lang w:val="en-US"/>
        </w:rPr>
        <w:t xml:space="preserve">term structure of interest. All the </w:t>
      </w:r>
      <w:r w:rsidR="00F82AB4" w:rsidRPr="00812E8B">
        <w:rPr>
          <w:lang w:val="en-US"/>
        </w:rPr>
        <w:t>other variables are treated as pre-determined</w:t>
      </w:r>
      <w:r w:rsidR="009652C2" w:rsidRPr="00812E8B">
        <w:rPr>
          <w:lang w:val="en-US"/>
        </w:rPr>
        <w:t xml:space="preserve"> variables. </w:t>
      </w:r>
      <w:r w:rsidR="00F82AB4" w:rsidRPr="00812E8B">
        <w:rPr>
          <w:lang w:val="en-US"/>
        </w:rPr>
        <w:t xml:space="preserve">Both the </w:t>
      </w:r>
      <w:r w:rsidR="006C5E83" w:rsidRPr="00812E8B">
        <w:rPr>
          <w:lang w:val="en-US"/>
        </w:rPr>
        <w:t>endogenous and</w:t>
      </w:r>
      <w:r w:rsidR="00F82AB4" w:rsidRPr="00812E8B">
        <w:rPr>
          <w:lang w:val="en-US"/>
        </w:rPr>
        <w:t xml:space="preserve"> the</w:t>
      </w:r>
      <w:r w:rsidR="006C5E83" w:rsidRPr="00812E8B">
        <w:rPr>
          <w:lang w:val="en-US"/>
        </w:rPr>
        <w:t xml:space="preserve"> pre-determined variables are instrumented usin</w:t>
      </w:r>
      <w:r w:rsidR="00E7625E" w:rsidRPr="00812E8B">
        <w:rPr>
          <w:lang w:val="en-US"/>
        </w:rPr>
        <w:t>g the GMM estimation technique</w:t>
      </w:r>
      <w:r w:rsidR="00451A69" w:rsidRPr="00812E8B">
        <w:rPr>
          <w:lang w:val="en-US"/>
        </w:rPr>
        <w:t xml:space="preserve">. </w:t>
      </w:r>
      <w:r w:rsidR="009652C2" w:rsidRPr="00812E8B">
        <w:rPr>
          <w:lang w:val="en-US"/>
        </w:rPr>
        <w:t>To conclude</w:t>
      </w:r>
      <w:r w:rsidR="00080D3C" w:rsidRPr="00812E8B">
        <w:rPr>
          <w:lang w:val="en-US"/>
        </w:rPr>
        <w:t>, the forward orthogonal deviations approach is used, instead of the deviations approach, to preserve sample size</w:t>
      </w:r>
      <w:r w:rsidR="00AA3770" w:rsidRPr="00812E8B">
        <w:rPr>
          <w:lang w:val="en-US"/>
        </w:rPr>
        <w:t xml:space="preserve"> </w:t>
      </w:r>
      <w:r w:rsidRPr="00812E8B">
        <w:rPr>
          <w:color w:val="365F91" w:themeColor="accent1" w:themeShade="BF"/>
          <w:lang w:val="en-US"/>
        </w:rPr>
        <w:t>(Roodman, 2009)</w:t>
      </w:r>
      <w:r w:rsidR="00080D3C" w:rsidRPr="00812E8B">
        <w:rPr>
          <w:rStyle w:val="EndnoteReference"/>
          <w:lang w:val="en-US"/>
        </w:rPr>
        <w:endnoteReference w:id="14"/>
      </w:r>
      <w:r w:rsidR="00080D3C" w:rsidRPr="00812E8B">
        <w:rPr>
          <w:lang w:val="en-US"/>
        </w:rPr>
        <w:t xml:space="preserve">. </w:t>
      </w:r>
    </w:p>
    <w:p w:rsidR="00390444" w:rsidRPr="00812E8B" w:rsidRDefault="00390444" w:rsidP="00F82AB4">
      <w:pPr>
        <w:pStyle w:val="NoSpacing"/>
        <w:rPr>
          <w:lang w:val="en-US"/>
        </w:rPr>
      </w:pPr>
    </w:p>
    <w:p w:rsidR="00390444" w:rsidRPr="00812E8B" w:rsidRDefault="009652C2" w:rsidP="00390444">
      <w:pPr>
        <w:pStyle w:val="NoSpacing"/>
        <w:spacing w:line="276" w:lineRule="auto"/>
        <w:jc w:val="both"/>
        <w:rPr>
          <w:lang w:val="en-US"/>
        </w:rPr>
      </w:pPr>
      <w:r w:rsidRPr="00812E8B">
        <w:rPr>
          <w:lang w:val="en-US"/>
        </w:rPr>
        <w:t>Summarizing</w:t>
      </w:r>
      <w:r w:rsidR="00925388" w:rsidRPr="00812E8B">
        <w:rPr>
          <w:lang w:val="en-US"/>
        </w:rPr>
        <w:t xml:space="preserve">, regressions are performed using </w:t>
      </w:r>
      <w:r w:rsidR="00E265CA" w:rsidRPr="00812E8B">
        <w:rPr>
          <w:lang w:val="en-US"/>
        </w:rPr>
        <w:t xml:space="preserve">the </w:t>
      </w:r>
      <w:r w:rsidR="007F5005" w:rsidRPr="00812E8B">
        <w:rPr>
          <w:lang w:val="en-US"/>
        </w:rPr>
        <w:t>two</w:t>
      </w:r>
      <w:r w:rsidR="00925388" w:rsidRPr="00812E8B">
        <w:rPr>
          <w:lang w:val="en-US"/>
        </w:rPr>
        <w:t xml:space="preserve">-step </w:t>
      </w:r>
      <w:r w:rsidR="00E265CA" w:rsidRPr="00812E8B">
        <w:rPr>
          <w:lang w:val="en-US"/>
        </w:rPr>
        <w:t xml:space="preserve">System GMM </w:t>
      </w:r>
      <w:r w:rsidR="00925388" w:rsidRPr="00812E8B">
        <w:rPr>
          <w:lang w:val="en-US"/>
        </w:rPr>
        <w:t xml:space="preserve">technique as described in </w:t>
      </w:r>
      <w:r w:rsidR="00F45869" w:rsidRPr="00812E8B">
        <w:rPr>
          <w:color w:val="365F91" w:themeColor="accent1" w:themeShade="BF"/>
          <w:lang w:val="en-US"/>
        </w:rPr>
        <w:t>Arellano and Bover (1995)</w:t>
      </w:r>
      <w:r w:rsidR="00925388" w:rsidRPr="00812E8B">
        <w:rPr>
          <w:color w:val="365F91" w:themeColor="accent1" w:themeShade="BF"/>
          <w:lang w:val="en-US"/>
        </w:rPr>
        <w:t xml:space="preserve">. </w:t>
      </w:r>
      <w:r w:rsidR="00925388" w:rsidRPr="00812E8B">
        <w:rPr>
          <w:lang w:val="en-US"/>
        </w:rPr>
        <w:t xml:space="preserve">The System GMM estimator is preferred over </w:t>
      </w:r>
      <w:r w:rsidR="00080D3C" w:rsidRPr="00812E8B">
        <w:rPr>
          <w:lang w:val="en-US"/>
        </w:rPr>
        <w:t>Difference GMM</w:t>
      </w:r>
      <w:r w:rsidR="00390444" w:rsidRPr="00812E8B">
        <w:rPr>
          <w:lang w:val="en-US"/>
        </w:rPr>
        <w:t xml:space="preserve"> to avoid biased or inefficient results caused by a finite sample and includes time-invariant variables (dummy variables for ownership). The GMM techniques are designed for small T large N samples and do not require any restrictive assumptions on the distribution of the data. In this </w:t>
      </w:r>
      <w:r w:rsidR="007F5005" w:rsidRPr="00812E8B">
        <w:rPr>
          <w:lang w:val="en-US"/>
        </w:rPr>
        <w:t>way,</w:t>
      </w:r>
      <w:r w:rsidR="00390444" w:rsidRPr="00812E8B">
        <w:rPr>
          <w:lang w:val="en-US"/>
        </w:rPr>
        <w:t xml:space="preserve"> the </w:t>
      </w:r>
      <w:r w:rsidR="007F5005" w:rsidRPr="00812E8B">
        <w:rPr>
          <w:lang w:val="en-US"/>
        </w:rPr>
        <w:t xml:space="preserve">System </w:t>
      </w:r>
      <w:r w:rsidR="00390444" w:rsidRPr="00812E8B">
        <w:rPr>
          <w:lang w:val="en-US"/>
        </w:rPr>
        <w:t>GMM technique is also preferred over ordinary least squares regression.</w:t>
      </w:r>
    </w:p>
    <w:p w:rsidR="00390444" w:rsidRPr="00812E8B" w:rsidRDefault="00390444" w:rsidP="00F82AB4">
      <w:pPr>
        <w:pStyle w:val="NoSpacing"/>
        <w:rPr>
          <w:sz w:val="18"/>
          <w:szCs w:val="18"/>
          <w:lang w:val="en-US"/>
        </w:rPr>
      </w:pPr>
    </w:p>
    <w:p w:rsidR="00A31C68" w:rsidRPr="00812E8B" w:rsidRDefault="00A31C68" w:rsidP="005E7325">
      <w:pPr>
        <w:pStyle w:val="Heading3"/>
        <w:rPr>
          <w:color w:val="auto"/>
          <w:lang w:val="en-US"/>
        </w:rPr>
      </w:pPr>
      <w:r w:rsidRPr="00812E8B">
        <w:rPr>
          <w:color w:val="auto"/>
          <w:lang w:val="en-US"/>
        </w:rPr>
        <w:t>5.1.3 E</w:t>
      </w:r>
      <w:r w:rsidR="00937B13" w:rsidRPr="00812E8B">
        <w:rPr>
          <w:color w:val="auto"/>
          <w:sz w:val="19"/>
          <w:szCs w:val="19"/>
          <w:lang w:val="en-US"/>
        </w:rPr>
        <w:t>XAMINING THE INFLUENCE OF THE FINANCIAL CRISIS</w:t>
      </w:r>
    </w:p>
    <w:p w:rsidR="00A31C68" w:rsidRPr="00812E8B" w:rsidRDefault="00FB123B" w:rsidP="004B24A0">
      <w:pPr>
        <w:pStyle w:val="NoSpacing"/>
        <w:spacing w:line="276" w:lineRule="auto"/>
        <w:jc w:val="both"/>
        <w:rPr>
          <w:lang w:val="en-US"/>
        </w:rPr>
      </w:pPr>
      <w:r w:rsidRPr="00812E8B">
        <w:rPr>
          <w:lang w:val="en-US"/>
        </w:rPr>
        <w:t>Besides examining the determinants of banks’ profitability</w:t>
      </w:r>
      <w:r w:rsidR="00F124C7" w:rsidRPr="00812E8B">
        <w:rPr>
          <w:lang w:val="en-US"/>
        </w:rPr>
        <w:t>,</w:t>
      </w:r>
      <w:r w:rsidRPr="00812E8B">
        <w:rPr>
          <w:lang w:val="en-US"/>
        </w:rPr>
        <w:t xml:space="preserve"> </w:t>
      </w:r>
      <w:r w:rsidR="00F124C7" w:rsidRPr="00812E8B">
        <w:rPr>
          <w:lang w:val="en-US"/>
        </w:rPr>
        <w:t>this thesis tests</w:t>
      </w:r>
      <w:r w:rsidR="00C36E14" w:rsidRPr="00812E8B">
        <w:rPr>
          <w:lang w:val="en-US"/>
        </w:rPr>
        <w:t xml:space="preserve"> </w:t>
      </w:r>
      <w:r w:rsidR="0011117C" w:rsidRPr="00812E8B">
        <w:rPr>
          <w:lang w:val="en-US"/>
        </w:rPr>
        <w:t>whether</w:t>
      </w:r>
      <w:r w:rsidR="00C36E14" w:rsidRPr="00812E8B">
        <w:rPr>
          <w:lang w:val="en-US"/>
        </w:rPr>
        <w:t xml:space="preserve"> relationships between banks’ determinants </w:t>
      </w:r>
      <w:r w:rsidRPr="00812E8B">
        <w:rPr>
          <w:lang w:val="en-US"/>
        </w:rPr>
        <w:t xml:space="preserve">have </w:t>
      </w:r>
      <w:r w:rsidR="00C36E14" w:rsidRPr="00812E8B">
        <w:rPr>
          <w:lang w:val="en-US"/>
        </w:rPr>
        <w:t>alte</w:t>
      </w:r>
      <w:r w:rsidRPr="00812E8B">
        <w:rPr>
          <w:lang w:val="en-US"/>
        </w:rPr>
        <w:t>red during the financial crisis. Hence,</w:t>
      </w:r>
      <w:r w:rsidR="00C36E14" w:rsidRPr="00812E8B">
        <w:rPr>
          <w:lang w:val="en-US"/>
        </w:rPr>
        <w:t xml:space="preserve"> the methodology has to be </w:t>
      </w:r>
      <w:r w:rsidRPr="00812E8B">
        <w:rPr>
          <w:lang w:val="en-US"/>
        </w:rPr>
        <w:t xml:space="preserve">adapted in such way that the </w:t>
      </w:r>
      <w:r w:rsidR="00C36E14" w:rsidRPr="00812E8B">
        <w:rPr>
          <w:lang w:val="en-US"/>
        </w:rPr>
        <w:t>s</w:t>
      </w:r>
      <w:r w:rsidRPr="00812E8B">
        <w:rPr>
          <w:lang w:val="en-US"/>
        </w:rPr>
        <w:t>ub research</w:t>
      </w:r>
      <w:r w:rsidR="00C36E14" w:rsidRPr="00812E8B">
        <w:rPr>
          <w:lang w:val="en-US"/>
        </w:rPr>
        <w:t xml:space="preserve"> question</w:t>
      </w:r>
      <w:r w:rsidR="00F124C7" w:rsidRPr="00812E8B">
        <w:rPr>
          <w:lang w:val="en-US"/>
        </w:rPr>
        <w:t xml:space="preserve"> of this thesis </w:t>
      </w:r>
      <w:r w:rsidR="00C36E14" w:rsidRPr="00812E8B">
        <w:rPr>
          <w:lang w:val="en-US"/>
        </w:rPr>
        <w:t xml:space="preserve">is answered. There are two </w:t>
      </w:r>
      <w:r w:rsidR="00C36E14" w:rsidRPr="00812E8B">
        <w:rPr>
          <w:lang w:val="en-US"/>
        </w:rPr>
        <w:lastRenderedPageBreak/>
        <w:t xml:space="preserve">approaches </w:t>
      </w:r>
      <w:r w:rsidRPr="00812E8B">
        <w:rPr>
          <w:lang w:val="en-US"/>
        </w:rPr>
        <w:t xml:space="preserve">to test </w:t>
      </w:r>
      <w:r w:rsidR="0011117C" w:rsidRPr="00812E8B">
        <w:rPr>
          <w:lang w:val="en-US"/>
        </w:rPr>
        <w:t>whether the financial crisis alter</w:t>
      </w:r>
      <w:r w:rsidR="00F124C7" w:rsidRPr="00812E8B">
        <w:rPr>
          <w:lang w:val="en-US"/>
        </w:rPr>
        <w:t>s</w:t>
      </w:r>
      <w:r w:rsidR="0011117C" w:rsidRPr="00812E8B">
        <w:rPr>
          <w:lang w:val="en-US"/>
        </w:rPr>
        <w:t xml:space="preserve"> determinants; </w:t>
      </w:r>
      <w:r w:rsidR="00C36E14" w:rsidRPr="00812E8B">
        <w:rPr>
          <w:lang w:val="en-US"/>
        </w:rPr>
        <w:t xml:space="preserve">the first approach is </w:t>
      </w:r>
      <w:r w:rsidR="00925388" w:rsidRPr="00812E8B">
        <w:rPr>
          <w:lang w:val="en-US"/>
        </w:rPr>
        <w:t xml:space="preserve">the dummy variable approach </w:t>
      </w:r>
      <w:r w:rsidR="00C36E14" w:rsidRPr="00812E8B">
        <w:rPr>
          <w:lang w:val="en-US"/>
        </w:rPr>
        <w:t>and the second appro</w:t>
      </w:r>
      <w:r w:rsidR="00925388" w:rsidRPr="00812E8B">
        <w:rPr>
          <w:lang w:val="en-US"/>
        </w:rPr>
        <w:t>ach is to compare the outcomes of r</w:t>
      </w:r>
      <w:r w:rsidR="00C36E14" w:rsidRPr="00812E8B">
        <w:rPr>
          <w:lang w:val="en-US"/>
        </w:rPr>
        <w:t xml:space="preserve">unning two subsamples. </w:t>
      </w:r>
      <w:r w:rsidR="004B24A0" w:rsidRPr="00812E8B">
        <w:rPr>
          <w:lang w:val="en-US"/>
        </w:rPr>
        <w:t>Us</w:t>
      </w:r>
      <w:r w:rsidR="0011117C" w:rsidRPr="00812E8B">
        <w:rPr>
          <w:lang w:val="en-US"/>
        </w:rPr>
        <w:t xml:space="preserve">ing the dummy approach </w:t>
      </w:r>
      <w:r w:rsidRPr="00812E8B">
        <w:rPr>
          <w:lang w:val="en-US"/>
        </w:rPr>
        <w:t xml:space="preserve">give </w:t>
      </w:r>
      <w:r w:rsidR="0011117C" w:rsidRPr="00812E8B">
        <w:rPr>
          <w:lang w:val="en-US"/>
        </w:rPr>
        <w:t xml:space="preserve">evidence </w:t>
      </w:r>
      <w:r w:rsidR="004B24A0" w:rsidRPr="00812E8B">
        <w:rPr>
          <w:lang w:val="en-US"/>
        </w:rPr>
        <w:t>whether relationships are affected by the finan</w:t>
      </w:r>
      <w:r w:rsidRPr="00812E8B">
        <w:rPr>
          <w:lang w:val="en-US"/>
        </w:rPr>
        <w:t>cial crisis</w:t>
      </w:r>
      <w:r w:rsidR="00925388" w:rsidRPr="00812E8B">
        <w:rPr>
          <w:lang w:val="en-US"/>
        </w:rPr>
        <w:t xml:space="preserve">, presented by a significant dummy variable for the period, but </w:t>
      </w:r>
      <w:r w:rsidRPr="00812E8B">
        <w:rPr>
          <w:lang w:val="en-US"/>
        </w:rPr>
        <w:t>does not reveal how</w:t>
      </w:r>
      <w:r w:rsidR="004B24A0" w:rsidRPr="00812E8B">
        <w:rPr>
          <w:lang w:val="en-US"/>
        </w:rPr>
        <w:t xml:space="preserve"> relationships have altered. Therefore, this analysis divides the sample into two subsamples; 2000-2006 and 2007-2009</w:t>
      </w:r>
      <w:r w:rsidR="00F124C7" w:rsidRPr="00812E8B">
        <w:rPr>
          <w:color w:val="FF0000"/>
          <w:lang w:val="en-US"/>
        </w:rPr>
        <w:t xml:space="preserve"> </w:t>
      </w:r>
      <w:r w:rsidR="00F124C7" w:rsidRPr="00812E8B">
        <w:rPr>
          <w:lang w:val="en-US"/>
        </w:rPr>
        <w:t>to test the sub research question</w:t>
      </w:r>
      <w:r w:rsidR="00A07017" w:rsidRPr="00812E8B">
        <w:rPr>
          <w:lang w:val="en-US"/>
        </w:rPr>
        <w:t xml:space="preserve">, similar to </w:t>
      </w:r>
      <w:r w:rsidR="001B30EB" w:rsidRPr="00812E8B">
        <w:rPr>
          <w:color w:val="365F91" w:themeColor="accent1" w:themeShade="BF"/>
          <w:lang w:val="en-US"/>
        </w:rPr>
        <w:t>Dietrich and Wanzenried (2011)</w:t>
      </w:r>
      <w:r w:rsidR="004B24A0" w:rsidRPr="00812E8B">
        <w:rPr>
          <w:color w:val="FF0000"/>
          <w:lang w:val="en-US"/>
        </w:rPr>
        <w:t>.</w:t>
      </w:r>
      <w:r w:rsidR="004B24A0" w:rsidRPr="00812E8B">
        <w:rPr>
          <w:lang w:val="en-US"/>
        </w:rPr>
        <w:t xml:space="preserve">   </w:t>
      </w:r>
    </w:p>
    <w:p w:rsidR="00903552" w:rsidRPr="00812E8B" w:rsidRDefault="00903552" w:rsidP="00AC4358">
      <w:pPr>
        <w:pStyle w:val="NoSpacing"/>
        <w:rPr>
          <w:lang w:val="en-US"/>
        </w:rPr>
      </w:pPr>
    </w:p>
    <w:p w:rsidR="00A31900" w:rsidRPr="00812E8B" w:rsidRDefault="00A31900" w:rsidP="00A31900">
      <w:pPr>
        <w:pStyle w:val="Heading2"/>
        <w:rPr>
          <w:color w:val="auto"/>
          <w:lang w:val="en-US"/>
        </w:rPr>
      </w:pPr>
      <w:bookmarkStart w:id="31" w:name="_Toc306359650"/>
      <w:r w:rsidRPr="00812E8B">
        <w:rPr>
          <w:color w:val="auto"/>
          <w:lang w:val="en-US"/>
        </w:rPr>
        <w:t>5.2 D</w:t>
      </w:r>
      <w:r w:rsidR="00937B13" w:rsidRPr="00812E8B">
        <w:rPr>
          <w:color w:val="auto"/>
          <w:sz w:val="20"/>
          <w:szCs w:val="20"/>
          <w:lang w:val="en-US"/>
        </w:rPr>
        <w:t>ATA</w:t>
      </w:r>
      <w:bookmarkEnd w:id="31"/>
    </w:p>
    <w:p w:rsidR="00634A7B" w:rsidRPr="00812E8B" w:rsidRDefault="00482FB7" w:rsidP="00482FB7">
      <w:pPr>
        <w:pStyle w:val="NoSpacing"/>
        <w:spacing w:line="276" w:lineRule="auto"/>
        <w:jc w:val="both"/>
        <w:rPr>
          <w:lang w:val="en-US"/>
        </w:rPr>
      </w:pPr>
      <w:r w:rsidRPr="00812E8B">
        <w:rPr>
          <w:lang w:val="en-US"/>
        </w:rPr>
        <w:t>This paragraph describes the collection of the data and the construction of the representative sample of European banks. First</w:t>
      </w:r>
      <w:r w:rsidR="00AA3770" w:rsidRPr="00812E8B">
        <w:rPr>
          <w:lang w:val="en-US"/>
        </w:rPr>
        <w:t>,</w:t>
      </w:r>
      <w:r w:rsidRPr="00812E8B">
        <w:rPr>
          <w:lang w:val="en-US"/>
        </w:rPr>
        <w:t xml:space="preserve"> this paragraph describes the databases that are used to collect the data for the dependent and independent variables. Subsequently, the steps in constructing the sample are reviewed followed by an examination of the descriptive statistics. </w:t>
      </w:r>
    </w:p>
    <w:p w:rsidR="00482FB7" w:rsidRPr="00812E8B" w:rsidRDefault="00482FB7" w:rsidP="00AC4358">
      <w:pPr>
        <w:pStyle w:val="NoSpacing"/>
        <w:rPr>
          <w:lang w:val="en-US"/>
        </w:rPr>
      </w:pPr>
    </w:p>
    <w:p w:rsidR="00634A7B" w:rsidRPr="00812E8B" w:rsidRDefault="00634A7B" w:rsidP="00634A7B">
      <w:pPr>
        <w:pStyle w:val="Heading3"/>
        <w:rPr>
          <w:color w:val="auto"/>
          <w:lang w:val="en-US"/>
        </w:rPr>
      </w:pPr>
      <w:r w:rsidRPr="00812E8B">
        <w:rPr>
          <w:color w:val="auto"/>
          <w:lang w:val="en-US"/>
        </w:rPr>
        <w:t>5.2.1 D</w:t>
      </w:r>
      <w:r w:rsidR="00937B13" w:rsidRPr="00812E8B">
        <w:rPr>
          <w:color w:val="auto"/>
          <w:sz w:val="19"/>
          <w:szCs w:val="19"/>
          <w:lang w:val="en-US"/>
        </w:rPr>
        <w:t>ATA SOURCE</w:t>
      </w:r>
    </w:p>
    <w:p w:rsidR="00634A7B" w:rsidRPr="00812E8B" w:rsidRDefault="00634A7B" w:rsidP="004332CB">
      <w:pPr>
        <w:pStyle w:val="NoSpacing"/>
        <w:spacing w:line="276" w:lineRule="auto"/>
        <w:jc w:val="both"/>
        <w:rPr>
          <w:lang w:val="en-US"/>
        </w:rPr>
      </w:pPr>
      <w:r w:rsidRPr="00812E8B">
        <w:rPr>
          <w:lang w:val="en-US"/>
        </w:rPr>
        <w:t xml:space="preserve">Data for the bank-specific, industry-specific and macroeconomic variables is obtained from different sources. The data for the bank-specific variables is collected from the Bankscope database of Bureau van Dijk and FitchRatings. Bankscope is a comprehensive database containing of information of financial statements, ratings and ownerships forms for over 30,000 banks in the world. The financial information is derived from balance sheets, income statements and notes from the annual reports. Bankscope has up to sixteen years of data available; thereby covering the total sample period. Furthermore, data for the size variable is also obtained from Bankscope. The data for the market concentration variable is obtained from the European Central Bank (ECB) and their yearly study towards the European banking structure in which information on concentration in several national banking sectors is disclosed. The relevant ownership dummy variables are constructed using information in annual reports and </w:t>
      </w:r>
      <w:r w:rsidR="00482FB7" w:rsidRPr="00812E8B">
        <w:rPr>
          <w:lang w:val="en-US"/>
        </w:rPr>
        <w:t>relevant</w:t>
      </w:r>
      <w:r w:rsidRPr="00812E8B">
        <w:rPr>
          <w:lang w:val="en-US"/>
        </w:rPr>
        <w:t xml:space="preserve"> websites</w:t>
      </w:r>
      <w:r w:rsidR="00482FB7" w:rsidRPr="00812E8B">
        <w:rPr>
          <w:lang w:val="en-US"/>
        </w:rPr>
        <w:t xml:space="preserve"> of the banks </w:t>
      </w:r>
      <w:r w:rsidRPr="00812E8B">
        <w:rPr>
          <w:lang w:val="en-US"/>
        </w:rPr>
        <w:t xml:space="preserve">and, if available, from the Bankscope database. Finally, data for macroeconomic-variables is obtained from </w:t>
      </w:r>
      <w:r w:rsidR="004332CB" w:rsidRPr="00812E8B">
        <w:rPr>
          <w:lang w:val="en-US"/>
        </w:rPr>
        <w:t xml:space="preserve">Bankscope, </w:t>
      </w:r>
      <w:r w:rsidRPr="00812E8B">
        <w:rPr>
          <w:lang w:val="en-US"/>
        </w:rPr>
        <w:t xml:space="preserve">the Eurostat database </w:t>
      </w:r>
      <w:r w:rsidR="00AA3770" w:rsidRPr="00812E8B">
        <w:rPr>
          <w:lang w:val="en-US"/>
        </w:rPr>
        <w:t>from</w:t>
      </w:r>
      <w:r w:rsidRPr="00812E8B">
        <w:rPr>
          <w:lang w:val="en-US"/>
        </w:rPr>
        <w:t xml:space="preserve"> the European Commission </w:t>
      </w:r>
      <w:r w:rsidR="00482FB7" w:rsidRPr="00812E8B">
        <w:rPr>
          <w:lang w:val="en-US"/>
        </w:rPr>
        <w:t>and from</w:t>
      </w:r>
      <w:r w:rsidR="004332CB" w:rsidRPr="00812E8B">
        <w:rPr>
          <w:lang w:val="en-US"/>
        </w:rPr>
        <w:t xml:space="preserve"> Bloomberg. The real GDP growth for the relevant countries is disclosed on the Eurostat website while data for the 10-years EURIBOR swap curve and 3-month EURIBOR is found using the Bloomberg tickers EUSA10:IND and </w:t>
      </w:r>
      <w:r w:rsidR="004332CB" w:rsidRPr="00812E8B">
        <w:rPr>
          <w:rStyle w:val="symbol"/>
          <w:lang w:val="en-US"/>
        </w:rPr>
        <w:t xml:space="preserve">EUR003M:IND. </w:t>
      </w:r>
      <w:r w:rsidR="00AA3770" w:rsidRPr="00812E8B">
        <w:rPr>
          <w:rStyle w:val="symbol"/>
          <w:lang w:val="en-US"/>
        </w:rPr>
        <w:t>Finally, d</w:t>
      </w:r>
      <w:r w:rsidR="004332CB" w:rsidRPr="00812E8B">
        <w:rPr>
          <w:rStyle w:val="symbol"/>
          <w:lang w:val="en-US"/>
        </w:rPr>
        <w:t>ata for the effective tax rate is collected from the Bankscope database.</w:t>
      </w:r>
      <w:r w:rsidRPr="00812E8B">
        <w:rPr>
          <w:lang w:val="en-US"/>
        </w:rPr>
        <w:t xml:space="preserve"> </w:t>
      </w:r>
    </w:p>
    <w:p w:rsidR="00634A7B" w:rsidRPr="00812E8B" w:rsidRDefault="00634A7B" w:rsidP="00AC4358">
      <w:pPr>
        <w:pStyle w:val="NoSpacing"/>
        <w:rPr>
          <w:lang w:val="en-US"/>
        </w:rPr>
      </w:pPr>
    </w:p>
    <w:p w:rsidR="00F82AB4" w:rsidRPr="00812E8B" w:rsidRDefault="00F82AB4" w:rsidP="00F82AB4">
      <w:pPr>
        <w:pStyle w:val="Heading3"/>
        <w:rPr>
          <w:color w:val="auto"/>
          <w:lang w:val="en-US"/>
        </w:rPr>
      </w:pPr>
      <w:r w:rsidRPr="00812E8B">
        <w:rPr>
          <w:color w:val="auto"/>
          <w:lang w:val="en-US"/>
        </w:rPr>
        <w:t>5.2.2 S</w:t>
      </w:r>
      <w:r w:rsidR="00937B13" w:rsidRPr="00812E8B">
        <w:rPr>
          <w:color w:val="auto"/>
          <w:sz w:val="19"/>
          <w:szCs w:val="19"/>
          <w:lang w:val="en-US"/>
        </w:rPr>
        <w:t>AMPLE</w:t>
      </w:r>
    </w:p>
    <w:p w:rsidR="00F82AB4" w:rsidRPr="00812E8B" w:rsidRDefault="004332CB" w:rsidP="004332CB">
      <w:pPr>
        <w:pStyle w:val="NoSpacing"/>
        <w:spacing w:line="276" w:lineRule="auto"/>
        <w:jc w:val="both"/>
        <w:rPr>
          <w:lang w:val="en-US"/>
        </w:rPr>
      </w:pPr>
      <w:r w:rsidRPr="00812E8B">
        <w:rPr>
          <w:lang w:val="en-US"/>
        </w:rPr>
        <w:t>The sample of European banks is selected using the Bankscope database. The analysis uses some steps in selecting banks from the database. First, w</w:t>
      </w:r>
      <w:r w:rsidR="00634A7B" w:rsidRPr="00812E8B">
        <w:rPr>
          <w:lang w:val="en-US"/>
        </w:rPr>
        <w:t xml:space="preserve">ithin the European banking sector the following twelve countries are considered; Austria, Belgium, France, Germany, Greece, Italy, Ireland, Luxembourg, Portugal, Spain, the Netherlands and the United Kingdom. Being conscious of the perspective error by not incorporating all countries in Europe this selection is justified due to comparison issues and due to sophistication of the banking sectors. West-European countries differ from East-European countries and Scandinavian countries in terms of regulation and sophistication of the banking sector. To avoid large disturbance errors surrounding the incorporation of very different banking sectors, only the West-European countries are selected. Finally, the sample consists of all member countries of the European Union ultimo 2000, with the exception of Denmark, Finland </w:t>
      </w:r>
      <w:r w:rsidR="00634A7B" w:rsidRPr="00812E8B">
        <w:rPr>
          <w:lang w:val="en-US"/>
        </w:rPr>
        <w:lastRenderedPageBreak/>
        <w:t>and Sweden.</w:t>
      </w:r>
      <w:r w:rsidRPr="00812E8B">
        <w:rPr>
          <w:lang w:val="en-US"/>
        </w:rPr>
        <w:t xml:space="preserve"> The first step in constructing the sample </w:t>
      </w:r>
      <w:r w:rsidR="00F82AB4" w:rsidRPr="00812E8B">
        <w:rPr>
          <w:lang w:val="en-US"/>
        </w:rPr>
        <w:t>giv</w:t>
      </w:r>
      <w:r w:rsidRPr="00812E8B">
        <w:rPr>
          <w:lang w:val="en-US"/>
        </w:rPr>
        <w:t>es</w:t>
      </w:r>
      <w:r w:rsidR="00F82AB4" w:rsidRPr="00812E8B">
        <w:rPr>
          <w:lang w:val="en-US"/>
        </w:rPr>
        <w:t xml:space="preserve"> a total of 10,317 banks. Secondly, all banks that are not included in the world ranking of</w:t>
      </w:r>
      <w:r w:rsidR="00AA3770" w:rsidRPr="00812E8B">
        <w:rPr>
          <w:lang w:val="en-US"/>
        </w:rPr>
        <w:t xml:space="preserve"> largest </w:t>
      </w:r>
      <w:r w:rsidR="00F82AB4" w:rsidRPr="00812E8B">
        <w:rPr>
          <w:lang w:val="en-US"/>
        </w:rPr>
        <w:t xml:space="preserve">banks are deleted. The second step avoids the inclusion of large bancassurers and lease companies in which non-banking activities, such as insurance and leasing activities, plays an important role. Thirdly, the analysis drops the consolidated statements of financial institutions. According to </w:t>
      </w:r>
      <w:r w:rsidR="00F45869" w:rsidRPr="00812E8B">
        <w:rPr>
          <w:color w:val="365F91" w:themeColor="accent1" w:themeShade="BF"/>
          <w:lang w:val="en-US"/>
        </w:rPr>
        <w:t>García-Herrero et al. (2009)</w:t>
      </w:r>
      <w:r w:rsidR="00F82AB4" w:rsidRPr="00812E8B">
        <w:rPr>
          <w:lang w:val="en-US"/>
        </w:rPr>
        <w:t xml:space="preserve"> unconsolidated data is preferred over consolidated data since the latter removes relevant differences in accounts by compensating interrelations between holding companies and subsidiaries. Besides, using unconsolidated removes the problem of double counting of consolidated data in the holding company and unconsolidated data from the subsidiary. This problem of double counting could be substantial given the numerous mergers and acquisitions in the European banking sector over the last decade. Lastly, this thesis only focus on the largest banks in Europe; hence, banks with asset values less than EUR 10 billion are deleted from the sample.</w:t>
      </w:r>
      <w:r w:rsidRPr="00812E8B">
        <w:rPr>
          <w:lang w:val="en-US"/>
        </w:rPr>
        <w:t xml:space="preserve"> Moreover, i</w:t>
      </w:r>
      <w:r w:rsidR="00F82AB4" w:rsidRPr="00812E8B">
        <w:rPr>
          <w:lang w:val="en-US"/>
        </w:rPr>
        <w:t>ncorporating only banks with asset values above EUR 10 billion avoid a bias towards the inclusion of several similar local French and German banks operating under the same brand name</w:t>
      </w:r>
      <w:r w:rsidR="00F82AB4" w:rsidRPr="00812E8B">
        <w:rPr>
          <w:rStyle w:val="EndnoteReference"/>
          <w:lang w:val="en-US"/>
        </w:rPr>
        <w:endnoteReference w:id="15"/>
      </w:r>
      <w:r w:rsidR="00F82AB4" w:rsidRPr="00812E8B">
        <w:rPr>
          <w:lang w:val="en-US"/>
        </w:rPr>
        <w:t xml:space="preserve">. </w:t>
      </w:r>
    </w:p>
    <w:p w:rsidR="00F82AB4" w:rsidRPr="00812E8B" w:rsidRDefault="00F82AB4" w:rsidP="00C468F1">
      <w:pPr>
        <w:pStyle w:val="NoSpacing"/>
        <w:rPr>
          <w:lang w:val="en-US"/>
        </w:rPr>
      </w:pPr>
    </w:p>
    <w:p w:rsidR="00BD4497" w:rsidRPr="00812E8B" w:rsidRDefault="00BD4497" w:rsidP="00BD4497">
      <w:pPr>
        <w:pStyle w:val="Caption"/>
        <w:rPr>
          <w:b w:val="0"/>
          <w:color w:val="auto"/>
          <w:lang w:val="en-US"/>
        </w:rPr>
      </w:pPr>
      <w:bookmarkStart w:id="32" w:name="_Toc305410555"/>
      <w:r w:rsidRPr="00812E8B">
        <w:rPr>
          <w:lang w:val="en-US"/>
        </w:rPr>
        <w:t xml:space="preserve">Table </w:t>
      </w:r>
      <w:r w:rsidR="00D46A7F" w:rsidRPr="00812E8B">
        <w:rPr>
          <w:lang w:val="en-US"/>
        </w:rPr>
        <w:fldChar w:fldCharType="begin"/>
      </w:r>
      <w:r w:rsidR="000B3059" w:rsidRPr="00812E8B">
        <w:rPr>
          <w:lang w:val="en-US"/>
        </w:rPr>
        <w:instrText xml:space="preserve"> SEQ Table \* ARABIC </w:instrText>
      </w:r>
      <w:r w:rsidR="00D46A7F" w:rsidRPr="00812E8B">
        <w:rPr>
          <w:lang w:val="en-US"/>
        </w:rPr>
        <w:fldChar w:fldCharType="separate"/>
      </w:r>
      <w:r w:rsidR="00DD7D45">
        <w:rPr>
          <w:noProof/>
          <w:lang w:val="en-US"/>
        </w:rPr>
        <w:t>3</w:t>
      </w:r>
      <w:r w:rsidR="00D46A7F" w:rsidRPr="00812E8B">
        <w:rPr>
          <w:lang w:val="en-US"/>
        </w:rPr>
        <w:fldChar w:fldCharType="end"/>
      </w:r>
      <w:r w:rsidRPr="00812E8B">
        <w:rPr>
          <w:lang w:val="en-US"/>
        </w:rPr>
        <w:t xml:space="preserve"> </w:t>
      </w:r>
      <w:r w:rsidRPr="00812E8B">
        <w:rPr>
          <w:lang w:val="en-US"/>
        </w:rPr>
        <w:br/>
      </w:r>
      <w:r w:rsidRPr="00812E8B">
        <w:rPr>
          <w:b w:val="0"/>
          <w:color w:val="auto"/>
          <w:lang w:val="en-US"/>
        </w:rPr>
        <w:t>Sample composition and number of bank observations</w:t>
      </w:r>
      <w:bookmarkEnd w:id="32"/>
    </w:p>
    <w:tbl>
      <w:tblPr>
        <w:tblStyle w:val="Lichtearcering1"/>
        <w:tblW w:w="9051" w:type="dxa"/>
        <w:tblInd w:w="18" w:type="dxa"/>
        <w:tblLook w:val="04A0"/>
      </w:tblPr>
      <w:tblGrid>
        <w:gridCol w:w="900"/>
        <w:gridCol w:w="1435"/>
        <w:gridCol w:w="1890"/>
        <w:gridCol w:w="2274"/>
        <w:gridCol w:w="2552"/>
      </w:tblGrid>
      <w:tr w:rsidR="00EE5532" w:rsidRPr="00812E8B" w:rsidTr="008954E3">
        <w:trPr>
          <w:cnfStyle w:val="100000000000"/>
        </w:trPr>
        <w:tc>
          <w:tcPr>
            <w:cnfStyle w:val="001000000000"/>
            <w:tcW w:w="900" w:type="dxa"/>
            <w:shd w:val="clear" w:color="auto" w:fill="auto"/>
          </w:tcPr>
          <w:p w:rsidR="00EE5532" w:rsidRPr="00812E8B" w:rsidRDefault="00EE5532" w:rsidP="00BF0086">
            <w:pPr>
              <w:pStyle w:val="NoSpacing"/>
              <w:spacing w:line="276" w:lineRule="auto"/>
              <w:jc w:val="both"/>
              <w:rPr>
                <w:lang w:val="en-US"/>
              </w:rPr>
            </w:pPr>
          </w:p>
        </w:tc>
        <w:tc>
          <w:tcPr>
            <w:tcW w:w="1435" w:type="dxa"/>
            <w:shd w:val="clear" w:color="auto" w:fill="auto"/>
          </w:tcPr>
          <w:p w:rsidR="00EE5532" w:rsidRPr="00812E8B" w:rsidRDefault="00EE5532" w:rsidP="00BD4497">
            <w:pPr>
              <w:pStyle w:val="NoSpacing"/>
              <w:spacing w:line="276" w:lineRule="auto"/>
              <w:jc w:val="center"/>
              <w:cnfStyle w:val="100000000000"/>
              <w:rPr>
                <w:lang w:val="en-US"/>
              </w:rPr>
            </w:pPr>
            <w:r w:rsidRPr="00812E8B">
              <w:rPr>
                <w:lang w:val="en-US"/>
              </w:rPr>
              <w:t>Total banks</w:t>
            </w:r>
          </w:p>
        </w:tc>
        <w:tc>
          <w:tcPr>
            <w:tcW w:w="1890" w:type="dxa"/>
            <w:shd w:val="clear" w:color="auto" w:fill="auto"/>
          </w:tcPr>
          <w:p w:rsidR="00EE5532" w:rsidRPr="00812E8B" w:rsidRDefault="007F4F81" w:rsidP="007F4F81">
            <w:pPr>
              <w:pStyle w:val="NoSpacing"/>
              <w:spacing w:line="276" w:lineRule="auto"/>
              <w:jc w:val="center"/>
              <w:cnfStyle w:val="100000000000"/>
              <w:rPr>
                <w:lang w:val="en-US"/>
              </w:rPr>
            </w:pPr>
            <w:r w:rsidRPr="00812E8B">
              <w:rPr>
                <w:lang w:val="en-US"/>
              </w:rPr>
              <w:t xml:space="preserve">Listed </w:t>
            </w:r>
            <w:r w:rsidR="00EE5532" w:rsidRPr="00812E8B">
              <w:rPr>
                <w:lang w:val="en-US"/>
              </w:rPr>
              <w:t>banks</w:t>
            </w:r>
          </w:p>
        </w:tc>
        <w:tc>
          <w:tcPr>
            <w:tcW w:w="2274" w:type="dxa"/>
            <w:shd w:val="clear" w:color="auto" w:fill="auto"/>
          </w:tcPr>
          <w:p w:rsidR="00EE5532" w:rsidRPr="00812E8B" w:rsidRDefault="00EE5532" w:rsidP="00EE5532">
            <w:pPr>
              <w:pStyle w:val="NoSpacing"/>
              <w:spacing w:line="276" w:lineRule="auto"/>
              <w:jc w:val="center"/>
              <w:cnfStyle w:val="100000000000"/>
              <w:rPr>
                <w:lang w:val="en-US"/>
              </w:rPr>
            </w:pPr>
            <w:r w:rsidRPr="00812E8B">
              <w:rPr>
                <w:lang w:val="en-US"/>
              </w:rPr>
              <w:t>Co-operative and savings banks</w:t>
            </w:r>
          </w:p>
        </w:tc>
        <w:tc>
          <w:tcPr>
            <w:tcW w:w="2552" w:type="dxa"/>
            <w:shd w:val="clear" w:color="auto" w:fill="auto"/>
          </w:tcPr>
          <w:p w:rsidR="00EE5532" w:rsidRPr="00812E8B" w:rsidRDefault="00EE5532" w:rsidP="00BD4497">
            <w:pPr>
              <w:pStyle w:val="NoSpacing"/>
              <w:spacing w:line="276" w:lineRule="auto"/>
              <w:jc w:val="center"/>
              <w:cnfStyle w:val="100000000000"/>
              <w:rPr>
                <w:lang w:val="en-US"/>
              </w:rPr>
            </w:pPr>
            <w:r w:rsidRPr="00812E8B">
              <w:rPr>
                <w:lang w:val="en-US"/>
              </w:rPr>
              <w:t>Government banks</w:t>
            </w:r>
          </w:p>
        </w:tc>
      </w:tr>
      <w:tr w:rsidR="00EE5532" w:rsidRPr="00812E8B" w:rsidTr="008954E3">
        <w:trPr>
          <w:cnfStyle w:val="000000100000"/>
        </w:trPr>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2000</w:t>
            </w:r>
          </w:p>
        </w:tc>
        <w:tc>
          <w:tcPr>
            <w:tcW w:w="1435" w:type="dxa"/>
            <w:shd w:val="clear" w:color="auto" w:fill="auto"/>
          </w:tcPr>
          <w:p w:rsidR="00EE5532" w:rsidRPr="00812E8B" w:rsidRDefault="00EE5532" w:rsidP="00BD4497">
            <w:pPr>
              <w:pStyle w:val="NoSpacing"/>
              <w:spacing w:line="276" w:lineRule="auto"/>
              <w:jc w:val="center"/>
              <w:cnfStyle w:val="000000100000"/>
              <w:rPr>
                <w:lang w:val="en-US"/>
              </w:rPr>
            </w:pPr>
            <w:r w:rsidRPr="00812E8B">
              <w:rPr>
                <w:lang w:val="en-US"/>
              </w:rPr>
              <w:t>148</w:t>
            </w:r>
          </w:p>
        </w:tc>
        <w:tc>
          <w:tcPr>
            <w:tcW w:w="1890" w:type="dxa"/>
            <w:shd w:val="clear" w:color="auto" w:fill="auto"/>
          </w:tcPr>
          <w:p w:rsidR="00EE5532" w:rsidRPr="00812E8B" w:rsidRDefault="007F4F81" w:rsidP="00BD4497">
            <w:pPr>
              <w:pStyle w:val="NoSpacing"/>
              <w:spacing w:line="276" w:lineRule="auto"/>
              <w:jc w:val="center"/>
              <w:cnfStyle w:val="000000100000"/>
              <w:rPr>
                <w:lang w:val="en-US"/>
              </w:rPr>
            </w:pPr>
            <w:r w:rsidRPr="00812E8B">
              <w:rPr>
                <w:lang w:val="en-US"/>
              </w:rPr>
              <w:t>89</w:t>
            </w:r>
          </w:p>
        </w:tc>
        <w:tc>
          <w:tcPr>
            <w:tcW w:w="2274" w:type="dxa"/>
            <w:shd w:val="clear" w:color="auto" w:fill="auto"/>
          </w:tcPr>
          <w:p w:rsidR="00EE5532" w:rsidRPr="00812E8B" w:rsidRDefault="007F4F81" w:rsidP="00BD4497">
            <w:pPr>
              <w:pStyle w:val="NoSpacing"/>
              <w:spacing w:line="276" w:lineRule="auto"/>
              <w:jc w:val="center"/>
              <w:cnfStyle w:val="000000100000"/>
              <w:rPr>
                <w:lang w:val="en-US"/>
              </w:rPr>
            </w:pPr>
            <w:r w:rsidRPr="00812E8B">
              <w:rPr>
                <w:lang w:val="en-US"/>
              </w:rPr>
              <w:t>49</w:t>
            </w:r>
          </w:p>
        </w:tc>
        <w:tc>
          <w:tcPr>
            <w:tcW w:w="2552" w:type="dxa"/>
            <w:shd w:val="clear" w:color="auto" w:fill="auto"/>
          </w:tcPr>
          <w:p w:rsidR="00EE5532" w:rsidRPr="00812E8B" w:rsidRDefault="007F4F81" w:rsidP="00BD4497">
            <w:pPr>
              <w:pStyle w:val="NoSpacing"/>
              <w:spacing w:line="276" w:lineRule="auto"/>
              <w:jc w:val="center"/>
              <w:cnfStyle w:val="000000100000"/>
              <w:rPr>
                <w:lang w:val="en-US"/>
              </w:rPr>
            </w:pPr>
            <w:r w:rsidRPr="00812E8B">
              <w:rPr>
                <w:lang w:val="en-US"/>
              </w:rPr>
              <w:t>10</w:t>
            </w:r>
          </w:p>
        </w:tc>
      </w:tr>
      <w:tr w:rsidR="00EE5532" w:rsidRPr="00812E8B" w:rsidTr="008954E3">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2001</w:t>
            </w:r>
          </w:p>
        </w:tc>
        <w:tc>
          <w:tcPr>
            <w:tcW w:w="1435" w:type="dxa"/>
            <w:shd w:val="clear" w:color="auto" w:fill="auto"/>
          </w:tcPr>
          <w:p w:rsidR="00EE5532" w:rsidRPr="00812E8B" w:rsidRDefault="007F4F81" w:rsidP="007F4F81">
            <w:pPr>
              <w:pStyle w:val="NoSpacing"/>
              <w:spacing w:line="276" w:lineRule="auto"/>
              <w:jc w:val="center"/>
              <w:cnfStyle w:val="000000000000"/>
              <w:rPr>
                <w:lang w:val="en-US"/>
              </w:rPr>
            </w:pPr>
            <w:r w:rsidRPr="00812E8B">
              <w:rPr>
                <w:lang w:val="en-US"/>
              </w:rPr>
              <w:t>160</w:t>
            </w:r>
          </w:p>
        </w:tc>
        <w:tc>
          <w:tcPr>
            <w:tcW w:w="1890" w:type="dxa"/>
            <w:shd w:val="clear" w:color="auto" w:fill="auto"/>
          </w:tcPr>
          <w:p w:rsidR="00EE5532" w:rsidRPr="00812E8B" w:rsidRDefault="007F4F81" w:rsidP="00BD4497">
            <w:pPr>
              <w:pStyle w:val="NoSpacing"/>
              <w:spacing w:line="276" w:lineRule="auto"/>
              <w:jc w:val="center"/>
              <w:cnfStyle w:val="000000000000"/>
              <w:rPr>
                <w:lang w:val="en-US"/>
              </w:rPr>
            </w:pPr>
            <w:r w:rsidRPr="00812E8B">
              <w:rPr>
                <w:lang w:val="en-US"/>
              </w:rPr>
              <w:t>93</w:t>
            </w:r>
          </w:p>
        </w:tc>
        <w:tc>
          <w:tcPr>
            <w:tcW w:w="2274" w:type="dxa"/>
            <w:shd w:val="clear" w:color="auto" w:fill="auto"/>
          </w:tcPr>
          <w:p w:rsidR="00EE5532" w:rsidRPr="00812E8B" w:rsidRDefault="007F4F81" w:rsidP="00BD4497">
            <w:pPr>
              <w:pStyle w:val="NoSpacing"/>
              <w:spacing w:line="276" w:lineRule="auto"/>
              <w:jc w:val="center"/>
              <w:cnfStyle w:val="000000000000"/>
              <w:rPr>
                <w:lang w:val="en-US"/>
              </w:rPr>
            </w:pPr>
            <w:r w:rsidRPr="00812E8B">
              <w:rPr>
                <w:lang w:val="en-US"/>
              </w:rPr>
              <w:t>57</w:t>
            </w:r>
          </w:p>
        </w:tc>
        <w:tc>
          <w:tcPr>
            <w:tcW w:w="2552" w:type="dxa"/>
            <w:shd w:val="clear" w:color="auto" w:fill="auto"/>
          </w:tcPr>
          <w:p w:rsidR="00EE5532" w:rsidRPr="00812E8B" w:rsidRDefault="007F4F81" w:rsidP="00BD4497">
            <w:pPr>
              <w:pStyle w:val="NoSpacing"/>
              <w:spacing w:line="276" w:lineRule="auto"/>
              <w:jc w:val="center"/>
              <w:cnfStyle w:val="000000000000"/>
              <w:rPr>
                <w:lang w:val="en-US"/>
              </w:rPr>
            </w:pPr>
            <w:r w:rsidRPr="00812E8B">
              <w:rPr>
                <w:lang w:val="en-US"/>
              </w:rPr>
              <w:t>10</w:t>
            </w:r>
          </w:p>
        </w:tc>
      </w:tr>
      <w:tr w:rsidR="00EE5532" w:rsidRPr="00812E8B" w:rsidTr="008954E3">
        <w:trPr>
          <w:cnfStyle w:val="000000100000"/>
        </w:trPr>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2002</w:t>
            </w:r>
          </w:p>
        </w:tc>
        <w:tc>
          <w:tcPr>
            <w:tcW w:w="1435" w:type="dxa"/>
            <w:shd w:val="clear" w:color="auto" w:fill="auto"/>
          </w:tcPr>
          <w:p w:rsidR="00EE5532" w:rsidRPr="00812E8B" w:rsidRDefault="007F4F81" w:rsidP="00BD4497">
            <w:pPr>
              <w:pStyle w:val="NoSpacing"/>
              <w:spacing w:line="276" w:lineRule="auto"/>
              <w:jc w:val="center"/>
              <w:cnfStyle w:val="000000100000"/>
              <w:rPr>
                <w:lang w:val="en-US"/>
              </w:rPr>
            </w:pPr>
            <w:r w:rsidRPr="00812E8B">
              <w:rPr>
                <w:lang w:val="en-US"/>
              </w:rPr>
              <w:t>166</w:t>
            </w:r>
          </w:p>
        </w:tc>
        <w:tc>
          <w:tcPr>
            <w:tcW w:w="1890" w:type="dxa"/>
            <w:shd w:val="clear" w:color="auto" w:fill="auto"/>
          </w:tcPr>
          <w:p w:rsidR="00EE5532" w:rsidRPr="00812E8B" w:rsidRDefault="007F4F81" w:rsidP="00BD4497">
            <w:pPr>
              <w:pStyle w:val="NoSpacing"/>
              <w:spacing w:line="276" w:lineRule="auto"/>
              <w:jc w:val="center"/>
              <w:cnfStyle w:val="000000100000"/>
              <w:rPr>
                <w:lang w:val="en-US"/>
              </w:rPr>
            </w:pPr>
            <w:r w:rsidRPr="00812E8B">
              <w:rPr>
                <w:lang w:val="en-US"/>
              </w:rPr>
              <w:t>94</w:t>
            </w:r>
          </w:p>
        </w:tc>
        <w:tc>
          <w:tcPr>
            <w:tcW w:w="2274" w:type="dxa"/>
            <w:shd w:val="clear" w:color="auto" w:fill="auto"/>
          </w:tcPr>
          <w:p w:rsidR="00EE5532" w:rsidRPr="00812E8B" w:rsidRDefault="007F4F81" w:rsidP="00BD4497">
            <w:pPr>
              <w:pStyle w:val="NoSpacing"/>
              <w:spacing w:line="276" w:lineRule="auto"/>
              <w:jc w:val="center"/>
              <w:cnfStyle w:val="000000100000"/>
              <w:rPr>
                <w:lang w:val="en-US"/>
              </w:rPr>
            </w:pPr>
            <w:r w:rsidRPr="00812E8B">
              <w:rPr>
                <w:lang w:val="en-US"/>
              </w:rPr>
              <w:t>60</w:t>
            </w:r>
          </w:p>
        </w:tc>
        <w:tc>
          <w:tcPr>
            <w:tcW w:w="2552" w:type="dxa"/>
            <w:shd w:val="clear" w:color="auto" w:fill="auto"/>
          </w:tcPr>
          <w:p w:rsidR="00EE5532" w:rsidRPr="00812E8B" w:rsidRDefault="007F4F81" w:rsidP="00BD4497">
            <w:pPr>
              <w:pStyle w:val="NoSpacing"/>
              <w:spacing w:line="276" w:lineRule="auto"/>
              <w:jc w:val="center"/>
              <w:cnfStyle w:val="000000100000"/>
              <w:rPr>
                <w:lang w:val="en-US"/>
              </w:rPr>
            </w:pPr>
            <w:r w:rsidRPr="00812E8B">
              <w:rPr>
                <w:lang w:val="en-US"/>
              </w:rPr>
              <w:t>12</w:t>
            </w:r>
          </w:p>
        </w:tc>
      </w:tr>
      <w:tr w:rsidR="00EE5532" w:rsidRPr="00812E8B" w:rsidTr="008954E3">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2003</w:t>
            </w:r>
          </w:p>
        </w:tc>
        <w:tc>
          <w:tcPr>
            <w:tcW w:w="1435" w:type="dxa"/>
            <w:shd w:val="clear" w:color="auto" w:fill="auto"/>
          </w:tcPr>
          <w:p w:rsidR="00EE5532" w:rsidRPr="00812E8B" w:rsidRDefault="00EE5532" w:rsidP="008F5EB8">
            <w:pPr>
              <w:pStyle w:val="NoSpacing"/>
              <w:spacing w:line="276" w:lineRule="auto"/>
              <w:jc w:val="center"/>
              <w:cnfStyle w:val="000000000000"/>
              <w:rPr>
                <w:lang w:val="en-US"/>
              </w:rPr>
            </w:pPr>
            <w:r w:rsidRPr="00812E8B">
              <w:rPr>
                <w:lang w:val="en-US"/>
              </w:rPr>
              <w:t>18</w:t>
            </w:r>
            <w:r w:rsidR="008F5EB8" w:rsidRPr="00812E8B">
              <w:rPr>
                <w:lang w:val="en-US"/>
              </w:rPr>
              <w:t>6</w:t>
            </w:r>
          </w:p>
        </w:tc>
        <w:tc>
          <w:tcPr>
            <w:tcW w:w="1890" w:type="dxa"/>
            <w:shd w:val="clear" w:color="auto" w:fill="auto"/>
          </w:tcPr>
          <w:p w:rsidR="00EE5532" w:rsidRPr="00812E8B" w:rsidRDefault="007F4F81" w:rsidP="00BD4497">
            <w:pPr>
              <w:pStyle w:val="NoSpacing"/>
              <w:spacing w:line="276" w:lineRule="auto"/>
              <w:jc w:val="center"/>
              <w:cnfStyle w:val="000000000000"/>
              <w:rPr>
                <w:lang w:val="en-US"/>
              </w:rPr>
            </w:pPr>
            <w:r w:rsidRPr="00812E8B">
              <w:rPr>
                <w:lang w:val="en-US"/>
              </w:rPr>
              <w:t>1</w:t>
            </w:r>
            <w:r w:rsidR="008F5EB8" w:rsidRPr="00812E8B">
              <w:rPr>
                <w:lang w:val="en-US"/>
              </w:rPr>
              <w:t>05</w:t>
            </w:r>
          </w:p>
        </w:tc>
        <w:tc>
          <w:tcPr>
            <w:tcW w:w="2274" w:type="dxa"/>
            <w:shd w:val="clear" w:color="auto" w:fill="auto"/>
          </w:tcPr>
          <w:p w:rsidR="00EE5532" w:rsidRPr="00812E8B" w:rsidRDefault="007F4F81" w:rsidP="00BD4497">
            <w:pPr>
              <w:pStyle w:val="NoSpacing"/>
              <w:spacing w:line="276" w:lineRule="auto"/>
              <w:jc w:val="center"/>
              <w:cnfStyle w:val="000000000000"/>
              <w:rPr>
                <w:lang w:val="en-US"/>
              </w:rPr>
            </w:pPr>
            <w:r w:rsidRPr="00812E8B">
              <w:rPr>
                <w:lang w:val="en-US"/>
              </w:rPr>
              <w:t>67</w:t>
            </w:r>
          </w:p>
        </w:tc>
        <w:tc>
          <w:tcPr>
            <w:tcW w:w="2552" w:type="dxa"/>
            <w:shd w:val="clear" w:color="auto" w:fill="auto"/>
          </w:tcPr>
          <w:p w:rsidR="00EE5532" w:rsidRPr="00812E8B" w:rsidRDefault="007F4F81" w:rsidP="00BD4497">
            <w:pPr>
              <w:pStyle w:val="NoSpacing"/>
              <w:spacing w:line="276" w:lineRule="auto"/>
              <w:jc w:val="center"/>
              <w:cnfStyle w:val="000000000000"/>
              <w:rPr>
                <w:lang w:val="en-US"/>
              </w:rPr>
            </w:pPr>
            <w:r w:rsidRPr="00812E8B">
              <w:rPr>
                <w:lang w:val="en-US"/>
              </w:rPr>
              <w:t>14</w:t>
            </w:r>
          </w:p>
        </w:tc>
      </w:tr>
      <w:tr w:rsidR="00EE5532" w:rsidRPr="00812E8B" w:rsidTr="008954E3">
        <w:trPr>
          <w:cnfStyle w:val="000000100000"/>
        </w:trPr>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2004</w:t>
            </w:r>
          </w:p>
        </w:tc>
        <w:tc>
          <w:tcPr>
            <w:tcW w:w="1435"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210</w:t>
            </w:r>
          </w:p>
        </w:tc>
        <w:tc>
          <w:tcPr>
            <w:tcW w:w="1890"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115</w:t>
            </w:r>
          </w:p>
        </w:tc>
        <w:tc>
          <w:tcPr>
            <w:tcW w:w="2274"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79</w:t>
            </w:r>
          </w:p>
        </w:tc>
        <w:tc>
          <w:tcPr>
            <w:tcW w:w="2552"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16</w:t>
            </w:r>
          </w:p>
        </w:tc>
      </w:tr>
      <w:tr w:rsidR="00EE5532" w:rsidRPr="00812E8B" w:rsidTr="008954E3">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2005</w:t>
            </w:r>
          </w:p>
        </w:tc>
        <w:tc>
          <w:tcPr>
            <w:tcW w:w="1435"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232</w:t>
            </w:r>
          </w:p>
        </w:tc>
        <w:tc>
          <w:tcPr>
            <w:tcW w:w="1890"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129</w:t>
            </w:r>
          </w:p>
        </w:tc>
        <w:tc>
          <w:tcPr>
            <w:tcW w:w="2274"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85</w:t>
            </w:r>
          </w:p>
        </w:tc>
        <w:tc>
          <w:tcPr>
            <w:tcW w:w="2552"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18</w:t>
            </w:r>
          </w:p>
        </w:tc>
      </w:tr>
      <w:tr w:rsidR="00EE5532" w:rsidRPr="00812E8B" w:rsidTr="008954E3">
        <w:trPr>
          <w:cnfStyle w:val="000000100000"/>
        </w:trPr>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2006</w:t>
            </w:r>
          </w:p>
        </w:tc>
        <w:tc>
          <w:tcPr>
            <w:tcW w:w="1435"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247</w:t>
            </w:r>
          </w:p>
        </w:tc>
        <w:tc>
          <w:tcPr>
            <w:tcW w:w="1890"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136</w:t>
            </w:r>
          </w:p>
        </w:tc>
        <w:tc>
          <w:tcPr>
            <w:tcW w:w="2274"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91</w:t>
            </w:r>
          </w:p>
        </w:tc>
        <w:tc>
          <w:tcPr>
            <w:tcW w:w="2552"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20</w:t>
            </w:r>
          </w:p>
        </w:tc>
      </w:tr>
      <w:tr w:rsidR="00EE5532" w:rsidRPr="00812E8B" w:rsidTr="008954E3">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2007</w:t>
            </w:r>
          </w:p>
        </w:tc>
        <w:tc>
          <w:tcPr>
            <w:tcW w:w="1435"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2</w:t>
            </w:r>
            <w:r w:rsidR="00EE5532" w:rsidRPr="00812E8B">
              <w:rPr>
                <w:lang w:val="en-US"/>
              </w:rPr>
              <w:t>77</w:t>
            </w:r>
          </w:p>
        </w:tc>
        <w:tc>
          <w:tcPr>
            <w:tcW w:w="1890"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139</w:t>
            </w:r>
          </w:p>
        </w:tc>
        <w:tc>
          <w:tcPr>
            <w:tcW w:w="2274"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116</w:t>
            </w:r>
          </w:p>
        </w:tc>
        <w:tc>
          <w:tcPr>
            <w:tcW w:w="2552"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22</w:t>
            </w:r>
          </w:p>
        </w:tc>
      </w:tr>
      <w:tr w:rsidR="00EE5532" w:rsidRPr="00812E8B" w:rsidTr="008954E3">
        <w:trPr>
          <w:cnfStyle w:val="000000100000"/>
        </w:trPr>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2008</w:t>
            </w:r>
          </w:p>
        </w:tc>
        <w:tc>
          <w:tcPr>
            <w:tcW w:w="1435"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304</w:t>
            </w:r>
          </w:p>
        </w:tc>
        <w:tc>
          <w:tcPr>
            <w:tcW w:w="1890"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145</w:t>
            </w:r>
          </w:p>
        </w:tc>
        <w:tc>
          <w:tcPr>
            <w:tcW w:w="2274"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136</w:t>
            </w:r>
          </w:p>
        </w:tc>
        <w:tc>
          <w:tcPr>
            <w:tcW w:w="2552" w:type="dxa"/>
            <w:shd w:val="clear" w:color="auto" w:fill="auto"/>
          </w:tcPr>
          <w:p w:rsidR="00EE5532" w:rsidRPr="00812E8B" w:rsidRDefault="008F5EB8" w:rsidP="00BD4497">
            <w:pPr>
              <w:pStyle w:val="NoSpacing"/>
              <w:spacing w:line="276" w:lineRule="auto"/>
              <w:jc w:val="center"/>
              <w:cnfStyle w:val="000000100000"/>
              <w:rPr>
                <w:lang w:val="en-US"/>
              </w:rPr>
            </w:pPr>
            <w:r w:rsidRPr="00812E8B">
              <w:rPr>
                <w:lang w:val="en-US"/>
              </w:rPr>
              <w:t>23</w:t>
            </w:r>
          </w:p>
        </w:tc>
      </w:tr>
      <w:tr w:rsidR="00EE5532" w:rsidRPr="00812E8B" w:rsidTr="008954E3">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2009</w:t>
            </w:r>
          </w:p>
        </w:tc>
        <w:tc>
          <w:tcPr>
            <w:tcW w:w="1435"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296</w:t>
            </w:r>
          </w:p>
        </w:tc>
        <w:tc>
          <w:tcPr>
            <w:tcW w:w="1890"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136</w:t>
            </w:r>
          </w:p>
        </w:tc>
        <w:tc>
          <w:tcPr>
            <w:tcW w:w="2274"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140</w:t>
            </w:r>
          </w:p>
        </w:tc>
        <w:tc>
          <w:tcPr>
            <w:tcW w:w="2552" w:type="dxa"/>
            <w:shd w:val="clear" w:color="auto" w:fill="auto"/>
          </w:tcPr>
          <w:p w:rsidR="00EE5532" w:rsidRPr="00812E8B" w:rsidRDefault="008F5EB8" w:rsidP="00BD4497">
            <w:pPr>
              <w:pStyle w:val="NoSpacing"/>
              <w:spacing w:line="276" w:lineRule="auto"/>
              <w:jc w:val="center"/>
              <w:cnfStyle w:val="000000000000"/>
              <w:rPr>
                <w:lang w:val="en-US"/>
              </w:rPr>
            </w:pPr>
            <w:r w:rsidRPr="00812E8B">
              <w:rPr>
                <w:lang w:val="en-US"/>
              </w:rPr>
              <w:t>20</w:t>
            </w:r>
          </w:p>
        </w:tc>
      </w:tr>
      <w:tr w:rsidR="00EE5532" w:rsidRPr="00812E8B" w:rsidTr="008954E3">
        <w:trPr>
          <w:cnfStyle w:val="000000100000"/>
        </w:trPr>
        <w:tc>
          <w:tcPr>
            <w:cnfStyle w:val="001000000000"/>
            <w:tcW w:w="900" w:type="dxa"/>
            <w:shd w:val="clear" w:color="auto" w:fill="auto"/>
          </w:tcPr>
          <w:p w:rsidR="00EE5532" w:rsidRPr="00812E8B" w:rsidRDefault="00EE5532" w:rsidP="00BF0086">
            <w:pPr>
              <w:pStyle w:val="NoSpacing"/>
              <w:spacing w:line="276" w:lineRule="auto"/>
              <w:jc w:val="both"/>
              <w:rPr>
                <w:lang w:val="en-US"/>
              </w:rPr>
            </w:pPr>
            <w:r w:rsidRPr="00812E8B">
              <w:rPr>
                <w:lang w:val="en-US"/>
              </w:rPr>
              <w:t>Period</w:t>
            </w:r>
          </w:p>
        </w:tc>
        <w:tc>
          <w:tcPr>
            <w:tcW w:w="1435" w:type="dxa"/>
            <w:shd w:val="clear" w:color="auto" w:fill="auto"/>
          </w:tcPr>
          <w:p w:rsidR="00EE5532" w:rsidRPr="00812E8B" w:rsidRDefault="008F5EB8" w:rsidP="00FE68E7">
            <w:pPr>
              <w:pStyle w:val="NoSpacing"/>
              <w:spacing w:line="276" w:lineRule="auto"/>
              <w:jc w:val="center"/>
              <w:cnfStyle w:val="000000100000"/>
              <w:rPr>
                <w:lang w:val="en-US"/>
              </w:rPr>
            </w:pPr>
            <w:r w:rsidRPr="00812E8B">
              <w:rPr>
                <w:lang w:val="en-US"/>
              </w:rPr>
              <w:t>2,</w:t>
            </w:r>
            <w:r w:rsidR="00FE68E7" w:rsidRPr="00812E8B">
              <w:rPr>
                <w:lang w:val="en-US"/>
              </w:rPr>
              <w:t>226</w:t>
            </w:r>
          </w:p>
        </w:tc>
        <w:tc>
          <w:tcPr>
            <w:tcW w:w="1890" w:type="dxa"/>
            <w:shd w:val="clear" w:color="auto" w:fill="auto"/>
          </w:tcPr>
          <w:p w:rsidR="00EE5532" w:rsidRPr="00812E8B" w:rsidRDefault="008F5EB8" w:rsidP="00FE68E7">
            <w:pPr>
              <w:pStyle w:val="NoSpacing"/>
              <w:spacing w:line="276" w:lineRule="auto"/>
              <w:jc w:val="center"/>
              <w:cnfStyle w:val="000000100000"/>
              <w:rPr>
                <w:lang w:val="en-US"/>
              </w:rPr>
            </w:pPr>
            <w:r w:rsidRPr="00812E8B">
              <w:rPr>
                <w:lang w:val="en-US"/>
              </w:rPr>
              <w:t>1</w:t>
            </w:r>
            <w:r w:rsidR="00FE68E7" w:rsidRPr="00812E8B">
              <w:rPr>
                <w:lang w:val="en-US"/>
              </w:rPr>
              <w:t>,181</w:t>
            </w:r>
          </w:p>
        </w:tc>
        <w:tc>
          <w:tcPr>
            <w:tcW w:w="2274" w:type="dxa"/>
            <w:shd w:val="clear" w:color="auto" w:fill="auto"/>
          </w:tcPr>
          <w:p w:rsidR="00EE5532" w:rsidRPr="00812E8B" w:rsidRDefault="00FE68E7" w:rsidP="00BD4497">
            <w:pPr>
              <w:pStyle w:val="NoSpacing"/>
              <w:spacing w:line="276" w:lineRule="auto"/>
              <w:jc w:val="center"/>
              <w:cnfStyle w:val="000000100000"/>
              <w:rPr>
                <w:lang w:val="en-US"/>
              </w:rPr>
            </w:pPr>
            <w:r w:rsidRPr="00812E8B">
              <w:rPr>
                <w:lang w:val="en-US"/>
              </w:rPr>
              <w:t>880</w:t>
            </w:r>
          </w:p>
        </w:tc>
        <w:tc>
          <w:tcPr>
            <w:tcW w:w="2552" w:type="dxa"/>
            <w:shd w:val="clear" w:color="auto" w:fill="auto"/>
          </w:tcPr>
          <w:p w:rsidR="00EE5532" w:rsidRPr="00812E8B" w:rsidRDefault="008F5EB8" w:rsidP="00FE68E7">
            <w:pPr>
              <w:pStyle w:val="NoSpacing"/>
              <w:spacing w:line="276" w:lineRule="auto"/>
              <w:jc w:val="center"/>
              <w:cnfStyle w:val="000000100000"/>
              <w:rPr>
                <w:lang w:val="en-US"/>
              </w:rPr>
            </w:pPr>
            <w:r w:rsidRPr="00812E8B">
              <w:rPr>
                <w:lang w:val="en-US"/>
              </w:rPr>
              <w:t>1</w:t>
            </w:r>
            <w:r w:rsidR="00FE68E7" w:rsidRPr="00812E8B">
              <w:rPr>
                <w:lang w:val="en-US"/>
              </w:rPr>
              <w:t>6</w:t>
            </w:r>
            <w:r w:rsidRPr="00812E8B">
              <w:rPr>
                <w:lang w:val="en-US"/>
              </w:rPr>
              <w:t>5</w:t>
            </w:r>
          </w:p>
        </w:tc>
      </w:tr>
    </w:tbl>
    <w:p w:rsidR="00F82AB4" w:rsidRPr="00812E8B" w:rsidRDefault="00F82AB4" w:rsidP="00EE6591">
      <w:pPr>
        <w:pStyle w:val="NoSpacing"/>
        <w:spacing w:line="276" w:lineRule="auto"/>
        <w:jc w:val="both"/>
        <w:rPr>
          <w:lang w:val="en-US"/>
        </w:rPr>
      </w:pPr>
    </w:p>
    <w:p w:rsidR="00EE6591" w:rsidRPr="00812E8B" w:rsidRDefault="00EE6591" w:rsidP="00EE6591">
      <w:pPr>
        <w:pStyle w:val="NoSpacing"/>
        <w:spacing w:line="276" w:lineRule="auto"/>
        <w:jc w:val="both"/>
        <w:rPr>
          <w:color w:val="FF0000"/>
          <w:lang w:val="en-US"/>
        </w:rPr>
      </w:pPr>
      <w:r w:rsidRPr="00812E8B">
        <w:rPr>
          <w:lang w:val="en-US"/>
        </w:rPr>
        <w:t>Ultimately, the sample is an unbalanced panel dataset consisting of 3</w:t>
      </w:r>
      <w:r w:rsidR="00FE68E7" w:rsidRPr="00812E8B">
        <w:rPr>
          <w:lang w:val="en-US"/>
        </w:rPr>
        <w:t>54</w:t>
      </w:r>
      <w:r w:rsidRPr="00812E8B">
        <w:rPr>
          <w:lang w:val="en-US"/>
        </w:rPr>
        <w:t xml:space="preserve"> European banks and </w:t>
      </w:r>
      <w:r w:rsidR="008F5EB8" w:rsidRPr="00812E8B">
        <w:rPr>
          <w:lang w:val="en-US"/>
        </w:rPr>
        <w:t>2</w:t>
      </w:r>
      <w:r w:rsidR="00F9401E" w:rsidRPr="00812E8B">
        <w:rPr>
          <w:lang w:val="en-US"/>
        </w:rPr>
        <w:t>,</w:t>
      </w:r>
      <w:r w:rsidR="00FE68E7" w:rsidRPr="00812E8B">
        <w:rPr>
          <w:lang w:val="en-US"/>
        </w:rPr>
        <w:t>226</w:t>
      </w:r>
      <w:r w:rsidRPr="00812E8B">
        <w:rPr>
          <w:lang w:val="en-US"/>
        </w:rPr>
        <w:t xml:space="preserve"> bank-observations for the period between 2000 and 20</w:t>
      </w:r>
      <w:r w:rsidR="002246F8" w:rsidRPr="00812E8B">
        <w:rPr>
          <w:lang w:val="en-US"/>
        </w:rPr>
        <w:t>09</w:t>
      </w:r>
      <w:r w:rsidRPr="00812E8B">
        <w:rPr>
          <w:lang w:val="en-US"/>
        </w:rPr>
        <w:t xml:space="preserve">. From the total sample, several banks do not have information for the whole sample period or for all variables included in the model due to mergers and acquisitions or due to a closing of banks. </w:t>
      </w:r>
      <w:r w:rsidR="004332CB" w:rsidRPr="00812E8B">
        <w:rPr>
          <w:lang w:val="en-US"/>
        </w:rPr>
        <w:t xml:space="preserve">This thesis opt for </w:t>
      </w:r>
      <w:r w:rsidRPr="00812E8B">
        <w:rPr>
          <w:lang w:val="en-US"/>
        </w:rPr>
        <w:t>an unbalanced panel</w:t>
      </w:r>
      <w:r w:rsidR="004332CB" w:rsidRPr="00812E8B">
        <w:rPr>
          <w:lang w:val="en-US"/>
        </w:rPr>
        <w:t xml:space="preserve"> to avoid a selection bias; using a unbalanced panel incorporates </w:t>
      </w:r>
      <w:r w:rsidRPr="00812E8B">
        <w:rPr>
          <w:lang w:val="en-US"/>
        </w:rPr>
        <w:t>closed and merged banks</w:t>
      </w:r>
      <w:r w:rsidR="004332CB" w:rsidRPr="00812E8B">
        <w:rPr>
          <w:lang w:val="en-US"/>
        </w:rPr>
        <w:t xml:space="preserve"> that are otherwise not taken into account.</w:t>
      </w:r>
    </w:p>
    <w:p w:rsidR="00EE6591" w:rsidRPr="00812E8B" w:rsidRDefault="00EE6591" w:rsidP="00AC4358">
      <w:pPr>
        <w:pStyle w:val="NoSpacing"/>
        <w:rPr>
          <w:lang w:val="en-US"/>
        </w:rPr>
      </w:pPr>
    </w:p>
    <w:p w:rsidR="00634A7B" w:rsidRPr="00812E8B" w:rsidRDefault="00634A7B" w:rsidP="00634A7B">
      <w:pPr>
        <w:pStyle w:val="Heading2"/>
        <w:jc w:val="both"/>
        <w:rPr>
          <w:color w:val="auto"/>
          <w:lang w:val="en-US"/>
        </w:rPr>
      </w:pPr>
      <w:bookmarkStart w:id="33" w:name="_Toc306359651"/>
      <w:r w:rsidRPr="00812E8B">
        <w:rPr>
          <w:color w:val="auto"/>
          <w:lang w:val="en-US"/>
        </w:rPr>
        <w:t xml:space="preserve">5.3 </w:t>
      </w:r>
      <w:r w:rsidR="004332CB" w:rsidRPr="00812E8B">
        <w:rPr>
          <w:color w:val="auto"/>
          <w:lang w:val="en-US"/>
        </w:rPr>
        <w:t>D</w:t>
      </w:r>
      <w:r w:rsidR="00937B13" w:rsidRPr="00812E8B">
        <w:rPr>
          <w:color w:val="auto"/>
          <w:sz w:val="20"/>
          <w:szCs w:val="20"/>
          <w:lang w:val="en-US"/>
        </w:rPr>
        <w:t>ESCRIPTIVE STATISTICS</w:t>
      </w:r>
      <w:bookmarkEnd w:id="33"/>
      <w:r w:rsidR="00937B13" w:rsidRPr="00812E8B">
        <w:rPr>
          <w:color w:val="auto"/>
          <w:sz w:val="20"/>
          <w:szCs w:val="20"/>
          <w:lang w:val="en-US"/>
        </w:rPr>
        <w:t xml:space="preserve"> </w:t>
      </w:r>
    </w:p>
    <w:p w:rsidR="00634A7B" w:rsidRPr="00812E8B" w:rsidRDefault="00634A7B" w:rsidP="00634A7B">
      <w:pPr>
        <w:pStyle w:val="NoSpacing"/>
        <w:spacing w:line="276" w:lineRule="auto"/>
        <w:jc w:val="both"/>
        <w:rPr>
          <w:lang w:val="en-US"/>
        </w:rPr>
      </w:pPr>
      <w:r w:rsidRPr="00812E8B">
        <w:rPr>
          <w:lang w:val="en-US"/>
        </w:rPr>
        <w:t xml:space="preserve">Table 4 reports the mean, standard deviation, median, minimum and maximum of each variable in the sample. </w:t>
      </w:r>
      <w:r w:rsidR="00B035B3" w:rsidRPr="00812E8B">
        <w:rPr>
          <w:lang w:val="en-US"/>
        </w:rPr>
        <w:t>The</w:t>
      </w:r>
      <w:r w:rsidRPr="00812E8B">
        <w:rPr>
          <w:lang w:val="en-US"/>
        </w:rPr>
        <w:t xml:space="preserve"> descriptive statistics are </w:t>
      </w:r>
      <w:r w:rsidR="00B035B3" w:rsidRPr="00812E8B">
        <w:rPr>
          <w:lang w:val="en-US"/>
        </w:rPr>
        <w:t>presented</w:t>
      </w:r>
      <w:r w:rsidRPr="00812E8B">
        <w:rPr>
          <w:lang w:val="en-US"/>
        </w:rPr>
        <w:t xml:space="preserve"> after correcting for possible outliers. Similar to other studies in finance, there are several outliers within the panel of European banks. These outliers </w:t>
      </w:r>
      <w:r w:rsidR="00B035B3" w:rsidRPr="00812E8B">
        <w:rPr>
          <w:lang w:val="en-US"/>
        </w:rPr>
        <w:t xml:space="preserve">result from </w:t>
      </w:r>
      <w:r w:rsidRPr="00812E8B">
        <w:rPr>
          <w:lang w:val="en-US"/>
        </w:rPr>
        <w:t xml:space="preserve">coding errors or unusual observations. Outliers probably results in biased means and </w:t>
      </w:r>
      <w:r w:rsidRPr="00812E8B">
        <w:rPr>
          <w:lang w:val="en-US"/>
        </w:rPr>
        <w:lastRenderedPageBreak/>
        <w:t xml:space="preserve">standard deviations when incorporated in the descriptive statistics. They do not only affect the descriptive characteristics but could also deteriorate results from the regression using the System GMM technique. Nonetheless, since the System GMM does not make assumptions regarding the distribution of the data, </w:t>
      </w:r>
      <w:r w:rsidR="00B035B3" w:rsidRPr="00812E8B">
        <w:rPr>
          <w:lang w:val="en-US"/>
        </w:rPr>
        <w:t>extreme observations less influence System GMM estimations c</w:t>
      </w:r>
      <w:r w:rsidRPr="00812E8B">
        <w:rPr>
          <w:lang w:val="en-US"/>
        </w:rPr>
        <w:t>ompared to OLS. Though, outliers are investigated using graphical methods. The common used interquartile range and z-score method in literature will not be used to indicate possible outliers since these tests assume a normal distribution of the data</w:t>
      </w:r>
      <w:r w:rsidRPr="00812E8B">
        <w:rPr>
          <w:rStyle w:val="EndnoteReference"/>
          <w:lang w:val="en-US"/>
        </w:rPr>
        <w:endnoteReference w:id="16"/>
      </w:r>
      <w:r w:rsidRPr="00812E8B">
        <w:rPr>
          <w:lang w:val="en-US"/>
        </w:rPr>
        <w:t xml:space="preserve">. Moreover, observations that are indicated as possible outliers by the graphical </w:t>
      </w:r>
      <w:r w:rsidR="00F45869" w:rsidRPr="00812E8B">
        <w:rPr>
          <w:lang w:val="en-US"/>
        </w:rPr>
        <w:t>methods</w:t>
      </w:r>
      <w:r w:rsidRPr="00812E8B">
        <w:rPr>
          <w:lang w:val="en-US"/>
        </w:rPr>
        <w:t xml:space="preserve"> are not simply deleted</w:t>
      </w:r>
      <w:r w:rsidRPr="00812E8B">
        <w:rPr>
          <w:rStyle w:val="EndnoteReference"/>
          <w:lang w:val="en-US"/>
        </w:rPr>
        <w:endnoteReference w:id="17"/>
      </w:r>
      <w:r w:rsidRPr="00812E8B">
        <w:rPr>
          <w:lang w:val="en-US"/>
        </w:rPr>
        <w:t xml:space="preserve">. The outliers may present a truthful and reliable, though unusual, observation and does not necessary represent coding errors or data errors. Hence, all the potential outliers are investigated individually. The accompanying scatterplots are presented in appendix </w:t>
      </w:r>
      <w:r w:rsidR="00BC7621" w:rsidRPr="00812E8B">
        <w:rPr>
          <w:lang w:val="en-US"/>
        </w:rPr>
        <w:t>I</w:t>
      </w:r>
      <w:r w:rsidRPr="00812E8B">
        <w:rPr>
          <w:lang w:val="en-US"/>
        </w:rPr>
        <w:t>V. In total 18 observations are deleted from the sample as outlier, reducing the number of bank observations from 2</w:t>
      </w:r>
      <w:r w:rsidR="00BC7621" w:rsidRPr="00812E8B">
        <w:rPr>
          <w:lang w:val="en-US"/>
        </w:rPr>
        <w:t>,</w:t>
      </w:r>
      <w:r w:rsidRPr="00812E8B">
        <w:rPr>
          <w:lang w:val="en-US"/>
        </w:rPr>
        <w:t>226 to 2</w:t>
      </w:r>
      <w:r w:rsidR="00BC7621" w:rsidRPr="00812E8B">
        <w:rPr>
          <w:lang w:val="en-US"/>
        </w:rPr>
        <w:t>,</w:t>
      </w:r>
      <w:r w:rsidRPr="00812E8B">
        <w:rPr>
          <w:lang w:val="en-US"/>
        </w:rPr>
        <w:t>208.</w:t>
      </w:r>
    </w:p>
    <w:p w:rsidR="00634A7B" w:rsidRPr="00812E8B" w:rsidRDefault="00634A7B" w:rsidP="00634A7B">
      <w:pPr>
        <w:pStyle w:val="NoSpacing"/>
        <w:spacing w:line="276" w:lineRule="auto"/>
        <w:jc w:val="both"/>
        <w:rPr>
          <w:sz w:val="14"/>
          <w:szCs w:val="14"/>
          <w:lang w:val="en-US"/>
        </w:rPr>
      </w:pPr>
    </w:p>
    <w:p w:rsidR="00634A7B" w:rsidRPr="00812E8B" w:rsidRDefault="00634A7B" w:rsidP="00634A7B">
      <w:pPr>
        <w:pStyle w:val="Heading3"/>
        <w:rPr>
          <w:color w:val="auto"/>
          <w:lang w:val="en-US"/>
        </w:rPr>
      </w:pPr>
      <w:r w:rsidRPr="00812E8B">
        <w:rPr>
          <w:color w:val="auto"/>
          <w:lang w:val="en-US"/>
        </w:rPr>
        <w:t xml:space="preserve">5.3.1 </w:t>
      </w:r>
      <w:r w:rsidR="00B035B3" w:rsidRPr="00812E8B">
        <w:rPr>
          <w:color w:val="auto"/>
          <w:lang w:val="en-US"/>
        </w:rPr>
        <w:t>D</w:t>
      </w:r>
      <w:r w:rsidR="00937B13" w:rsidRPr="00812E8B">
        <w:rPr>
          <w:color w:val="auto"/>
          <w:sz w:val="19"/>
          <w:szCs w:val="19"/>
          <w:lang w:val="en-US"/>
        </w:rPr>
        <w:t>ISCUSSION OF SEVERAL GENERAL CHARACTERISTICS</w:t>
      </w:r>
    </w:p>
    <w:p w:rsidR="00634A7B" w:rsidRPr="00812E8B" w:rsidRDefault="00634A7B" w:rsidP="00634A7B">
      <w:pPr>
        <w:pStyle w:val="NoSpacing"/>
        <w:spacing w:line="276" w:lineRule="auto"/>
        <w:jc w:val="both"/>
        <w:rPr>
          <w:lang w:val="en-US"/>
        </w:rPr>
      </w:pPr>
      <w:r w:rsidRPr="00812E8B">
        <w:rPr>
          <w:lang w:val="en-US"/>
        </w:rPr>
        <w:t xml:space="preserve">The profitability measure indicates that the European banks have, on average, a positive profit over the last decade. For the total sample, the mean of ROAA equals 0.406 percent with a minimum of             -17.934 and a maximum of 4.784 percent. In contrary to </w:t>
      </w:r>
      <w:r w:rsidR="001B30EB" w:rsidRPr="00812E8B">
        <w:rPr>
          <w:color w:val="365F91" w:themeColor="accent1" w:themeShade="BF"/>
          <w:lang w:val="en-US"/>
        </w:rPr>
        <w:t>Dietrich and Wanzenried (2011)</w:t>
      </w:r>
      <w:r w:rsidRPr="00812E8B">
        <w:rPr>
          <w:lang w:val="en-US"/>
        </w:rPr>
        <w:t xml:space="preserve"> there is less variation in profitability reflected by the difference between the mean and median; table 4 reports a median of 0.370, which is somewhat lower than the mean. Note that there are larger extreme values downwards than upwards; caused by the struggling markets, in especially Ireland, during the past years. These large downside observations also influence the standard deviation for return on average assets, which is quite substantial, 0.859 percent. </w:t>
      </w:r>
    </w:p>
    <w:p w:rsidR="00634A7B" w:rsidRPr="00812E8B" w:rsidRDefault="00634A7B" w:rsidP="00634A7B">
      <w:pPr>
        <w:pStyle w:val="NoSpacing"/>
        <w:spacing w:line="276" w:lineRule="auto"/>
        <w:jc w:val="both"/>
        <w:rPr>
          <w:lang w:val="en-US"/>
        </w:rPr>
      </w:pPr>
    </w:p>
    <w:p w:rsidR="00634A7B" w:rsidRPr="00812E8B" w:rsidRDefault="00634A7B" w:rsidP="00634A7B">
      <w:pPr>
        <w:pStyle w:val="NoSpacing"/>
        <w:spacing w:line="276" w:lineRule="auto"/>
        <w:jc w:val="both"/>
        <w:rPr>
          <w:lang w:val="en-US"/>
        </w:rPr>
      </w:pPr>
      <w:r w:rsidRPr="00812E8B">
        <w:rPr>
          <w:lang w:val="en-US"/>
        </w:rPr>
        <w:t xml:space="preserve">Continuing to the explanatory variables of the model there are some interesting statistics to mention. Despite the large dispersion in the minimum and maximum observation of ROAA there could be seen less variation in the </w:t>
      </w:r>
      <w:r w:rsidR="00335EFC" w:rsidRPr="00812E8B">
        <w:rPr>
          <w:lang w:val="en-US"/>
        </w:rPr>
        <w:t>equity-to-asset ratio</w:t>
      </w:r>
      <w:r w:rsidRPr="00812E8B">
        <w:rPr>
          <w:lang w:val="en-US"/>
        </w:rPr>
        <w:t xml:space="preserve">. On average, the </w:t>
      </w:r>
      <w:r w:rsidR="00335EFC" w:rsidRPr="00812E8B">
        <w:rPr>
          <w:lang w:val="en-US"/>
        </w:rPr>
        <w:t>equity-to-asset ratio</w:t>
      </w:r>
      <w:r w:rsidRPr="00812E8B">
        <w:rPr>
          <w:lang w:val="en-US"/>
        </w:rPr>
        <w:t xml:space="preserve"> equals 5.217 percent with a median of 4.617 percent. Note that for some banks the </w:t>
      </w:r>
      <w:r w:rsidR="00335EFC" w:rsidRPr="00812E8B">
        <w:rPr>
          <w:lang w:val="en-US"/>
        </w:rPr>
        <w:t>equity-to-asset ratio</w:t>
      </w:r>
      <w:r w:rsidRPr="00812E8B">
        <w:rPr>
          <w:lang w:val="en-US"/>
        </w:rPr>
        <w:t xml:space="preserve"> was even negative over the last decade. These negative capital ratios are caused by the subtraction of the losses from the retained earnings but are unsustainable in the long run. The small variation in </w:t>
      </w:r>
      <w:r w:rsidR="00335EFC" w:rsidRPr="00812E8B">
        <w:rPr>
          <w:lang w:val="en-US"/>
        </w:rPr>
        <w:t>equity-to-asset ratio</w:t>
      </w:r>
      <w:r w:rsidRPr="00812E8B">
        <w:rPr>
          <w:lang w:val="en-US"/>
        </w:rPr>
        <w:t xml:space="preserve"> and the skewness upwards is likely determined by the Basel regulation and the accompanying minimum capital requirements as is discussed in chapter </w:t>
      </w:r>
      <w:r w:rsidR="00B035B3" w:rsidRPr="00812E8B">
        <w:rPr>
          <w:lang w:val="en-US"/>
        </w:rPr>
        <w:t>two</w:t>
      </w:r>
      <w:r w:rsidRPr="00812E8B">
        <w:rPr>
          <w:lang w:val="en-US"/>
        </w:rPr>
        <w:t xml:space="preserve">. Thereby, the proposed Basel III regulation will also impose funding and liquidity requirements. The two variables that are employed for the funding and liquidity structure of a bank are the customer deposits to total funding and the liquid assets to customer deposits. The descriptive statistics of the first variable indicate that, on average, 46.766 of the funding resources come from customer deposits. Thereby the liquid assets in relation to the customer deposits equal 45.389, on average. Despite the growing focus on stable funding and liquidity sources, there is no evidence for a higher mean in the crisis period than in the pre-crisis period. </w:t>
      </w:r>
    </w:p>
    <w:p w:rsidR="00634A7B" w:rsidRPr="00812E8B" w:rsidRDefault="00634A7B" w:rsidP="00634A7B">
      <w:pPr>
        <w:pStyle w:val="NoSpacing"/>
        <w:spacing w:line="276" w:lineRule="auto"/>
        <w:jc w:val="both"/>
        <w:rPr>
          <w:lang w:val="en-US"/>
        </w:rPr>
      </w:pPr>
    </w:p>
    <w:p w:rsidR="00634A7B" w:rsidRPr="00812E8B" w:rsidRDefault="00634A7B" w:rsidP="00634A7B">
      <w:pPr>
        <w:pStyle w:val="NoSpacing"/>
        <w:spacing w:line="276" w:lineRule="auto"/>
        <w:jc w:val="both"/>
        <w:rPr>
          <w:lang w:val="en-US"/>
        </w:rPr>
        <w:sectPr w:rsidR="00634A7B" w:rsidRPr="00812E8B" w:rsidSect="00AD27F9">
          <w:headerReference w:type="default" r:id="rId23"/>
          <w:headerReference w:type="first" r:id="rId24"/>
          <w:endnotePr>
            <w:numFmt w:val="decimal"/>
          </w:endnotePr>
          <w:pgSz w:w="11906" w:h="16838"/>
          <w:pgMar w:top="1417" w:right="1417" w:bottom="1417" w:left="1417" w:header="708" w:footer="708" w:gutter="0"/>
          <w:cols w:space="708"/>
          <w:titlePg/>
          <w:docGrid w:linePitch="360"/>
        </w:sectPr>
      </w:pPr>
      <w:r w:rsidRPr="00812E8B">
        <w:rPr>
          <w:lang w:val="en-US"/>
        </w:rPr>
        <w:t xml:space="preserve">Furthermore, another interesting observation is that there is a large variation in the </w:t>
      </w:r>
      <w:r w:rsidR="00335EFC" w:rsidRPr="00812E8B">
        <w:rPr>
          <w:lang w:val="en-US"/>
        </w:rPr>
        <w:t>cost-to-income ratio</w:t>
      </w:r>
      <w:r w:rsidRPr="00812E8B">
        <w:rPr>
          <w:lang w:val="en-US"/>
        </w:rPr>
        <w:t xml:space="preserve"> indicated by the range between 1.215 percent and 466.734 </w:t>
      </w:r>
      <w:r w:rsidR="00AA3770" w:rsidRPr="00812E8B">
        <w:rPr>
          <w:lang w:val="en-US"/>
        </w:rPr>
        <w:t>percent. The mean of the cost-</w:t>
      </w:r>
      <w:r w:rsidRPr="00812E8B">
        <w:rPr>
          <w:lang w:val="en-US"/>
        </w:rPr>
        <w:t>to</w:t>
      </w:r>
      <w:r w:rsidR="00AA3770" w:rsidRPr="00812E8B">
        <w:rPr>
          <w:lang w:val="en-US"/>
        </w:rPr>
        <w:t>-income ratio equals 58.355 percent. The large range between the medium and maximum value implies that the most efficient bank has a quite substantial cost advantage compared to the least efficient bank. Finally, the descriptive statistics of the Herfindahl-Hirschman index indicate that there</w:t>
      </w:r>
      <w:r w:rsidRPr="00812E8B">
        <w:rPr>
          <w:lang w:val="en-US"/>
        </w:rPr>
        <w:t xml:space="preserve"> </w:t>
      </w:r>
    </w:p>
    <w:p w:rsidR="00634A7B" w:rsidRPr="00812E8B" w:rsidRDefault="00634A7B" w:rsidP="00634A7B">
      <w:pPr>
        <w:pStyle w:val="Caption"/>
        <w:tabs>
          <w:tab w:val="left" w:pos="180"/>
        </w:tabs>
        <w:ind w:left="-360"/>
        <w:rPr>
          <w:b w:val="0"/>
          <w:color w:val="auto"/>
          <w:lang w:val="en-US"/>
        </w:rPr>
      </w:pPr>
      <w:bookmarkStart w:id="34" w:name="_Toc305410556"/>
      <w:r w:rsidRPr="00812E8B">
        <w:rPr>
          <w:lang w:val="en-US"/>
        </w:rPr>
        <w:lastRenderedPageBreak/>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4</w:t>
      </w:r>
      <w:r w:rsidR="00D46A7F" w:rsidRPr="00812E8B">
        <w:rPr>
          <w:lang w:val="en-US"/>
        </w:rPr>
        <w:fldChar w:fldCharType="end"/>
      </w:r>
      <w:r w:rsidRPr="00812E8B">
        <w:rPr>
          <w:lang w:val="en-US"/>
        </w:rPr>
        <w:t xml:space="preserve"> </w:t>
      </w:r>
      <w:r w:rsidRPr="00812E8B">
        <w:rPr>
          <w:lang w:val="en-US"/>
        </w:rPr>
        <w:br/>
      </w:r>
      <w:r w:rsidRPr="00812E8B">
        <w:rPr>
          <w:b w:val="0"/>
          <w:color w:val="auto"/>
          <w:lang w:val="en-US"/>
        </w:rPr>
        <w:t>Descriptive statistics for total sample and sub periods (excluding outliers)</w:t>
      </w:r>
      <w:bookmarkEnd w:id="34"/>
    </w:p>
    <w:p w:rsidR="00634A7B" w:rsidRPr="00812E8B" w:rsidRDefault="00634A7B" w:rsidP="00634A7B">
      <w:pPr>
        <w:pStyle w:val="NoSpacing"/>
        <w:rPr>
          <w:sz w:val="16"/>
          <w:szCs w:val="16"/>
          <w:lang w:val="en-US"/>
        </w:rPr>
      </w:pPr>
    </w:p>
    <w:tbl>
      <w:tblPr>
        <w:tblStyle w:val="Lichtearcering1"/>
        <w:tblW w:w="16011" w:type="dxa"/>
        <w:tblInd w:w="-432" w:type="dxa"/>
        <w:tblLook w:val="04A0"/>
      </w:tblPr>
      <w:tblGrid>
        <w:gridCol w:w="2880"/>
        <w:gridCol w:w="934"/>
        <w:gridCol w:w="957"/>
        <w:gridCol w:w="947"/>
        <w:gridCol w:w="941"/>
        <w:gridCol w:w="1046"/>
        <w:gridCol w:w="1053"/>
        <w:gridCol w:w="232"/>
        <w:gridCol w:w="679"/>
        <w:gridCol w:w="964"/>
        <w:gridCol w:w="984"/>
        <w:gridCol w:w="226"/>
        <w:gridCol w:w="742"/>
        <w:gridCol w:w="965"/>
        <w:gridCol w:w="966"/>
        <w:gridCol w:w="1495"/>
      </w:tblGrid>
      <w:tr w:rsidR="00634A7B" w:rsidRPr="00812E8B" w:rsidTr="004332CB">
        <w:trPr>
          <w:cnfStyle w:val="100000000000"/>
          <w:trHeight w:val="489"/>
        </w:trPr>
        <w:tc>
          <w:tcPr>
            <w:cnfStyle w:val="001000000000"/>
            <w:tcW w:w="2880" w:type="dxa"/>
            <w:tcBorders>
              <w:top w:val="single" w:sz="4" w:space="0" w:color="auto"/>
              <w:bottom w:val="nil"/>
            </w:tcBorders>
            <w:shd w:val="clear" w:color="auto" w:fill="auto"/>
          </w:tcPr>
          <w:p w:rsidR="00634A7B" w:rsidRPr="00812E8B" w:rsidRDefault="00634A7B" w:rsidP="004332CB">
            <w:pPr>
              <w:pStyle w:val="NoSpacing"/>
              <w:spacing w:line="276" w:lineRule="auto"/>
              <w:ind w:left="252"/>
              <w:jc w:val="both"/>
              <w:rPr>
                <w:color w:val="auto"/>
                <w:lang w:val="en-US"/>
              </w:rPr>
            </w:pPr>
          </w:p>
        </w:tc>
        <w:tc>
          <w:tcPr>
            <w:tcW w:w="2838" w:type="dxa"/>
            <w:gridSpan w:val="3"/>
            <w:shd w:val="clear" w:color="auto" w:fill="auto"/>
          </w:tcPr>
          <w:p w:rsidR="00634A7B" w:rsidRPr="00812E8B" w:rsidRDefault="00634A7B" w:rsidP="004332CB">
            <w:pPr>
              <w:pStyle w:val="NoSpacing"/>
              <w:spacing w:line="276" w:lineRule="auto"/>
              <w:jc w:val="both"/>
              <w:cnfStyle w:val="100000000000"/>
              <w:rPr>
                <w:color w:val="auto"/>
                <w:lang w:val="en-US"/>
              </w:rPr>
            </w:pPr>
            <w:r w:rsidRPr="00812E8B">
              <w:rPr>
                <w:b w:val="0"/>
                <w:color w:val="auto"/>
                <w:lang w:val="en-US"/>
              </w:rPr>
              <w:t>Total sample</w:t>
            </w:r>
          </w:p>
        </w:tc>
        <w:tc>
          <w:tcPr>
            <w:tcW w:w="941" w:type="dxa"/>
            <w:shd w:val="clear" w:color="auto" w:fill="auto"/>
          </w:tcPr>
          <w:p w:rsidR="00634A7B" w:rsidRPr="00812E8B" w:rsidRDefault="00634A7B" w:rsidP="004332CB">
            <w:pPr>
              <w:pStyle w:val="NoSpacing"/>
              <w:spacing w:line="276" w:lineRule="auto"/>
              <w:jc w:val="both"/>
              <w:cnfStyle w:val="100000000000"/>
              <w:rPr>
                <w:b w:val="0"/>
                <w:lang w:val="en-US"/>
              </w:rPr>
            </w:pPr>
          </w:p>
        </w:tc>
        <w:tc>
          <w:tcPr>
            <w:tcW w:w="1046" w:type="dxa"/>
            <w:shd w:val="clear" w:color="auto" w:fill="auto"/>
          </w:tcPr>
          <w:p w:rsidR="00634A7B" w:rsidRPr="00812E8B" w:rsidRDefault="00634A7B" w:rsidP="004332CB">
            <w:pPr>
              <w:pStyle w:val="NoSpacing"/>
              <w:spacing w:line="276" w:lineRule="auto"/>
              <w:jc w:val="both"/>
              <w:cnfStyle w:val="100000000000"/>
              <w:rPr>
                <w:b w:val="0"/>
                <w:lang w:val="en-US"/>
              </w:rPr>
            </w:pPr>
          </w:p>
        </w:tc>
        <w:tc>
          <w:tcPr>
            <w:tcW w:w="1053" w:type="dxa"/>
            <w:shd w:val="clear" w:color="auto" w:fill="auto"/>
          </w:tcPr>
          <w:p w:rsidR="00634A7B" w:rsidRPr="00812E8B" w:rsidRDefault="00634A7B" w:rsidP="004332CB">
            <w:pPr>
              <w:pStyle w:val="NoSpacing"/>
              <w:spacing w:line="276" w:lineRule="auto"/>
              <w:jc w:val="both"/>
              <w:cnfStyle w:val="100000000000"/>
              <w:rPr>
                <w:b w:val="0"/>
                <w:lang w:val="en-US"/>
              </w:rPr>
            </w:pPr>
          </w:p>
        </w:tc>
        <w:tc>
          <w:tcPr>
            <w:tcW w:w="232" w:type="dxa"/>
            <w:tcBorders>
              <w:top w:val="single" w:sz="4" w:space="0" w:color="auto"/>
              <w:bottom w:val="nil"/>
            </w:tcBorders>
            <w:shd w:val="clear" w:color="auto" w:fill="auto"/>
          </w:tcPr>
          <w:p w:rsidR="00634A7B" w:rsidRPr="00812E8B" w:rsidRDefault="00634A7B" w:rsidP="004332CB">
            <w:pPr>
              <w:pStyle w:val="NoSpacing"/>
              <w:spacing w:line="276" w:lineRule="auto"/>
              <w:jc w:val="both"/>
              <w:cnfStyle w:val="100000000000"/>
              <w:rPr>
                <w:b w:val="0"/>
                <w:lang w:val="en-US"/>
              </w:rPr>
            </w:pPr>
          </w:p>
        </w:tc>
        <w:tc>
          <w:tcPr>
            <w:tcW w:w="2627" w:type="dxa"/>
            <w:gridSpan w:val="3"/>
            <w:tcBorders>
              <w:top w:val="single" w:sz="4" w:space="0" w:color="auto"/>
            </w:tcBorders>
            <w:shd w:val="clear" w:color="auto" w:fill="auto"/>
          </w:tcPr>
          <w:p w:rsidR="00634A7B" w:rsidRPr="00812E8B" w:rsidRDefault="00634A7B" w:rsidP="004332CB">
            <w:pPr>
              <w:pStyle w:val="NoSpacing"/>
              <w:spacing w:line="276" w:lineRule="auto"/>
              <w:jc w:val="both"/>
              <w:cnfStyle w:val="100000000000"/>
              <w:rPr>
                <w:color w:val="auto"/>
                <w:lang w:val="en-US"/>
              </w:rPr>
            </w:pPr>
            <w:r w:rsidRPr="00812E8B">
              <w:rPr>
                <w:b w:val="0"/>
                <w:color w:val="auto"/>
                <w:lang w:val="en-US"/>
              </w:rPr>
              <w:t>Pre-crisis: 2000-2006</w:t>
            </w:r>
          </w:p>
        </w:tc>
        <w:tc>
          <w:tcPr>
            <w:tcW w:w="226" w:type="dxa"/>
            <w:tcBorders>
              <w:top w:val="single" w:sz="4" w:space="0" w:color="auto"/>
              <w:bottom w:val="nil"/>
            </w:tcBorders>
            <w:shd w:val="clear" w:color="auto" w:fill="auto"/>
          </w:tcPr>
          <w:p w:rsidR="00634A7B" w:rsidRPr="00812E8B" w:rsidRDefault="00634A7B" w:rsidP="004332CB">
            <w:pPr>
              <w:pStyle w:val="NoSpacing"/>
              <w:spacing w:line="276" w:lineRule="auto"/>
              <w:jc w:val="both"/>
              <w:cnfStyle w:val="100000000000"/>
              <w:rPr>
                <w:b w:val="0"/>
                <w:lang w:val="en-US"/>
              </w:rPr>
            </w:pPr>
          </w:p>
        </w:tc>
        <w:tc>
          <w:tcPr>
            <w:tcW w:w="2673" w:type="dxa"/>
            <w:gridSpan w:val="3"/>
            <w:tcBorders>
              <w:top w:val="single" w:sz="4" w:space="0" w:color="auto"/>
              <w:bottom w:val="single" w:sz="4" w:space="0" w:color="auto"/>
            </w:tcBorders>
            <w:shd w:val="clear" w:color="auto" w:fill="auto"/>
          </w:tcPr>
          <w:p w:rsidR="00634A7B" w:rsidRPr="00812E8B" w:rsidRDefault="00634A7B" w:rsidP="004332CB">
            <w:pPr>
              <w:pStyle w:val="NoSpacing"/>
              <w:spacing w:line="276" w:lineRule="auto"/>
              <w:jc w:val="both"/>
              <w:cnfStyle w:val="100000000000"/>
              <w:rPr>
                <w:lang w:val="en-US"/>
              </w:rPr>
            </w:pPr>
            <w:r w:rsidRPr="00812E8B">
              <w:rPr>
                <w:b w:val="0"/>
                <w:color w:val="auto"/>
                <w:lang w:val="en-US"/>
              </w:rPr>
              <w:t>Crisis: 2007-2009</w:t>
            </w:r>
          </w:p>
        </w:tc>
        <w:tc>
          <w:tcPr>
            <w:tcW w:w="1495" w:type="dxa"/>
            <w:vMerge w:val="restart"/>
            <w:tcBorders>
              <w:top w:val="single" w:sz="4" w:space="0" w:color="auto"/>
            </w:tcBorders>
            <w:shd w:val="clear" w:color="auto" w:fill="auto"/>
          </w:tcPr>
          <w:p w:rsidR="00634A7B" w:rsidRPr="00812E8B" w:rsidRDefault="00634A7B" w:rsidP="004332CB">
            <w:pPr>
              <w:pStyle w:val="NoSpacing"/>
              <w:spacing w:line="276" w:lineRule="auto"/>
              <w:jc w:val="both"/>
              <w:cnfStyle w:val="100000000000"/>
              <w:rPr>
                <w:b w:val="0"/>
                <w:lang w:val="en-US"/>
              </w:rPr>
            </w:pPr>
          </w:p>
          <w:p w:rsidR="00634A7B" w:rsidRPr="00812E8B" w:rsidRDefault="00634A7B" w:rsidP="004332CB">
            <w:pPr>
              <w:pStyle w:val="NoSpacing"/>
              <w:spacing w:line="276" w:lineRule="auto"/>
              <w:ind w:left="-53" w:right="-132"/>
              <w:jc w:val="both"/>
              <w:cnfStyle w:val="100000000000"/>
              <w:rPr>
                <w:b w:val="0"/>
                <w:bCs w:val="0"/>
                <w:lang w:val="en-US"/>
              </w:rPr>
            </w:pPr>
            <w:r w:rsidRPr="00812E8B">
              <w:rPr>
                <w:b w:val="0"/>
                <w:lang w:val="en-US"/>
              </w:rPr>
              <w:t xml:space="preserve">  P-value mean</w:t>
            </w:r>
          </w:p>
          <w:p w:rsidR="00634A7B" w:rsidRPr="00812E8B" w:rsidRDefault="00634A7B" w:rsidP="004332CB">
            <w:pPr>
              <w:pStyle w:val="NoSpacing"/>
              <w:ind w:left="-53" w:right="-42"/>
              <w:jc w:val="both"/>
              <w:cnfStyle w:val="100000000000"/>
              <w:rPr>
                <w:lang w:val="en-US"/>
              </w:rPr>
            </w:pPr>
            <w:r w:rsidRPr="00812E8B">
              <w:rPr>
                <w:b w:val="0"/>
                <w:lang w:val="en-US"/>
              </w:rPr>
              <w:t xml:space="preserve">  differences</w:t>
            </w:r>
          </w:p>
        </w:tc>
      </w:tr>
      <w:tr w:rsidR="00634A7B" w:rsidRPr="00812E8B" w:rsidTr="004332CB">
        <w:trPr>
          <w:cnfStyle w:val="000000100000"/>
          <w:trHeight w:val="507"/>
        </w:trPr>
        <w:tc>
          <w:tcPr>
            <w:cnfStyle w:val="001000000000"/>
            <w:tcW w:w="2880" w:type="dxa"/>
            <w:tcBorders>
              <w:top w:val="nil"/>
              <w:bottom w:val="single" w:sz="4" w:space="0" w:color="auto"/>
            </w:tcBorders>
            <w:shd w:val="clear" w:color="auto" w:fill="auto"/>
          </w:tcPr>
          <w:p w:rsidR="00634A7B" w:rsidRPr="00812E8B" w:rsidRDefault="00634A7B" w:rsidP="004332CB">
            <w:pPr>
              <w:pStyle w:val="NoSpacing"/>
              <w:spacing w:line="276" w:lineRule="auto"/>
              <w:ind w:left="252"/>
              <w:jc w:val="both"/>
              <w:rPr>
                <w:color w:val="auto"/>
                <w:lang w:val="en-US"/>
              </w:rPr>
            </w:pPr>
          </w:p>
        </w:tc>
        <w:tc>
          <w:tcPr>
            <w:tcW w:w="934" w:type="dxa"/>
            <w:tcBorders>
              <w:top w:val="single" w:sz="8" w:space="0" w:color="000000" w:themeColor="text1"/>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r w:rsidRPr="00812E8B">
              <w:rPr>
                <w:lang w:val="en-US"/>
              </w:rPr>
              <w:t>Obs.</w:t>
            </w:r>
          </w:p>
        </w:tc>
        <w:tc>
          <w:tcPr>
            <w:tcW w:w="957" w:type="dxa"/>
            <w:tcBorders>
              <w:top w:val="single" w:sz="8" w:space="0" w:color="000000" w:themeColor="text1"/>
              <w:bottom w:val="single" w:sz="4" w:space="0" w:color="auto"/>
            </w:tcBorders>
            <w:shd w:val="clear" w:color="auto" w:fill="auto"/>
          </w:tcPr>
          <w:p w:rsidR="00634A7B" w:rsidRPr="00812E8B" w:rsidRDefault="00634A7B" w:rsidP="004332CB">
            <w:pPr>
              <w:pStyle w:val="NoSpacing"/>
              <w:spacing w:line="276" w:lineRule="auto"/>
              <w:jc w:val="both"/>
              <w:cnfStyle w:val="000000100000"/>
              <w:rPr>
                <w:color w:val="auto"/>
                <w:lang w:val="en-US"/>
              </w:rPr>
            </w:pPr>
            <w:r w:rsidRPr="00812E8B">
              <w:rPr>
                <w:color w:val="auto"/>
                <w:lang w:val="en-US"/>
              </w:rPr>
              <w:t>Mean</w:t>
            </w:r>
          </w:p>
        </w:tc>
        <w:tc>
          <w:tcPr>
            <w:tcW w:w="947" w:type="dxa"/>
            <w:tcBorders>
              <w:top w:val="single" w:sz="8" w:space="0" w:color="000000" w:themeColor="text1"/>
              <w:bottom w:val="single" w:sz="4" w:space="0" w:color="auto"/>
            </w:tcBorders>
            <w:shd w:val="clear" w:color="auto" w:fill="auto"/>
          </w:tcPr>
          <w:p w:rsidR="00634A7B" w:rsidRPr="00812E8B" w:rsidRDefault="00634A7B" w:rsidP="004332CB">
            <w:pPr>
              <w:pStyle w:val="NoSpacing"/>
              <w:spacing w:line="276" w:lineRule="auto"/>
              <w:jc w:val="both"/>
              <w:cnfStyle w:val="000000100000"/>
              <w:rPr>
                <w:color w:val="auto"/>
                <w:lang w:val="en-US"/>
              </w:rPr>
            </w:pPr>
            <w:r w:rsidRPr="00812E8B">
              <w:rPr>
                <w:color w:val="auto"/>
                <w:lang w:val="en-US"/>
              </w:rPr>
              <w:t>St. dev</w:t>
            </w:r>
          </w:p>
        </w:tc>
        <w:tc>
          <w:tcPr>
            <w:tcW w:w="941" w:type="dxa"/>
            <w:tcBorders>
              <w:top w:val="nil"/>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r w:rsidRPr="00812E8B">
              <w:rPr>
                <w:lang w:val="en-US"/>
              </w:rPr>
              <w:t>Median</w:t>
            </w:r>
          </w:p>
        </w:tc>
        <w:tc>
          <w:tcPr>
            <w:tcW w:w="1046" w:type="dxa"/>
            <w:tcBorders>
              <w:top w:val="nil"/>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r w:rsidRPr="00812E8B">
              <w:rPr>
                <w:lang w:val="en-US"/>
              </w:rPr>
              <w:t>Min</w:t>
            </w:r>
          </w:p>
        </w:tc>
        <w:tc>
          <w:tcPr>
            <w:tcW w:w="1053" w:type="dxa"/>
            <w:tcBorders>
              <w:top w:val="nil"/>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r w:rsidRPr="00812E8B">
              <w:rPr>
                <w:lang w:val="en-US"/>
              </w:rPr>
              <w:t>Max</w:t>
            </w:r>
          </w:p>
        </w:tc>
        <w:tc>
          <w:tcPr>
            <w:tcW w:w="232" w:type="dxa"/>
            <w:tcBorders>
              <w:top w:val="nil"/>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p>
        </w:tc>
        <w:tc>
          <w:tcPr>
            <w:tcW w:w="679" w:type="dxa"/>
            <w:tcBorders>
              <w:top w:val="single" w:sz="8" w:space="0" w:color="000000" w:themeColor="text1"/>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r w:rsidRPr="00812E8B">
              <w:rPr>
                <w:lang w:val="en-US"/>
              </w:rPr>
              <w:t>Obs.</w:t>
            </w:r>
          </w:p>
        </w:tc>
        <w:tc>
          <w:tcPr>
            <w:tcW w:w="964" w:type="dxa"/>
            <w:tcBorders>
              <w:top w:val="single" w:sz="8" w:space="0" w:color="000000" w:themeColor="text1"/>
              <w:bottom w:val="single" w:sz="4" w:space="0" w:color="auto"/>
            </w:tcBorders>
            <w:shd w:val="clear" w:color="auto" w:fill="auto"/>
          </w:tcPr>
          <w:p w:rsidR="00634A7B" w:rsidRPr="00812E8B" w:rsidRDefault="00634A7B" w:rsidP="004332CB">
            <w:pPr>
              <w:pStyle w:val="NoSpacing"/>
              <w:spacing w:line="276" w:lineRule="auto"/>
              <w:jc w:val="both"/>
              <w:cnfStyle w:val="000000100000"/>
              <w:rPr>
                <w:color w:val="auto"/>
                <w:lang w:val="en-US"/>
              </w:rPr>
            </w:pPr>
            <w:r w:rsidRPr="00812E8B">
              <w:rPr>
                <w:color w:val="auto"/>
                <w:lang w:val="en-US"/>
              </w:rPr>
              <w:t>Mean</w:t>
            </w:r>
          </w:p>
        </w:tc>
        <w:tc>
          <w:tcPr>
            <w:tcW w:w="984" w:type="dxa"/>
            <w:tcBorders>
              <w:top w:val="single" w:sz="8" w:space="0" w:color="000000" w:themeColor="text1"/>
              <w:bottom w:val="single" w:sz="4" w:space="0" w:color="auto"/>
            </w:tcBorders>
            <w:shd w:val="clear" w:color="auto" w:fill="auto"/>
          </w:tcPr>
          <w:p w:rsidR="00634A7B" w:rsidRPr="00812E8B" w:rsidRDefault="00634A7B" w:rsidP="004332CB">
            <w:pPr>
              <w:pStyle w:val="NoSpacing"/>
              <w:spacing w:line="276" w:lineRule="auto"/>
              <w:jc w:val="both"/>
              <w:cnfStyle w:val="000000100000"/>
              <w:rPr>
                <w:color w:val="auto"/>
                <w:lang w:val="en-US"/>
              </w:rPr>
            </w:pPr>
            <w:r w:rsidRPr="00812E8B">
              <w:rPr>
                <w:color w:val="auto"/>
                <w:lang w:val="en-US"/>
              </w:rPr>
              <w:t>St. dev</w:t>
            </w:r>
          </w:p>
        </w:tc>
        <w:tc>
          <w:tcPr>
            <w:tcW w:w="226" w:type="dxa"/>
            <w:tcBorders>
              <w:top w:val="nil"/>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p>
        </w:tc>
        <w:tc>
          <w:tcPr>
            <w:tcW w:w="742" w:type="dxa"/>
            <w:tcBorders>
              <w:top w:val="single" w:sz="4" w:space="0" w:color="auto"/>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r w:rsidRPr="00812E8B">
              <w:rPr>
                <w:lang w:val="en-US"/>
              </w:rPr>
              <w:t>Obs.</w:t>
            </w:r>
          </w:p>
        </w:tc>
        <w:tc>
          <w:tcPr>
            <w:tcW w:w="965" w:type="dxa"/>
            <w:tcBorders>
              <w:top w:val="single" w:sz="4" w:space="0" w:color="auto"/>
              <w:bottom w:val="single" w:sz="4" w:space="0" w:color="auto"/>
            </w:tcBorders>
            <w:shd w:val="clear" w:color="auto" w:fill="auto"/>
          </w:tcPr>
          <w:p w:rsidR="00634A7B" w:rsidRPr="00812E8B" w:rsidRDefault="00634A7B" w:rsidP="004332CB">
            <w:pPr>
              <w:pStyle w:val="NoSpacing"/>
              <w:spacing w:line="276" w:lineRule="auto"/>
              <w:jc w:val="both"/>
              <w:cnfStyle w:val="000000100000"/>
              <w:rPr>
                <w:color w:val="auto"/>
                <w:lang w:val="en-US"/>
              </w:rPr>
            </w:pPr>
            <w:r w:rsidRPr="00812E8B">
              <w:rPr>
                <w:color w:val="auto"/>
                <w:lang w:val="en-US"/>
              </w:rPr>
              <w:t>Mean</w:t>
            </w:r>
          </w:p>
        </w:tc>
        <w:tc>
          <w:tcPr>
            <w:tcW w:w="966" w:type="dxa"/>
            <w:tcBorders>
              <w:top w:val="single" w:sz="4" w:space="0" w:color="auto"/>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r w:rsidRPr="00812E8B">
              <w:rPr>
                <w:lang w:val="en-US"/>
              </w:rPr>
              <w:t>St. dev</w:t>
            </w:r>
          </w:p>
        </w:tc>
        <w:tc>
          <w:tcPr>
            <w:tcW w:w="1495" w:type="dxa"/>
            <w:vMerge/>
            <w:tcBorders>
              <w:bottom w:val="single" w:sz="4" w:space="0" w:color="auto"/>
            </w:tcBorders>
            <w:shd w:val="clear" w:color="auto" w:fill="auto"/>
          </w:tcPr>
          <w:p w:rsidR="00634A7B" w:rsidRPr="00812E8B" w:rsidRDefault="00634A7B" w:rsidP="004332CB">
            <w:pPr>
              <w:pStyle w:val="NoSpacing"/>
              <w:spacing w:line="276" w:lineRule="auto"/>
              <w:jc w:val="both"/>
              <w:cnfStyle w:val="000000100000"/>
              <w:rPr>
                <w:lang w:val="en-US"/>
              </w:rPr>
            </w:pPr>
          </w:p>
        </w:tc>
      </w:tr>
      <w:tr w:rsidR="00634A7B" w:rsidRPr="00812E8B" w:rsidTr="004332CB">
        <w:tc>
          <w:tcPr>
            <w:cnfStyle w:val="001000000000"/>
            <w:tcW w:w="2880" w:type="dxa"/>
            <w:tcBorders>
              <w:top w:val="single" w:sz="4" w:space="0" w:color="auto"/>
            </w:tcBorders>
            <w:shd w:val="clear" w:color="auto" w:fill="auto"/>
            <w:vAlign w:val="bottom"/>
          </w:tcPr>
          <w:p w:rsidR="00634A7B" w:rsidRPr="00812E8B" w:rsidRDefault="00634A7B" w:rsidP="004332CB">
            <w:pPr>
              <w:pStyle w:val="NoSpacing"/>
              <w:tabs>
                <w:tab w:val="left" w:pos="0"/>
              </w:tabs>
              <w:spacing w:line="276" w:lineRule="auto"/>
              <w:ind w:left="72"/>
              <w:rPr>
                <w:b w:val="0"/>
                <w:color w:val="auto"/>
                <w:lang w:val="en-US"/>
              </w:rPr>
            </w:pPr>
            <w:r w:rsidRPr="00812E8B">
              <w:rPr>
                <w:b w:val="0"/>
                <w:color w:val="auto"/>
                <w:lang w:val="en-US"/>
              </w:rPr>
              <w:t>Dependent variable</w:t>
            </w:r>
          </w:p>
        </w:tc>
        <w:tc>
          <w:tcPr>
            <w:tcW w:w="934" w:type="dxa"/>
            <w:tcBorders>
              <w:top w:val="single" w:sz="4" w:space="0" w:color="auto"/>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957"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color w:val="auto"/>
                <w:lang w:val="en-US"/>
              </w:rPr>
            </w:pPr>
          </w:p>
        </w:tc>
        <w:tc>
          <w:tcPr>
            <w:tcW w:w="947"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color w:val="auto"/>
                <w:lang w:val="en-US"/>
              </w:rPr>
            </w:pPr>
          </w:p>
        </w:tc>
        <w:tc>
          <w:tcPr>
            <w:tcW w:w="941"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1046"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1053"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232"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679"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964"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color w:val="auto"/>
                <w:lang w:val="en-US"/>
              </w:rPr>
            </w:pPr>
          </w:p>
        </w:tc>
        <w:tc>
          <w:tcPr>
            <w:tcW w:w="984"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color w:val="auto"/>
                <w:lang w:val="en-US"/>
              </w:rPr>
            </w:pPr>
          </w:p>
        </w:tc>
        <w:tc>
          <w:tcPr>
            <w:tcW w:w="226"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742"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965"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color w:val="auto"/>
                <w:lang w:val="en-US"/>
              </w:rPr>
            </w:pPr>
          </w:p>
        </w:tc>
        <w:tc>
          <w:tcPr>
            <w:tcW w:w="966" w:type="dxa"/>
            <w:tcBorders>
              <w:top w:val="single" w:sz="4" w:space="0" w:color="auto"/>
            </w:tcBorders>
            <w:shd w:val="clear" w:color="auto" w:fill="auto"/>
          </w:tcPr>
          <w:p w:rsidR="00634A7B" w:rsidRPr="00812E8B" w:rsidRDefault="00634A7B" w:rsidP="004332CB">
            <w:pPr>
              <w:pStyle w:val="NoSpacing"/>
              <w:spacing w:line="276" w:lineRule="auto"/>
              <w:jc w:val="center"/>
              <w:cnfStyle w:val="000000000000"/>
              <w:rPr>
                <w:lang w:val="en-US"/>
              </w:rPr>
            </w:pPr>
          </w:p>
        </w:tc>
        <w:tc>
          <w:tcPr>
            <w:tcW w:w="1495" w:type="dxa"/>
            <w:tcBorders>
              <w:top w:val="single" w:sz="4" w:space="0" w:color="auto"/>
              <w:bottom w:val="nil"/>
            </w:tcBorders>
            <w:shd w:val="clear" w:color="auto" w:fill="auto"/>
          </w:tcPr>
          <w:p w:rsidR="00634A7B" w:rsidRPr="00812E8B" w:rsidRDefault="00634A7B" w:rsidP="004332CB">
            <w:pPr>
              <w:pStyle w:val="NoSpacing"/>
              <w:spacing w:line="276" w:lineRule="auto"/>
              <w:jc w:val="center"/>
              <w:cnfStyle w:val="000000000000"/>
              <w:rPr>
                <w:lang w:val="en-US"/>
              </w:rPr>
            </w:pP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color w:val="auto"/>
                <w:lang w:val="en-US"/>
              </w:rPr>
            </w:pPr>
            <w:r w:rsidRPr="00812E8B">
              <w:rPr>
                <w:b w:val="0"/>
                <w:color w:val="auto"/>
                <w:lang w:val="en-US"/>
              </w:rPr>
              <w:t>Return on average assets</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2173</w:t>
            </w:r>
          </w:p>
        </w:tc>
        <w:tc>
          <w:tcPr>
            <w:tcW w:w="957"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0.406</w:t>
            </w:r>
          </w:p>
        </w:tc>
        <w:tc>
          <w:tcPr>
            <w:tcW w:w="947"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0.859</w:t>
            </w:r>
          </w:p>
        </w:tc>
        <w:tc>
          <w:tcPr>
            <w:tcW w:w="941"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0.370</w:t>
            </w:r>
          </w:p>
        </w:tc>
        <w:tc>
          <w:tcPr>
            <w:tcW w:w="1046"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-17.934</w:t>
            </w:r>
          </w:p>
        </w:tc>
        <w:tc>
          <w:tcPr>
            <w:tcW w:w="1053"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4.784</w:t>
            </w:r>
          </w:p>
        </w:tc>
        <w:tc>
          <w:tcPr>
            <w:tcW w:w="232" w:type="dxa"/>
            <w:tcBorders>
              <w:top w:val="nil"/>
            </w:tcBorders>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1316</w:t>
            </w:r>
          </w:p>
        </w:tc>
        <w:tc>
          <w:tcPr>
            <w:tcW w:w="964"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0.486</w:t>
            </w:r>
          </w:p>
        </w:tc>
        <w:tc>
          <w:tcPr>
            <w:tcW w:w="984"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0.494</w:t>
            </w:r>
          </w:p>
        </w:tc>
        <w:tc>
          <w:tcPr>
            <w:tcW w:w="226" w:type="dxa"/>
            <w:tcBorders>
              <w:top w:val="nil"/>
            </w:tcBorders>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857</w:t>
            </w:r>
          </w:p>
        </w:tc>
        <w:tc>
          <w:tcPr>
            <w:tcW w:w="965" w:type="dxa"/>
            <w:tcBorders>
              <w:top w:val="nil"/>
            </w:tcBorders>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0.283</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1.213</w:t>
            </w:r>
          </w:p>
        </w:tc>
        <w:tc>
          <w:tcPr>
            <w:tcW w:w="1495" w:type="dxa"/>
            <w:tcBorders>
              <w:top w:val="nil"/>
            </w:tcBorders>
            <w:shd w:val="clear" w:color="auto" w:fill="auto"/>
            <w:vAlign w:val="center"/>
          </w:tcPr>
          <w:p w:rsidR="00634A7B" w:rsidRPr="00812E8B" w:rsidRDefault="00634A7B" w:rsidP="003828BD">
            <w:pPr>
              <w:pStyle w:val="NoSpacing"/>
              <w:spacing w:line="276" w:lineRule="auto"/>
              <w:ind w:left="375"/>
              <w:cnfStyle w:val="000000100000"/>
              <w:rPr>
                <w:vertAlign w:val="superscript"/>
                <w:lang w:val="en-US"/>
              </w:rPr>
            </w:pPr>
            <w:r w:rsidRPr="00812E8B">
              <w:rPr>
                <w:lang w:val="en-US"/>
              </w:rPr>
              <w:t>0.000</w:t>
            </w:r>
            <w:r w:rsidRPr="00812E8B">
              <w:rPr>
                <w:vertAlign w:val="superscript"/>
                <w:lang w:val="en-US"/>
              </w:rPr>
              <w:t>***</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tabs>
                <w:tab w:val="left" w:pos="0"/>
              </w:tabs>
              <w:spacing w:line="276" w:lineRule="auto"/>
              <w:ind w:left="72"/>
              <w:rPr>
                <w:b w:val="0"/>
                <w:color w:val="auto"/>
                <w:lang w:val="en-US"/>
              </w:rPr>
            </w:pPr>
            <w:r w:rsidRPr="00812E8B">
              <w:rPr>
                <w:b w:val="0"/>
                <w:color w:val="auto"/>
                <w:lang w:val="en-US"/>
              </w:rPr>
              <w:t>Bank-specific factors</w:t>
            </w:r>
          </w:p>
        </w:tc>
        <w:tc>
          <w:tcPr>
            <w:tcW w:w="934"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57" w:type="dxa"/>
            <w:shd w:val="clear" w:color="auto" w:fill="auto"/>
            <w:vAlign w:val="center"/>
          </w:tcPr>
          <w:p w:rsidR="00634A7B" w:rsidRPr="00812E8B" w:rsidRDefault="00634A7B" w:rsidP="004332CB">
            <w:pPr>
              <w:pStyle w:val="NoSpacing"/>
              <w:spacing w:line="276" w:lineRule="auto"/>
              <w:jc w:val="right"/>
              <w:cnfStyle w:val="000000000000"/>
              <w:rPr>
                <w:color w:val="auto"/>
                <w:lang w:val="en-US"/>
              </w:rPr>
            </w:pPr>
          </w:p>
        </w:tc>
        <w:tc>
          <w:tcPr>
            <w:tcW w:w="947" w:type="dxa"/>
            <w:shd w:val="clear" w:color="auto" w:fill="auto"/>
            <w:vAlign w:val="center"/>
          </w:tcPr>
          <w:p w:rsidR="00634A7B" w:rsidRPr="00812E8B" w:rsidRDefault="00634A7B" w:rsidP="004332CB">
            <w:pPr>
              <w:pStyle w:val="NoSpacing"/>
              <w:spacing w:line="276" w:lineRule="auto"/>
              <w:jc w:val="right"/>
              <w:cnfStyle w:val="000000000000"/>
              <w:rPr>
                <w:color w:val="auto"/>
                <w:lang w:val="en-US"/>
              </w:rPr>
            </w:pPr>
          </w:p>
        </w:tc>
        <w:tc>
          <w:tcPr>
            <w:tcW w:w="941"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104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1053"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64" w:type="dxa"/>
            <w:shd w:val="clear" w:color="auto" w:fill="auto"/>
            <w:vAlign w:val="center"/>
          </w:tcPr>
          <w:p w:rsidR="00634A7B" w:rsidRPr="00812E8B" w:rsidRDefault="00634A7B" w:rsidP="004332CB">
            <w:pPr>
              <w:pStyle w:val="NoSpacing"/>
              <w:spacing w:line="276" w:lineRule="auto"/>
              <w:jc w:val="right"/>
              <w:cnfStyle w:val="000000000000"/>
              <w:rPr>
                <w:color w:val="auto"/>
                <w:lang w:val="en-US"/>
              </w:rPr>
            </w:pPr>
          </w:p>
        </w:tc>
        <w:tc>
          <w:tcPr>
            <w:tcW w:w="984" w:type="dxa"/>
            <w:shd w:val="clear" w:color="auto" w:fill="auto"/>
            <w:vAlign w:val="center"/>
          </w:tcPr>
          <w:p w:rsidR="00634A7B" w:rsidRPr="00812E8B" w:rsidRDefault="00634A7B" w:rsidP="004332CB">
            <w:pPr>
              <w:pStyle w:val="NoSpacing"/>
              <w:spacing w:line="276" w:lineRule="auto"/>
              <w:jc w:val="right"/>
              <w:cnfStyle w:val="000000000000"/>
              <w:rPr>
                <w:color w:val="auto"/>
                <w:lang w:val="en-US"/>
              </w:rPr>
            </w:pP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65" w:type="dxa"/>
            <w:shd w:val="clear" w:color="auto" w:fill="auto"/>
            <w:vAlign w:val="center"/>
          </w:tcPr>
          <w:p w:rsidR="00634A7B" w:rsidRPr="00812E8B" w:rsidRDefault="00634A7B" w:rsidP="004332CB">
            <w:pPr>
              <w:pStyle w:val="NoSpacing"/>
              <w:spacing w:line="276" w:lineRule="auto"/>
              <w:jc w:val="right"/>
              <w:cnfStyle w:val="000000000000"/>
              <w:rPr>
                <w:color w:val="auto"/>
                <w:lang w:val="en-US"/>
              </w:rPr>
            </w:pPr>
          </w:p>
        </w:tc>
        <w:tc>
          <w:tcPr>
            <w:tcW w:w="96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color w:val="auto"/>
                <w:lang w:val="en-US"/>
              </w:rPr>
            </w:pPr>
            <w:r w:rsidRPr="00812E8B">
              <w:rPr>
                <w:b w:val="0"/>
                <w:color w:val="auto"/>
                <w:lang w:val="en-US"/>
              </w:rPr>
              <w:t>Equity to total assets</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2208</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5.219</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3.395</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4.614</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-0.135</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24.248</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1339</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5.072</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3.167</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869</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5.447</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3.709</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0.014</w:t>
            </w:r>
            <w:r w:rsidRPr="00812E8B">
              <w:rPr>
                <w:vertAlign w:val="superscript"/>
                <w:lang w:val="en-US"/>
              </w:rPr>
              <w:t>**</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252" w:right="-189"/>
              <w:rPr>
                <w:b w:val="0"/>
                <w:color w:val="auto"/>
                <w:lang w:val="en-US"/>
              </w:rPr>
            </w:pPr>
            <w:r w:rsidRPr="00812E8B">
              <w:rPr>
                <w:b w:val="0"/>
                <w:color w:val="auto"/>
                <w:lang w:val="en-US"/>
              </w:rPr>
              <w:t>Customer deposits/ funding</w:t>
            </w:r>
          </w:p>
        </w:tc>
        <w:tc>
          <w:tcPr>
            <w:tcW w:w="93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2124</w:t>
            </w:r>
          </w:p>
        </w:tc>
        <w:tc>
          <w:tcPr>
            <w:tcW w:w="95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46.766</w:t>
            </w:r>
          </w:p>
        </w:tc>
        <w:tc>
          <w:tcPr>
            <w:tcW w:w="94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27.103</w:t>
            </w:r>
          </w:p>
        </w:tc>
        <w:tc>
          <w:tcPr>
            <w:tcW w:w="941"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49.320</w:t>
            </w:r>
          </w:p>
        </w:tc>
        <w:tc>
          <w:tcPr>
            <w:tcW w:w="104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0.000</w:t>
            </w:r>
          </w:p>
        </w:tc>
        <w:tc>
          <w:tcPr>
            <w:tcW w:w="1053"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100.000</w:t>
            </w: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1289</w:t>
            </w:r>
          </w:p>
        </w:tc>
        <w:tc>
          <w:tcPr>
            <w:tcW w:w="96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46.182</w:t>
            </w:r>
          </w:p>
        </w:tc>
        <w:tc>
          <w:tcPr>
            <w:tcW w:w="98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27.127</w:t>
            </w: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835</w:t>
            </w:r>
          </w:p>
        </w:tc>
        <w:tc>
          <w:tcPr>
            <w:tcW w:w="965"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47.666</w:t>
            </w:r>
          </w:p>
        </w:tc>
        <w:tc>
          <w:tcPr>
            <w:tcW w:w="96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27.058</w:t>
            </w: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r w:rsidRPr="00812E8B">
              <w:rPr>
                <w:lang w:val="en-US"/>
              </w:rPr>
              <w:t>0.218</w:t>
            </w: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color w:val="auto"/>
                <w:lang w:val="en-US"/>
              </w:rPr>
            </w:pPr>
            <w:r w:rsidRPr="00812E8B">
              <w:rPr>
                <w:b w:val="0"/>
                <w:color w:val="auto"/>
                <w:lang w:val="en-US"/>
              </w:rPr>
              <w:t>Loan loss provision</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1748</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19.933</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36.421</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14.684</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-341.194</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613.816</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1037</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16.318</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27.440</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711</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25.205</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46.025</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0.000</w:t>
            </w:r>
            <w:r w:rsidRPr="00812E8B">
              <w:rPr>
                <w:vertAlign w:val="superscript"/>
                <w:lang w:val="en-US"/>
              </w:rPr>
              <w:t>***</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color w:val="auto"/>
                <w:lang w:val="en-US"/>
              </w:rPr>
            </w:pPr>
            <w:r w:rsidRPr="00812E8B">
              <w:rPr>
                <w:b w:val="0"/>
                <w:color w:val="auto"/>
                <w:lang w:val="en-US"/>
              </w:rPr>
              <w:t>Liquid assets to deposits</w:t>
            </w:r>
          </w:p>
        </w:tc>
        <w:tc>
          <w:tcPr>
            <w:tcW w:w="93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2182</w:t>
            </w:r>
          </w:p>
        </w:tc>
        <w:tc>
          <w:tcPr>
            <w:tcW w:w="95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45.389</w:t>
            </w:r>
          </w:p>
        </w:tc>
        <w:tc>
          <w:tcPr>
            <w:tcW w:w="94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70.126</w:t>
            </w:r>
          </w:p>
        </w:tc>
        <w:tc>
          <w:tcPr>
            <w:tcW w:w="941"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30.259</w:t>
            </w:r>
          </w:p>
        </w:tc>
        <w:tc>
          <w:tcPr>
            <w:tcW w:w="104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0.027</w:t>
            </w:r>
          </w:p>
        </w:tc>
        <w:tc>
          <w:tcPr>
            <w:tcW w:w="1053"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974.998</w:t>
            </w: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1325</w:t>
            </w:r>
          </w:p>
        </w:tc>
        <w:tc>
          <w:tcPr>
            <w:tcW w:w="96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46.453</w:t>
            </w:r>
          </w:p>
        </w:tc>
        <w:tc>
          <w:tcPr>
            <w:tcW w:w="98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69.336</w:t>
            </w: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857</w:t>
            </w:r>
          </w:p>
        </w:tc>
        <w:tc>
          <w:tcPr>
            <w:tcW w:w="965"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43.744</w:t>
            </w:r>
          </w:p>
        </w:tc>
        <w:tc>
          <w:tcPr>
            <w:tcW w:w="96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71.341</w:t>
            </w: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r w:rsidRPr="00812E8B">
              <w:rPr>
                <w:lang w:val="en-US"/>
              </w:rPr>
              <w:t>0.381</w:t>
            </w: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Interest expense deposits</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1790</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3.887</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2.821</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3.380</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0.000</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36.190</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1060</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3.889</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2.946</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730</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3.885</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2.631</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0.978</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color w:val="auto"/>
                <w:lang w:val="en-US"/>
              </w:rPr>
            </w:pPr>
            <w:r w:rsidRPr="00812E8B">
              <w:rPr>
                <w:b w:val="0"/>
                <w:color w:val="auto"/>
                <w:lang w:val="en-US"/>
              </w:rPr>
              <w:t>Non-interest income</w:t>
            </w:r>
          </w:p>
        </w:tc>
        <w:tc>
          <w:tcPr>
            <w:tcW w:w="93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1879</w:t>
            </w:r>
          </w:p>
        </w:tc>
        <w:tc>
          <w:tcPr>
            <w:tcW w:w="95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32.629</w:t>
            </w:r>
          </w:p>
        </w:tc>
        <w:tc>
          <w:tcPr>
            <w:tcW w:w="94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43.462</w:t>
            </w:r>
          </w:p>
        </w:tc>
        <w:tc>
          <w:tcPr>
            <w:tcW w:w="941"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31.580</w:t>
            </w:r>
          </w:p>
        </w:tc>
        <w:tc>
          <w:tcPr>
            <w:tcW w:w="104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-727.540</w:t>
            </w:r>
          </w:p>
        </w:tc>
        <w:tc>
          <w:tcPr>
            <w:tcW w:w="1053"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662.680</w:t>
            </w: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1119</w:t>
            </w:r>
          </w:p>
        </w:tc>
        <w:tc>
          <w:tcPr>
            <w:tcW w:w="96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33.438</w:t>
            </w:r>
          </w:p>
        </w:tc>
        <w:tc>
          <w:tcPr>
            <w:tcW w:w="98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29.476</w:t>
            </w: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760</w:t>
            </w:r>
          </w:p>
        </w:tc>
        <w:tc>
          <w:tcPr>
            <w:tcW w:w="965"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31.437</w:t>
            </w:r>
          </w:p>
        </w:tc>
        <w:tc>
          <w:tcPr>
            <w:tcW w:w="96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58.237</w:t>
            </w: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r w:rsidRPr="00812E8B">
              <w:rPr>
                <w:lang w:val="en-US"/>
              </w:rPr>
              <w:t>0.382</w:t>
            </w:r>
          </w:p>
        </w:tc>
      </w:tr>
      <w:tr w:rsidR="00634A7B" w:rsidRPr="00812E8B" w:rsidTr="004332CB">
        <w:trPr>
          <w:cnfStyle w:val="000000100000"/>
        </w:trPr>
        <w:tc>
          <w:tcPr>
            <w:cnfStyle w:val="001000000000"/>
            <w:tcW w:w="2880" w:type="dxa"/>
            <w:shd w:val="clear" w:color="auto" w:fill="auto"/>
            <w:vAlign w:val="bottom"/>
          </w:tcPr>
          <w:p w:rsidR="00634A7B" w:rsidRPr="00812E8B" w:rsidRDefault="00335EFC" w:rsidP="004332CB">
            <w:pPr>
              <w:pStyle w:val="NoSpacing"/>
              <w:spacing w:line="276" w:lineRule="auto"/>
              <w:ind w:left="252"/>
              <w:rPr>
                <w:b w:val="0"/>
                <w:color w:val="auto"/>
                <w:lang w:val="en-US"/>
              </w:rPr>
            </w:pPr>
            <w:r w:rsidRPr="00812E8B">
              <w:rPr>
                <w:b w:val="0"/>
                <w:color w:val="auto"/>
                <w:lang w:val="en-US"/>
              </w:rPr>
              <w:t>Cost-to-income ratio</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1863</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58.355</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25.000</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58.446</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1.215</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466.734</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1118</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58.158</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20.581</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745</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58.650</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30.464</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0.700</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Growth of loans</w:t>
            </w:r>
          </w:p>
        </w:tc>
        <w:tc>
          <w:tcPr>
            <w:tcW w:w="93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2045</w:t>
            </w:r>
          </w:p>
        </w:tc>
        <w:tc>
          <w:tcPr>
            <w:tcW w:w="95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15.770</w:t>
            </w:r>
          </w:p>
        </w:tc>
        <w:tc>
          <w:tcPr>
            <w:tcW w:w="94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46.171</w:t>
            </w:r>
          </w:p>
        </w:tc>
        <w:tc>
          <w:tcPr>
            <w:tcW w:w="941"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7.880</w:t>
            </w:r>
          </w:p>
        </w:tc>
        <w:tc>
          <w:tcPr>
            <w:tcW w:w="104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-100.000</w:t>
            </w:r>
          </w:p>
        </w:tc>
        <w:tc>
          <w:tcPr>
            <w:tcW w:w="1053"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500.000</w:t>
            </w: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1223</w:t>
            </w:r>
          </w:p>
        </w:tc>
        <w:tc>
          <w:tcPr>
            <w:tcW w:w="96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16.141</w:t>
            </w:r>
          </w:p>
        </w:tc>
        <w:tc>
          <w:tcPr>
            <w:tcW w:w="98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41.300</w:t>
            </w: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822</w:t>
            </w:r>
          </w:p>
        </w:tc>
        <w:tc>
          <w:tcPr>
            <w:tcW w:w="965"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15.219</w:t>
            </w:r>
          </w:p>
        </w:tc>
        <w:tc>
          <w:tcPr>
            <w:tcW w:w="96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52.613</w:t>
            </w: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r w:rsidRPr="00812E8B">
              <w:rPr>
                <w:lang w:val="en-US"/>
              </w:rPr>
              <w:t>0..673</w:t>
            </w: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72"/>
              <w:rPr>
                <w:b w:val="0"/>
                <w:lang w:val="en-US"/>
              </w:rPr>
            </w:pPr>
            <w:r w:rsidRPr="00812E8B">
              <w:rPr>
                <w:b w:val="0"/>
                <w:lang w:val="en-US"/>
              </w:rPr>
              <w:t>Industry-specific variables</w:t>
            </w:r>
          </w:p>
        </w:tc>
        <w:tc>
          <w:tcPr>
            <w:tcW w:w="934"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957"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947"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941"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104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1053"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964"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984"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965"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96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252" w:right="-99"/>
              <w:rPr>
                <w:b w:val="0"/>
                <w:lang w:val="en-US"/>
              </w:rPr>
            </w:pPr>
            <w:r w:rsidRPr="00812E8B">
              <w:rPr>
                <w:b w:val="0"/>
                <w:lang w:val="en-US"/>
              </w:rPr>
              <w:t>Herfindahl-Hischman index</w:t>
            </w:r>
          </w:p>
        </w:tc>
        <w:tc>
          <w:tcPr>
            <w:tcW w:w="93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2208</w:t>
            </w:r>
          </w:p>
        </w:tc>
        <w:tc>
          <w:tcPr>
            <w:tcW w:w="95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503.474</w:t>
            </w:r>
          </w:p>
        </w:tc>
        <w:tc>
          <w:tcPr>
            <w:tcW w:w="94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394.922</w:t>
            </w:r>
          </w:p>
        </w:tc>
        <w:tc>
          <w:tcPr>
            <w:tcW w:w="941"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399.000</w:t>
            </w:r>
          </w:p>
        </w:tc>
        <w:tc>
          <w:tcPr>
            <w:tcW w:w="104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151.000</w:t>
            </w:r>
          </w:p>
        </w:tc>
        <w:tc>
          <w:tcPr>
            <w:tcW w:w="1053"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2168.000</w:t>
            </w: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1339</w:t>
            </w:r>
          </w:p>
        </w:tc>
        <w:tc>
          <w:tcPr>
            <w:tcW w:w="96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479.924</w:t>
            </w:r>
          </w:p>
        </w:tc>
        <w:tc>
          <w:tcPr>
            <w:tcW w:w="98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399.412</w:t>
            </w: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869</w:t>
            </w:r>
          </w:p>
        </w:tc>
        <w:tc>
          <w:tcPr>
            <w:tcW w:w="965"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539.762</w:t>
            </w:r>
          </w:p>
        </w:tc>
        <w:tc>
          <w:tcPr>
            <w:tcW w:w="96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385.320</w:t>
            </w: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r w:rsidRPr="00812E8B">
              <w:rPr>
                <w:lang w:val="en-US"/>
              </w:rPr>
              <w:t>0.001</w:t>
            </w:r>
            <w:r w:rsidRPr="00812E8B">
              <w:rPr>
                <w:vertAlign w:val="superscript"/>
                <w:lang w:val="en-US"/>
              </w:rPr>
              <w:t>***</w:t>
            </w: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Logarithm of total assets</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2208</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34.691</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2.216</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34.017</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32.238</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43.065</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1339</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34.653</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2.108</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869</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34.749</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2.373</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0.332</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Dummy stakeholder</w:t>
            </w:r>
          </w:p>
        </w:tc>
        <w:tc>
          <w:tcPr>
            <w:tcW w:w="93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2208</w:t>
            </w:r>
          </w:p>
        </w:tc>
        <w:tc>
          <w:tcPr>
            <w:tcW w:w="95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0.398</w:t>
            </w:r>
          </w:p>
        </w:tc>
        <w:tc>
          <w:tcPr>
            <w:tcW w:w="94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0.490</w:t>
            </w:r>
          </w:p>
        </w:tc>
        <w:tc>
          <w:tcPr>
            <w:tcW w:w="941"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0.000</w:t>
            </w:r>
          </w:p>
        </w:tc>
        <w:tc>
          <w:tcPr>
            <w:tcW w:w="104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0.000</w:t>
            </w:r>
          </w:p>
        </w:tc>
        <w:tc>
          <w:tcPr>
            <w:tcW w:w="1053"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1339</w:t>
            </w:r>
          </w:p>
        </w:tc>
        <w:tc>
          <w:tcPr>
            <w:tcW w:w="96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0.364</w:t>
            </w:r>
          </w:p>
        </w:tc>
        <w:tc>
          <w:tcPr>
            <w:tcW w:w="98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0.481</w:t>
            </w: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869</w:t>
            </w:r>
          </w:p>
        </w:tc>
        <w:tc>
          <w:tcPr>
            <w:tcW w:w="965"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0.450</w:t>
            </w:r>
          </w:p>
        </w:tc>
        <w:tc>
          <w:tcPr>
            <w:tcW w:w="96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0.498</w:t>
            </w: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r w:rsidRPr="00812E8B">
              <w:rPr>
                <w:lang w:val="en-US"/>
              </w:rPr>
              <w:t>0.000</w:t>
            </w:r>
            <w:r w:rsidRPr="00812E8B">
              <w:rPr>
                <w:vertAlign w:val="superscript"/>
                <w:lang w:val="en-US"/>
              </w:rPr>
              <w:t>***</w:t>
            </w:r>
          </w:p>
        </w:tc>
      </w:tr>
      <w:tr w:rsidR="00634A7B" w:rsidRPr="00812E8B" w:rsidTr="004332CB">
        <w:trPr>
          <w:cnfStyle w:val="000000100000"/>
          <w:trHeight w:val="221"/>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Dummy government</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2208</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0.075</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0.263</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0.000</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0.000</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1339</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0.075</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0.263</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869</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0.075</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0.263</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0.992</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72"/>
              <w:rPr>
                <w:b w:val="0"/>
                <w:lang w:val="en-US"/>
              </w:rPr>
            </w:pPr>
            <w:r w:rsidRPr="00812E8B">
              <w:rPr>
                <w:b w:val="0"/>
                <w:lang w:val="en-US"/>
              </w:rPr>
              <w:t>Macroeconomic variables</w:t>
            </w:r>
          </w:p>
        </w:tc>
        <w:tc>
          <w:tcPr>
            <w:tcW w:w="934"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57"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47"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41"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104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1053"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64"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84"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65"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96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Real GDP growth</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2208</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1.333</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2.760</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1.800</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-7.600</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9.700</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1339</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2.447</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1.674</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869</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-0.383</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3.191</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0.000</w:t>
            </w:r>
            <w:r w:rsidRPr="00812E8B">
              <w:rPr>
                <w:vertAlign w:val="superscript"/>
                <w:lang w:val="en-US"/>
              </w:rPr>
              <w:t>***</w:t>
            </w:r>
          </w:p>
        </w:tc>
      </w:tr>
      <w:tr w:rsidR="00634A7B" w:rsidRPr="00812E8B" w:rsidTr="004332CB">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Effective tax rate</w:t>
            </w:r>
          </w:p>
        </w:tc>
        <w:tc>
          <w:tcPr>
            <w:tcW w:w="93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1860</w:t>
            </w:r>
          </w:p>
        </w:tc>
        <w:tc>
          <w:tcPr>
            <w:tcW w:w="95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22.278</w:t>
            </w:r>
          </w:p>
        </w:tc>
        <w:tc>
          <w:tcPr>
            <w:tcW w:w="947"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52.712</w:t>
            </w:r>
          </w:p>
        </w:tc>
        <w:tc>
          <w:tcPr>
            <w:tcW w:w="941"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24.065</w:t>
            </w:r>
          </w:p>
        </w:tc>
        <w:tc>
          <w:tcPr>
            <w:tcW w:w="104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-794.960</w:t>
            </w:r>
          </w:p>
        </w:tc>
        <w:tc>
          <w:tcPr>
            <w:tcW w:w="1053"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300.810</w:t>
            </w:r>
          </w:p>
        </w:tc>
        <w:tc>
          <w:tcPr>
            <w:tcW w:w="232"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679"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1104</w:t>
            </w:r>
          </w:p>
        </w:tc>
        <w:tc>
          <w:tcPr>
            <w:tcW w:w="96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23.010</w:t>
            </w:r>
          </w:p>
        </w:tc>
        <w:tc>
          <w:tcPr>
            <w:tcW w:w="984"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53.604</w:t>
            </w:r>
          </w:p>
        </w:tc>
        <w:tc>
          <w:tcPr>
            <w:tcW w:w="226" w:type="dxa"/>
            <w:shd w:val="clear" w:color="auto" w:fill="auto"/>
            <w:vAlign w:val="center"/>
          </w:tcPr>
          <w:p w:rsidR="00634A7B" w:rsidRPr="00812E8B" w:rsidRDefault="00634A7B" w:rsidP="004332CB">
            <w:pPr>
              <w:pStyle w:val="NoSpacing"/>
              <w:spacing w:line="276" w:lineRule="auto"/>
              <w:jc w:val="right"/>
              <w:cnfStyle w:val="000000000000"/>
              <w:rPr>
                <w:lang w:val="en-US"/>
              </w:rPr>
            </w:pPr>
          </w:p>
        </w:tc>
        <w:tc>
          <w:tcPr>
            <w:tcW w:w="742"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756</w:t>
            </w:r>
          </w:p>
        </w:tc>
        <w:tc>
          <w:tcPr>
            <w:tcW w:w="965"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21.210</w:t>
            </w:r>
          </w:p>
        </w:tc>
        <w:tc>
          <w:tcPr>
            <w:tcW w:w="966" w:type="dxa"/>
            <w:shd w:val="clear" w:color="auto" w:fill="auto"/>
            <w:vAlign w:val="center"/>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51.399</w:t>
            </w:r>
          </w:p>
        </w:tc>
        <w:tc>
          <w:tcPr>
            <w:tcW w:w="1495" w:type="dxa"/>
            <w:shd w:val="clear" w:color="auto" w:fill="auto"/>
            <w:vAlign w:val="center"/>
          </w:tcPr>
          <w:p w:rsidR="00634A7B" w:rsidRPr="00812E8B" w:rsidRDefault="00634A7B" w:rsidP="003828BD">
            <w:pPr>
              <w:pStyle w:val="NoSpacing"/>
              <w:spacing w:line="276" w:lineRule="auto"/>
              <w:ind w:left="375"/>
              <w:cnfStyle w:val="000000000000"/>
              <w:rPr>
                <w:lang w:val="en-US"/>
              </w:rPr>
            </w:pPr>
            <w:r w:rsidRPr="00812E8B">
              <w:rPr>
                <w:lang w:val="en-US"/>
              </w:rPr>
              <w:t>0.466</w:t>
            </w:r>
          </w:p>
        </w:tc>
      </w:tr>
      <w:tr w:rsidR="00634A7B" w:rsidRPr="00812E8B" w:rsidTr="004332CB">
        <w:trPr>
          <w:cnfStyle w:val="000000100000"/>
        </w:trPr>
        <w:tc>
          <w:tcPr>
            <w:cnfStyle w:val="001000000000"/>
            <w:tcW w:w="2880" w:type="dxa"/>
            <w:shd w:val="clear" w:color="auto" w:fill="auto"/>
            <w:vAlign w:val="bottom"/>
          </w:tcPr>
          <w:p w:rsidR="00634A7B" w:rsidRPr="00812E8B" w:rsidRDefault="00634A7B" w:rsidP="004332CB">
            <w:pPr>
              <w:pStyle w:val="NoSpacing"/>
              <w:spacing w:line="276" w:lineRule="auto"/>
              <w:ind w:left="252"/>
              <w:rPr>
                <w:b w:val="0"/>
                <w:lang w:val="en-US"/>
              </w:rPr>
            </w:pPr>
            <w:r w:rsidRPr="00812E8B">
              <w:rPr>
                <w:b w:val="0"/>
                <w:lang w:val="en-US"/>
              </w:rPr>
              <w:t>Term structure interest</w:t>
            </w:r>
          </w:p>
        </w:tc>
        <w:tc>
          <w:tcPr>
            <w:tcW w:w="93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2208</w:t>
            </w:r>
          </w:p>
        </w:tc>
        <w:tc>
          <w:tcPr>
            <w:tcW w:w="95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1.212</w:t>
            </w:r>
          </w:p>
        </w:tc>
        <w:tc>
          <w:tcPr>
            <w:tcW w:w="947"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0.813</w:t>
            </w:r>
          </w:p>
        </w:tc>
        <w:tc>
          <w:tcPr>
            <w:tcW w:w="941"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1.298</w:t>
            </w:r>
          </w:p>
        </w:tc>
        <w:tc>
          <w:tcPr>
            <w:tcW w:w="104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-0.117</w:t>
            </w:r>
          </w:p>
        </w:tc>
        <w:tc>
          <w:tcPr>
            <w:tcW w:w="1053"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2.324</w:t>
            </w:r>
          </w:p>
        </w:tc>
        <w:tc>
          <w:tcPr>
            <w:tcW w:w="232"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679"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1339</w:t>
            </w:r>
          </w:p>
        </w:tc>
        <w:tc>
          <w:tcPr>
            <w:tcW w:w="96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1.459</w:t>
            </w:r>
          </w:p>
        </w:tc>
        <w:tc>
          <w:tcPr>
            <w:tcW w:w="984"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0.425</w:t>
            </w:r>
          </w:p>
        </w:tc>
        <w:tc>
          <w:tcPr>
            <w:tcW w:w="226" w:type="dxa"/>
            <w:shd w:val="clear" w:color="auto" w:fill="auto"/>
            <w:vAlign w:val="center"/>
          </w:tcPr>
          <w:p w:rsidR="00634A7B" w:rsidRPr="00812E8B" w:rsidRDefault="00634A7B" w:rsidP="004332CB">
            <w:pPr>
              <w:pStyle w:val="NoSpacing"/>
              <w:spacing w:line="276" w:lineRule="auto"/>
              <w:jc w:val="right"/>
              <w:cnfStyle w:val="000000100000"/>
              <w:rPr>
                <w:lang w:val="en-US"/>
              </w:rPr>
            </w:pPr>
          </w:p>
        </w:tc>
        <w:tc>
          <w:tcPr>
            <w:tcW w:w="742"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869</w:t>
            </w:r>
          </w:p>
        </w:tc>
        <w:tc>
          <w:tcPr>
            <w:tcW w:w="965"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0.833</w:t>
            </w:r>
          </w:p>
        </w:tc>
        <w:tc>
          <w:tcPr>
            <w:tcW w:w="966" w:type="dxa"/>
            <w:shd w:val="clear" w:color="auto" w:fill="auto"/>
            <w:vAlign w:val="center"/>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1.079</w:t>
            </w:r>
          </w:p>
        </w:tc>
        <w:tc>
          <w:tcPr>
            <w:tcW w:w="1495" w:type="dxa"/>
            <w:shd w:val="clear" w:color="auto" w:fill="auto"/>
            <w:vAlign w:val="center"/>
          </w:tcPr>
          <w:p w:rsidR="00634A7B" w:rsidRPr="00812E8B" w:rsidRDefault="00634A7B" w:rsidP="003828BD">
            <w:pPr>
              <w:pStyle w:val="NoSpacing"/>
              <w:spacing w:line="276" w:lineRule="auto"/>
              <w:ind w:left="375"/>
              <w:cnfStyle w:val="000000100000"/>
              <w:rPr>
                <w:lang w:val="en-US"/>
              </w:rPr>
            </w:pPr>
            <w:r w:rsidRPr="00812E8B">
              <w:rPr>
                <w:lang w:val="en-US"/>
              </w:rPr>
              <w:t>0.000</w:t>
            </w:r>
            <w:r w:rsidRPr="00812E8B">
              <w:rPr>
                <w:vertAlign w:val="superscript"/>
                <w:lang w:val="en-US"/>
              </w:rPr>
              <w:t>***</w:t>
            </w:r>
          </w:p>
        </w:tc>
      </w:tr>
    </w:tbl>
    <w:p w:rsidR="00634A7B" w:rsidRPr="00812E8B" w:rsidRDefault="003828BD" w:rsidP="00B46A9C">
      <w:pPr>
        <w:pStyle w:val="NoSpacing"/>
        <w:spacing w:line="276" w:lineRule="auto"/>
        <w:ind w:left="-426" w:right="-930"/>
        <w:jc w:val="both"/>
        <w:rPr>
          <w:sz w:val="20"/>
          <w:szCs w:val="20"/>
          <w:lang w:val="en-US"/>
        </w:rPr>
      </w:pPr>
      <w:r w:rsidRPr="00812E8B">
        <w:rPr>
          <w:sz w:val="20"/>
          <w:szCs w:val="20"/>
          <w:lang w:val="en-US"/>
        </w:rPr>
        <w:t>The table reports the descriptive statistics for both the subsamples as the total sample. In the last column, the p-values of the Welch’s t-test of significant differences between the means of the two subsample are presented, for the complete results of this test see appendix V. The p</w:t>
      </w:r>
      <w:r w:rsidR="00634A7B" w:rsidRPr="00812E8B">
        <w:rPr>
          <w:sz w:val="20"/>
          <w:szCs w:val="20"/>
          <w:lang w:val="en-US"/>
        </w:rPr>
        <w:t xml:space="preserve">-values are market with </w:t>
      </w:r>
      <w:r w:rsidR="00634A7B" w:rsidRPr="00812E8B">
        <w:rPr>
          <w:sz w:val="20"/>
          <w:szCs w:val="20"/>
          <w:vertAlign w:val="superscript"/>
          <w:lang w:val="en-US"/>
        </w:rPr>
        <w:t>*</w:t>
      </w:r>
      <w:r w:rsidR="00634A7B" w:rsidRPr="00812E8B">
        <w:rPr>
          <w:sz w:val="20"/>
          <w:szCs w:val="20"/>
          <w:lang w:val="en-US"/>
        </w:rPr>
        <w:t xml:space="preserve">, </w:t>
      </w:r>
      <w:r w:rsidR="00634A7B" w:rsidRPr="00812E8B">
        <w:rPr>
          <w:sz w:val="20"/>
          <w:szCs w:val="20"/>
          <w:vertAlign w:val="superscript"/>
          <w:lang w:val="en-US"/>
        </w:rPr>
        <w:t xml:space="preserve">** </w:t>
      </w:r>
      <w:r w:rsidR="00634A7B" w:rsidRPr="00812E8B">
        <w:rPr>
          <w:sz w:val="20"/>
          <w:szCs w:val="20"/>
          <w:lang w:val="en-US"/>
        </w:rPr>
        <w:t xml:space="preserve">and </w:t>
      </w:r>
      <w:r w:rsidR="00634A7B" w:rsidRPr="00812E8B">
        <w:rPr>
          <w:sz w:val="20"/>
          <w:szCs w:val="20"/>
          <w:vertAlign w:val="superscript"/>
          <w:lang w:val="en-US"/>
        </w:rPr>
        <w:t>***</w:t>
      </w:r>
      <w:r w:rsidR="00634A7B" w:rsidRPr="00812E8B">
        <w:rPr>
          <w:sz w:val="20"/>
          <w:szCs w:val="20"/>
          <w:lang w:val="en-US"/>
        </w:rPr>
        <w:t xml:space="preserve"> representing significance</w:t>
      </w:r>
      <w:r w:rsidRPr="00812E8B">
        <w:rPr>
          <w:sz w:val="20"/>
          <w:szCs w:val="20"/>
          <w:lang w:val="en-US"/>
        </w:rPr>
        <w:t xml:space="preserve"> differences at a 90%, 95% and 99% confidence interval, respectively. </w:t>
      </w:r>
      <w:r w:rsidR="00634A7B" w:rsidRPr="00812E8B">
        <w:rPr>
          <w:sz w:val="20"/>
          <w:szCs w:val="20"/>
          <w:lang w:val="en-US"/>
        </w:rPr>
        <w:t>Since</w:t>
      </w:r>
      <w:r w:rsidRPr="00812E8B">
        <w:rPr>
          <w:sz w:val="20"/>
          <w:szCs w:val="20"/>
          <w:lang w:val="en-US"/>
        </w:rPr>
        <w:t xml:space="preserve"> the two-step system</w:t>
      </w:r>
      <w:r w:rsidR="00634A7B" w:rsidRPr="00812E8B">
        <w:rPr>
          <w:sz w:val="20"/>
          <w:szCs w:val="20"/>
          <w:lang w:val="en-US"/>
        </w:rPr>
        <w:t xml:space="preserve"> GMM</w:t>
      </w:r>
      <w:r w:rsidRPr="00812E8B">
        <w:rPr>
          <w:sz w:val="20"/>
          <w:szCs w:val="20"/>
          <w:lang w:val="en-US"/>
        </w:rPr>
        <w:t xml:space="preserve"> estimator </w:t>
      </w:r>
      <w:r w:rsidR="00634A7B" w:rsidRPr="00812E8B">
        <w:rPr>
          <w:sz w:val="20"/>
          <w:szCs w:val="20"/>
          <w:lang w:val="en-US"/>
        </w:rPr>
        <w:t>makes no assumptions about the distribution of the variables, the table does not report the Jarque-Bera normality test nor the kurtosis or skewness of the variables.</w:t>
      </w:r>
    </w:p>
    <w:p w:rsidR="00634A7B" w:rsidRPr="00812E8B" w:rsidRDefault="00634A7B" w:rsidP="00634A7B">
      <w:pPr>
        <w:jc w:val="both"/>
        <w:rPr>
          <w:sz w:val="20"/>
          <w:szCs w:val="20"/>
          <w:lang w:val="en-US"/>
        </w:rPr>
        <w:sectPr w:rsidR="00634A7B" w:rsidRPr="00812E8B" w:rsidSect="003828BD">
          <w:headerReference w:type="first" r:id="rId25"/>
          <w:endnotePr>
            <w:numFmt w:val="decimal"/>
          </w:endnotePr>
          <w:pgSz w:w="16838" w:h="11906" w:orient="landscape"/>
          <w:pgMar w:top="1560" w:right="1417" w:bottom="1170" w:left="900" w:header="708" w:footer="708" w:gutter="0"/>
          <w:cols w:space="708"/>
          <w:titlePg/>
          <w:docGrid w:linePitch="360"/>
        </w:sectPr>
      </w:pPr>
    </w:p>
    <w:p w:rsidR="00634A7B" w:rsidRPr="00812E8B" w:rsidRDefault="00B035B3" w:rsidP="00634A7B">
      <w:pPr>
        <w:pStyle w:val="NoSpacing"/>
        <w:tabs>
          <w:tab w:val="left" w:pos="3740"/>
        </w:tabs>
        <w:spacing w:line="276" w:lineRule="auto"/>
        <w:jc w:val="both"/>
        <w:rPr>
          <w:lang w:val="en-US"/>
        </w:rPr>
      </w:pPr>
      <w:r w:rsidRPr="00812E8B">
        <w:rPr>
          <w:lang w:val="en-US"/>
        </w:rPr>
        <w:lastRenderedPageBreak/>
        <w:t xml:space="preserve">is significant variation in concentration of the banking sectors. The most concentrated banking sectors are found in The Netherlands and Belgium with average HH-index of 1846 and 1890 respectively. Unsurprisingly, the least concentrated banking sector is found in Germany with an </w:t>
      </w:r>
      <w:r w:rsidR="00634A7B" w:rsidRPr="00812E8B">
        <w:rPr>
          <w:lang w:val="en-US"/>
        </w:rPr>
        <w:t xml:space="preserve">average HH-index of 176. In this country, there are many regional independent banks in the banking sector implying a lower sum of </w:t>
      </w:r>
      <w:r w:rsidR="00AA3770" w:rsidRPr="00812E8B">
        <w:rPr>
          <w:lang w:val="en-US"/>
        </w:rPr>
        <w:t xml:space="preserve">all </w:t>
      </w:r>
      <w:r w:rsidR="00634A7B" w:rsidRPr="00812E8B">
        <w:rPr>
          <w:lang w:val="en-US"/>
        </w:rPr>
        <w:t>square</w:t>
      </w:r>
      <w:r w:rsidR="00AA3770" w:rsidRPr="00812E8B">
        <w:rPr>
          <w:lang w:val="en-US"/>
        </w:rPr>
        <w:t>d</w:t>
      </w:r>
      <w:r w:rsidR="00634A7B" w:rsidRPr="00812E8B">
        <w:rPr>
          <w:lang w:val="en-US"/>
        </w:rPr>
        <w:t xml:space="preserve"> market shares.</w:t>
      </w:r>
    </w:p>
    <w:p w:rsidR="00634A7B" w:rsidRPr="00812E8B" w:rsidRDefault="00634A7B" w:rsidP="00634A7B">
      <w:pPr>
        <w:pStyle w:val="NoSpacing"/>
        <w:tabs>
          <w:tab w:val="left" w:pos="3740"/>
        </w:tabs>
        <w:spacing w:line="276" w:lineRule="auto"/>
        <w:jc w:val="both"/>
        <w:rPr>
          <w:lang w:val="en-US"/>
        </w:rPr>
      </w:pPr>
    </w:p>
    <w:p w:rsidR="00634A7B" w:rsidRPr="00812E8B" w:rsidRDefault="00634A7B" w:rsidP="00634A7B">
      <w:pPr>
        <w:pStyle w:val="NoSpacing"/>
        <w:tabs>
          <w:tab w:val="left" w:pos="3740"/>
        </w:tabs>
        <w:spacing w:line="276" w:lineRule="auto"/>
        <w:jc w:val="both"/>
        <w:rPr>
          <w:lang w:val="en-US"/>
        </w:rPr>
      </w:pPr>
      <w:r w:rsidRPr="00812E8B">
        <w:rPr>
          <w:lang w:val="en-US"/>
        </w:rPr>
        <w:t>Moreover, table 4 also report descriptive statistics for the two subsamples, pre-crisis and crisis. These subsamples are used to test whether the financial crisis has an impact on the determinants of banks’ profitability. In the last column of the table the</w:t>
      </w:r>
      <w:r w:rsidR="001267A5" w:rsidRPr="00812E8B">
        <w:rPr>
          <w:lang w:val="en-US"/>
        </w:rPr>
        <w:t xml:space="preserve"> Welch’s</w:t>
      </w:r>
      <w:r w:rsidRPr="00812E8B">
        <w:rPr>
          <w:lang w:val="en-US"/>
        </w:rPr>
        <w:t xml:space="preserve"> t-test of mean differences between the subsamples is presented, these t-test are based on the assumption of unequal variances between the two periods</w:t>
      </w:r>
      <w:r w:rsidR="001267A5" w:rsidRPr="00812E8B">
        <w:rPr>
          <w:lang w:val="en-US"/>
        </w:rPr>
        <w:t xml:space="preserve"> (see also appendix </w:t>
      </w:r>
      <w:r w:rsidR="00B46A9C" w:rsidRPr="00812E8B">
        <w:rPr>
          <w:lang w:val="en-US"/>
        </w:rPr>
        <w:t>I</w:t>
      </w:r>
      <w:r w:rsidR="001267A5" w:rsidRPr="00812E8B">
        <w:rPr>
          <w:lang w:val="en-US"/>
        </w:rPr>
        <w:t>V)</w:t>
      </w:r>
      <w:r w:rsidRPr="00812E8B">
        <w:rPr>
          <w:lang w:val="en-US"/>
        </w:rPr>
        <w:t xml:space="preserve">. As expected, the profitability measure is significantly lower during the crisis than before the crisis, as indicated by the p-value of 0.000.  Between 2000 and 2005, ROAA equals 0.486 and while between 2007 and 2009 the average of ROAA equals 0.283. Besides, the variation in the profitability measure is substantially larger during the crisis than before the crisis, indicated by the higher stand deviations and the higher difference between the mean and median values (not reported here). </w:t>
      </w:r>
    </w:p>
    <w:p w:rsidR="00634A7B" w:rsidRPr="00812E8B" w:rsidRDefault="00634A7B" w:rsidP="00634A7B">
      <w:pPr>
        <w:pStyle w:val="NoSpacing"/>
        <w:tabs>
          <w:tab w:val="left" w:pos="3740"/>
        </w:tabs>
        <w:spacing w:line="276" w:lineRule="auto"/>
        <w:jc w:val="both"/>
        <w:rPr>
          <w:lang w:val="en-US"/>
        </w:rPr>
      </w:pPr>
    </w:p>
    <w:p w:rsidR="00634A7B" w:rsidRPr="00812E8B" w:rsidRDefault="00634A7B" w:rsidP="00634A7B">
      <w:pPr>
        <w:pStyle w:val="NoSpacing"/>
        <w:tabs>
          <w:tab w:val="left" w:pos="3740"/>
        </w:tabs>
        <w:spacing w:line="276" w:lineRule="auto"/>
        <w:jc w:val="both"/>
        <w:rPr>
          <w:lang w:val="en-US"/>
        </w:rPr>
      </w:pPr>
      <w:r w:rsidRPr="00812E8B">
        <w:rPr>
          <w:lang w:val="en-US"/>
        </w:rPr>
        <w:t xml:space="preserve">An interesting observation, within the bank-specific variables, is that the mean of the </w:t>
      </w:r>
      <w:r w:rsidR="00335EFC" w:rsidRPr="00812E8B">
        <w:rPr>
          <w:lang w:val="en-US"/>
        </w:rPr>
        <w:t>equity-to-asset ratio</w:t>
      </w:r>
      <w:r w:rsidRPr="00812E8B">
        <w:rPr>
          <w:lang w:val="en-US"/>
        </w:rPr>
        <w:t xml:space="preserve"> is significantly higher during the financial crisis than before, 5.447 percent against 5.072. It is rather surprising that the </w:t>
      </w:r>
      <w:r w:rsidR="00335EFC" w:rsidRPr="00812E8B">
        <w:rPr>
          <w:lang w:val="en-US"/>
        </w:rPr>
        <w:t>equity-to-asset ratio</w:t>
      </w:r>
      <w:r w:rsidRPr="00812E8B">
        <w:rPr>
          <w:lang w:val="en-US"/>
        </w:rPr>
        <w:t xml:space="preserve"> is higher whilst one could expect that banks face more problems in raising equity capital in stressed markets and one could expect that the </w:t>
      </w:r>
      <w:r w:rsidR="00F45869" w:rsidRPr="00812E8B">
        <w:rPr>
          <w:lang w:val="en-US"/>
        </w:rPr>
        <w:t>yearly-retained</w:t>
      </w:r>
      <w:r w:rsidRPr="00812E8B">
        <w:rPr>
          <w:lang w:val="en-US"/>
        </w:rPr>
        <w:t xml:space="preserve"> earnings are lower due to the lower profitability. The higher </w:t>
      </w:r>
      <w:r w:rsidR="00335EFC" w:rsidRPr="00812E8B">
        <w:rPr>
          <w:lang w:val="en-US"/>
        </w:rPr>
        <w:t>equity-to-asset ratio</w:t>
      </w:r>
      <w:r w:rsidRPr="00812E8B">
        <w:rPr>
          <w:lang w:val="en-US"/>
        </w:rPr>
        <w:t xml:space="preserve"> could be caused by the increasing market focus and pressure on capital adequacy. Besides, it could also be triggered by the lar</w:t>
      </w:r>
      <w:r w:rsidR="00AA3770" w:rsidRPr="00812E8B">
        <w:rPr>
          <w:lang w:val="en-US"/>
        </w:rPr>
        <w:t xml:space="preserve">ge amount of government support, in terms of equity, </w:t>
      </w:r>
      <w:r w:rsidRPr="00812E8B">
        <w:rPr>
          <w:lang w:val="en-US"/>
        </w:rPr>
        <w:t>that was given to the European banks to enhance capital adequacy. Moreover, the</w:t>
      </w:r>
      <w:r w:rsidR="00AA3770" w:rsidRPr="00812E8B">
        <w:rPr>
          <w:lang w:val="en-US"/>
        </w:rPr>
        <w:t xml:space="preserve"> loan</w:t>
      </w:r>
      <w:r w:rsidRPr="00812E8B">
        <w:rPr>
          <w:lang w:val="en-US"/>
        </w:rPr>
        <w:t xml:space="preserve"> loss provision to gross income revenue differs significantly and substantial between the two periods, indicating by the difference in the mean and median value of the two subsamples and by the p-value of the t-test of mean differences. During the crisis, the</w:t>
      </w:r>
      <w:r w:rsidR="00AA3770" w:rsidRPr="00812E8B">
        <w:rPr>
          <w:lang w:val="en-US"/>
        </w:rPr>
        <w:t xml:space="preserve"> loan</w:t>
      </w:r>
      <w:r w:rsidRPr="00812E8B">
        <w:rPr>
          <w:lang w:val="en-US"/>
        </w:rPr>
        <w:t xml:space="preserve"> loss provisions are significantly higher than before the crisis probably representing the large write-offs on non-repayable loans. For the other bank-variables, the differences between the average observations in the two sub periods do not significantly differ. Mostly, these variables relate to the balance s</w:t>
      </w:r>
      <w:r w:rsidR="00AA3770" w:rsidRPr="00812E8B">
        <w:rPr>
          <w:lang w:val="en-US"/>
        </w:rPr>
        <w:t xml:space="preserve">heet structure or business model. These variables </w:t>
      </w:r>
      <w:r w:rsidRPr="00812E8B">
        <w:rPr>
          <w:lang w:val="en-US"/>
        </w:rPr>
        <w:t xml:space="preserve">cannot be changed immediately, restructuring the balance sheet structure take some time and are restrained by market conditions and regulation.  </w:t>
      </w:r>
    </w:p>
    <w:p w:rsidR="00634A7B" w:rsidRPr="00812E8B" w:rsidRDefault="00634A7B" w:rsidP="00634A7B">
      <w:pPr>
        <w:pStyle w:val="NoSpacing"/>
        <w:tabs>
          <w:tab w:val="left" w:pos="3740"/>
        </w:tabs>
        <w:spacing w:line="276" w:lineRule="auto"/>
        <w:jc w:val="both"/>
        <w:rPr>
          <w:lang w:val="en-US"/>
        </w:rPr>
      </w:pPr>
    </w:p>
    <w:p w:rsidR="00634A7B" w:rsidRPr="00812E8B" w:rsidRDefault="00634A7B" w:rsidP="00634A7B">
      <w:pPr>
        <w:pStyle w:val="NoSpacing"/>
        <w:tabs>
          <w:tab w:val="left" w:pos="3740"/>
        </w:tabs>
        <w:spacing w:line="276" w:lineRule="auto"/>
        <w:jc w:val="both"/>
        <w:rPr>
          <w:lang w:val="en-US"/>
        </w:rPr>
      </w:pPr>
      <w:r w:rsidRPr="00812E8B">
        <w:rPr>
          <w:lang w:val="en-US"/>
        </w:rPr>
        <w:t xml:space="preserve">Within the industry-specific variables, there is a significant difference in the mean of the HH-index before the crisis and during the crisis. The average HH-index is significantly higher during the crisis; it could reflect the consolidation process in the European banking sector over the last decade, as is described in chapter two. During the last decade, many small banks were taken over by large financial conglomerates causing the increased concentration in the banking sector. </w:t>
      </w:r>
      <w:r w:rsidR="00AA3770" w:rsidRPr="00812E8B">
        <w:rPr>
          <w:lang w:val="en-US"/>
        </w:rPr>
        <w:t>Furthermore,</w:t>
      </w:r>
      <w:r w:rsidRPr="00812E8B">
        <w:rPr>
          <w:lang w:val="en-US"/>
        </w:rPr>
        <w:t xml:space="preserve"> the GDP growth is significantly lower during the financial crisis than before. Finally, the mean value of the term structure of interest rate is also substantially lower during the crisis than before the crisis. The proxy indicates a flatter yield curve during the crisis than before the crisis.</w:t>
      </w:r>
    </w:p>
    <w:p w:rsidR="00C91212" w:rsidRPr="00812E8B" w:rsidRDefault="00C91212" w:rsidP="00634A7B">
      <w:pPr>
        <w:pStyle w:val="NoSpacing"/>
        <w:tabs>
          <w:tab w:val="left" w:pos="3740"/>
        </w:tabs>
        <w:spacing w:line="276" w:lineRule="auto"/>
        <w:jc w:val="both"/>
        <w:rPr>
          <w:lang w:val="en-US"/>
        </w:rPr>
        <w:sectPr w:rsidR="00C91212" w:rsidRPr="00812E8B" w:rsidSect="00B25C83">
          <w:headerReference w:type="first" r:id="rId26"/>
          <w:endnotePr>
            <w:numFmt w:val="decimal"/>
          </w:endnotePr>
          <w:pgSz w:w="11906" w:h="16838"/>
          <w:pgMar w:top="1417" w:right="1417" w:bottom="1260" w:left="1417" w:header="708" w:footer="708" w:gutter="0"/>
          <w:cols w:space="708"/>
          <w:titlePg/>
          <w:docGrid w:linePitch="360"/>
        </w:sectPr>
      </w:pPr>
    </w:p>
    <w:p w:rsidR="00634A7B" w:rsidRPr="00812E8B" w:rsidRDefault="00634A7B" w:rsidP="00634A7B">
      <w:pPr>
        <w:rPr>
          <w:lang w:val="en-US"/>
        </w:rPr>
      </w:pPr>
    </w:p>
    <w:p w:rsidR="00634A7B" w:rsidRPr="00812E8B" w:rsidRDefault="00634A7B" w:rsidP="00634A7B">
      <w:pPr>
        <w:pStyle w:val="Caption"/>
        <w:tabs>
          <w:tab w:val="left" w:pos="720"/>
        </w:tabs>
        <w:ind w:left="-270"/>
        <w:rPr>
          <w:b w:val="0"/>
          <w:color w:val="auto"/>
          <w:lang w:val="en-US"/>
        </w:rPr>
      </w:pPr>
      <w:bookmarkStart w:id="35" w:name="_Toc305410557"/>
      <w:r w:rsidRPr="00812E8B">
        <w:rPr>
          <w:lang w:val="en-US"/>
        </w:rPr>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5</w:t>
      </w:r>
      <w:r w:rsidR="00D46A7F" w:rsidRPr="00812E8B">
        <w:rPr>
          <w:lang w:val="en-US"/>
        </w:rPr>
        <w:fldChar w:fldCharType="end"/>
      </w:r>
      <w:r w:rsidRPr="00812E8B">
        <w:rPr>
          <w:lang w:val="en-US"/>
        </w:rPr>
        <w:t xml:space="preserve"> </w:t>
      </w:r>
      <w:r w:rsidRPr="00812E8B">
        <w:rPr>
          <w:lang w:val="en-US"/>
        </w:rPr>
        <w:br/>
      </w:r>
      <w:r w:rsidRPr="00812E8B">
        <w:rPr>
          <w:b w:val="0"/>
          <w:color w:val="auto"/>
          <w:lang w:val="en-US"/>
        </w:rPr>
        <w:t>Correlation matrix of dependent and independent variables</w:t>
      </w:r>
      <w:bookmarkEnd w:id="35"/>
    </w:p>
    <w:p w:rsidR="00634A7B" w:rsidRPr="00812E8B" w:rsidRDefault="00634A7B" w:rsidP="00634A7B">
      <w:pPr>
        <w:pStyle w:val="NoSpacing"/>
        <w:spacing w:line="276" w:lineRule="auto"/>
        <w:jc w:val="both"/>
        <w:rPr>
          <w:sz w:val="16"/>
          <w:szCs w:val="16"/>
          <w:lang w:val="en-US"/>
        </w:rPr>
      </w:pPr>
    </w:p>
    <w:tbl>
      <w:tblPr>
        <w:tblStyle w:val="Lichtearcering1"/>
        <w:tblW w:w="14749" w:type="dxa"/>
        <w:tblInd w:w="-252" w:type="dxa"/>
        <w:tblLayout w:type="fixed"/>
        <w:tblLook w:val="04A0"/>
      </w:tblPr>
      <w:tblGrid>
        <w:gridCol w:w="1620"/>
        <w:gridCol w:w="820"/>
        <w:gridCol w:w="820"/>
        <w:gridCol w:w="821"/>
        <w:gridCol w:w="820"/>
        <w:gridCol w:w="821"/>
        <w:gridCol w:w="821"/>
        <w:gridCol w:w="820"/>
        <w:gridCol w:w="821"/>
        <w:gridCol w:w="820"/>
        <w:gridCol w:w="821"/>
        <w:gridCol w:w="821"/>
        <w:gridCol w:w="820"/>
        <w:gridCol w:w="821"/>
        <w:gridCol w:w="820"/>
        <w:gridCol w:w="821"/>
        <w:gridCol w:w="821"/>
      </w:tblGrid>
      <w:tr w:rsidR="00634A7B" w:rsidRPr="00812E8B" w:rsidTr="004332CB">
        <w:trPr>
          <w:cnfStyle w:val="100000000000"/>
          <w:trHeight w:val="537"/>
        </w:trPr>
        <w:tc>
          <w:tcPr>
            <w:cnfStyle w:val="001000000000"/>
            <w:tcW w:w="1620" w:type="dxa"/>
            <w:tcBorders>
              <w:top w:val="single" w:sz="4" w:space="0" w:color="auto"/>
              <w:bottom w:val="single" w:sz="4" w:space="0" w:color="auto"/>
            </w:tcBorders>
            <w:shd w:val="clear" w:color="auto" w:fill="auto"/>
          </w:tcPr>
          <w:p w:rsidR="00634A7B" w:rsidRPr="00812E8B" w:rsidRDefault="00634A7B" w:rsidP="004332CB">
            <w:pPr>
              <w:rPr>
                <w:sz w:val="20"/>
                <w:szCs w:val="20"/>
                <w:lang w:val="en-US"/>
              </w:rPr>
            </w:pPr>
          </w:p>
        </w:tc>
        <w:tc>
          <w:tcPr>
            <w:tcW w:w="820" w:type="dxa"/>
            <w:tcBorders>
              <w:top w:val="single" w:sz="4" w:space="0" w:color="auto"/>
              <w:bottom w:val="single" w:sz="4" w:space="0" w:color="auto"/>
            </w:tcBorders>
            <w:shd w:val="clear" w:color="auto" w:fill="auto"/>
          </w:tcPr>
          <w:p w:rsidR="00634A7B" w:rsidRPr="00812E8B" w:rsidRDefault="00634A7B" w:rsidP="004332CB">
            <w:pPr>
              <w:jc w:val="center"/>
              <w:cnfStyle w:val="100000000000"/>
              <w:rPr>
                <w:b w:val="0"/>
                <w:sz w:val="20"/>
                <w:szCs w:val="20"/>
                <w:lang w:val="en-US"/>
              </w:rPr>
            </w:pPr>
            <w:r w:rsidRPr="00812E8B">
              <w:rPr>
                <w:b w:val="0"/>
                <w:sz w:val="20"/>
                <w:szCs w:val="20"/>
                <w:lang w:val="en-US"/>
              </w:rPr>
              <w:t>ROAA</w:t>
            </w:r>
          </w:p>
        </w:tc>
        <w:tc>
          <w:tcPr>
            <w:tcW w:w="820" w:type="dxa"/>
            <w:shd w:val="clear" w:color="auto" w:fill="auto"/>
          </w:tcPr>
          <w:p w:rsidR="00634A7B" w:rsidRPr="00812E8B" w:rsidRDefault="00634A7B" w:rsidP="004332CB">
            <w:pPr>
              <w:ind w:left="-108" w:right="-108"/>
              <w:jc w:val="center"/>
              <w:cnfStyle w:val="100000000000"/>
              <w:rPr>
                <w:b w:val="0"/>
                <w:sz w:val="20"/>
                <w:szCs w:val="20"/>
                <w:lang w:val="en-US"/>
              </w:rPr>
            </w:pPr>
            <w:r w:rsidRPr="00812E8B">
              <w:rPr>
                <w:b w:val="0"/>
                <w:sz w:val="20"/>
                <w:szCs w:val="20"/>
                <w:lang w:val="en-US"/>
              </w:rPr>
              <w:t>EQUITY/ ASSETS</w:t>
            </w:r>
          </w:p>
        </w:tc>
        <w:tc>
          <w:tcPr>
            <w:tcW w:w="821" w:type="dxa"/>
            <w:shd w:val="clear" w:color="auto" w:fill="auto"/>
          </w:tcPr>
          <w:p w:rsidR="00634A7B" w:rsidRPr="00812E8B" w:rsidRDefault="00634A7B" w:rsidP="004332CB">
            <w:pPr>
              <w:jc w:val="center"/>
              <w:cnfStyle w:val="100000000000"/>
              <w:rPr>
                <w:b w:val="0"/>
                <w:sz w:val="20"/>
                <w:szCs w:val="20"/>
                <w:lang w:val="en-US"/>
              </w:rPr>
            </w:pPr>
            <w:r w:rsidRPr="00812E8B">
              <w:rPr>
                <w:b w:val="0"/>
                <w:sz w:val="20"/>
                <w:szCs w:val="20"/>
                <w:lang w:val="en-US"/>
              </w:rPr>
              <w:t xml:space="preserve">  DEP/</w:t>
            </w:r>
          </w:p>
          <w:p w:rsidR="00634A7B" w:rsidRPr="00812E8B" w:rsidRDefault="00634A7B" w:rsidP="004332CB">
            <w:pPr>
              <w:ind w:left="-198" w:right="-198"/>
              <w:jc w:val="center"/>
              <w:cnfStyle w:val="100000000000"/>
              <w:rPr>
                <w:b w:val="0"/>
                <w:sz w:val="20"/>
                <w:szCs w:val="20"/>
                <w:lang w:val="en-US"/>
              </w:rPr>
            </w:pPr>
            <w:r w:rsidRPr="00812E8B">
              <w:rPr>
                <w:b w:val="0"/>
                <w:sz w:val="20"/>
                <w:szCs w:val="20"/>
                <w:lang w:val="en-US"/>
              </w:rPr>
              <w:t>FUNDING</w:t>
            </w:r>
          </w:p>
        </w:tc>
        <w:tc>
          <w:tcPr>
            <w:tcW w:w="820" w:type="dxa"/>
            <w:shd w:val="clear" w:color="auto" w:fill="auto"/>
          </w:tcPr>
          <w:p w:rsidR="00634A7B" w:rsidRPr="00812E8B" w:rsidRDefault="00634A7B" w:rsidP="004332CB">
            <w:pPr>
              <w:jc w:val="center"/>
              <w:cnfStyle w:val="100000000000"/>
              <w:rPr>
                <w:b w:val="0"/>
                <w:sz w:val="20"/>
                <w:szCs w:val="20"/>
                <w:lang w:val="en-US"/>
              </w:rPr>
            </w:pPr>
            <w:r w:rsidRPr="00812E8B">
              <w:rPr>
                <w:b w:val="0"/>
                <w:sz w:val="20"/>
                <w:szCs w:val="20"/>
                <w:lang w:val="en-US"/>
              </w:rPr>
              <w:t>LOSS/ REV</w:t>
            </w:r>
          </w:p>
        </w:tc>
        <w:tc>
          <w:tcPr>
            <w:tcW w:w="821" w:type="dxa"/>
            <w:shd w:val="clear" w:color="auto" w:fill="auto"/>
          </w:tcPr>
          <w:p w:rsidR="00634A7B" w:rsidRPr="00812E8B" w:rsidRDefault="00634A7B" w:rsidP="004332CB">
            <w:pPr>
              <w:jc w:val="center"/>
              <w:cnfStyle w:val="100000000000"/>
              <w:rPr>
                <w:b w:val="0"/>
                <w:sz w:val="20"/>
                <w:szCs w:val="20"/>
                <w:lang w:val="en-US"/>
              </w:rPr>
            </w:pPr>
            <w:r w:rsidRPr="00812E8B">
              <w:rPr>
                <w:b w:val="0"/>
                <w:sz w:val="20"/>
                <w:szCs w:val="20"/>
                <w:lang w:val="en-US"/>
              </w:rPr>
              <w:t>LIQ/ FUND</w:t>
            </w:r>
          </w:p>
        </w:tc>
        <w:tc>
          <w:tcPr>
            <w:tcW w:w="821" w:type="dxa"/>
            <w:shd w:val="clear" w:color="auto" w:fill="auto"/>
          </w:tcPr>
          <w:p w:rsidR="00634A7B" w:rsidRPr="00812E8B" w:rsidRDefault="00634A7B" w:rsidP="004332CB">
            <w:pPr>
              <w:ind w:left="-133" w:right="-44"/>
              <w:jc w:val="center"/>
              <w:cnfStyle w:val="100000000000"/>
              <w:rPr>
                <w:b w:val="0"/>
                <w:sz w:val="20"/>
                <w:szCs w:val="20"/>
                <w:lang w:val="en-US"/>
              </w:rPr>
            </w:pPr>
            <w:r w:rsidRPr="00812E8B">
              <w:rPr>
                <w:b w:val="0"/>
                <w:sz w:val="20"/>
                <w:szCs w:val="20"/>
                <w:lang w:val="en-US"/>
              </w:rPr>
              <w:t>FUND COST</w:t>
            </w:r>
          </w:p>
        </w:tc>
        <w:tc>
          <w:tcPr>
            <w:tcW w:w="820" w:type="dxa"/>
            <w:shd w:val="clear" w:color="auto" w:fill="auto"/>
          </w:tcPr>
          <w:p w:rsidR="00634A7B" w:rsidRPr="00812E8B" w:rsidRDefault="00634A7B" w:rsidP="004332CB">
            <w:pPr>
              <w:tabs>
                <w:tab w:val="left" w:pos="352"/>
              </w:tabs>
              <w:ind w:left="-92" w:right="-134"/>
              <w:jc w:val="center"/>
              <w:cnfStyle w:val="100000000000"/>
              <w:rPr>
                <w:b w:val="0"/>
                <w:sz w:val="20"/>
                <w:szCs w:val="20"/>
                <w:lang w:val="en-US"/>
              </w:rPr>
            </w:pPr>
            <w:r w:rsidRPr="00812E8B">
              <w:rPr>
                <w:b w:val="0"/>
                <w:sz w:val="20"/>
                <w:szCs w:val="20"/>
                <w:lang w:val="en-US"/>
              </w:rPr>
              <w:t>NON- INT EXPENSE</w:t>
            </w:r>
          </w:p>
        </w:tc>
        <w:tc>
          <w:tcPr>
            <w:tcW w:w="821" w:type="dxa"/>
            <w:shd w:val="clear" w:color="auto" w:fill="auto"/>
          </w:tcPr>
          <w:p w:rsidR="00634A7B" w:rsidRPr="00812E8B" w:rsidRDefault="00634A7B" w:rsidP="004332CB">
            <w:pPr>
              <w:ind w:left="-108" w:right="-115"/>
              <w:jc w:val="center"/>
              <w:cnfStyle w:val="100000000000"/>
              <w:rPr>
                <w:b w:val="0"/>
                <w:sz w:val="20"/>
                <w:szCs w:val="20"/>
                <w:lang w:val="en-US"/>
              </w:rPr>
            </w:pPr>
            <w:r w:rsidRPr="00812E8B">
              <w:rPr>
                <w:b w:val="0"/>
                <w:sz w:val="20"/>
                <w:szCs w:val="20"/>
                <w:lang w:val="en-US"/>
              </w:rPr>
              <w:t>COST/ INCOME</w:t>
            </w:r>
          </w:p>
        </w:tc>
        <w:tc>
          <w:tcPr>
            <w:tcW w:w="820" w:type="dxa"/>
            <w:shd w:val="clear" w:color="auto" w:fill="auto"/>
          </w:tcPr>
          <w:p w:rsidR="00634A7B" w:rsidRPr="00812E8B" w:rsidRDefault="00634A7B" w:rsidP="004332CB">
            <w:pPr>
              <w:ind w:left="-153" w:right="-156"/>
              <w:jc w:val="center"/>
              <w:cnfStyle w:val="100000000000"/>
              <w:rPr>
                <w:b w:val="0"/>
                <w:sz w:val="20"/>
                <w:szCs w:val="20"/>
                <w:lang w:val="en-US"/>
              </w:rPr>
            </w:pPr>
            <w:r w:rsidRPr="00812E8B">
              <w:rPr>
                <w:b w:val="0"/>
                <w:sz w:val="20"/>
                <w:szCs w:val="20"/>
                <w:lang w:val="en-US"/>
              </w:rPr>
              <w:t>BANK GROWTH</w:t>
            </w:r>
          </w:p>
        </w:tc>
        <w:tc>
          <w:tcPr>
            <w:tcW w:w="821" w:type="dxa"/>
            <w:shd w:val="clear" w:color="auto" w:fill="auto"/>
          </w:tcPr>
          <w:p w:rsidR="00634A7B" w:rsidRPr="00812E8B" w:rsidRDefault="00634A7B" w:rsidP="004332CB">
            <w:pPr>
              <w:jc w:val="center"/>
              <w:cnfStyle w:val="100000000000"/>
              <w:rPr>
                <w:b w:val="0"/>
                <w:sz w:val="20"/>
                <w:szCs w:val="20"/>
                <w:lang w:val="en-US"/>
              </w:rPr>
            </w:pPr>
            <w:r w:rsidRPr="00812E8B">
              <w:rPr>
                <w:b w:val="0"/>
                <w:sz w:val="20"/>
                <w:szCs w:val="20"/>
                <w:lang w:val="en-US"/>
              </w:rPr>
              <w:t>HH-index</w:t>
            </w:r>
          </w:p>
        </w:tc>
        <w:tc>
          <w:tcPr>
            <w:tcW w:w="821" w:type="dxa"/>
            <w:shd w:val="clear" w:color="auto" w:fill="auto"/>
          </w:tcPr>
          <w:p w:rsidR="00634A7B" w:rsidRPr="00812E8B" w:rsidRDefault="00634A7B" w:rsidP="004332CB">
            <w:pPr>
              <w:ind w:right="-108"/>
              <w:jc w:val="center"/>
              <w:cnfStyle w:val="100000000000"/>
              <w:rPr>
                <w:b w:val="0"/>
                <w:sz w:val="20"/>
                <w:szCs w:val="20"/>
                <w:lang w:val="en-US"/>
              </w:rPr>
            </w:pPr>
            <w:r w:rsidRPr="00812E8B">
              <w:rPr>
                <w:b w:val="0"/>
                <w:sz w:val="20"/>
                <w:szCs w:val="20"/>
                <w:lang w:val="en-US"/>
              </w:rPr>
              <w:t>LN ASSETS</w:t>
            </w:r>
          </w:p>
        </w:tc>
        <w:tc>
          <w:tcPr>
            <w:tcW w:w="820" w:type="dxa"/>
            <w:shd w:val="clear" w:color="auto" w:fill="auto"/>
          </w:tcPr>
          <w:p w:rsidR="00634A7B" w:rsidRPr="00812E8B" w:rsidRDefault="00634A7B" w:rsidP="004332CB">
            <w:pPr>
              <w:ind w:right="-108"/>
              <w:jc w:val="center"/>
              <w:cnfStyle w:val="100000000000"/>
              <w:rPr>
                <w:b w:val="0"/>
                <w:sz w:val="20"/>
                <w:szCs w:val="20"/>
                <w:lang w:val="en-US"/>
              </w:rPr>
            </w:pPr>
            <w:r w:rsidRPr="00812E8B">
              <w:rPr>
                <w:b w:val="0"/>
                <w:sz w:val="20"/>
                <w:szCs w:val="20"/>
                <w:lang w:val="en-US"/>
              </w:rPr>
              <w:t>STAKE-HOLDER</w:t>
            </w:r>
          </w:p>
        </w:tc>
        <w:tc>
          <w:tcPr>
            <w:tcW w:w="821" w:type="dxa"/>
            <w:shd w:val="clear" w:color="auto" w:fill="auto"/>
          </w:tcPr>
          <w:p w:rsidR="00634A7B" w:rsidRPr="00812E8B" w:rsidRDefault="00634A7B" w:rsidP="004332CB">
            <w:pPr>
              <w:ind w:right="-98"/>
              <w:jc w:val="center"/>
              <w:cnfStyle w:val="100000000000"/>
              <w:rPr>
                <w:b w:val="0"/>
                <w:sz w:val="20"/>
                <w:szCs w:val="20"/>
                <w:lang w:val="en-US"/>
              </w:rPr>
            </w:pPr>
            <w:r w:rsidRPr="00812E8B">
              <w:rPr>
                <w:b w:val="0"/>
                <w:sz w:val="20"/>
                <w:szCs w:val="20"/>
                <w:lang w:val="en-US"/>
              </w:rPr>
              <w:t>GOVERNMENT</w:t>
            </w:r>
          </w:p>
        </w:tc>
        <w:tc>
          <w:tcPr>
            <w:tcW w:w="820" w:type="dxa"/>
            <w:shd w:val="clear" w:color="auto" w:fill="auto"/>
          </w:tcPr>
          <w:p w:rsidR="00634A7B" w:rsidRPr="00812E8B" w:rsidRDefault="00634A7B" w:rsidP="004332CB">
            <w:pPr>
              <w:jc w:val="center"/>
              <w:cnfStyle w:val="100000000000"/>
              <w:rPr>
                <w:b w:val="0"/>
                <w:sz w:val="20"/>
                <w:szCs w:val="20"/>
                <w:lang w:val="en-US"/>
              </w:rPr>
            </w:pPr>
            <w:r w:rsidRPr="00812E8B">
              <w:rPr>
                <w:b w:val="0"/>
                <w:sz w:val="20"/>
                <w:szCs w:val="20"/>
                <w:lang w:val="en-US"/>
              </w:rPr>
              <w:t>GDP</w:t>
            </w:r>
          </w:p>
        </w:tc>
        <w:tc>
          <w:tcPr>
            <w:tcW w:w="821" w:type="dxa"/>
            <w:shd w:val="clear" w:color="auto" w:fill="auto"/>
          </w:tcPr>
          <w:p w:rsidR="00634A7B" w:rsidRPr="00812E8B" w:rsidRDefault="00634A7B" w:rsidP="004332CB">
            <w:pPr>
              <w:jc w:val="center"/>
              <w:cnfStyle w:val="100000000000"/>
              <w:rPr>
                <w:b w:val="0"/>
                <w:sz w:val="20"/>
                <w:szCs w:val="20"/>
                <w:lang w:val="en-US"/>
              </w:rPr>
            </w:pPr>
            <w:r w:rsidRPr="00812E8B">
              <w:rPr>
                <w:b w:val="0"/>
                <w:sz w:val="20"/>
                <w:szCs w:val="20"/>
                <w:lang w:val="en-US"/>
              </w:rPr>
              <w:t>TAX</w:t>
            </w:r>
          </w:p>
        </w:tc>
        <w:tc>
          <w:tcPr>
            <w:tcW w:w="821" w:type="dxa"/>
            <w:shd w:val="clear" w:color="auto" w:fill="auto"/>
          </w:tcPr>
          <w:p w:rsidR="00634A7B" w:rsidRPr="00812E8B" w:rsidRDefault="00634A7B" w:rsidP="004332CB">
            <w:pPr>
              <w:ind w:right="-18"/>
              <w:jc w:val="center"/>
              <w:cnfStyle w:val="100000000000"/>
              <w:rPr>
                <w:b w:val="0"/>
                <w:sz w:val="20"/>
                <w:szCs w:val="20"/>
                <w:lang w:val="en-US"/>
              </w:rPr>
            </w:pPr>
            <w:r w:rsidRPr="00812E8B">
              <w:rPr>
                <w:b w:val="0"/>
                <w:sz w:val="20"/>
                <w:szCs w:val="20"/>
                <w:lang w:val="en-US"/>
              </w:rPr>
              <w:t>YIELD CURVE</w:t>
            </w:r>
          </w:p>
        </w:tc>
      </w:tr>
      <w:tr w:rsidR="00634A7B" w:rsidRPr="00812E8B" w:rsidTr="004332CB">
        <w:trPr>
          <w:cnfStyle w:val="000000100000"/>
          <w:trHeight w:val="354"/>
        </w:trPr>
        <w:tc>
          <w:tcPr>
            <w:cnfStyle w:val="001000000000"/>
            <w:tcW w:w="1620" w:type="dxa"/>
            <w:tcBorders>
              <w:top w:val="single" w:sz="4" w:space="0" w:color="auto"/>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ROAA</w:t>
            </w:r>
          </w:p>
        </w:tc>
        <w:tc>
          <w:tcPr>
            <w:tcW w:w="820" w:type="dxa"/>
            <w:tcBorders>
              <w:top w:val="single" w:sz="4" w:space="0" w:color="auto"/>
              <w:left w:val="single" w:sz="4" w:space="0" w:color="auto"/>
            </w:tcBorders>
            <w:shd w:val="clear" w:color="auto" w:fill="auto"/>
            <w:vAlign w:val="bottom"/>
          </w:tcPr>
          <w:p w:rsidR="00634A7B" w:rsidRPr="00812E8B" w:rsidRDefault="00634A7B" w:rsidP="004332CB">
            <w:pPr>
              <w:spacing w:line="276" w:lineRule="auto"/>
              <w:jc w:val="right"/>
              <w:cnfStyle w:val="000000100000"/>
              <w:rPr>
                <w:rFonts w:ascii="Calibri" w:hAnsi="Calibri"/>
                <w:color w:val="000000"/>
                <w:lang w:val="en-US"/>
              </w:rPr>
            </w:pPr>
            <w:r w:rsidRPr="00812E8B">
              <w:rPr>
                <w:rFonts w:ascii="Calibri" w:hAnsi="Calibri"/>
                <w:color w:val="000000"/>
                <w:lang w:val="en-US"/>
              </w:rPr>
              <w:t>1.000</w:t>
            </w:r>
          </w:p>
        </w:tc>
        <w:tc>
          <w:tcPr>
            <w:tcW w:w="820"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spacing w:line="276" w:lineRule="auto"/>
              <w:cnfStyle w:val="000000100000"/>
              <w:rPr>
                <w:rFonts w:ascii="Calibri" w:hAnsi="Calibri"/>
                <w:color w:val="000000"/>
                <w:lang w:val="en-US"/>
              </w:rPr>
            </w:pPr>
          </w:p>
        </w:tc>
      </w:tr>
      <w:tr w:rsidR="00634A7B" w:rsidRPr="00812E8B" w:rsidTr="004332CB">
        <w:trPr>
          <w:trHeight w:val="365"/>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EQUITY/ASSETS</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0.453</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r>
      <w:tr w:rsidR="00634A7B" w:rsidRPr="00812E8B" w:rsidTr="004332CB">
        <w:trPr>
          <w:cnfStyle w:val="000000100000"/>
          <w:trHeight w:val="347"/>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DEP/FUND</w:t>
            </w:r>
          </w:p>
        </w:tc>
        <w:tc>
          <w:tcPr>
            <w:tcW w:w="820" w:type="dxa"/>
            <w:tcBorders>
              <w:left w:val="single" w:sz="4" w:space="0" w:color="auto"/>
            </w:tcBorders>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0.171</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0.183</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r>
      <w:tr w:rsidR="00634A7B" w:rsidRPr="00812E8B" w:rsidTr="004332CB">
        <w:trPr>
          <w:trHeight w:val="374"/>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LOSS/REV</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-0.409</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-0.112</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-0.141</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r>
      <w:tr w:rsidR="00634A7B" w:rsidRPr="00812E8B" w:rsidTr="004332CB">
        <w:trPr>
          <w:cnfStyle w:val="000000100000"/>
          <w:trHeight w:val="356"/>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LIQ/FUND</w:t>
            </w:r>
          </w:p>
        </w:tc>
        <w:tc>
          <w:tcPr>
            <w:tcW w:w="820" w:type="dxa"/>
            <w:tcBorders>
              <w:left w:val="single" w:sz="4" w:space="0" w:color="auto"/>
            </w:tcBorders>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-0.076</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-0.155</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-0.385</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-0.032</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r>
      <w:tr w:rsidR="00634A7B" w:rsidRPr="00812E8B" w:rsidTr="004332CB">
        <w:trPr>
          <w:trHeight w:val="365"/>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FUND COST</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-0.088</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-0.125</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-0.270</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0.087</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0.106</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r>
      <w:tr w:rsidR="00634A7B" w:rsidRPr="00812E8B" w:rsidTr="004332CB">
        <w:trPr>
          <w:cnfStyle w:val="000000100000"/>
          <w:trHeight w:val="347"/>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NON-INTEREST</w:t>
            </w:r>
          </w:p>
        </w:tc>
        <w:tc>
          <w:tcPr>
            <w:tcW w:w="820" w:type="dxa"/>
            <w:tcBorders>
              <w:left w:val="single" w:sz="4" w:space="0" w:color="auto"/>
            </w:tcBorders>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0.082</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0.049</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0.018</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-0.042</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-0.098</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0.005</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r>
      <w:tr w:rsidR="00634A7B" w:rsidRPr="00812E8B" w:rsidTr="004332CB">
        <w:trPr>
          <w:trHeight w:val="356"/>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COST/INCOME</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-0.297</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-0.065</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0.210</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-0.010</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-0.129</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-0.155</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0.289</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r>
      <w:tr w:rsidR="00634A7B" w:rsidRPr="00812E8B" w:rsidTr="004332CB">
        <w:trPr>
          <w:cnfStyle w:val="000000100000"/>
          <w:trHeight w:val="356"/>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BANK GROWTH</w:t>
            </w:r>
          </w:p>
        </w:tc>
        <w:tc>
          <w:tcPr>
            <w:tcW w:w="820" w:type="dxa"/>
            <w:tcBorders>
              <w:left w:val="single" w:sz="4" w:space="0" w:color="auto"/>
            </w:tcBorders>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0.159</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0.056</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-0.012</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-0.062</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0.074</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0.045</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0.045</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-0.027</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r>
      <w:tr w:rsidR="00634A7B" w:rsidRPr="00812E8B" w:rsidTr="004332CB">
        <w:trPr>
          <w:trHeight w:val="365"/>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HH-INDEX</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0.103</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0.047</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0.160</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-0.114</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-0.075</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-0.074</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0.007</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0.049</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0.115</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r>
      <w:tr w:rsidR="00634A7B" w:rsidRPr="00812E8B" w:rsidTr="004332CB">
        <w:trPr>
          <w:cnfStyle w:val="000000100000"/>
          <w:trHeight w:val="365"/>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LN ASSETS</w:t>
            </w:r>
          </w:p>
        </w:tc>
        <w:tc>
          <w:tcPr>
            <w:tcW w:w="820" w:type="dxa"/>
            <w:tcBorders>
              <w:left w:val="single" w:sz="4" w:space="0" w:color="auto"/>
            </w:tcBorders>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-0.127</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-0.235</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-0.204</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0.085</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0.081</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0.038</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0.054</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0.085</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-0.013</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0.119</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r>
      <w:tr w:rsidR="00634A7B" w:rsidRPr="00812E8B" w:rsidTr="004332CB">
        <w:trPr>
          <w:trHeight w:val="356"/>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STAKEHOLDER</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0.064</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0.181</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0.103</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-0.044</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-0.076</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-0.114</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0.084</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0.077</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0.010</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0.028</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-0.191</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r>
      <w:tr w:rsidR="00634A7B" w:rsidRPr="00812E8B" w:rsidTr="004332CB">
        <w:trPr>
          <w:cnfStyle w:val="000000100000"/>
          <w:trHeight w:val="356"/>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GOVERNMENT</w:t>
            </w:r>
          </w:p>
        </w:tc>
        <w:tc>
          <w:tcPr>
            <w:tcW w:w="820" w:type="dxa"/>
            <w:tcBorders>
              <w:left w:val="single" w:sz="4" w:space="0" w:color="auto"/>
            </w:tcBorders>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-0.144</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-0.120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-0.025</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0.031</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-0.107</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0.011</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-0.046</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0.057</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-0.080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-0.218</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-0.176</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-0.306</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r>
      <w:tr w:rsidR="00634A7B" w:rsidRPr="00812E8B" w:rsidTr="004332CB">
        <w:trPr>
          <w:trHeight w:val="365"/>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GDP GROWTH</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0.177</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-0.074</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0.004</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-0.179</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0.026</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0.243</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0.037</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-0.062</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0.117</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-0.034</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-0.039</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-0.076</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0.018</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p>
        </w:tc>
      </w:tr>
      <w:tr w:rsidR="00634A7B" w:rsidRPr="00812E8B" w:rsidTr="004332CB">
        <w:trPr>
          <w:cnfStyle w:val="000000100000"/>
          <w:trHeight w:val="365"/>
        </w:trPr>
        <w:tc>
          <w:tcPr>
            <w:cnfStyle w:val="001000000000"/>
            <w:tcW w:w="1620" w:type="dxa"/>
            <w:tcBorders>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TAX</w:t>
            </w:r>
          </w:p>
        </w:tc>
        <w:tc>
          <w:tcPr>
            <w:tcW w:w="820" w:type="dxa"/>
            <w:tcBorders>
              <w:left w:val="single" w:sz="4" w:space="0" w:color="auto"/>
            </w:tcBorders>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-0.051</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-0.035</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0.030</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0.000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-0.022</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-0.040</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-0.044</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-0.015</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-0.050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-0.132</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-0.138</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-0.041</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0.038</w:t>
            </w:r>
          </w:p>
        </w:tc>
        <w:tc>
          <w:tcPr>
            <w:tcW w:w="820"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-0.025</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r w:rsidRPr="00812E8B">
              <w:rPr>
                <w:rFonts w:ascii="Calibri" w:hAnsi="Calibri"/>
                <w:color w:val="000000"/>
                <w:lang w:val="en-US"/>
              </w:rPr>
              <w:t>1.000</w:t>
            </w:r>
          </w:p>
        </w:tc>
        <w:tc>
          <w:tcPr>
            <w:tcW w:w="821" w:type="dxa"/>
            <w:shd w:val="clear" w:color="auto" w:fill="auto"/>
            <w:vAlign w:val="bottom"/>
          </w:tcPr>
          <w:p w:rsidR="00634A7B" w:rsidRPr="00812E8B" w:rsidRDefault="00634A7B" w:rsidP="004332CB">
            <w:pPr>
              <w:jc w:val="right"/>
              <w:cnfStyle w:val="000000100000"/>
              <w:rPr>
                <w:rFonts w:ascii="Calibri" w:hAnsi="Calibri"/>
                <w:color w:val="000000"/>
                <w:lang w:val="en-US"/>
              </w:rPr>
            </w:pPr>
          </w:p>
        </w:tc>
      </w:tr>
      <w:tr w:rsidR="00634A7B" w:rsidRPr="00812E8B" w:rsidTr="004332CB">
        <w:trPr>
          <w:trHeight w:val="311"/>
        </w:trPr>
        <w:tc>
          <w:tcPr>
            <w:cnfStyle w:val="001000000000"/>
            <w:tcW w:w="1620" w:type="dxa"/>
            <w:tcBorders>
              <w:bottom w:val="single" w:sz="8" w:space="0" w:color="000000" w:themeColor="text1"/>
              <w:right w:val="single" w:sz="4" w:space="0" w:color="auto"/>
            </w:tcBorders>
            <w:shd w:val="clear" w:color="auto" w:fill="auto"/>
            <w:vAlign w:val="bottom"/>
          </w:tcPr>
          <w:p w:rsidR="00634A7B" w:rsidRPr="00812E8B" w:rsidRDefault="00634A7B" w:rsidP="004332CB">
            <w:pPr>
              <w:pStyle w:val="NoSpacing"/>
              <w:rPr>
                <w:b w:val="0"/>
                <w:sz w:val="20"/>
                <w:szCs w:val="20"/>
                <w:lang w:val="en-US"/>
              </w:rPr>
            </w:pPr>
            <w:r w:rsidRPr="00812E8B">
              <w:rPr>
                <w:b w:val="0"/>
                <w:sz w:val="20"/>
                <w:szCs w:val="20"/>
                <w:lang w:val="en-US"/>
              </w:rPr>
              <w:t>YIELD CURVE</w:t>
            </w:r>
          </w:p>
        </w:tc>
        <w:tc>
          <w:tcPr>
            <w:tcW w:w="820" w:type="dxa"/>
            <w:tcBorders>
              <w:left w:val="single" w:sz="4" w:space="0" w:color="auto"/>
            </w:tcBorders>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-0.051</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0.013</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-0.023</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0.007</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0.015</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-0.186</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0.026</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-0.043</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-0.137</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-0.015</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-0.001</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-0.019</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-0.008</w:t>
            </w:r>
          </w:p>
        </w:tc>
        <w:tc>
          <w:tcPr>
            <w:tcW w:w="820"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-0.353</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0.012</w:t>
            </w:r>
          </w:p>
        </w:tc>
        <w:tc>
          <w:tcPr>
            <w:tcW w:w="821" w:type="dxa"/>
            <w:shd w:val="clear" w:color="auto" w:fill="auto"/>
            <w:vAlign w:val="bottom"/>
          </w:tcPr>
          <w:p w:rsidR="00634A7B" w:rsidRPr="00812E8B" w:rsidRDefault="00634A7B" w:rsidP="004332CB">
            <w:pPr>
              <w:jc w:val="right"/>
              <w:cnfStyle w:val="000000000000"/>
              <w:rPr>
                <w:rFonts w:ascii="Calibri" w:hAnsi="Calibri"/>
                <w:color w:val="000000"/>
                <w:lang w:val="en-US"/>
              </w:rPr>
            </w:pPr>
            <w:r w:rsidRPr="00812E8B">
              <w:rPr>
                <w:rFonts w:ascii="Calibri" w:hAnsi="Calibri"/>
                <w:color w:val="000000"/>
                <w:lang w:val="en-US"/>
              </w:rPr>
              <w:t>1.000</w:t>
            </w:r>
          </w:p>
        </w:tc>
      </w:tr>
    </w:tbl>
    <w:p w:rsidR="003828BD" w:rsidRPr="00812E8B" w:rsidRDefault="003828BD" w:rsidP="003828BD">
      <w:pPr>
        <w:pStyle w:val="NoSpacing"/>
        <w:ind w:left="-284"/>
        <w:rPr>
          <w:sz w:val="20"/>
          <w:szCs w:val="20"/>
          <w:lang w:val="en-US"/>
        </w:rPr>
      </w:pPr>
    </w:p>
    <w:p w:rsidR="00634A7B" w:rsidRPr="00812E8B" w:rsidRDefault="00634A7B" w:rsidP="003828BD">
      <w:pPr>
        <w:pStyle w:val="NoSpacing"/>
        <w:ind w:left="-284"/>
        <w:rPr>
          <w:sz w:val="20"/>
          <w:szCs w:val="20"/>
          <w:lang w:val="en-US"/>
        </w:rPr>
      </w:pPr>
      <w:r w:rsidRPr="00812E8B">
        <w:rPr>
          <w:sz w:val="20"/>
          <w:szCs w:val="20"/>
          <w:lang w:val="en-US"/>
        </w:rPr>
        <w:t xml:space="preserve">The correlations </w:t>
      </w:r>
      <w:r w:rsidR="003828BD" w:rsidRPr="00812E8B">
        <w:rPr>
          <w:sz w:val="20"/>
          <w:szCs w:val="20"/>
          <w:lang w:val="en-US"/>
        </w:rPr>
        <w:t xml:space="preserve">as presented in the table, are calculated after deleting 18 observations as outliers and after using the list-wise deletion method of missing observations. Ultimately, the total number of observations equals 1,353. </w:t>
      </w:r>
      <w:r w:rsidRPr="00812E8B">
        <w:rPr>
          <w:sz w:val="20"/>
          <w:szCs w:val="20"/>
          <w:lang w:val="en-US"/>
        </w:rPr>
        <w:t xml:space="preserve"> </w:t>
      </w:r>
    </w:p>
    <w:p w:rsidR="00634A7B" w:rsidRPr="00812E8B" w:rsidRDefault="00634A7B" w:rsidP="00634A7B">
      <w:pPr>
        <w:rPr>
          <w:lang w:val="en-US"/>
        </w:rPr>
        <w:sectPr w:rsidR="00634A7B" w:rsidRPr="00812E8B" w:rsidSect="00087DEA">
          <w:headerReference w:type="first" r:id="rId27"/>
          <w:endnotePr>
            <w:numFmt w:val="decimal"/>
          </w:endnotePr>
          <w:pgSz w:w="16838" w:h="11906" w:orient="landscape"/>
          <w:pgMar w:top="1417" w:right="1417" w:bottom="1417" w:left="1440" w:header="708" w:footer="708" w:gutter="0"/>
          <w:cols w:space="708"/>
          <w:titlePg/>
          <w:docGrid w:linePitch="360"/>
        </w:sectPr>
      </w:pPr>
    </w:p>
    <w:p w:rsidR="00B035B3" w:rsidRPr="00812E8B" w:rsidRDefault="00113A13" w:rsidP="00B035B3">
      <w:pPr>
        <w:pStyle w:val="Heading3"/>
        <w:rPr>
          <w:color w:val="auto"/>
          <w:lang w:val="en-US"/>
        </w:rPr>
      </w:pPr>
      <w:r w:rsidRPr="00812E8B">
        <w:rPr>
          <w:color w:val="auto"/>
          <w:lang w:val="en-US"/>
        </w:rPr>
        <w:lastRenderedPageBreak/>
        <w:t>5</w:t>
      </w:r>
      <w:r w:rsidR="00B035B3" w:rsidRPr="00812E8B">
        <w:rPr>
          <w:color w:val="auto"/>
          <w:lang w:val="en-US"/>
        </w:rPr>
        <w:t>.</w:t>
      </w:r>
      <w:r w:rsidRPr="00812E8B">
        <w:rPr>
          <w:color w:val="auto"/>
          <w:lang w:val="en-US"/>
        </w:rPr>
        <w:t>3</w:t>
      </w:r>
      <w:r w:rsidR="00B035B3" w:rsidRPr="00812E8B">
        <w:rPr>
          <w:color w:val="auto"/>
          <w:lang w:val="en-US"/>
        </w:rPr>
        <w:t>.2 C</w:t>
      </w:r>
      <w:r w:rsidR="00937B13" w:rsidRPr="00812E8B">
        <w:rPr>
          <w:color w:val="auto"/>
          <w:sz w:val="19"/>
          <w:szCs w:val="19"/>
          <w:lang w:val="en-US"/>
        </w:rPr>
        <w:t>ORRELATIONS BETWEEN THE VARIABLES</w:t>
      </w:r>
    </w:p>
    <w:p w:rsidR="00634A7B" w:rsidRPr="00812E8B" w:rsidRDefault="00B035B3" w:rsidP="00634A7B">
      <w:pPr>
        <w:pStyle w:val="NoSpacing"/>
        <w:tabs>
          <w:tab w:val="left" w:pos="3740"/>
        </w:tabs>
        <w:spacing w:line="276" w:lineRule="auto"/>
        <w:jc w:val="both"/>
        <w:rPr>
          <w:lang w:val="en-US"/>
        </w:rPr>
      </w:pPr>
      <w:r w:rsidRPr="00812E8B">
        <w:rPr>
          <w:lang w:val="en-US"/>
        </w:rPr>
        <w:t xml:space="preserve">According to table 4, there is a varying amount in observations per variable. Several banks report missing values for at least one of the variables incorporated in the model. Mostly these missing values are correlated with the accounting standards for preparation of the unconsolidated accounts. Hence, the missing values are not said to be missing completely at random (MCAR) but are missing at </w:t>
      </w:r>
      <w:r w:rsidR="00634A7B" w:rsidRPr="00812E8B">
        <w:rPr>
          <w:lang w:val="en-US"/>
        </w:rPr>
        <w:t xml:space="preserve">random (MAR) conditional to another variable </w:t>
      </w:r>
      <w:r w:rsidR="00F45869" w:rsidRPr="00812E8B">
        <w:rPr>
          <w:color w:val="365F91" w:themeColor="accent1" w:themeShade="BF"/>
          <w:lang w:val="en-US"/>
        </w:rPr>
        <w:t>(Allison, 2001)</w:t>
      </w:r>
      <w:r w:rsidR="00634A7B" w:rsidRPr="00812E8B">
        <w:rPr>
          <w:lang w:val="en-US"/>
        </w:rPr>
        <w:t xml:space="preserve">. There are several methods to deal with the missing values; </w:t>
      </w:r>
      <w:r w:rsidR="00B46A9C" w:rsidRPr="00812E8B">
        <w:rPr>
          <w:lang w:val="en-US"/>
        </w:rPr>
        <w:t>list wise</w:t>
      </w:r>
      <w:r w:rsidR="00634A7B" w:rsidRPr="00812E8B">
        <w:rPr>
          <w:lang w:val="en-US"/>
        </w:rPr>
        <w:t xml:space="preserve"> deletion, </w:t>
      </w:r>
      <w:r w:rsidR="00B46A9C" w:rsidRPr="00812E8B">
        <w:rPr>
          <w:lang w:val="en-US"/>
        </w:rPr>
        <w:t>case wise</w:t>
      </w:r>
      <w:r w:rsidR="00634A7B" w:rsidRPr="00812E8B">
        <w:rPr>
          <w:lang w:val="en-US"/>
        </w:rPr>
        <w:t xml:space="preserve"> deletion or omitting all observations of the variable. The latter method is found to be inappropriate since dropping a variable, such as the variable loan loss provision, give substantial rise to the omitted variable bias. Following </w:t>
      </w:r>
      <w:r w:rsidR="00F45869" w:rsidRPr="00812E8B">
        <w:rPr>
          <w:color w:val="365F91" w:themeColor="accent1" w:themeShade="BF"/>
          <w:lang w:val="en-US"/>
        </w:rPr>
        <w:t>Allison (2001)</w:t>
      </w:r>
      <w:r w:rsidR="00634A7B" w:rsidRPr="00812E8B">
        <w:rPr>
          <w:color w:val="365F91" w:themeColor="accent1" w:themeShade="BF"/>
          <w:lang w:val="en-US"/>
        </w:rPr>
        <w:t xml:space="preserve"> </w:t>
      </w:r>
      <w:r w:rsidR="00634A7B" w:rsidRPr="00812E8B">
        <w:rPr>
          <w:lang w:val="en-US"/>
        </w:rPr>
        <w:t xml:space="preserve">calculating the correlation matrix by deleting the missing values using the </w:t>
      </w:r>
      <w:r w:rsidR="00B46A9C" w:rsidRPr="00812E8B">
        <w:rPr>
          <w:lang w:val="en-US"/>
        </w:rPr>
        <w:t>case wise</w:t>
      </w:r>
      <w:r w:rsidR="00634A7B" w:rsidRPr="00812E8B">
        <w:rPr>
          <w:lang w:val="en-US"/>
        </w:rPr>
        <w:t xml:space="preserve"> deletion method induces biased results under MAR. The </w:t>
      </w:r>
      <w:r w:rsidR="00B46A9C" w:rsidRPr="00812E8B">
        <w:rPr>
          <w:lang w:val="en-US"/>
        </w:rPr>
        <w:t>list wise</w:t>
      </w:r>
      <w:r w:rsidR="00634A7B" w:rsidRPr="00812E8B">
        <w:rPr>
          <w:lang w:val="en-US"/>
        </w:rPr>
        <w:t xml:space="preserve"> deletion method, in which all observations for a particular bank are deleted when one of the variables is missing, is preferred over the </w:t>
      </w:r>
      <w:r w:rsidR="00B46A9C" w:rsidRPr="00812E8B">
        <w:rPr>
          <w:lang w:val="en-US"/>
        </w:rPr>
        <w:t>case wise</w:t>
      </w:r>
      <w:r w:rsidR="00634A7B" w:rsidRPr="00812E8B">
        <w:rPr>
          <w:lang w:val="en-US"/>
        </w:rPr>
        <w:t xml:space="preserve"> method for presenting the correlation matrix. Note that the </w:t>
      </w:r>
      <w:r w:rsidR="00B46A9C" w:rsidRPr="00812E8B">
        <w:rPr>
          <w:lang w:val="en-US"/>
        </w:rPr>
        <w:t>list wise</w:t>
      </w:r>
      <w:r w:rsidR="00634A7B" w:rsidRPr="00812E8B">
        <w:rPr>
          <w:lang w:val="en-US"/>
        </w:rPr>
        <w:t xml:space="preserve"> deletion method is only used to present the correlations between the variables in the descriptive analysis. The System GMM technique uses the </w:t>
      </w:r>
      <w:r w:rsidR="00B46A9C" w:rsidRPr="00812E8B">
        <w:rPr>
          <w:lang w:val="en-US"/>
        </w:rPr>
        <w:t>case wise</w:t>
      </w:r>
      <w:r w:rsidR="00634A7B" w:rsidRPr="00812E8B">
        <w:rPr>
          <w:lang w:val="en-US"/>
        </w:rPr>
        <w:t xml:space="preserve"> deletion method to run the regression, which is found to be most efficient and consistent. </w:t>
      </w:r>
    </w:p>
    <w:p w:rsidR="00634A7B" w:rsidRPr="00812E8B" w:rsidRDefault="00634A7B" w:rsidP="00634A7B">
      <w:pPr>
        <w:pStyle w:val="NoSpacing"/>
        <w:spacing w:line="276" w:lineRule="auto"/>
        <w:jc w:val="both"/>
        <w:rPr>
          <w:lang w:val="en-US"/>
        </w:rPr>
      </w:pPr>
      <w:r w:rsidRPr="00812E8B">
        <w:rPr>
          <w:lang w:val="en-US"/>
        </w:rPr>
        <w:t xml:space="preserve">  </w:t>
      </w:r>
    </w:p>
    <w:p w:rsidR="00634A7B" w:rsidRPr="00812E8B" w:rsidRDefault="00634A7B" w:rsidP="00AA3770">
      <w:pPr>
        <w:pStyle w:val="NoSpacing"/>
        <w:spacing w:line="276" w:lineRule="auto"/>
        <w:jc w:val="both"/>
        <w:rPr>
          <w:lang w:val="en-US"/>
        </w:rPr>
      </w:pPr>
      <w:r w:rsidRPr="00812E8B">
        <w:rPr>
          <w:lang w:val="en-US"/>
        </w:rPr>
        <w:t xml:space="preserve">Table 5 reports the correlations between the explanatory variables and the dependent variable. A correlation of -1 represent a perfect negative correlation in which variables move in exactly the opposite direction. Consequently, variables move in the same direction when a correlation of 1 is found. Correlations indicate the relationship between the variables but they do not imply causation. As could be seen in table 5, the </w:t>
      </w:r>
      <w:r w:rsidR="00335EFC" w:rsidRPr="00812E8B">
        <w:rPr>
          <w:lang w:val="en-US"/>
        </w:rPr>
        <w:t>equity-to-asset ratio</w:t>
      </w:r>
      <w:r w:rsidRPr="00812E8B">
        <w:rPr>
          <w:lang w:val="en-US"/>
        </w:rPr>
        <w:t xml:space="preserve"> is </w:t>
      </w:r>
      <w:r w:rsidR="00AA3770" w:rsidRPr="00812E8B">
        <w:rPr>
          <w:lang w:val="en-US"/>
        </w:rPr>
        <w:t xml:space="preserve">most </w:t>
      </w:r>
      <w:r w:rsidRPr="00812E8B">
        <w:rPr>
          <w:lang w:val="en-US"/>
        </w:rPr>
        <w:t>correlated with ROAA. Moreover, the high correlation with ROAA could also reflect the problem of endogeneity</w:t>
      </w:r>
      <w:r w:rsidR="00AA3770" w:rsidRPr="00812E8B">
        <w:rPr>
          <w:lang w:val="en-US"/>
        </w:rPr>
        <w:t>; an higher profitability could, namely, result in a higher degree of retained earnings thereby increasing the equity-to-asset ratio. For this potential endogeneity is controlled by using the two-step system GMM estimator and lags for the equity-to-asset variable. F</w:t>
      </w:r>
      <w:r w:rsidRPr="00812E8B">
        <w:rPr>
          <w:lang w:val="en-US"/>
        </w:rPr>
        <w:t>urthermore, the</w:t>
      </w:r>
      <w:r w:rsidR="00AA3770" w:rsidRPr="00812E8B">
        <w:rPr>
          <w:lang w:val="en-US"/>
        </w:rPr>
        <w:t xml:space="preserve"> loan</w:t>
      </w:r>
      <w:r w:rsidRPr="00812E8B">
        <w:rPr>
          <w:lang w:val="en-US"/>
        </w:rPr>
        <w:t xml:space="preserve"> loss provision to gross revenues seems to be negatively correlated with the profitability measure, indicating that, when the </w:t>
      </w:r>
      <w:r w:rsidR="00AA3770" w:rsidRPr="00812E8B">
        <w:rPr>
          <w:lang w:val="en-US"/>
        </w:rPr>
        <w:t xml:space="preserve">loan </w:t>
      </w:r>
      <w:r w:rsidRPr="00812E8B">
        <w:rPr>
          <w:lang w:val="en-US"/>
        </w:rPr>
        <w:t>loss provisions increase, profitability moves to the opposite direction. More interesting, the liquidity of a banks</w:t>
      </w:r>
      <w:r w:rsidR="00AA3770" w:rsidRPr="00812E8B">
        <w:rPr>
          <w:lang w:val="en-US"/>
        </w:rPr>
        <w:t xml:space="preserve"> is </w:t>
      </w:r>
      <w:r w:rsidRPr="00812E8B">
        <w:rPr>
          <w:lang w:val="en-US"/>
        </w:rPr>
        <w:t xml:space="preserve">negatively correlated with ROAA, indicated by the correlation of -0.076 between liquid assets to total funding and ROAA. In contrary to the liquidity, the stable funding resources (customer deposits) </w:t>
      </w:r>
      <w:r w:rsidR="00AA3770" w:rsidRPr="00812E8B">
        <w:rPr>
          <w:lang w:val="en-US"/>
        </w:rPr>
        <w:t>are</w:t>
      </w:r>
      <w:r w:rsidRPr="00812E8B">
        <w:rPr>
          <w:lang w:val="en-US"/>
        </w:rPr>
        <w:t xml:space="preserve"> positively correlated with profitability</w:t>
      </w:r>
      <w:r w:rsidR="00AA3770" w:rsidRPr="00812E8B">
        <w:rPr>
          <w:lang w:val="en-US"/>
        </w:rPr>
        <w:t xml:space="preserve"> with a </w:t>
      </w:r>
      <w:r w:rsidRPr="00812E8B">
        <w:rPr>
          <w:lang w:val="en-US"/>
        </w:rPr>
        <w:t>correlation of 0.171 between customer deposits to total funding and ROAA. Continuing to the correlations of the ownership structure one could see that the dummy for stakeholder owned banks is positively correlated with ROAA while the dummy variable for government owned banks is negatively correlated. The correlations for these dummy variables are, respectively, 0.064 and -0.144.</w:t>
      </w:r>
    </w:p>
    <w:p w:rsidR="00634A7B" w:rsidRPr="00812E8B" w:rsidRDefault="00634A7B" w:rsidP="00634A7B">
      <w:pPr>
        <w:pStyle w:val="NoSpacing"/>
        <w:spacing w:line="276" w:lineRule="auto"/>
        <w:jc w:val="both"/>
        <w:rPr>
          <w:lang w:val="en-US"/>
        </w:rPr>
      </w:pPr>
    </w:p>
    <w:p w:rsidR="00634A7B" w:rsidRPr="00812E8B" w:rsidRDefault="00634A7B" w:rsidP="00634A7B">
      <w:pPr>
        <w:pStyle w:val="NoSpacing"/>
        <w:spacing w:line="276" w:lineRule="auto"/>
        <w:jc w:val="both"/>
        <w:rPr>
          <w:lang w:val="en-US"/>
        </w:rPr>
      </w:pPr>
      <w:r w:rsidRPr="00812E8B">
        <w:rPr>
          <w:lang w:val="en-US"/>
        </w:rPr>
        <w:t>Finally, the correlation matrix as presented in table 5, is also a very basic method to detect any multicollinearity issues. The problem of multicollinearity arises when certain explanatory variables are highly correlated. At first sight, no multicollinearity is present.</w:t>
      </w:r>
    </w:p>
    <w:p w:rsidR="00634A7B" w:rsidRPr="00812E8B" w:rsidRDefault="00634A7B" w:rsidP="00F82AB4">
      <w:pPr>
        <w:pStyle w:val="NoSpacing"/>
        <w:rPr>
          <w:sz w:val="18"/>
          <w:szCs w:val="18"/>
          <w:lang w:val="en-US"/>
        </w:rPr>
      </w:pPr>
    </w:p>
    <w:p w:rsidR="00B22F63" w:rsidRPr="00812E8B" w:rsidRDefault="00B22F63" w:rsidP="00B22F63">
      <w:pPr>
        <w:pStyle w:val="Heading2"/>
        <w:rPr>
          <w:color w:val="auto"/>
          <w:lang w:val="en-US"/>
        </w:rPr>
      </w:pPr>
      <w:bookmarkStart w:id="36" w:name="_Toc306359652"/>
      <w:r w:rsidRPr="00812E8B">
        <w:rPr>
          <w:color w:val="auto"/>
          <w:lang w:val="en-US"/>
        </w:rPr>
        <w:t>5.</w:t>
      </w:r>
      <w:r w:rsidR="00B035B3" w:rsidRPr="00812E8B">
        <w:rPr>
          <w:color w:val="auto"/>
          <w:lang w:val="en-US"/>
        </w:rPr>
        <w:t>4</w:t>
      </w:r>
      <w:r w:rsidRPr="00812E8B">
        <w:rPr>
          <w:color w:val="auto"/>
          <w:lang w:val="en-US"/>
        </w:rPr>
        <w:t xml:space="preserve"> S</w:t>
      </w:r>
      <w:r w:rsidR="00937B13" w:rsidRPr="00812E8B">
        <w:rPr>
          <w:color w:val="auto"/>
          <w:sz w:val="20"/>
          <w:szCs w:val="20"/>
          <w:lang w:val="en-US"/>
        </w:rPr>
        <w:t>UMMARY</w:t>
      </w:r>
      <w:bookmarkEnd w:id="36"/>
    </w:p>
    <w:p w:rsidR="00AC4358" w:rsidRPr="00812E8B" w:rsidRDefault="00AC4358" w:rsidP="00AC4358">
      <w:pPr>
        <w:pStyle w:val="NoSpacing"/>
        <w:spacing w:line="276" w:lineRule="auto"/>
        <w:jc w:val="both"/>
        <w:rPr>
          <w:lang w:val="en-US"/>
        </w:rPr>
      </w:pPr>
      <w:r w:rsidRPr="00812E8B">
        <w:rPr>
          <w:lang w:val="en-US"/>
        </w:rPr>
        <w:t xml:space="preserve">The variables that are presented in chapter four will be tested using an econometric model based on </w:t>
      </w:r>
      <w:r w:rsidR="00B22F63" w:rsidRPr="00812E8B">
        <w:rPr>
          <w:lang w:val="en-US"/>
        </w:rPr>
        <w:t xml:space="preserve"> </w:t>
      </w:r>
      <w:r w:rsidR="00E34060" w:rsidRPr="00812E8B">
        <w:rPr>
          <w:color w:val="365F91" w:themeColor="accent1" w:themeShade="BF"/>
          <w:lang w:val="en-US"/>
        </w:rPr>
        <w:t xml:space="preserve">Athanasoglou et al. (2008) </w:t>
      </w:r>
      <w:r w:rsidR="00E34060" w:rsidRPr="00812E8B">
        <w:rPr>
          <w:lang w:val="en-US"/>
        </w:rPr>
        <w:t xml:space="preserve">and </w:t>
      </w:r>
      <w:r w:rsidR="001B30EB" w:rsidRPr="00812E8B">
        <w:rPr>
          <w:color w:val="365F91" w:themeColor="accent1" w:themeShade="BF"/>
          <w:lang w:val="en-US"/>
        </w:rPr>
        <w:t>Dietrich and Wanzenried (2011)</w:t>
      </w:r>
      <w:r w:rsidRPr="00812E8B">
        <w:rPr>
          <w:lang w:val="en-US"/>
        </w:rPr>
        <w:t xml:space="preserve">. The model incorporates the lagged dependent variable and potential endogenous variable like the equity-to-asset ratio. Hence, the </w:t>
      </w:r>
      <w:r w:rsidR="00F45869" w:rsidRPr="00812E8B">
        <w:rPr>
          <w:lang w:val="en-US"/>
        </w:rPr>
        <w:t>(</w:t>
      </w:r>
      <w:r w:rsidRPr="00812E8B">
        <w:rPr>
          <w:lang w:val="en-US"/>
        </w:rPr>
        <w:t>panel data</w:t>
      </w:r>
      <w:r w:rsidR="00F45869" w:rsidRPr="00812E8B">
        <w:rPr>
          <w:lang w:val="en-US"/>
        </w:rPr>
        <w:t>)</w:t>
      </w:r>
      <w:r w:rsidRPr="00812E8B">
        <w:rPr>
          <w:lang w:val="en-US"/>
        </w:rPr>
        <w:t xml:space="preserve"> regression techniques are adapted for the potential problems of autocorrelation in the </w:t>
      </w:r>
      <w:r w:rsidRPr="00812E8B">
        <w:rPr>
          <w:lang w:val="en-US"/>
        </w:rPr>
        <w:lastRenderedPageBreak/>
        <w:t xml:space="preserve">error item and for the heterogeneity resulting from endogeneity and the dynamic nature of the model. More specifically, this thesis uses the two-step system generalized method of moments techniques as described in </w:t>
      </w:r>
      <w:r w:rsidR="00F45869" w:rsidRPr="00812E8B">
        <w:rPr>
          <w:color w:val="365F91" w:themeColor="accent1" w:themeShade="BF"/>
          <w:lang w:val="en-US"/>
        </w:rPr>
        <w:t>Arellano and Bover (1995)</w:t>
      </w:r>
      <w:r w:rsidR="00EB748D" w:rsidRPr="00812E8B">
        <w:rPr>
          <w:color w:val="365F91" w:themeColor="accent1" w:themeShade="BF"/>
          <w:lang w:val="en-US"/>
        </w:rPr>
        <w:t>.</w:t>
      </w:r>
      <w:r w:rsidR="00EB748D" w:rsidRPr="00812E8B">
        <w:rPr>
          <w:lang w:val="en-US"/>
        </w:rPr>
        <w:t xml:space="preserve"> </w:t>
      </w:r>
      <w:r w:rsidR="00AC048E" w:rsidRPr="00812E8B">
        <w:rPr>
          <w:lang w:val="en-US"/>
        </w:rPr>
        <w:t>Two</w:t>
      </w:r>
      <w:r w:rsidR="00B22F63" w:rsidRPr="00812E8B">
        <w:rPr>
          <w:lang w:val="en-US"/>
        </w:rPr>
        <w:t>-step</w:t>
      </w:r>
      <w:r w:rsidR="001C20F3" w:rsidRPr="00812E8B">
        <w:rPr>
          <w:lang w:val="en-US"/>
        </w:rPr>
        <w:t xml:space="preserve"> </w:t>
      </w:r>
      <w:r w:rsidRPr="00812E8B">
        <w:rPr>
          <w:lang w:val="en-US"/>
        </w:rPr>
        <w:t>s</w:t>
      </w:r>
      <w:r w:rsidR="001C20F3" w:rsidRPr="00812E8B">
        <w:rPr>
          <w:lang w:val="en-US"/>
        </w:rPr>
        <w:t>ystem GMM</w:t>
      </w:r>
      <w:r w:rsidRPr="00812E8B">
        <w:rPr>
          <w:lang w:val="en-US"/>
        </w:rPr>
        <w:t xml:space="preserve"> estimator </w:t>
      </w:r>
      <w:r w:rsidR="00B22F63" w:rsidRPr="00812E8B">
        <w:rPr>
          <w:lang w:val="en-US"/>
        </w:rPr>
        <w:t>outperforms standard ordinary least squares techniques in testin</w:t>
      </w:r>
      <w:r w:rsidR="00FE3B8A" w:rsidRPr="00812E8B">
        <w:rPr>
          <w:lang w:val="en-US"/>
        </w:rPr>
        <w:t>g</w:t>
      </w:r>
      <w:r w:rsidR="00B22F63" w:rsidRPr="00812E8B">
        <w:rPr>
          <w:lang w:val="en-US"/>
        </w:rPr>
        <w:t xml:space="preserve"> the relationship</w:t>
      </w:r>
      <w:r w:rsidRPr="00812E8B">
        <w:rPr>
          <w:lang w:val="en-US"/>
        </w:rPr>
        <w:t>s between the explanatory variables and the dependent variable by drawing out any serial correlation and spurious relationships. Furthermore, t</w:t>
      </w:r>
      <w:r w:rsidR="00B22F63" w:rsidRPr="00812E8B">
        <w:rPr>
          <w:lang w:val="en-US"/>
        </w:rPr>
        <w:t>his chapter presented the sample</w:t>
      </w:r>
      <w:r w:rsidRPr="00812E8B">
        <w:rPr>
          <w:lang w:val="en-US"/>
        </w:rPr>
        <w:t xml:space="preserve"> selection process and the databases that will be used. Most data for the variables is collected from the Bankscope database but also the Bloomberg, and Eurostat databases are used. Information regarding the concentration in the European banking sector is obtained from studies of the European Central Bank. The Bankscope database is also used in constructing the sample. Ultimately, the sample is an unbalanced panel</w:t>
      </w:r>
      <w:r w:rsidR="00C31E39" w:rsidRPr="00812E8B">
        <w:rPr>
          <w:lang w:val="en-US"/>
        </w:rPr>
        <w:t>,</w:t>
      </w:r>
      <w:r w:rsidRPr="00812E8B">
        <w:rPr>
          <w:lang w:val="en-US"/>
        </w:rPr>
        <w:t xml:space="preserve"> </w:t>
      </w:r>
      <w:r w:rsidR="00C31E39" w:rsidRPr="00812E8B">
        <w:rPr>
          <w:lang w:val="en-US"/>
        </w:rPr>
        <w:t xml:space="preserve">due some mergers and bankruptcies, </w:t>
      </w:r>
      <w:r w:rsidRPr="00812E8B">
        <w:rPr>
          <w:lang w:val="en-US"/>
        </w:rPr>
        <w:t xml:space="preserve">of 354 European banks within </w:t>
      </w:r>
      <w:r w:rsidR="00C31E39" w:rsidRPr="00812E8B">
        <w:rPr>
          <w:lang w:val="en-US"/>
        </w:rPr>
        <w:t xml:space="preserve">Austria, Belgium, France, Germany, Greece, Italy, Ireland, Luxembourg, Portugal, Spain, the Netherlands and the United Kingdom. The removal outliers reduce the total number of banks observations between 2009 and 2009, from 2,226 to 2,208 of observations. Thereby this chapter presented some descriptive statistics and correlations of the variables. The equity-to-asset ratio is strongest correlated with the return on average assets but probably reflecting the endogenous nature of the variable. </w:t>
      </w:r>
    </w:p>
    <w:p w:rsidR="00AC4358" w:rsidRPr="00812E8B" w:rsidRDefault="00AC4358" w:rsidP="00AC4358">
      <w:pPr>
        <w:pStyle w:val="NoSpacing"/>
        <w:spacing w:line="276" w:lineRule="auto"/>
        <w:jc w:val="both"/>
        <w:rPr>
          <w:lang w:val="en-US"/>
        </w:rPr>
      </w:pPr>
    </w:p>
    <w:p w:rsidR="009706AE" w:rsidRPr="00812E8B" w:rsidRDefault="009706AE" w:rsidP="00787848">
      <w:pPr>
        <w:pStyle w:val="NoSpacing"/>
        <w:rPr>
          <w:color w:val="FF0000"/>
          <w:lang w:val="en-US"/>
        </w:rPr>
        <w:sectPr w:rsidR="009706AE" w:rsidRPr="00812E8B" w:rsidSect="00D911B8">
          <w:headerReference w:type="first" r:id="rId28"/>
          <w:endnotePr>
            <w:numFmt w:val="decimal"/>
          </w:endnotePr>
          <w:pgSz w:w="11906" w:h="16838"/>
          <w:pgMar w:top="1417" w:right="1417" w:bottom="1417" w:left="1417" w:header="708" w:footer="708" w:gutter="0"/>
          <w:cols w:space="708"/>
          <w:titlePg/>
          <w:docGrid w:linePitch="360"/>
        </w:sectPr>
      </w:pPr>
    </w:p>
    <w:p w:rsidR="0033742A" w:rsidRPr="00812E8B" w:rsidRDefault="00487CB4" w:rsidP="00C468F1">
      <w:pPr>
        <w:pStyle w:val="Heading1"/>
        <w:jc w:val="left"/>
        <w:rPr>
          <w:rStyle w:val="Strong"/>
          <w:rFonts w:asciiTheme="majorHAnsi" w:hAnsiTheme="majorHAnsi"/>
          <w:color w:val="auto"/>
          <w:lang w:val="en-US"/>
        </w:rPr>
      </w:pPr>
      <w:bookmarkStart w:id="37" w:name="_Toc306359653"/>
      <w:r w:rsidRPr="00812E8B">
        <w:rPr>
          <w:color w:val="auto"/>
          <w:lang w:val="en-US"/>
        </w:rPr>
        <w:lastRenderedPageBreak/>
        <w:t>6</w:t>
      </w:r>
      <w:r w:rsidR="00645F89" w:rsidRPr="00812E8B">
        <w:rPr>
          <w:color w:val="auto"/>
          <w:lang w:val="en-US"/>
        </w:rPr>
        <w:t xml:space="preserve">. </w:t>
      </w:r>
      <w:r w:rsidR="0033742A" w:rsidRPr="00812E8B">
        <w:rPr>
          <w:color w:val="auto"/>
          <w:lang w:val="en-US"/>
        </w:rPr>
        <w:t>E</w:t>
      </w:r>
      <w:r w:rsidR="004C6A5F" w:rsidRPr="00812E8B">
        <w:rPr>
          <w:color w:val="auto"/>
          <w:sz w:val="30"/>
          <w:szCs w:val="30"/>
          <w:lang w:val="en-US"/>
        </w:rPr>
        <w:t>MPIRICAL RESULTS</w:t>
      </w:r>
      <w:bookmarkEnd w:id="37"/>
    </w:p>
    <w:p w:rsidR="001379BA" w:rsidRPr="00812E8B" w:rsidRDefault="001379BA" w:rsidP="005859A2">
      <w:pPr>
        <w:pStyle w:val="NoSpacing"/>
        <w:rPr>
          <w:sz w:val="14"/>
          <w:szCs w:val="14"/>
          <w:lang w:val="en-US"/>
        </w:rPr>
      </w:pPr>
    </w:p>
    <w:p w:rsidR="00A17DEB" w:rsidRPr="00812E8B" w:rsidRDefault="00F9401E" w:rsidP="00506DF6">
      <w:pPr>
        <w:pStyle w:val="NoSpacing"/>
        <w:spacing w:line="276" w:lineRule="auto"/>
        <w:jc w:val="both"/>
        <w:rPr>
          <w:lang w:val="en-US"/>
        </w:rPr>
      </w:pPr>
      <w:r w:rsidRPr="00812E8B">
        <w:rPr>
          <w:lang w:val="en-US"/>
        </w:rPr>
        <w:t xml:space="preserve">The previous chapters reviewed the existing </w:t>
      </w:r>
      <w:r w:rsidR="00B079FD" w:rsidRPr="00812E8B">
        <w:rPr>
          <w:lang w:val="en-US"/>
        </w:rPr>
        <w:t>theoretical and empirical research on banks’ profitability</w:t>
      </w:r>
      <w:r w:rsidR="00506DF6" w:rsidRPr="00812E8B">
        <w:rPr>
          <w:lang w:val="en-US"/>
        </w:rPr>
        <w:t xml:space="preserve">. On behalf of this review, chapter four and five </w:t>
      </w:r>
      <w:r w:rsidRPr="00812E8B">
        <w:rPr>
          <w:lang w:val="en-US"/>
        </w:rPr>
        <w:t xml:space="preserve">described </w:t>
      </w:r>
      <w:r w:rsidR="00B079FD" w:rsidRPr="00812E8B">
        <w:rPr>
          <w:lang w:val="en-US"/>
        </w:rPr>
        <w:t>the</w:t>
      </w:r>
      <w:r w:rsidR="00506DF6" w:rsidRPr="00812E8B">
        <w:rPr>
          <w:lang w:val="en-US"/>
        </w:rPr>
        <w:t xml:space="preserve"> data and </w:t>
      </w:r>
      <w:r w:rsidR="00B079FD" w:rsidRPr="00812E8B">
        <w:rPr>
          <w:lang w:val="en-US"/>
        </w:rPr>
        <w:t>methodology</w:t>
      </w:r>
      <w:r w:rsidR="00506DF6" w:rsidRPr="00812E8B">
        <w:rPr>
          <w:lang w:val="en-US"/>
        </w:rPr>
        <w:t xml:space="preserve"> and formed several </w:t>
      </w:r>
      <w:r w:rsidR="00B079FD" w:rsidRPr="00812E8B">
        <w:rPr>
          <w:lang w:val="en-US"/>
        </w:rPr>
        <w:t>hypotheses</w:t>
      </w:r>
      <w:r w:rsidR="00506DF6" w:rsidRPr="00812E8B">
        <w:rPr>
          <w:lang w:val="en-US"/>
        </w:rPr>
        <w:t xml:space="preserve">. </w:t>
      </w:r>
      <w:r w:rsidR="009E43B9" w:rsidRPr="00812E8B">
        <w:rPr>
          <w:lang w:val="en-US"/>
        </w:rPr>
        <w:t xml:space="preserve">The hypotheses are tested in this chapter to </w:t>
      </w:r>
      <w:r w:rsidR="00053960" w:rsidRPr="00812E8B">
        <w:rPr>
          <w:lang w:val="en-US"/>
        </w:rPr>
        <w:t xml:space="preserve">examine which </w:t>
      </w:r>
      <w:r w:rsidR="009E43B9" w:rsidRPr="00812E8B">
        <w:rPr>
          <w:lang w:val="en-US"/>
        </w:rPr>
        <w:t xml:space="preserve">determinants </w:t>
      </w:r>
      <w:r w:rsidR="00053960" w:rsidRPr="00812E8B">
        <w:rPr>
          <w:lang w:val="en-US"/>
        </w:rPr>
        <w:t>of</w:t>
      </w:r>
      <w:r w:rsidR="009E43B9" w:rsidRPr="00812E8B">
        <w:rPr>
          <w:lang w:val="en-US"/>
        </w:rPr>
        <w:t xml:space="preserve"> banks’ profitability exist. </w:t>
      </w:r>
      <w:r w:rsidR="00506DF6" w:rsidRPr="00812E8B">
        <w:rPr>
          <w:lang w:val="en-US"/>
        </w:rPr>
        <w:t xml:space="preserve">First, </w:t>
      </w:r>
      <w:r w:rsidR="00B035B3" w:rsidRPr="00812E8B">
        <w:rPr>
          <w:lang w:val="en-US"/>
        </w:rPr>
        <w:t>this chapter reports</w:t>
      </w:r>
      <w:r w:rsidR="00506DF6" w:rsidRPr="00812E8B">
        <w:rPr>
          <w:lang w:val="en-US"/>
        </w:rPr>
        <w:t xml:space="preserve"> the results of the estimation of equation (i) in table 6. </w:t>
      </w:r>
      <w:r w:rsidR="00B035B3" w:rsidRPr="00812E8B">
        <w:rPr>
          <w:lang w:val="en-US"/>
        </w:rPr>
        <w:t>Subsequently, t</w:t>
      </w:r>
      <w:r w:rsidR="00506DF6" w:rsidRPr="00812E8B">
        <w:rPr>
          <w:lang w:val="en-US"/>
        </w:rPr>
        <w:t>hese results are compared to existing studies that are described earlier in this thesis. Finally</w:t>
      </w:r>
      <w:r w:rsidR="00B079FD" w:rsidRPr="00812E8B">
        <w:rPr>
          <w:lang w:val="en-US"/>
        </w:rPr>
        <w:t>,</w:t>
      </w:r>
      <w:r w:rsidR="00C950CF" w:rsidRPr="00812E8B">
        <w:rPr>
          <w:lang w:val="en-US"/>
        </w:rPr>
        <w:t xml:space="preserve"> several robustness checks are performed </w:t>
      </w:r>
      <w:r w:rsidR="00506DF6" w:rsidRPr="00812E8B">
        <w:rPr>
          <w:lang w:val="en-US"/>
        </w:rPr>
        <w:t>in order to validate the results from the System GMM technique.</w:t>
      </w:r>
      <w:r w:rsidR="00B079FD" w:rsidRPr="00812E8B">
        <w:rPr>
          <w:lang w:val="en-US"/>
        </w:rPr>
        <w:t xml:space="preserve"> </w:t>
      </w:r>
    </w:p>
    <w:p w:rsidR="00A7326F" w:rsidRPr="00812E8B" w:rsidRDefault="00A7326F" w:rsidP="00691C6E">
      <w:pPr>
        <w:pStyle w:val="NoSpacing"/>
        <w:rPr>
          <w:sz w:val="14"/>
          <w:szCs w:val="14"/>
          <w:lang w:val="en-US"/>
        </w:rPr>
      </w:pPr>
    </w:p>
    <w:p w:rsidR="00634A7B" w:rsidRPr="00812E8B" w:rsidRDefault="00634A7B" w:rsidP="00634A7B">
      <w:pPr>
        <w:pStyle w:val="Heading2"/>
        <w:rPr>
          <w:color w:val="auto"/>
          <w:lang w:val="en-US"/>
        </w:rPr>
      </w:pPr>
      <w:bookmarkStart w:id="38" w:name="_Toc306359654"/>
      <w:r w:rsidRPr="00812E8B">
        <w:rPr>
          <w:color w:val="auto"/>
          <w:lang w:val="en-US"/>
        </w:rPr>
        <w:t>6.</w:t>
      </w:r>
      <w:r w:rsidR="009F71E8" w:rsidRPr="00812E8B">
        <w:rPr>
          <w:color w:val="auto"/>
          <w:lang w:val="en-US"/>
        </w:rPr>
        <w:t>1</w:t>
      </w:r>
      <w:r w:rsidRPr="00812E8B">
        <w:rPr>
          <w:color w:val="auto"/>
          <w:lang w:val="en-US"/>
        </w:rPr>
        <w:t xml:space="preserve"> E</w:t>
      </w:r>
      <w:r w:rsidR="00937B13" w:rsidRPr="00812E8B">
        <w:rPr>
          <w:color w:val="auto"/>
          <w:sz w:val="20"/>
          <w:szCs w:val="20"/>
          <w:lang w:val="en-US"/>
        </w:rPr>
        <w:t>MPIRICAL RESULTS OF THE DETERMINANTS OF BANKS’ PROFITABILITY</w:t>
      </w:r>
      <w:bookmarkEnd w:id="38"/>
    </w:p>
    <w:p w:rsidR="00451A69" w:rsidRPr="00812E8B" w:rsidRDefault="00506DF6" w:rsidP="00A43B90">
      <w:pPr>
        <w:pStyle w:val="NoSpacing"/>
        <w:spacing w:line="276" w:lineRule="auto"/>
        <w:jc w:val="both"/>
        <w:rPr>
          <w:lang w:val="en-US"/>
        </w:rPr>
      </w:pPr>
      <w:r w:rsidRPr="00812E8B">
        <w:rPr>
          <w:lang w:val="en-US"/>
        </w:rPr>
        <w:t>This chapter empirically investigates which determinants of banks’ profitability are present using annual observations for an unbalanced panel of 3</w:t>
      </w:r>
      <w:r w:rsidR="00FE68E7" w:rsidRPr="00812E8B">
        <w:rPr>
          <w:lang w:val="en-US"/>
        </w:rPr>
        <w:t>54</w:t>
      </w:r>
      <w:r w:rsidRPr="00812E8B">
        <w:rPr>
          <w:lang w:val="en-US"/>
        </w:rPr>
        <w:t xml:space="preserve"> banks between 2000 and 2009. </w:t>
      </w:r>
      <w:r w:rsidR="00201890" w:rsidRPr="00812E8B">
        <w:rPr>
          <w:lang w:val="en-US"/>
        </w:rPr>
        <w:t xml:space="preserve">Table </w:t>
      </w:r>
      <w:r w:rsidR="009008BC" w:rsidRPr="00812E8B">
        <w:rPr>
          <w:lang w:val="en-US"/>
        </w:rPr>
        <w:t>6</w:t>
      </w:r>
      <w:r w:rsidR="00201890" w:rsidRPr="00812E8B">
        <w:rPr>
          <w:lang w:val="en-US"/>
        </w:rPr>
        <w:t xml:space="preserve"> reports the regression outcomes using ROAA as measure for banks’ profitability</w:t>
      </w:r>
      <w:r w:rsidR="000348BA" w:rsidRPr="00812E8B">
        <w:rPr>
          <w:lang w:val="en-US"/>
        </w:rPr>
        <w:t>.</w:t>
      </w:r>
      <w:r w:rsidR="00F82AB4" w:rsidRPr="00812E8B">
        <w:rPr>
          <w:lang w:val="en-US"/>
        </w:rPr>
        <w:t xml:space="preserve"> The determinants of banks’ profitability are investigated using th</w:t>
      </w:r>
      <w:r w:rsidR="000348BA" w:rsidRPr="00812E8B">
        <w:rPr>
          <w:lang w:val="en-US"/>
        </w:rPr>
        <w:t>e two-step System GMM technique with the</w:t>
      </w:r>
      <w:r w:rsidR="00F82AB4" w:rsidRPr="00812E8B">
        <w:rPr>
          <w:lang w:val="en-US"/>
        </w:rPr>
        <w:t xml:space="preserve"> forward orthogonal deviation method. </w:t>
      </w:r>
      <w:r w:rsidR="009008BC" w:rsidRPr="00812E8B">
        <w:rPr>
          <w:lang w:val="en-US"/>
        </w:rPr>
        <w:t xml:space="preserve">Note that the standard errors obtained from the two-step procedure are corrected using the Windmeijer correction. </w:t>
      </w:r>
      <w:r w:rsidR="00451A69" w:rsidRPr="00812E8B">
        <w:rPr>
          <w:lang w:val="en-US"/>
        </w:rPr>
        <w:t xml:space="preserve">As described in chapter </w:t>
      </w:r>
      <w:r w:rsidR="00053960" w:rsidRPr="00812E8B">
        <w:rPr>
          <w:lang w:val="en-US"/>
        </w:rPr>
        <w:t>five</w:t>
      </w:r>
      <w:r w:rsidR="00250305" w:rsidRPr="00812E8B">
        <w:rPr>
          <w:lang w:val="en-US"/>
        </w:rPr>
        <w:t xml:space="preserve">, the model instruments </w:t>
      </w:r>
      <w:r w:rsidR="00451A69" w:rsidRPr="00812E8B">
        <w:rPr>
          <w:lang w:val="en-US"/>
        </w:rPr>
        <w:t>the lagged dependent variable, endogenous variable and predetermined variables</w:t>
      </w:r>
      <w:r w:rsidR="00250305" w:rsidRPr="00812E8B">
        <w:rPr>
          <w:lang w:val="en-US"/>
        </w:rPr>
        <w:t>.</w:t>
      </w:r>
      <w:r w:rsidR="00451A69" w:rsidRPr="00812E8B">
        <w:rPr>
          <w:lang w:val="en-US"/>
        </w:rPr>
        <w:t xml:space="preserve"> In contrary to </w:t>
      </w:r>
      <w:r w:rsidR="001B30EB" w:rsidRPr="00812E8B">
        <w:rPr>
          <w:color w:val="365F91" w:themeColor="accent1" w:themeShade="BF"/>
          <w:lang w:val="en-US"/>
        </w:rPr>
        <w:t xml:space="preserve">Dietrich and Wanzenried (2011), </w:t>
      </w:r>
      <w:r w:rsidR="00E34060" w:rsidRPr="00812E8B">
        <w:rPr>
          <w:color w:val="365F91" w:themeColor="accent1" w:themeShade="BF"/>
          <w:lang w:val="en-US"/>
        </w:rPr>
        <w:t xml:space="preserve">Athanasoglou et al. (2008) </w:t>
      </w:r>
      <w:r w:rsidR="00E34060" w:rsidRPr="00812E8B">
        <w:rPr>
          <w:lang w:val="en-US"/>
        </w:rPr>
        <w:t>and</w:t>
      </w:r>
      <w:r w:rsidR="00F45869" w:rsidRPr="00812E8B">
        <w:rPr>
          <w:color w:val="365F91" w:themeColor="accent1" w:themeShade="BF"/>
          <w:lang w:val="en-US"/>
        </w:rPr>
        <w:t xml:space="preserve"> García-Herrero et al. (2009)</w:t>
      </w:r>
      <w:r w:rsidR="00451A69" w:rsidRPr="00812E8B">
        <w:rPr>
          <w:lang w:val="en-US"/>
        </w:rPr>
        <w:t>, only the lagged dependent variable and endogenous variable are instrumented using all available lags. For the</w:t>
      </w:r>
      <w:r w:rsidR="008A2BEB" w:rsidRPr="00812E8B">
        <w:rPr>
          <w:lang w:val="en-US"/>
        </w:rPr>
        <w:t xml:space="preserve"> other instrumented </w:t>
      </w:r>
      <w:r w:rsidR="00451E0E" w:rsidRPr="00812E8B">
        <w:rPr>
          <w:lang w:val="en-US"/>
        </w:rPr>
        <w:t>variables,</w:t>
      </w:r>
      <w:r w:rsidR="008A2BEB" w:rsidRPr="00812E8B">
        <w:rPr>
          <w:lang w:val="en-US"/>
        </w:rPr>
        <w:t xml:space="preserve"> </w:t>
      </w:r>
      <w:r w:rsidR="00451A69" w:rsidRPr="00812E8B">
        <w:rPr>
          <w:lang w:val="en-US"/>
        </w:rPr>
        <w:t xml:space="preserve">only the first lags are used as instruments. This thesis differs from existing literature </w:t>
      </w:r>
      <w:r w:rsidR="008A2BEB" w:rsidRPr="00812E8B">
        <w:rPr>
          <w:lang w:val="en-US"/>
        </w:rPr>
        <w:t xml:space="preserve">to avoid the </w:t>
      </w:r>
      <w:r w:rsidR="00451A69" w:rsidRPr="00812E8B">
        <w:rPr>
          <w:lang w:val="en-US"/>
        </w:rPr>
        <w:t xml:space="preserve">potential problem of instrument proliferation. When using too many instruments in the System GMM estimator the model is </w:t>
      </w:r>
      <w:r w:rsidR="00BF26AA" w:rsidRPr="00812E8B">
        <w:rPr>
          <w:lang w:val="en-US"/>
        </w:rPr>
        <w:t>over-identified,</w:t>
      </w:r>
      <w:r w:rsidR="00451A69" w:rsidRPr="00812E8B">
        <w:rPr>
          <w:lang w:val="en-US"/>
        </w:rPr>
        <w:t xml:space="preserve"> </w:t>
      </w:r>
      <w:r w:rsidR="00CD1A01" w:rsidRPr="00812E8B">
        <w:rPr>
          <w:lang w:val="en-US"/>
        </w:rPr>
        <w:t>this will bias estimates for the instrumented variables towards the coefficients from th</w:t>
      </w:r>
      <w:r w:rsidR="00250305" w:rsidRPr="00812E8B">
        <w:rPr>
          <w:lang w:val="en-US"/>
        </w:rPr>
        <w:t xml:space="preserve">e clearly exogenous variables </w:t>
      </w:r>
      <w:r w:rsidR="00F45869" w:rsidRPr="00812E8B">
        <w:rPr>
          <w:color w:val="365F91" w:themeColor="accent1" w:themeShade="BF"/>
          <w:lang w:val="en-US"/>
        </w:rPr>
        <w:t>(Baltagi, 2008)</w:t>
      </w:r>
      <w:r w:rsidR="00CD1A01" w:rsidRPr="00812E8B">
        <w:rPr>
          <w:color w:val="365F91" w:themeColor="accent1" w:themeShade="BF"/>
          <w:lang w:val="en-US"/>
        </w:rPr>
        <w:t>.</w:t>
      </w:r>
      <w:r w:rsidR="00CD1A01" w:rsidRPr="00812E8B">
        <w:rPr>
          <w:lang w:val="en-US"/>
        </w:rPr>
        <w:t xml:space="preserve"> A</w:t>
      </w:r>
      <w:r w:rsidR="008A2BEB" w:rsidRPr="00812E8B">
        <w:rPr>
          <w:lang w:val="en-US"/>
        </w:rPr>
        <w:t xml:space="preserve">lthough </w:t>
      </w:r>
      <w:r w:rsidR="00CD1A01" w:rsidRPr="00812E8B">
        <w:rPr>
          <w:lang w:val="en-US"/>
        </w:rPr>
        <w:t xml:space="preserve">the </w:t>
      </w:r>
      <w:r w:rsidR="00A43B90" w:rsidRPr="00812E8B">
        <w:rPr>
          <w:lang w:val="en-US"/>
        </w:rPr>
        <w:t>mentioned</w:t>
      </w:r>
      <w:r w:rsidR="008A2BEB" w:rsidRPr="00812E8B">
        <w:rPr>
          <w:lang w:val="en-US"/>
        </w:rPr>
        <w:t xml:space="preserve"> </w:t>
      </w:r>
      <w:r w:rsidR="00CD1A01" w:rsidRPr="00812E8B">
        <w:rPr>
          <w:lang w:val="en-US"/>
        </w:rPr>
        <w:t xml:space="preserve">studies </w:t>
      </w:r>
      <w:r w:rsidR="008A2BEB" w:rsidRPr="00812E8B">
        <w:rPr>
          <w:lang w:val="en-US"/>
        </w:rPr>
        <w:t>report very good results for the Hans</w:t>
      </w:r>
      <w:r w:rsidR="000B66BA" w:rsidRPr="00812E8B">
        <w:rPr>
          <w:lang w:val="en-US"/>
        </w:rPr>
        <w:t xml:space="preserve">en test of </w:t>
      </w:r>
      <w:r w:rsidR="00902953" w:rsidRPr="00812E8B">
        <w:rPr>
          <w:lang w:val="en-US"/>
        </w:rPr>
        <w:t xml:space="preserve">over-identification there </w:t>
      </w:r>
      <w:r w:rsidR="000B66BA" w:rsidRPr="00812E8B">
        <w:rPr>
          <w:lang w:val="en-US"/>
        </w:rPr>
        <w:t>is rise for instrument proliferation. According</w:t>
      </w:r>
      <w:r w:rsidR="008A2BEB" w:rsidRPr="00812E8B">
        <w:rPr>
          <w:lang w:val="en-US"/>
        </w:rPr>
        <w:t xml:space="preserve"> to </w:t>
      </w:r>
      <w:r w:rsidR="00F45869" w:rsidRPr="00812E8B">
        <w:rPr>
          <w:color w:val="365F91" w:themeColor="accent1" w:themeShade="BF"/>
          <w:lang w:val="en-US"/>
        </w:rPr>
        <w:t>Roodman (2008)</w:t>
      </w:r>
      <w:r w:rsidR="008A2BEB" w:rsidRPr="00812E8B">
        <w:rPr>
          <w:lang w:val="en-US"/>
        </w:rPr>
        <w:t xml:space="preserve"> the Hansen-test could </w:t>
      </w:r>
      <w:r w:rsidR="009008BC" w:rsidRPr="00812E8B">
        <w:rPr>
          <w:lang w:val="en-US"/>
        </w:rPr>
        <w:t xml:space="preserve">give very good looking p-values </w:t>
      </w:r>
      <w:r w:rsidR="008A2BEB" w:rsidRPr="00812E8B">
        <w:rPr>
          <w:lang w:val="en-US"/>
        </w:rPr>
        <w:t>when the instruments outnumber</w:t>
      </w:r>
      <w:r w:rsidR="00A43B90" w:rsidRPr="00812E8B">
        <w:rPr>
          <w:lang w:val="en-US"/>
        </w:rPr>
        <w:t>s</w:t>
      </w:r>
      <w:r w:rsidR="008A2BEB" w:rsidRPr="00812E8B">
        <w:rPr>
          <w:lang w:val="en-US"/>
        </w:rPr>
        <w:t xml:space="preserve"> the cross-sectional observations</w:t>
      </w:r>
      <w:r w:rsidR="000B66BA" w:rsidRPr="00812E8B">
        <w:rPr>
          <w:lang w:val="en-US"/>
        </w:rPr>
        <w:t>, while the validity of the test is questionable</w:t>
      </w:r>
      <w:r w:rsidR="008A2BEB" w:rsidRPr="00812E8B">
        <w:rPr>
          <w:lang w:val="en-US"/>
        </w:rPr>
        <w:t xml:space="preserve">. </w:t>
      </w:r>
      <w:r w:rsidR="00A43B90" w:rsidRPr="00812E8B">
        <w:rPr>
          <w:lang w:val="en-US"/>
        </w:rPr>
        <w:t xml:space="preserve">As proposed by </w:t>
      </w:r>
      <w:r w:rsidR="00F45869" w:rsidRPr="00812E8B">
        <w:rPr>
          <w:color w:val="365F91" w:themeColor="accent1" w:themeShade="BF"/>
          <w:lang w:val="en-US"/>
        </w:rPr>
        <w:t>Roodman (2008)</w:t>
      </w:r>
      <w:r w:rsidR="00A43B90" w:rsidRPr="00812E8B">
        <w:rPr>
          <w:lang w:val="en-US"/>
        </w:rPr>
        <w:t xml:space="preserve"> t</w:t>
      </w:r>
      <w:r w:rsidR="009008BC" w:rsidRPr="00812E8B">
        <w:rPr>
          <w:lang w:val="en-US"/>
        </w:rPr>
        <w:t xml:space="preserve">here are two methods to avoid </w:t>
      </w:r>
      <w:r w:rsidR="00902953" w:rsidRPr="00812E8B">
        <w:rPr>
          <w:lang w:val="en-US"/>
        </w:rPr>
        <w:t>over-identification</w:t>
      </w:r>
      <w:r w:rsidR="009008BC" w:rsidRPr="00812E8B">
        <w:rPr>
          <w:lang w:val="en-US"/>
        </w:rPr>
        <w:t>;</w:t>
      </w:r>
      <w:r w:rsidR="008A2BEB" w:rsidRPr="00812E8B">
        <w:rPr>
          <w:lang w:val="en-US"/>
        </w:rPr>
        <w:t xml:space="preserve"> using fewer lags for the instrumented variables or by using the collapse option in System GMM</w:t>
      </w:r>
      <w:r w:rsidR="008A2BEB" w:rsidRPr="00812E8B">
        <w:rPr>
          <w:rStyle w:val="EndnoteReference"/>
          <w:lang w:val="en-US"/>
        </w:rPr>
        <w:endnoteReference w:id="18"/>
      </w:r>
      <w:r w:rsidR="008A2BEB" w:rsidRPr="00812E8B">
        <w:rPr>
          <w:lang w:val="en-US"/>
        </w:rPr>
        <w:t xml:space="preserve">. </w:t>
      </w:r>
      <w:r w:rsidR="00902953" w:rsidRPr="00812E8B">
        <w:rPr>
          <w:lang w:val="en-US"/>
        </w:rPr>
        <w:t>This thesis opts for the first method and restricts</w:t>
      </w:r>
      <w:r w:rsidR="008A2BEB" w:rsidRPr="00812E8B">
        <w:rPr>
          <w:lang w:val="en-US"/>
        </w:rPr>
        <w:t xml:space="preserve"> the number of lags on the</w:t>
      </w:r>
      <w:r w:rsidR="00451E0E" w:rsidRPr="00812E8B">
        <w:rPr>
          <w:lang w:val="en-US"/>
        </w:rPr>
        <w:t xml:space="preserve"> pre-determined variables to </w:t>
      </w:r>
      <w:r w:rsidR="00053960" w:rsidRPr="00812E8B">
        <w:rPr>
          <w:lang w:val="en-US"/>
        </w:rPr>
        <w:t>one</w:t>
      </w:r>
      <w:r w:rsidR="00C91212">
        <w:rPr>
          <w:lang w:val="en-US"/>
        </w:rPr>
        <w:t>.</w:t>
      </w:r>
      <w:r w:rsidR="00451E0E" w:rsidRPr="00812E8B">
        <w:rPr>
          <w:lang w:val="en-US"/>
        </w:rPr>
        <w:t xml:space="preserve"> </w:t>
      </w:r>
      <w:r w:rsidR="00A43B90" w:rsidRPr="00812E8B">
        <w:rPr>
          <w:lang w:val="en-US"/>
        </w:rPr>
        <w:t xml:space="preserve">After restricting the lags for the predetermined </w:t>
      </w:r>
      <w:r w:rsidR="00250305" w:rsidRPr="00812E8B">
        <w:rPr>
          <w:lang w:val="en-US"/>
        </w:rPr>
        <w:t>variables,</w:t>
      </w:r>
      <w:r w:rsidR="00A43B90" w:rsidRPr="00812E8B">
        <w:rPr>
          <w:lang w:val="en-US"/>
        </w:rPr>
        <w:t xml:space="preserve"> the number of instruments is </w:t>
      </w:r>
      <w:r w:rsidR="00053960" w:rsidRPr="00812E8B">
        <w:rPr>
          <w:lang w:val="en-US"/>
        </w:rPr>
        <w:t>smaller</w:t>
      </w:r>
      <w:r w:rsidR="00A43B90" w:rsidRPr="00812E8B">
        <w:rPr>
          <w:lang w:val="en-US"/>
        </w:rPr>
        <w:t xml:space="preserve"> than the number of banks, as </w:t>
      </w:r>
      <w:r w:rsidR="005667C2" w:rsidRPr="00812E8B">
        <w:rPr>
          <w:lang w:val="en-US"/>
        </w:rPr>
        <w:t xml:space="preserve">is illustrated in the bottom of </w:t>
      </w:r>
      <w:r w:rsidR="00A43B90" w:rsidRPr="00812E8B">
        <w:rPr>
          <w:lang w:val="en-US"/>
        </w:rPr>
        <w:t>Table 6.</w:t>
      </w:r>
      <w:r w:rsidR="008A2BEB" w:rsidRPr="00812E8B">
        <w:rPr>
          <w:lang w:val="en-US"/>
        </w:rPr>
        <w:t xml:space="preserve"> </w:t>
      </w:r>
      <w:r w:rsidR="00250305" w:rsidRPr="00812E8B">
        <w:rPr>
          <w:lang w:val="en-US"/>
        </w:rPr>
        <w:t>Furthermore, a</w:t>
      </w:r>
      <w:r w:rsidR="00FD7E44" w:rsidRPr="00812E8B">
        <w:rPr>
          <w:lang w:val="en-US"/>
        </w:rPr>
        <w:t xml:space="preserve">ppendix </w:t>
      </w:r>
      <w:r w:rsidR="00902953" w:rsidRPr="00812E8B">
        <w:rPr>
          <w:lang w:val="en-US"/>
        </w:rPr>
        <w:t>V</w:t>
      </w:r>
      <w:r w:rsidR="00FD7E44" w:rsidRPr="00812E8B">
        <w:rPr>
          <w:lang w:val="en-US"/>
        </w:rPr>
        <w:t xml:space="preserve"> describes</w:t>
      </w:r>
      <w:r w:rsidR="00A43B90" w:rsidRPr="00812E8B">
        <w:rPr>
          <w:lang w:val="en-US"/>
        </w:rPr>
        <w:t xml:space="preserve"> more extensively the used commands and regression options that are </w:t>
      </w:r>
      <w:r w:rsidR="00250305" w:rsidRPr="00812E8B">
        <w:rPr>
          <w:lang w:val="en-US"/>
        </w:rPr>
        <w:t>used</w:t>
      </w:r>
      <w:r w:rsidR="00A43B90" w:rsidRPr="00812E8B">
        <w:rPr>
          <w:lang w:val="en-US"/>
        </w:rPr>
        <w:t xml:space="preserve"> in the </w:t>
      </w:r>
      <w:r w:rsidR="00FD7E44" w:rsidRPr="00812E8B">
        <w:rPr>
          <w:lang w:val="en-US"/>
        </w:rPr>
        <w:t>statistical software package</w:t>
      </w:r>
      <w:r w:rsidR="00250305" w:rsidRPr="00812E8B">
        <w:rPr>
          <w:lang w:val="en-US"/>
        </w:rPr>
        <w:t xml:space="preserve"> Stata (StataCorp)</w:t>
      </w:r>
      <w:r w:rsidR="00FD7E44" w:rsidRPr="00812E8B">
        <w:rPr>
          <w:lang w:val="en-US"/>
        </w:rPr>
        <w:t>.</w:t>
      </w:r>
    </w:p>
    <w:p w:rsidR="009008BC" w:rsidRPr="00812E8B" w:rsidRDefault="009008BC" w:rsidP="00F0677F">
      <w:pPr>
        <w:pStyle w:val="NoSpacing"/>
        <w:spacing w:line="276" w:lineRule="auto"/>
        <w:jc w:val="both"/>
        <w:rPr>
          <w:sz w:val="14"/>
          <w:szCs w:val="14"/>
          <w:lang w:val="en-US"/>
        </w:rPr>
      </w:pPr>
    </w:p>
    <w:p w:rsidR="00DD0CA5" w:rsidRPr="00812E8B" w:rsidRDefault="00DD0CA5" w:rsidP="00DD0CA5">
      <w:pPr>
        <w:pStyle w:val="Heading3"/>
        <w:rPr>
          <w:color w:val="auto"/>
          <w:lang w:val="en-US"/>
        </w:rPr>
      </w:pPr>
      <w:r w:rsidRPr="00812E8B">
        <w:rPr>
          <w:color w:val="auto"/>
          <w:lang w:val="en-US"/>
        </w:rPr>
        <w:t>6.</w:t>
      </w:r>
      <w:r w:rsidR="009F71E8" w:rsidRPr="00812E8B">
        <w:rPr>
          <w:color w:val="auto"/>
          <w:lang w:val="en-US"/>
        </w:rPr>
        <w:t>1</w:t>
      </w:r>
      <w:r w:rsidRPr="00812E8B">
        <w:rPr>
          <w:color w:val="auto"/>
          <w:lang w:val="en-US"/>
        </w:rPr>
        <w:t>.1 R</w:t>
      </w:r>
      <w:r w:rsidR="00937B13" w:rsidRPr="00812E8B">
        <w:rPr>
          <w:color w:val="auto"/>
          <w:sz w:val="19"/>
          <w:szCs w:val="19"/>
          <w:lang w:val="en-US"/>
        </w:rPr>
        <w:t>ESULTS FOR ESTIMATION OF THE RETURN ON AVERAGE ASSETS</w:t>
      </w:r>
    </w:p>
    <w:p w:rsidR="008E276B" w:rsidRPr="00812E8B" w:rsidRDefault="00A43B90" w:rsidP="008E276B">
      <w:pPr>
        <w:pStyle w:val="NoSpacing"/>
        <w:spacing w:line="276" w:lineRule="auto"/>
        <w:jc w:val="both"/>
        <w:rPr>
          <w:lang w:val="en-US"/>
        </w:rPr>
      </w:pPr>
      <w:r w:rsidRPr="00812E8B">
        <w:rPr>
          <w:lang w:val="en-US"/>
        </w:rPr>
        <w:t>According to table 6</w:t>
      </w:r>
      <w:r w:rsidR="00A234A4" w:rsidRPr="00812E8B">
        <w:rPr>
          <w:lang w:val="en-US"/>
        </w:rPr>
        <w:t>,</w:t>
      </w:r>
      <w:r w:rsidRPr="00812E8B">
        <w:rPr>
          <w:lang w:val="en-US"/>
        </w:rPr>
        <w:t xml:space="preserve"> the lagged dependent variable has the most explanatory power of the model, indicated by the largest </w:t>
      </w:r>
      <w:r w:rsidR="00612B49" w:rsidRPr="00812E8B">
        <w:rPr>
          <w:lang w:val="en-US"/>
        </w:rPr>
        <w:t xml:space="preserve">estimated </w:t>
      </w:r>
      <w:r w:rsidRPr="00812E8B">
        <w:rPr>
          <w:lang w:val="en-US"/>
        </w:rPr>
        <w:t xml:space="preserve">coefficient; for the total </w:t>
      </w:r>
      <w:r w:rsidR="005667C2" w:rsidRPr="00812E8B">
        <w:rPr>
          <w:lang w:val="en-US"/>
        </w:rPr>
        <w:t>sample,</w:t>
      </w:r>
      <w:r w:rsidRPr="00812E8B">
        <w:rPr>
          <w:lang w:val="en-US"/>
        </w:rPr>
        <w:t xml:space="preserve"> the coefficient equals 0.</w:t>
      </w:r>
      <w:r w:rsidR="00612B49" w:rsidRPr="00812E8B">
        <w:rPr>
          <w:lang w:val="en-US"/>
        </w:rPr>
        <w:t>1262</w:t>
      </w:r>
      <w:r w:rsidRPr="00812E8B">
        <w:rPr>
          <w:lang w:val="en-US"/>
        </w:rPr>
        <w:t xml:space="preserve">. </w:t>
      </w:r>
      <w:r w:rsidR="00EF2D92" w:rsidRPr="00812E8B">
        <w:rPr>
          <w:lang w:val="en-US"/>
        </w:rPr>
        <w:t xml:space="preserve">The significant coefficient confirms that </w:t>
      </w:r>
      <w:r w:rsidRPr="00812E8B">
        <w:rPr>
          <w:lang w:val="en-US"/>
        </w:rPr>
        <w:t xml:space="preserve">one should </w:t>
      </w:r>
      <w:r w:rsidR="00EF2D92" w:rsidRPr="00812E8B">
        <w:rPr>
          <w:lang w:val="en-US"/>
        </w:rPr>
        <w:t xml:space="preserve">take into </w:t>
      </w:r>
      <w:r w:rsidRPr="00812E8B">
        <w:rPr>
          <w:lang w:val="en-US"/>
        </w:rPr>
        <w:t>account profit persistence when attempting</w:t>
      </w:r>
      <w:r w:rsidR="008E276B" w:rsidRPr="00812E8B">
        <w:rPr>
          <w:lang w:val="en-US"/>
        </w:rPr>
        <w:t xml:space="preserve"> to explain banking profitability. Note </w:t>
      </w:r>
      <w:r w:rsidR="00053960" w:rsidRPr="00812E8B">
        <w:rPr>
          <w:lang w:val="en-US"/>
        </w:rPr>
        <w:t xml:space="preserve">that </w:t>
      </w:r>
      <w:r w:rsidR="008E276B" w:rsidRPr="00812E8B">
        <w:rPr>
          <w:lang w:val="en-US"/>
        </w:rPr>
        <w:t xml:space="preserve">the variable does not predict the return on average assets for a bank nor does it explain the composition of the profitability of a bank. The coefficient merely reflects that when banks are able to generate a positive profit in the previous year it is likely that the bank is able to generate a positive profit this year. The variable is only significant at a 5% level </w:t>
      </w:r>
      <w:r w:rsidR="00053960" w:rsidRPr="00812E8B">
        <w:rPr>
          <w:lang w:val="en-US"/>
        </w:rPr>
        <w:t>in th</w:t>
      </w:r>
      <w:r w:rsidR="008E276B" w:rsidRPr="00812E8B">
        <w:rPr>
          <w:lang w:val="en-US"/>
        </w:rPr>
        <w:t xml:space="preserve">e </w:t>
      </w:r>
      <w:r w:rsidR="008E276B" w:rsidRPr="00812E8B">
        <w:rPr>
          <w:lang w:val="en-US"/>
        </w:rPr>
        <w:lastRenderedPageBreak/>
        <w:t>total sample</w:t>
      </w:r>
      <w:r w:rsidR="00053960" w:rsidRPr="00812E8B">
        <w:rPr>
          <w:lang w:val="en-US"/>
        </w:rPr>
        <w:t>. Evidence for profit persistence is more extensively found by</w:t>
      </w:r>
      <w:r w:rsidR="00AE700C" w:rsidRPr="00812E8B">
        <w:rPr>
          <w:color w:val="365F91" w:themeColor="accent1" w:themeShade="BF"/>
          <w:lang w:val="en-US"/>
        </w:rPr>
        <w:t xml:space="preserve"> Goddard et al. (2004) </w:t>
      </w:r>
      <w:r w:rsidR="00E34060" w:rsidRPr="00812E8B">
        <w:rPr>
          <w:lang w:val="en-US"/>
        </w:rPr>
        <w:t>and</w:t>
      </w:r>
      <w:r w:rsidR="00053960" w:rsidRPr="00812E8B">
        <w:rPr>
          <w:color w:val="365F91" w:themeColor="accent1" w:themeShade="BF"/>
          <w:lang w:val="en-US"/>
        </w:rPr>
        <w:t xml:space="preserve"> </w:t>
      </w:r>
      <w:r w:rsidR="00E34060" w:rsidRPr="00812E8B">
        <w:rPr>
          <w:color w:val="365F91" w:themeColor="accent1" w:themeShade="BF"/>
          <w:lang w:val="en-US"/>
        </w:rPr>
        <w:t xml:space="preserve">Athanasoglou et al. (2008) </w:t>
      </w:r>
      <w:r w:rsidR="00053960" w:rsidRPr="00812E8B">
        <w:rPr>
          <w:lang w:val="en-US"/>
        </w:rPr>
        <w:t xml:space="preserve">for which the </w:t>
      </w:r>
      <w:r w:rsidR="00BB7D4C" w:rsidRPr="00812E8B">
        <w:rPr>
          <w:lang w:val="en-US"/>
        </w:rPr>
        <w:t>parameters are</w:t>
      </w:r>
      <w:r w:rsidR="005A0CDE" w:rsidRPr="00812E8B">
        <w:rPr>
          <w:lang w:val="en-US"/>
        </w:rPr>
        <w:t xml:space="preserve"> also significant at a 1% level. Moreover, the parameter</w:t>
      </w:r>
      <w:r w:rsidR="009E0D8A" w:rsidRPr="00812E8B">
        <w:rPr>
          <w:lang w:val="en-US"/>
        </w:rPr>
        <w:t>s for profit persistence</w:t>
      </w:r>
      <w:r w:rsidR="00387C09" w:rsidRPr="00812E8B">
        <w:rPr>
          <w:lang w:val="en-US"/>
        </w:rPr>
        <w:t xml:space="preserve"> of these studies,</w:t>
      </w:r>
      <w:r w:rsidR="00BB7D4C" w:rsidRPr="00812E8B">
        <w:rPr>
          <w:lang w:val="en-US"/>
        </w:rPr>
        <w:t xml:space="preserve"> which equals </w:t>
      </w:r>
      <w:r w:rsidR="00387C09" w:rsidRPr="00812E8B">
        <w:rPr>
          <w:lang w:val="en-US"/>
        </w:rPr>
        <w:t xml:space="preserve">0.35 and 0.26 respectively, </w:t>
      </w:r>
      <w:r w:rsidR="005A0CDE" w:rsidRPr="00812E8B">
        <w:rPr>
          <w:lang w:val="en-US"/>
        </w:rPr>
        <w:t>are substantially higher than</w:t>
      </w:r>
      <w:r w:rsidR="009E0D8A" w:rsidRPr="00812E8B">
        <w:rPr>
          <w:lang w:val="en-US"/>
        </w:rPr>
        <w:t xml:space="preserve"> the one reported in table 6. </w:t>
      </w:r>
      <w:r w:rsidR="00387C09" w:rsidRPr="00812E8B">
        <w:rPr>
          <w:lang w:val="en-US"/>
        </w:rPr>
        <w:t xml:space="preserve">The coefficient of 0.1262 is more in line with that of </w:t>
      </w:r>
      <w:r w:rsidR="001B30EB" w:rsidRPr="00812E8B">
        <w:rPr>
          <w:color w:val="365F91" w:themeColor="accent1" w:themeShade="BF"/>
          <w:lang w:val="en-US"/>
        </w:rPr>
        <w:t xml:space="preserve">Dietrich and Wanzenried (2011) </w:t>
      </w:r>
      <w:r w:rsidR="00BB7D4C" w:rsidRPr="00812E8B">
        <w:rPr>
          <w:lang w:val="en-US"/>
        </w:rPr>
        <w:t>of 0.087</w:t>
      </w:r>
      <w:r w:rsidR="00387C09" w:rsidRPr="00812E8B">
        <w:rPr>
          <w:lang w:val="en-US"/>
        </w:rPr>
        <w:t>. A possible explanation could be that, b</w:t>
      </w:r>
      <w:r w:rsidR="009E0D8A" w:rsidRPr="00812E8B">
        <w:rPr>
          <w:lang w:val="en-US"/>
        </w:rPr>
        <w:t>y using</w:t>
      </w:r>
      <w:r w:rsidR="00387C09" w:rsidRPr="00812E8B">
        <w:rPr>
          <w:lang w:val="en-US"/>
        </w:rPr>
        <w:t xml:space="preserve"> recent </w:t>
      </w:r>
      <w:r w:rsidR="009E0D8A" w:rsidRPr="00812E8B">
        <w:rPr>
          <w:lang w:val="en-US"/>
        </w:rPr>
        <w:t>observations</w:t>
      </w:r>
      <w:r w:rsidR="00387C09" w:rsidRPr="00812E8B">
        <w:rPr>
          <w:lang w:val="en-US"/>
        </w:rPr>
        <w:t xml:space="preserve"> this thesis</w:t>
      </w:r>
      <w:r w:rsidR="009E0D8A" w:rsidRPr="00812E8B">
        <w:rPr>
          <w:lang w:val="en-US"/>
        </w:rPr>
        <w:t xml:space="preserve"> </w:t>
      </w:r>
      <w:r w:rsidR="00387C09" w:rsidRPr="00812E8B">
        <w:rPr>
          <w:lang w:val="en-US"/>
        </w:rPr>
        <w:t xml:space="preserve">investigates a more </w:t>
      </w:r>
      <w:r w:rsidR="009E0D8A" w:rsidRPr="00812E8B">
        <w:rPr>
          <w:lang w:val="en-US"/>
        </w:rPr>
        <w:t xml:space="preserve">competitive and consolidated European banking sector in which the </w:t>
      </w:r>
      <w:r w:rsidR="00740644" w:rsidRPr="00812E8B">
        <w:rPr>
          <w:lang w:val="en-US"/>
        </w:rPr>
        <w:t>degree</w:t>
      </w:r>
      <w:r w:rsidR="009E0D8A" w:rsidRPr="00812E8B">
        <w:rPr>
          <w:lang w:val="en-US"/>
        </w:rPr>
        <w:t xml:space="preserve"> of profit persistence</w:t>
      </w:r>
      <w:r w:rsidR="00740644" w:rsidRPr="00812E8B">
        <w:rPr>
          <w:lang w:val="en-US"/>
        </w:rPr>
        <w:t xml:space="preserve"> has diminished. Besides, the </w:t>
      </w:r>
      <w:r w:rsidR="00BB7D4C" w:rsidRPr="00812E8B">
        <w:rPr>
          <w:lang w:val="en-US"/>
        </w:rPr>
        <w:t>findings in table 6 suggest</w:t>
      </w:r>
      <w:r w:rsidR="005A0CDE" w:rsidRPr="00812E8B">
        <w:rPr>
          <w:lang w:val="en-US"/>
        </w:rPr>
        <w:t xml:space="preserve"> that profit persistence </w:t>
      </w:r>
      <w:r w:rsidR="00387C09" w:rsidRPr="00812E8B">
        <w:rPr>
          <w:lang w:val="en-US"/>
        </w:rPr>
        <w:t xml:space="preserve">does not exist in both subsamples opposed to the results of </w:t>
      </w:r>
      <w:r w:rsidR="001B30EB" w:rsidRPr="00812E8B">
        <w:rPr>
          <w:color w:val="365F91" w:themeColor="accent1" w:themeShade="BF"/>
          <w:lang w:val="en-US"/>
        </w:rPr>
        <w:t>Dietrich and Wanzenried (2011)</w:t>
      </w:r>
      <w:r w:rsidR="00387C09" w:rsidRPr="00812E8B">
        <w:rPr>
          <w:lang w:val="en-US"/>
        </w:rPr>
        <w:t xml:space="preserve">. </w:t>
      </w:r>
      <w:r w:rsidR="00B46A9C" w:rsidRPr="00812E8B">
        <w:rPr>
          <w:lang w:val="en-US"/>
        </w:rPr>
        <w:t xml:space="preserve">A clear explanation is untenable, only one could state that the volatility in profits during the crisis sample reduce the amount of profit persistence but this explanation does not hold for the pre-crisis period. </w:t>
      </w:r>
    </w:p>
    <w:p w:rsidR="008E276B" w:rsidRPr="00812E8B" w:rsidRDefault="00053960" w:rsidP="00053960">
      <w:pPr>
        <w:pStyle w:val="NoSpacing"/>
        <w:tabs>
          <w:tab w:val="left" w:pos="1641"/>
        </w:tabs>
        <w:spacing w:line="276" w:lineRule="auto"/>
        <w:jc w:val="both"/>
        <w:rPr>
          <w:color w:val="FF0000"/>
          <w:lang w:val="en-US"/>
        </w:rPr>
      </w:pPr>
      <w:r w:rsidRPr="00812E8B">
        <w:rPr>
          <w:color w:val="FF0000"/>
          <w:lang w:val="en-US"/>
        </w:rPr>
        <w:tab/>
      </w:r>
    </w:p>
    <w:p w:rsidR="008E276B" w:rsidRPr="00812E8B" w:rsidRDefault="00740644" w:rsidP="00740644">
      <w:pPr>
        <w:pStyle w:val="NoSpacing"/>
        <w:spacing w:line="276" w:lineRule="auto"/>
        <w:jc w:val="both"/>
        <w:rPr>
          <w:lang w:val="en-US"/>
        </w:rPr>
      </w:pPr>
      <w:r w:rsidRPr="00812E8B">
        <w:rPr>
          <w:lang w:val="en-US"/>
        </w:rPr>
        <w:t>Of p</w:t>
      </w:r>
      <w:r w:rsidR="008E276B" w:rsidRPr="00812E8B">
        <w:rPr>
          <w:lang w:val="en-US"/>
        </w:rPr>
        <w:t xml:space="preserve">articular interest </w:t>
      </w:r>
      <w:r w:rsidR="00313F45" w:rsidRPr="00812E8B">
        <w:rPr>
          <w:lang w:val="en-US"/>
        </w:rPr>
        <w:t>are the findings</w:t>
      </w:r>
      <w:r w:rsidRPr="00812E8B">
        <w:rPr>
          <w:lang w:val="en-US"/>
        </w:rPr>
        <w:t xml:space="preserve"> regarding the ownership structure and regulation and their effect on profitability. Hitherto the thesis described that the European banking sector is different from other sectors since shareholder-, mutual-, co-operative and government-owned banks jointly operate. Furthermore, aforementioned the sector is heavily regulated and constraints on funding and liquidity structures could influence profitability. </w:t>
      </w:r>
      <w:r w:rsidR="008E276B" w:rsidRPr="00812E8B">
        <w:rPr>
          <w:lang w:val="en-US"/>
        </w:rPr>
        <w:t>The effects</w:t>
      </w:r>
      <w:r w:rsidRPr="00812E8B">
        <w:rPr>
          <w:lang w:val="en-US"/>
        </w:rPr>
        <w:t xml:space="preserve"> of ownership and the funding or liquidity structure </w:t>
      </w:r>
      <w:r w:rsidR="008E276B" w:rsidRPr="00812E8B">
        <w:rPr>
          <w:lang w:val="en-US"/>
        </w:rPr>
        <w:t xml:space="preserve">are separately investigated using the </w:t>
      </w:r>
      <w:r w:rsidRPr="00812E8B">
        <w:rPr>
          <w:lang w:val="en-US"/>
        </w:rPr>
        <w:t xml:space="preserve">two-step </w:t>
      </w:r>
      <w:r w:rsidR="008E276B" w:rsidRPr="00812E8B">
        <w:rPr>
          <w:lang w:val="en-US"/>
        </w:rPr>
        <w:t>System GMM technique. Findings suggest that both the funding and liquidity proxies</w:t>
      </w:r>
      <w:r w:rsidRPr="00812E8B">
        <w:rPr>
          <w:lang w:val="en-US"/>
        </w:rPr>
        <w:t xml:space="preserve"> </w:t>
      </w:r>
      <w:r w:rsidR="0009234D" w:rsidRPr="00812E8B">
        <w:rPr>
          <w:lang w:val="en-US"/>
        </w:rPr>
        <w:t>are no</w:t>
      </w:r>
      <w:r w:rsidR="00E67C72">
        <w:rPr>
          <w:lang w:val="en-US"/>
        </w:rPr>
        <w:t xml:space="preserve">t a </w:t>
      </w:r>
      <w:r w:rsidR="0009234D" w:rsidRPr="00812E8B">
        <w:rPr>
          <w:lang w:val="en-US"/>
        </w:rPr>
        <w:t xml:space="preserve">determinant of banks’ </w:t>
      </w:r>
      <w:r w:rsidRPr="00812E8B">
        <w:rPr>
          <w:lang w:val="en-US"/>
        </w:rPr>
        <w:t>profitability. The parameters for both variables are insignificant in both the total sample as in the subsamples, i</w:t>
      </w:r>
      <w:r w:rsidR="008E276B" w:rsidRPr="00812E8B">
        <w:rPr>
          <w:lang w:val="en-US"/>
        </w:rPr>
        <w:t xml:space="preserve">llustrated by the large p-values of the variables customer deposits to total funding and liquid assets to short term funding. The insignificant parameters indicate that </w:t>
      </w:r>
      <w:r w:rsidRPr="00812E8B">
        <w:rPr>
          <w:lang w:val="en-US"/>
        </w:rPr>
        <w:t>the</w:t>
      </w:r>
      <w:r w:rsidR="008E276B" w:rsidRPr="00812E8B">
        <w:rPr>
          <w:lang w:val="en-US"/>
        </w:rPr>
        <w:t xml:space="preserve"> funding and liquidity structure does not affect profitability.</w:t>
      </w:r>
      <w:r w:rsidRPr="00812E8B">
        <w:rPr>
          <w:lang w:val="en-US"/>
        </w:rPr>
        <w:t xml:space="preserve"> F</w:t>
      </w:r>
      <w:r w:rsidR="008E276B" w:rsidRPr="00812E8B">
        <w:rPr>
          <w:lang w:val="en-US"/>
        </w:rPr>
        <w:t xml:space="preserve">urthermore, findings suggest that there is </w:t>
      </w:r>
      <w:r w:rsidR="00313F45" w:rsidRPr="00812E8B">
        <w:rPr>
          <w:lang w:val="en-US"/>
        </w:rPr>
        <w:t xml:space="preserve">only </w:t>
      </w:r>
      <w:r w:rsidR="008E276B" w:rsidRPr="00812E8B">
        <w:rPr>
          <w:lang w:val="en-US"/>
        </w:rPr>
        <w:t xml:space="preserve">modest evidence for the agency theory of </w:t>
      </w:r>
      <w:r w:rsidR="00026D7B" w:rsidRPr="00812E8B">
        <w:rPr>
          <w:color w:val="365F91" w:themeColor="accent1" w:themeShade="BF"/>
          <w:lang w:val="en-US"/>
        </w:rPr>
        <w:t>Jensen and Meckling (1976)</w:t>
      </w:r>
      <w:r w:rsidR="008E276B" w:rsidRPr="00812E8B">
        <w:rPr>
          <w:lang w:val="en-US"/>
        </w:rPr>
        <w:t xml:space="preserve">. For the total sample, government owned banks perform worse compared to </w:t>
      </w:r>
      <w:r w:rsidR="00313F45" w:rsidRPr="00812E8B">
        <w:rPr>
          <w:lang w:val="en-US"/>
        </w:rPr>
        <w:t xml:space="preserve">the </w:t>
      </w:r>
      <w:r w:rsidR="008E276B" w:rsidRPr="00812E8B">
        <w:rPr>
          <w:lang w:val="en-US"/>
        </w:rPr>
        <w:t>shareholder owned banks</w:t>
      </w:r>
      <w:r w:rsidR="00313F45" w:rsidRPr="00812E8B">
        <w:rPr>
          <w:lang w:val="en-US"/>
        </w:rPr>
        <w:t xml:space="preserve"> but the parameter is only significant at a 10% level. Besides, th</w:t>
      </w:r>
      <w:r w:rsidR="008E276B" w:rsidRPr="00812E8B">
        <w:rPr>
          <w:lang w:val="en-US"/>
        </w:rPr>
        <w:t>e parameter for the dummy variable government owned banks is quite large, f</w:t>
      </w:r>
      <w:r w:rsidR="00313F45" w:rsidRPr="00812E8B">
        <w:rPr>
          <w:lang w:val="en-US"/>
        </w:rPr>
        <w:t>or the whole sample, and equals</w:t>
      </w:r>
      <w:r w:rsidRPr="00812E8B">
        <w:rPr>
          <w:lang w:val="en-US"/>
        </w:rPr>
        <w:t xml:space="preserve"> </w:t>
      </w:r>
      <w:r w:rsidR="008E276B" w:rsidRPr="00812E8B">
        <w:rPr>
          <w:lang w:val="en-US"/>
        </w:rPr>
        <w:t>-0.1040</w:t>
      </w:r>
      <w:r w:rsidR="00313F45" w:rsidRPr="00812E8B">
        <w:rPr>
          <w:lang w:val="en-US"/>
        </w:rPr>
        <w:t xml:space="preserve"> </w:t>
      </w:r>
      <w:r w:rsidR="008E276B" w:rsidRPr="00812E8B">
        <w:rPr>
          <w:lang w:val="en-US"/>
        </w:rPr>
        <w:t>indicat</w:t>
      </w:r>
      <w:r w:rsidR="00313F45" w:rsidRPr="00812E8B">
        <w:rPr>
          <w:lang w:val="en-US"/>
        </w:rPr>
        <w:t>ing</w:t>
      </w:r>
      <w:r w:rsidR="008E276B" w:rsidRPr="00812E8B">
        <w:rPr>
          <w:lang w:val="en-US"/>
        </w:rPr>
        <w:t xml:space="preserve"> that whether or not a bank is governed by a public sector entity is </w:t>
      </w:r>
      <w:r w:rsidR="0009234D" w:rsidRPr="00812E8B">
        <w:rPr>
          <w:lang w:val="en-US"/>
        </w:rPr>
        <w:t xml:space="preserve">a substantial </w:t>
      </w:r>
      <w:r w:rsidR="008E276B" w:rsidRPr="00812E8B">
        <w:rPr>
          <w:lang w:val="en-US"/>
        </w:rPr>
        <w:t>explanation for the profitability</w:t>
      </w:r>
      <w:r w:rsidR="008E276B" w:rsidRPr="00812E8B">
        <w:rPr>
          <w:rStyle w:val="EndnoteReference"/>
          <w:lang w:val="en-US"/>
        </w:rPr>
        <w:endnoteReference w:id="19"/>
      </w:r>
      <w:r w:rsidR="008E276B" w:rsidRPr="00812E8B">
        <w:rPr>
          <w:lang w:val="en-US"/>
        </w:rPr>
        <w:t xml:space="preserve">. </w:t>
      </w:r>
      <w:r w:rsidR="00313F45" w:rsidRPr="00812E8B">
        <w:rPr>
          <w:lang w:val="en-US"/>
        </w:rPr>
        <w:t xml:space="preserve">Nevertheless, since only the parameter for government owned banks is significant at a 10% level and only in the total sample the findings does not contribute new insights into existing academic research. Even in this thesis the findings are mixed depending on period and type of ownership and is closely related to the mixed literature as described by </w:t>
      </w:r>
      <w:r w:rsidR="00F45869" w:rsidRPr="00812E8B">
        <w:rPr>
          <w:color w:val="365F91" w:themeColor="accent1" w:themeShade="BF"/>
          <w:lang w:val="en-US"/>
        </w:rPr>
        <w:t xml:space="preserve">Ayadi et al. (2010) </w:t>
      </w:r>
      <w:r w:rsidR="00F45869" w:rsidRPr="00812E8B">
        <w:rPr>
          <w:lang w:val="en-US"/>
        </w:rPr>
        <w:t>and</w:t>
      </w:r>
      <w:r w:rsidR="00AE700C" w:rsidRPr="00812E8B">
        <w:rPr>
          <w:color w:val="365F91" w:themeColor="accent1" w:themeShade="BF"/>
          <w:lang w:val="en-US"/>
        </w:rPr>
        <w:t xml:space="preserve"> Goddard et al. (2007).</w:t>
      </w:r>
    </w:p>
    <w:p w:rsidR="008E276B" w:rsidRPr="00812E8B" w:rsidRDefault="008E276B" w:rsidP="008E276B">
      <w:pPr>
        <w:pStyle w:val="NoSpacing"/>
        <w:spacing w:line="276" w:lineRule="auto"/>
        <w:jc w:val="both"/>
        <w:rPr>
          <w:color w:val="FF0000"/>
          <w:lang w:val="en-US"/>
        </w:rPr>
      </w:pPr>
    </w:p>
    <w:p w:rsidR="00776AF3" w:rsidRPr="00812E8B" w:rsidRDefault="008E276B" w:rsidP="008E276B">
      <w:pPr>
        <w:pStyle w:val="NoSpacing"/>
        <w:spacing w:line="276" w:lineRule="auto"/>
        <w:jc w:val="both"/>
        <w:rPr>
          <w:lang w:val="en-US"/>
        </w:rPr>
      </w:pPr>
      <w:r w:rsidRPr="00812E8B">
        <w:rPr>
          <w:lang w:val="en-US"/>
        </w:rPr>
        <w:t xml:space="preserve">Contrary to the modest evidence for ownership and regulation, there is more evidence for a positive relationship between the </w:t>
      </w:r>
      <w:r w:rsidR="00335EFC" w:rsidRPr="00812E8B">
        <w:rPr>
          <w:lang w:val="en-US"/>
        </w:rPr>
        <w:t>equity-to-asset ratio</w:t>
      </w:r>
      <w:r w:rsidRPr="00812E8B">
        <w:rPr>
          <w:lang w:val="en-US"/>
        </w:rPr>
        <w:t xml:space="preserve"> and profitability. For the total sample, the coefficient for the </w:t>
      </w:r>
      <w:r w:rsidR="00335EFC" w:rsidRPr="00812E8B">
        <w:rPr>
          <w:lang w:val="en-US"/>
        </w:rPr>
        <w:t>equity-to-asset ratio</w:t>
      </w:r>
      <w:r w:rsidRPr="00812E8B">
        <w:rPr>
          <w:lang w:val="en-US"/>
        </w:rPr>
        <w:t xml:space="preserve"> equals 0.0691. </w:t>
      </w:r>
      <w:r w:rsidR="00B2528A" w:rsidRPr="00812E8B">
        <w:rPr>
          <w:lang w:val="en-US"/>
        </w:rPr>
        <w:t>The positive coefficients in both periods and throughout the whole sample are in favor of the signaling or bankruptcy costs hypothesis and in opposite to the risk-return trade-off hypothesis.</w:t>
      </w:r>
      <w:r w:rsidR="00755F48" w:rsidRPr="00812E8B">
        <w:rPr>
          <w:lang w:val="en-US"/>
        </w:rPr>
        <w:t xml:space="preserve"> The findings of the positive relationship are similar to </w:t>
      </w:r>
      <w:r w:rsidR="00F45869" w:rsidRPr="00812E8B">
        <w:rPr>
          <w:color w:val="365F91" w:themeColor="accent1" w:themeShade="BF"/>
          <w:lang w:val="en-US"/>
        </w:rPr>
        <w:t>García-Herrero et al. (2009),</w:t>
      </w:r>
      <w:r w:rsidR="005552A6" w:rsidRPr="00812E8B">
        <w:rPr>
          <w:color w:val="365F91" w:themeColor="accent1" w:themeShade="BF"/>
          <w:lang w:val="en-US"/>
        </w:rPr>
        <w:t xml:space="preserve"> </w:t>
      </w:r>
      <w:r w:rsidR="00881610" w:rsidRPr="00812E8B">
        <w:rPr>
          <w:color w:val="365F91" w:themeColor="accent1" w:themeShade="BF"/>
          <w:lang w:val="en-US"/>
        </w:rPr>
        <w:t>Trujillo-Ponce (2011),</w:t>
      </w:r>
      <w:r w:rsidR="00E34060" w:rsidRPr="00812E8B">
        <w:rPr>
          <w:color w:val="365F91" w:themeColor="accent1" w:themeShade="BF"/>
          <w:lang w:val="en-US"/>
        </w:rPr>
        <w:t xml:space="preserve"> Athanasoglou et al. (2008)</w:t>
      </w:r>
      <w:r w:rsidR="005552A6" w:rsidRPr="00812E8B">
        <w:rPr>
          <w:lang w:val="en-US"/>
        </w:rPr>
        <w:t xml:space="preserve"> and</w:t>
      </w:r>
      <w:r w:rsidR="007D7CD9" w:rsidRPr="00812E8B">
        <w:rPr>
          <w:color w:val="365F91" w:themeColor="accent1" w:themeShade="BF"/>
          <w:lang w:val="en-US"/>
        </w:rPr>
        <w:t xml:space="preserve"> Pasiouras and Kosmidou (2007)</w:t>
      </w:r>
      <w:r w:rsidR="007D7CD9" w:rsidRPr="00812E8B">
        <w:rPr>
          <w:lang w:val="en-US"/>
        </w:rPr>
        <w:t xml:space="preserve"> </w:t>
      </w:r>
      <w:r w:rsidR="005552A6" w:rsidRPr="00812E8B">
        <w:rPr>
          <w:lang w:val="en-US"/>
        </w:rPr>
        <w:t xml:space="preserve">but the opposite to </w:t>
      </w:r>
      <w:r w:rsidR="001B30EB" w:rsidRPr="00812E8B">
        <w:rPr>
          <w:color w:val="365F91" w:themeColor="accent1" w:themeShade="BF"/>
          <w:lang w:val="en-US"/>
        </w:rPr>
        <w:t xml:space="preserve">Dietrich and Wanzenried (2011). </w:t>
      </w:r>
      <w:r w:rsidR="00B2528A" w:rsidRPr="00812E8B">
        <w:rPr>
          <w:lang w:val="en-US"/>
        </w:rPr>
        <w:t xml:space="preserve">Moreover, table 6 report that the parameter for the </w:t>
      </w:r>
      <w:r w:rsidR="00335EFC" w:rsidRPr="00812E8B">
        <w:rPr>
          <w:lang w:val="en-US"/>
        </w:rPr>
        <w:t>equity-to-asset ratio</w:t>
      </w:r>
      <w:r w:rsidR="00B2528A" w:rsidRPr="00812E8B">
        <w:rPr>
          <w:lang w:val="en-US"/>
        </w:rPr>
        <w:t xml:space="preserve"> is higher</w:t>
      </w:r>
      <w:r w:rsidR="00776AF3" w:rsidRPr="00812E8B">
        <w:rPr>
          <w:lang w:val="en-US"/>
        </w:rPr>
        <w:t xml:space="preserve"> </w:t>
      </w:r>
      <w:r w:rsidR="00B2528A" w:rsidRPr="00812E8B">
        <w:rPr>
          <w:lang w:val="en-US"/>
        </w:rPr>
        <w:t xml:space="preserve">during the crisis than before the crisis, 0.0839 against 0.0562. </w:t>
      </w:r>
      <w:r w:rsidR="00776AF3" w:rsidRPr="00812E8B">
        <w:rPr>
          <w:lang w:val="en-US"/>
        </w:rPr>
        <w:t xml:space="preserve">There are two possible explanations for this observation. </w:t>
      </w:r>
      <w:r w:rsidR="00B73206" w:rsidRPr="00812E8B">
        <w:rPr>
          <w:lang w:val="en-US"/>
        </w:rPr>
        <w:t xml:space="preserve">The </w:t>
      </w:r>
      <w:r w:rsidR="0043218C" w:rsidRPr="00812E8B">
        <w:rPr>
          <w:lang w:val="en-US"/>
        </w:rPr>
        <w:t>first</w:t>
      </w:r>
      <w:r w:rsidR="00B73206" w:rsidRPr="00812E8B">
        <w:rPr>
          <w:lang w:val="en-US"/>
        </w:rPr>
        <w:t xml:space="preserve"> explanation is proposed by </w:t>
      </w:r>
      <w:r w:rsidR="00026D7B" w:rsidRPr="00812E8B">
        <w:rPr>
          <w:color w:val="365F91" w:themeColor="accent1" w:themeShade="BF"/>
          <w:lang w:val="en-US"/>
        </w:rPr>
        <w:t>Berger (1995)</w:t>
      </w:r>
      <w:r w:rsidR="00B73206" w:rsidRPr="00812E8B">
        <w:rPr>
          <w:lang w:val="en-US"/>
        </w:rPr>
        <w:t>, he proposed that when bankruptcy costs unexpectedly increase (for example during a crisis</w:t>
      </w:r>
      <w:r w:rsidR="0043218C" w:rsidRPr="00812E8B">
        <w:rPr>
          <w:lang w:val="en-US"/>
        </w:rPr>
        <w:t xml:space="preserve"> period), banks that adjust their </w:t>
      </w:r>
      <w:r w:rsidR="0009234D" w:rsidRPr="00812E8B">
        <w:rPr>
          <w:lang w:val="en-US"/>
        </w:rPr>
        <w:t>equity-to-asset ratio</w:t>
      </w:r>
      <w:r w:rsidR="0043218C" w:rsidRPr="00812E8B">
        <w:rPr>
          <w:lang w:val="en-US"/>
        </w:rPr>
        <w:t xml:space="preserve"> to their equilibrium more quickly would have </w:t>
      </w:r>
      <w:r w:rsidR="0043218C" w:rsidRPr="00812E8B">
        <w:rPr>
          <w:lang w:val="en-US"/>
        </w:rPr>
        <w:lastRenderedPageBreak/>
        <w:t xml:space="preserve">lower funding costs and will have a better profitability. The explanation also partly refer to the signaling hypothesis, banks that are able to increase their equity-to-asset ratio are able to signal better performance than its competitors, which will in turn also lead to a reduction of the funding costs. </w:t>
      </w:r>
      <w:r w:rsidR="00B2528A" w:rsidRPr="00812E8B">
        <w:rPr>
          <w:lang w:val="en-US"/>
        </w:rPr>
        <w:t>The other explanation</w:t>
      </w:r>
      <w:r w:rsidR="0043218C" w:rsidRPr="00812E8B">
        <w:rPr>
          <w:lang w:val="en-US"/>
        </w:rPr>
        <w:t xml:space="preserve"> is</w:t>
      </w:r>
      <w:r w:rsidR="00B2528A" w:rsidRPr="00812E8B">
        <w:rPr>
          <w:lang w:val="en-US"/>
        </w:rPr>
        <w:t xml:space="preserve"> </w:t>
      </w:r>
      <w:r w:rsidRPr="00812E8B">
        <w:rPr>
          <w:lang w:val="en-US"/>
        </w:rPr>
        <w:t>that banks</w:t>
      </w:r>
      <w:r w:rsidR="0043218C" w:rsidRPr="00812E8B">
        <w:rPr>
          <w:lang w:val="en-US"/>
        </w:rPr>
        <w:t xml:space="preserve"> with an higher equity-to-asset ratio are more focused on solvability and continuity and have a more conservative asset portfolio. In the crisis period, the banks with less risky assets have to report less impairments and</w:t>
      </w:r>
      <w:r w:rsidR="0009234D" w:rsidRPr="00812E8B">
        <w:rPr>
          <w:lang w:val="en-US"/>
        </w:rPr>
        <w:t xml:space="preserve"> lower loss provisions </w:t>
      </w:r>
      <w:r w:rsidR="0043218C" w:rsidRPr="00812E8B">
        <w:rPr>
          <w:lang w:val="en-US"/>
        </w:rPr>
        <w:t xml:space="preserve">than their </w:t>
      </w:r>
      <w:r w:rsidR="00C6482D" w:rsidRPr="00812E8B">
        <w:rPr>
          <w:lang w:val="en-US"/>
        </w:rPr>
        <w:t>competitors with more risky assets</w:t>
      </w:r>
      <w:r w:rsidR="0043218C" w:rsidRPr="00812E8B">
        <w:rPr>
          <w:lang w:val="en-US"/>
        </w:rPr>
        <w:t xml:space="preserve">. </w:t>
      </w:r>
      <w:r w:rsidR="00AA6E3F" w:rsidRPr="00812E8B">
        <w:rPr>
          <w:lang w:val="en-US"/>
        </w:rPr>
        <w:t>Resume that</w:t>
      </w:r>
      <w:r w:rsidR="00776AF3" w:rsidRPr="00812E8B">
        <w:rPr>
          <w:lang w:val="en-US"/>
        </w:rPr>
        <w:t xml:space="preserve"> </w:t>
      </w:r>
      <w:r w:rsidR="00026D7B" w:rsidRPr="00812E8B">
        <w:rPr>
          <w:color w:val="365F91" w:themeColor="accent1" w:themeShade="BF"/>
          <w:lang w:val="en-US"/>
        </w:rPr>
        <w:t>Berger (1995)</w:t>
      </w:r>
      <w:r w:rsidR="00AA6E3F" w:rsidRPr="00812E8B">
        <w:rPr>
          <w:lang w:val="en-US"/>
        </w:rPr>
        <w:t xml:space="preserve">, among others, </w:t>
      </w:r>
      <w:r w:rsidR="0009234D" w:rsidRPr="00812E8B">
        <w:rPr>
          <w:lang w:val="en-US"/>
        </w:rPr>
        <w:t xml:space="preserve">emphasize </w:t>
      </w:r>
      <w:r w:rsidR="00776AF3" w:rsidRPr="00812E8B">
        <w:rPr>
          <w:lang w:val="en-US"/>
        </w:rPr>
        <w:t>the potential spurious causal relationsh</w:t>
      </w:r>
      <w:r w:rsidR="00AA6E3F" w:rsidRPr="00812E8B">
        <w:rPr>
          <w:lang w:val="en-US"/>
        </w:rPr>
        <w:t xml:space="preserve">ip </w:t>
      </w:r>
      <w:r w:rsidR="0009234D" w:rsidRPr="00812E8B">
        <w:rPr>
          <w:lang w:val="en-US"/>
        </w:rPr>
        <w:t>between</w:t>
      </w:r>
      <w:r w:rsidR="00AA6E3F" w:rsidRPr="00812E8B">
        <w:rPr>
          <w:lang w:val="en-US"/>
        </w:rPr>
        <w:t xml:space="preserve"> the equity-to-asset ratio and banks’ profitability. Besides, a potential problem in estimating the sign of the variable is that the equity-to-asset ratio is calculated after the profit distribution; a higher profit could result in a higher equity-to-asset ratio by means of retained earnings. In particular, the two-step System GMM technique aims to overcome the potential spurious relationship and endogeneity by using lags of the equity-to-asset ratio as instruments. Therefore, the significant positive observed sign in the total sample is thought to be reliable under the assumption that the endogeneity effect is drawn out. </w:t>
      </w:r>
    </w:p>
    <w:p w:rsidR="00AA6E3F" w:rsidRPr="00812E8B" w:rsidRDefault="00AA6E3F" w:rsidP="008E276B">
      <w:pPr>
        <w:pStyle w:val="NoSpacing"/>
        <w:spacing w:line="276" w:lineRule="auto"/>
        <w:jc w:val="both"/>
        <w:rPr>
          <w:lang w:val="en-US"/>
        </w:rPr>
      </w:pPr>
    </w:p>
    <w:p w:rsidR="008E276B" w:rsidRPr="00812E8B" w:rsidRDefault="008E276B" w:rsidP="008E276B">
      <w:pPr>
        <w:pStyle w:val="NoSpacing"/>
        <w:spacing w:line="276" w:lineRule="auto"/>
        <w:jc w:val="both"/>
        <w:rPr>
          <w:lang w:val="en-US"/>
        </w:rPr>
      </w:pPr>
      <w:r w:rsidRPr="00812E8B">
        <w:rPr>
          <w:lang w:val="en-US"/>
        </w:rPr>
        <w:t>As hypothesized, credit risk has a negative relationship with profitability</w:t>
      </w:r>
      <w:r w:rsidR="003A6C1C" w:rsidRPr="00812E8B">
        <w:rPr>
          <w:lang w:val="en-US"/>
        </w:rPr>
        <w:t xml:space="preserve"> similar to the findings of </w:t>
      </w:r>
      <w:r w:rsidR="00881610" w:rsidRPr="00812E8B">
        <w:rPr>
          <w:color w:val="365F91" w:themeColor="accent1" w:themeShade="BF"/>
          <w:lang w:val="en-US"/>
        </w:rPr>
        <w:t xml:space="preserve">Trujillo-Ponce (2011) </w:t>
      </w:r>
      <w:r w:rsidR="00E34060" w:rsidRPr="00812E8B">
        <w:rPr>
          <w:lang w:val="en-US"/>
        </w:rPr>
        <w:t xml:space="preserve">and </w:t>
      </w:r>
      <w:r w:rsidR="00E34060" w:rsidRPr="00812E8B">
        <w:rPr>
          <w:color w:val="365F91" w:themeColor="accent1" w:themeShade="BF"/>
          <w:lang w:val="en-US"/>
        </w:rPr>
        <w:t xml:space="preserve">Athanasoglou et al. (2008). </w:t>
      </w:r>
      <w:r w:rsidRPr="00812E8B">
        <w:rPr>
          <w:lang w:val="en-US"/>
        </w:rPr>
        <w:t>The parameter of the loan loss provision to net interest revenue equals -0.0057 and is significant on a 1% level. Moreover,</w:t>
      </w:r>
      <w:r w:rsidR="00AA6E3F" w:rsidRPr="00812E8B">
        <w:rPr>
          <w:lang w:val="en-US"/>
        </w:rPr>
        <w:t xml:space="preserve"> </w:t>
      </w:r>
      <w:r w:rsidRPr="00812E8B">
        <w:rPr>
          <w:lang w:val="en-US"/>
        </w:rPr>
        <w:t>table 6 reports that the coefficient is substantially higher during the crisis than before the crisis;</w:t>
      </w:r>
      <w:r w:rsidR="00062BDC" w:rsidRPr="00812E8B">
        <w:rPr>
          <w:lang w:val="en-US"/>
        </w:rPr>
        <w:t xml:space="preserve"> </w:t>
      </w:r>
      <w:r w:rsidRPr="00812E8B">
        <w:rPr>
          <w:lang w:val="en-US"/>
        </w:rPr>
        <w:t>-0.0067 against -0.0027.</w:t>
      </w:r>
      <w:r w:rsidR="00062BDC" w:rsidRPr="00812E8B">
        <w:rPr>
          <w:lang w:val="en-US"/>
        </w:rPr>
        <w:t xml:space="preserve"> </w:t>
      </w:r>
      <w:r w:rsidR="00AA6E3F" w:rsidRPr="00812E8B">
        <w:rPr>
          <w:lang w:val="en-US"/>
        </w:rPr>
        <w:t xml:space="preserve">As possible </w:t>
      </w:r>
      <w:r w:rsidR="00062BDC" w:rsidRPr="00812E8B">
        <w:rPr>
          <w:lang w:val="en-US"/>
        </w:rPr>
        <w:t xml:space="preserve">explanation for the higher coefficient during the </w:t>
      </w:r>
      <w:r w:rsidR="006E58C1" w:rsidRPr="00812E8B">
        <w:rPr>
          <w:lang w:val="en-US"/>
        </w:rPr>
        <w:t>crisis is suggested by</w:t>
      </w:r>
      <w:r w:rsidR="00AA6E3F" w:rsidRPr="00812E8B">
        <w:rPr>
          <w:lang w:val="en-US"/>
        </w:rPr>
        <w:t xml:space="preserve"> </w:t>
      </w:r>
      <w:r w:rsidR="001B30EB" w:rsidRPr="00812E8B">
        <w:rPr>
          <w:color w:val="365F91" w:themeColor="accent1" w:themeShade="BF"/>
          <w:lang w:val="en-US"/>
        </w:rPr>
        <w:t xml:space="preserve">Dietrich and Wanzenried (2011). </w:t>
      </w:r>
      <w:r w:rsidR="006E58C1" w:rsidRPr="00812E8B">
        <w:rPr>
          <w:lang w:val="en-US"/>
        </w:rPr>
        <w:t xml:space="preserve">They state that </w:t>
      </w:r>
      <w:r w:rsidRPr="00812E8B">
        <w:rPr>
          <w:lang w:val="en-US"/>
        </w:rPr>
        <w:t>the normal level of loan loss provisions fo</w:t>
      </w:r>
      <w:r w:rsidR="006E58C1" w:rsidRPr="00812E8B">
        <w:rPr>
          <w:lang w:val="en-US"/>
        </w:rPr>
        <w:t>r banks is rather modest or low whilst, d</w:t>
      </w:r>
      <w:r w:rsidRPr="00812E8B">
        <w:rPr>
          <w:lang w:val="en-US"/>
        </w:rPr>
        <w:t>uring the financial crisis, these provision costs have substantially increased due to write-offs on the asse</w:t>
      </w:r>
      <w:r w:rsidR="002B2695" w:rsidRPr="00812E8B">
        <w:rPr>
          <w:lang w:val="en-US"/>
        </w:rPr>
        <w:t>t portfolio and non-repayments. Likewis</w:t>
      </w:r>
      <w:r w:rsidR="006E58C1" w:rsidRPr="00812E8B">
        <w:rPr>
          <w:lang w:val="en-US"/>
        </w:rPr>
        <w:t>e, the parameter of credit risk</w:t>
      </w:r>
      <w:r w:rsidR="002B2695" w:rsidRPr="00812E8B">
        <w:rPr>
          <w:color w:val="365F91" w:themeColor="accent1" w:themeShade="BF"/>
          <w:lang w:val="en-US"/>
        </w:rPr>
        <w:t xml:space="preserve"> </w:t>
      </w:r>
      <w:r w:rsidR="002B2695" w:rsidRPr="00812E8B">
        <w:rPr>
          <w:lang w:val="en-US"/>
        </w:rPr>
        <w:t>is only significant and negative during the crisis sample</w:t>
      </w:r>
      <w:r w:rsidR="006E58C1" w:rsidRPr="00812E8B">
        <w:rPr>
          <w:lang w:val="en-US"/>
        </w:rPr>
        <w:t xml:space="preserve"> in the results from</w:t>
      </w:r>
      <w:r w:rsidR="006E58C1" w:rsidRPr="00812E8B">
        <w:rPr>
          <w:color w:val="365F91" w:themeColor="accent1" w:themeShade="BF"/>
          <w:lang w:val="en-US"/>
        </w:rPr>
        <w:t xml:space="preserve"> </w:t>
      </w:r>
      <w:r w:rsidR="001B30EB" w:rsidRPr="00812E8B">
        <w:rPr>
          <w:color w:val="365F91" w:themeColor="accent1" w:themeShade="BF"/>
          <w:lang w:val="en-US"/>
        </w:rPr>
        <w:t xml:space="preserve">Dietrich and Wanzenried (2011). </w:t>
      </w:r>
      <w:r w:rsidR="002B2695" w:rsidRPr="00812E8B">
        <w:rPr>
          <w:lang w:val="en-US"/>
        </w:rPr>
        <w:t xml:space="preserve">Different from the results in table 6 in which all samples present a negative coefficient. Probably this is caused by the differences in proxies for the credit risk. In this thesis, a P&amp;L orientated approach is used due to database issues while </w:t>
      </w:r>
      <w:r w:rsidR="001B30EB" w:rsidRPr="00812E8B">
        <w:rPr>
          <w:color w:val="365F91" w:themeColor="accent1" w:themeShade="BF"/>
          <w:lang w:val="en-US"/>
        </w:rPr>
        <w:t xml:space="preserve">Dietrich and Wanzenried (2011) </w:t>
      </w:r>
      <w:r w:rsidR="002B2695" w:rsidRPr="00812E8B">
        <w:rPr>
          <w:lang w:val="en-US"/>
        </w:rPr>
        <w:t xml:space="preserve">use a balance sheet approach </w:t>
      </w:r>
      <w:r w:rsidR="006E58C1" w:rsidRPr="00812E8B">
        <w:rPr>
          <w:lang w:val="en-US"/>
        </w:rPr>
        <w:t xml:space="preserve">by taking </w:t>
      </w:r>
      <w:r w:rsidR="002B2695" w:rsidRPr="00812E8B">
        <w:rPr>
          <w:lang w:val="en-US"/>
        </w:rPr>
        <w:t xml:space="preserve"> the loan loss reserves to gross loans as proxy for credit risk.</w:t>
      </w:r>
    </w:p>
    <w:p w:rsidR="002B2695" w:rsidRPr="00812E8B" w:rsidRDefault="002B2695" w:rsidP="008E276B">
      <w:pPr>
        <w:pStyle w:val="NoSpacing"/>
        <w:spacing w:line="276" w:lineRule="auto"/>
        <w:jc w:val="both"/>
        <w:rPr>
          <w:lang w:val="en-US"/>
        </w:rPr>
      </w:pPr>
    </w:p>
    <w:p w:rsidR="00596521" w:rsidRPr="00812E8B" w:rsidRDefault="008E276B" w:rsidP="008E276B">
      <w:pPr>
        <w:pStyle w:val="NoSpacing"/>
        <w:spacing w:line="276" w:lineRule="auto"/>
        <w:jc w:val="both"/>
        <w:rPr>
          <w:lang w:val="en-US"/>
        </w:rPr>
        <w:sectPr w:rsidR="00596521" w:rsidRPr="00812E8B" w:rsidSect="00D911B8">
          <w:headerReference w:type="default" r:id="rId29"/>
          <w:headerReference w:type="first" r:id="rId30"/>
          <w:endnotePr>
            <w:numFmt w:val="decimal"/>
          </w:endnotePr>
          <w:pgSz w:w="11906" w:h="16838"/>
          <w:pgMar w:top="1417" w:right="1417" w:bottom="1417" w:left="1417" w:header="708" w:footer="708" w:gutter="0"/>
          <w:cols w:space="708"/>
          <w:titlePg/>
          <w:docGrid w:linePitch="360"/>
        </w:sectPr>
      </w:pPr>
      <w:r w:rsidRPr="00812E8B">
        <w:rPr>
          <w:lang w:val="en-US"/>
        </w:rPr>
        <w:t xml:space="preserve">Continuing to the business model, efficiency and cost category of the bank-specific variables, one could see that the parameter </w:t>
      </w:r>
      <w:r w:rsidR="00691C6E" w:rsidRPr="00812E8B">
        <w:rPr>
          <w:lang w:val="en-US"/>
        </w:rPr>
        <w:t>for bank efficiency is negative and significant in both the subsamples as in the total sample. The parameter of the</w:t>
      </w:r>
      <w:r w:rsidR="00062BDC" w:rsidRPr="00812E8B">
        <w:rPr>
          <w:lang w:val="en-US"/>
        </w:rPr>
        <w:t xml:space="preserve"> cost-to-income ratio equals </w:t>
      </w:r>
      <w:r w:rsidR="00691C6E" w:rsidRPr="00812E8B">
        <w:rPr>
          <w:lang w:val="en-US"/>
        </w:rPr>
        <w:t xml:space="preserve">-0.0069 for the total sample as well as for the crisis subsample and equals -0.0061 in the pre-crisis sample. The negative sign is rather straightforward since the </w:t>
      </w:r>
      <w:r w:rsidR="00335EFC" w:rsidRPr="00812E8B">
        <w:rPr>
          <w:lang w:val="en-US"/>
        </w:rPr>
        <w:t>cost-to-income ratio</w:t>
      </w:r>
      <w:r w:rsidR="00691C6E" w:rsidRPr="00812E8B">
        <w:rPr>
          <w:lang w:val="en-US"/>
        </w:rPr>
        <w:t xml:space="preserve"> is merely included to prevent the omitted variable bias. It is obvious that higher costs have a negative influence on profitability. Opposed to the expected findings for the </w:t>
      </w:r>
      <w:r w:rsidR="00335EFC" w:rsidRPr="00812E8B">
        <w:rPr>
          <w:lang w:val="en-US"/>
        </w:rPr>
        <w:t>cost-to-income ratio</w:t>
      </w:r>
      <w:r w:rsidR="00691C6E" w:rsidRPr="00812E8B">
        <w:rPr>
          <w:lang w:val="en-US"/>
        </w:rPr>
        <w:t xml:space="preserve"> </w:t>
      </w:r>
      <w:r w:rsidR="00596521" w:rsidRPr="00812E8B">
        <w:rPr>
          <w:lang w:val="en-US"/>
        </w:rPr>
        <w:t>this thesis rejects the negative hypothesized sign of the variable interest expense on customer deposits to total short term funding. In contrary to</w:t>
      </w:r>
      <w:r w:rsidR="00691C6E" w:rsidRPr="00812E8B">
        <w:rPr>
          <w:lang w:val="en-US"/>
        </w:rPr>
        <w:t xml:space="preserve"> </w:t>
      </w:r>
      <w:r w:rsidR="001B30EB" w:rsidRPr="00812E8B">
        <w:rPr>
          <w:color w:val="365F91" w:themeColor="accent1" w:themeShade="BF"/>
          <w:lang w:val="en-US"/>
        </w:rPr>
        <w:t xml:space="preserve">Dietrich and Wanzenried (2011), </w:t>
      </w:r>
      <w:r w:rsidR="00596521" w:rsidRPr="00812E8B">
        <w:rPr>
          <w:lang w:val="en-US"/>
        </w:rPr>
        <w:t>t</w:t>
      </w:r>
      <w:r w:rsidR="00691C6E" w:rsidRPr="00812E8B">
        <w:rPr>
          <w:lang w:val="en-US"/>
        </w:rPr>
        <w:t xml:space="preserve">here is no evidence found that the </w:t>
      </w:r>
      <w:r w:rsidR="00596521" w:rsidRPr="00812E8B">
        <w:rPr>
          <w:lang w:val="en-US"/>
        </w:rPr>
        <w:t xml:space="preserve">proxy for the funding costs </w:t>
      </w:r>
      <w:r w:rsidR="00691C6E" w:rsidRPr="00812E8B">
        <w:rPr>
          <w:lang w:val="en-US"/>
        </w:rPr>
        <w:t>is a negative explanation for banks’ profitability; the coefficient is insignificant in the total sample and in both subsamples.</w:t>
      </w:r>
      <w:r w:rsidR="00596521" w:rsidRPr="00812E8B">
        <w:rPr>
          <w:lang w:val="en-US"/>
        </w:rPr>
        <w:t xml:space="preserve"> The results is </w:t>
      </w:r>
      <w:r w:rsidR="006E58C1" w:rsidRPr="00812E8B">
        <w:rPr>
          <w:lang w:val="en-US"/>
        </w:rPr>
        <w:t>somewhat</w:t>
      </w:r>
      <w:r w:rsidR="00596521" w:rsidRPr="00812E8B">
        <w:rPr>
          <w:lang w:val="en-US"/>
        </w:rPr>
        <w:t xml:space="preserve"> surprising since it contradicts earlier findings but simultaneously also explainable. </w:t>
      </w:r>
      <w:r w:rsidR="006E58C1" w:rsidRPr="00812E8B">
        <w:rPr>
          <w:lang w:val="en-US"/>
        </w:rPr>
        <w:t xml:space="preserve">Whether or not the </w:t>
      </w:r>
      <w:r w:rsidR="00596521" w:rsidRPr="00812E8B">
        <w:rPr>
          <w:lang w:val="en-US"/>
        </w:rPr>
        <w:t xml:space="preserve">funding costs </w:t>
      </w:r>
      <w:r w:rsidR="006E58C1" w:rsidRPr="00812E8B">
        <w:rPr>
          <w:lang w:val="en-US"/>
        </w:rPr>
        <w:t xml:space="preserve">are </w:t>
      </w:r>
      <w:r w:rsidR="00596521" w:rsidRPr="00812E8B">
        <w:rPr>
          <w:lang w:val="en-US"/>
        </w:rPr>
        <w:t>a determinant of banks’ profitability</w:t>
      </w:r>
      <w:r w:rsidR="006E58C1" w:rsidRPr="00812E8B">
        <w:rPr>
          <w:lang w:val="en-US"/>
        </w:rPr>
        <w:t xml:space="preserve">, probably </w:t>
      </w:r>
      <w:r w:rsidR="00596521" w:rsidRPr="00812E8B">
        <w:rPr>
          <w:lang w:val="en-US"/>
        </w:rPr>
        <w:t xml:space="preserve">depends on </w:t>
      </w:r>
      <w:r w:rsidR="006E58C1" w:rsidRPr="00812E8B">
        <w:rPr>
          <w:lang w:val="en-US"/>
        </w:rPr>
        <w:t xml:space="preserve">the ability of banks to </w:t>
      </w:r>
      <w:r w:rsidR="00596521" w:rsidRPr="00812E8B">
        <w:rPr>
          <w:lang w:val="en-US"/>
        </w:rPr>
        <w:t xml:space="preserve">charge the interest expense on customer deposits to its borrowers on the asset side of the balance sheet. When banks are able to use a </w:t>
      </w:r>
    </w:p>
    <w:p w:rsidR="00983B4F" w:rsidRPr="00812E8B" w:rsidRDefault="0022484B" w:rsidP="0022484B">
      <w:pPr>
        <w:pStyle w:val="Caption"/>
        <w:rPr>
          <w:b w:val="0"/>
          <w:color w:val="auto"/>
          <w:lang w:val="en-US"/>
        </w:rPr>
      </w:pPr>
      <w:bookmarkStart w:id="39" w:name="_Toc305410558"/>
      <w:r w:rsidRPr="00812E8B">
        <w:rPr>
          <w:lang w:val="en-US"/>
        </w:rPr>
        <w:lastRenderedPageBreak/>
        <w:t xml:space="preserve">Table </w:t>
      </w:r>
      <w:r w:rsidR="00D46A7F" w:rsidRPr="00812E8B">
        <w:rPr>
          <w:lang w:val="en-US"/>
        </w:rPr>
        <w:fldChar w:fldCharType="begin"/>
      </w:r>
      <w:r w:rsidR="000B3059" w:rsidRPr="00812E8B">
        <w:rPr>
          <w:lang w:val="en-US"/>
        </w:rPr>
        <w:instrText xml:space="preserve"> SEQ Table \* ARABIC </w:instrText>
      </w:r>
      <w:r w:rsidR="00D46A7F" w:rsidRPr="00812E8B">
        <w:rPr>
          <w:lang w:val="en-US"/>
        </w:rPr>
        <w:fldChar w:fldCharType="separate"/>
      </w:r>
      <w:r w:rsidR="00DD7D45">
        <w:rPr>
          <w:noProof/>
          <w:lang w:val="en-US"/>
        </w:rPr>
        <w:t>6</w:t>
      </w:r>
      <w:r w:rsidR="00D46A7F" w:rsidRPr="00812E8B">
        <w:rPr>
          <w:lang w:val="en-US"/>
        </w:rPr>
        <w:fldChar w:fldCharType="end"/>
      </w:r>
      <w:r w:rsidRPr="00812E8B">
        <w:rPr>
          <w:lang w:val="en-US"/>
        </w:rPr>
        <w:t xml:space="preserve"> </w:t>
      </w:r>
      <w:r w:rsidRPr="00812E8B">
        <w:rPr>
          <w:lang w:val="en-US"/>
        </w:rPr>
        <w:br/>
      </w:r>
      <w:r w:rsidRPr="00812E8B">
        <w:rPr>
          <w:b w:val="0"/>
          <w:color w:val="auto"/>
          <w:lang w:val="en-US"/>
        </w:rPr>
        <w:t>Regression results with dependent variable ROAA</w:t>
      </w:r>
      <w:bookmarkEnd w:id="39"/>
    </w:p>
    <w:tbl>
      <w:tblPr>
        <w:tblStyle w:val="Lichtearcering1"/>
        <w:tblW w:w="14081" w:type="dxa"/>
        <w:tblInd w:w="-34" w:type="dxa"/>
        <w:tblLook w:val="04A0"/>
      </w:tblPr>
      <w:tblGrid>
        <w:gridCol w:w="4111"/>
        <w:gridCol w:w="1070"/>
        <w:gridCol w:w="1004"/>
        <w:gridCol w:w="97"/>
        <w:gridCol w:w="941"/>
        <w:gridCol w:w="238"/>
        <w:gridCol w:w="1082"/>
        <w:gridCol w:w="1022"/>
        <w:gridCol w:w="47"/>
        <w:gridCol w:w="1005"/>
        <w:gridCol w:w="227"/>
        <w:gridCol w:w="1120"/>
        <w:gridCol w:w="1068"/>
        <w:gridCol w:w="130"/>
        <w:gridCol w:w="919"/>
      </w:tblGrid>
      <w:tr w:rsidR="00691C6E" w:rsidRPr="00812E8B" w:rsidTr="00691C6E">
        <w:trPr>
          <w:cnfStyle w:val="100000000000"/>
          <w:trHeight w:val="430"/>
        </w:trPr>
        <w:tc>
          <w:tcPr>
            <w:cnfStyle w:val="001000000000"/>
            <w:tcW w:w="4111" w:type="dxa"/>
            <w:tcBorders>
              <w:top w:val="single" w:sz="4" w:space="0" w:color="auto"/>
              <w:bottom w:val="nil"/>
            </w:tcBorders>
            <w:shd w:val="clear" w:color="auto" w:fill="auto"/>
          </w:tcPr>
          <w:p w:rsidR="00691C6E" w:rsidRPr="00812E8B" w:rsidRDefault="00691C6E" w:rsidP="00CD4011">
            <w:pPr>
              <w:pStyle w:val="NoSpacing"/>
              <w:spacing w:line="276" w:lineRule="auto"/>
              <w:ind w:left="252"/>
              <w:jc w:val="both"/>
              <w:rPr>
                <w:b w:val="0"/>
                <w:color w:val="auto"/>
                <w:lang w:val="en-US"/>
              </w:rPr>
            </w:pPr>
          </w:p>
        </w:tc>
        <w:tc>
          <w:tcPr>
            <w:tcW w:w="3112" w:type="dxa"/>
            <w:gridSpan w:val="4"/>
            <w:shd w:val="clear" w:color="auto" w:fill="auto"/>
          </w:tcPr>
          <w:p w:rsidR="00691C6E" w:rsidRPr="00812E8B" w:rsidRDefault="00691C6E" w:rsidP="00983B4F">
            <w:pPr>
              <w:pStyle w:val="NoSpacing"/>
              <w:spacing w:line="276" w:lineRule="auto"/>
              <w:jc w:val="both"/>
              <w:cnfStyle w:val="100000000000"/>
              <w:rPr>
                <w:b w:val="0"/>
                <w:lang w:val="en-US"/>
              </w:rPr>
            </w:pPr>
            <w:r w:rsidRPr="00812E8B">
              <w:rPr>
                <w:b w:val="0"/>
                <w:lang w:val="en-US"/>
              </w:rPr>
              <w:t>Total sample</w:t>
            </w:r>
          </w:p>
        </w:tc>
        <w:tc>
          <w:tcPr>
            <w:tcW w:w="238" w:type="dxa"/>
            <w:tcBorders>
              <w:top w:val="single" w:sz="4" w:space="0" w:color="auto"/>
              <w:bottom w:val="nil"/>
            </w:tcBorders>
            <w:shd w:val="clear" w:color="auto" w:fill="auto"/>
          </w:tcPr>
          <w:p w:rsidR="00691C6E" w:rsidRPr="00812E8B" w:rsidRDefault="00691C6E" w:rsidP="00983B4F">
            <w:pPr>
              <w:pStyle w:val="NoSpacing"/>
              <w:spacing w:line="276" w:lineRule="auto"/>
              <w:jc w:val="both"/>
              <w:cnfStyle w:val="100000000000"/>
              <w:rPr>
                <w:b w:val="0"/>
                <w:lang w:val="en-US"/>
              </w:rPr>
            </w:pPr>
          </w:p>
        </w:tc>
        <w:tc>
          <w:tcPr>
            <w:tcW w:w="3156" w:type="dxa"/>
            <w:gridSpan w:val="4"/>
            <w:tcBorders>
              <w:top w:val="single" w:sz="4" w:space="0" w:color="auto"/>
            </w:tcBorders>
            <w:shd w:val="clear" w:color="auto" w:fill="auto"/>
          </w:tcPr>
          <w:p w:rsidR="00691C6E" w:rsidRPr="00812E8B" w:rsidRDefault="00691C6E" w:rsidP="00D6345F">
            <w:pPr>
              <w:pStyle w:val="NoSpacing"/>
              <w:spacing w:line="276" w:lineRule="auto"/>
              <w:jc w:val="both"/>
              <w:cnfStyle w:val="100000000000"/>
              <w:rPr>
                <w:color w:val="auto"/>
                <w:lang w:val="en-US"/>
              </w:rPr>
            </w:pPr>
            <w:r w:rsidRPr="00812E8B">
              <w:rPr>
                <w:b w:val="0"/>
                <w:color w:val="auto"/>
                <w:lang w:val="en-US"/>
              </w:rPr>
              <w:t>Pre-crisis: 2000-2006</w:t>
            </w:r>
          </w:p>
        </w:tc>
        <w:tc>
          <w:tcPr>
            <w:tcW w:w="227" w:type="dxa"/>
            <w:tcBorders>
              <w:top w:val="single" w:sz="4" w:space="0" w:color="auto"/>
              <w:bottom w:val="nil"/>
            </w:tcBorders>
            <w:shd w:val="clear" w:color="auto" w:fill="auto"/>
          </w:tcPr>
          <w:p w:rsidR="00691C6E" w:rsidRPr="00812E8B" w:rsidRDefault="00691C6E" w:rsidP="00983B4F">
            <w:pPr>
              <w:pStyle w:val="NoSpacing"/>
              <w:spacing w:line="276" w:lineRule="auto"/>
              <w:jc w:val="both"/>
              <w:cnfStyle w:val="100000000000"/>
              <w:rPr>
                <w:b w:val="0"/>
                <w:lang w:val="en-US"/>
              </w:rPr>
            </w:pPr>
          </w:p>
        </w:tc>
        <w:tc>
          <w:tcPr>
            <w:tcW w:w="3237" w:type="dxa"/>
            <w:gridSpan w:val="4"/>
            <w:tcBorders>
              <w:top w:val="single" w:sz="4" w:space="0" w:color="auto"/>
              <w:bottom w:val="single" w:sz="4" w:space="0" w:color="auto"/>
            </w:tcBorders>
            <w:shd w:val="clear" w:color="auto" w:fill="auto"/>
          </w:tcPr>
          <w:p w:rsidR="00691C6E" w:rsidRPr="00812E8B" w:rsidRDefault="00691C6E" w:rsidP="00D6345F">
            <w:pPr>
              <w:pStyle w:val="NoSpacing"/>
              <w:spacing w:line="276" w:lineRule="auto"/>
              <w:jc w:val="both"/>
              <w:cnfStyle w:val="100000000000"/>
              <w:rPr>
                <w:lang w:val="en-US"/>
              </w:rPr>
            </w:pPr>
            <w:r w:rsidRPr="00812E8B">
              <w:rPr>
                <w:b w:val="0"/>
                <w:color w:val="auto"/>
                <w:lang w:val="en-US"/>
              </w:rPr>
              <w:t>Crisis: 2007-2009</w:t>
            </w:r>
          </w:p>
        </w:tc>
      </w:tr>
      <w:tr w:rsidR="00691C6E" w:rsidRPr="00812E8B" w:rsidTr="00691C6E">
        <w:trPr>
          <w:cnfStyle w:val="000000100000"/>
          <w:trHeight w:val="430"/>
        </w:trPr>
        <w:tc>
          <w:tcPr>
            <w:cnfStyle w:val="001000000000"/>
            <w:tcW w:w="4111" w:type="dxa"/>
            <w:tcBorders>
              <w:top w:val="nil"/>
              <w:bottom w:val="single" w:sz="4" w:space="0" w:color="auto"/>
            </w:tcBorders>
            <w:shd w:val="clear" w:color="auto" w:fill="auto"/>
          </w:tcPr>
          <w:p w:rsidR="00691C6E" w:rsidRPr="00812E8B" w:rsidRDefault="00691C6E" w:rsidP="00983B4F">
            <w:pPr>
              <w:pStyle w:val="NoSpacing"/>
              <w:spacing w:line="276" w:lineRule="auto"/>
              <w:ind w:left="252"/>
              <w:jc w:val="both"/>
              <w:rPr>
                <w:color w:val="auto"/>
                <w:lang w:val="en-US"/>
              </w:rPr>
            </w:pPr>
          </w:p>
        </w:tc>
        <w:tc>
          <w:tcPr>
            <w:tcW w:w="1070" w:type="dxa"/>
            <w:tcBorders>
              <w:top w:val="nil"/>
              <w:bottom w:val="single" w:sz="4" w:space="0" w:color="auto"/>
            </w:tcBorders>
            <w:shd w:val="clear" w:color="auto" w:fill="auto"/>
          </w:tcPr>
          <w:p w:rsidR="00691C6E" w:rsidRPr="00812E8B" w:rsidRDefault="00450CF6" w:rsidP="00450CF6">
            <w:pPr>
              <w:pStyle w:val="NoSpacing"/>
              <w:spacing w:line="276" w:lineRule="auto"/>
              <w:ind w:left="-108" w:right="-172"/>
              <w:jc w:val="both"/>
              <w:cnfStyle w:val="000000100000"/>
              <w:rPr>
                <w:lang w:val="en-US"/>
              </w:rPr>
            </w:pPr>
            <w:r w:rsidRPr="00812E8B">
              <w:rPr>
                <w:lang w:val="en-US"/>
              </w:rPr>
              <w:t>Coefficient</w:t>
            </w:r>
          </w:p>
        </w:tc>
        <w:tc>
          <w:tcPr>
            <w:tcW w:w="1101" w:type="dxa"/>
            <w:gridSpan w:val="2"/>
            <w:tcBorders>
              <w:top w:val="nil"/>
              <w:bottom w:val="single" w:sz="4" w:space="0" w:color="auto"/>
            </w:tcBorders>
            <w:shd w:val="clear" w:color="auto" w:fill="auto"/>
          </w:tcPr>
          <w:p w:rsidR="00691C6E" w:rsidRPr="00812E8B" w:rsidRDefault="00691C6E" w:rsidP="00983B4F">
            <w:pPr>
              <w:pStyle w:val="NoSpacing"/>
              <w:spacing w:line="276" w:lineRule="auto"/>
              <w:jc w:val="both"/>
              <w:cnfStyle w:val="000000100000"/>
              <w:rPr>
                <w:lang w:val="en-US"/>
              </w:rPr>
            </w:pPr>
            <w:r w:rsidRPr="00812E8B">
              <w:rPr>
                <w:lang w:val="en-US"/>
              </w:rPr>
              <w:t>Std. error</w:t>
            </w:r>
          </w:p>
        </w:tc>
        <w:tc>
          <w:tcPr>
            <w:tcW w:w="941" w:type="dxa"/>
            <w:tcBorders>
              <w:top w:val="nil"/>
              <w:bottom w:val="single" w:sz="4" w:space="0" w:color="auto"/>
            </w:tcBorders>
            <w:shd w:val="clear" w:color="auto" w:fill="auto"/>
          </w:tcPr>
          <w:p w:rsidR="00691C6E" w:rsidRPr="00812E8B" w:rsidRDefault="00691C6E" w:rsidP="00983B4F">
            <w:pPr>
              <w:pStyle w:val="NoSpacing"/>
              <w:spacing w:line="276" w:lineRule="auto"/>
              <w:jc w:val="both"/>
              <w:cnfStyle w:val="000000100000"/>
              <w:rPr>
                <w:lang w:val="en-US"/>
              </w:rPr>
            </w:pPr>
            <w:r w:rsidRPr="00812E8B">
              <w:rPr>
                <w:lang w:val="en-US"/>
              </w:rPr>
              <w:t>p-value</w:t>
            </w:r>
          </w:p>
        </w:tc>
        <w:tc>
          <w:tcPr>
            <w:tcW w:w="238" w:type="dxa"/>
            <w:tcBorders>
              <w:top w:val="nil"/>
              <w:bottom w:val="single" w:sz="4" w:space="0" w:color="auto"/>
            </w:tcBorders>
            <w:shd w:val="clear" w:color="auto" w:fill="auto"/>
          </w:tcPr>
          <w:p w:rsidR="00691C6E" w:rsidRPr="00812E8B" w:rsidRDefault="00691C6E" w:rsidP="00983B4F">
            <w:pPr>
              <w:pStyle w:val="NoSpacing"/>
              <w:spacing w:line="276" w:lineRule="auto"/>
              <w:jc w:val="both"/>
              <w:cnfStyle w:val="000000100000"/>
              <w:rPr>
                <w:lang w:val="en-US"/>
              </w:rPr>
            </w:pPr>
          </w:p>
        </w:tc>
        <w:tc>
          <w:tcPr>
            <w:tcW w:w="1082" w:type="dxa"/>
            <w:tcBorders>
              <w:top w:val="single" w:sz="8" w:space="0" w:color="000000" w:themeColor="text1"/>
              <w:bottom w:val="single" w:sz="4" w:space="0" w:color="auto"/>
            </w:tcBorders>
            <w:shd w:val="clear" w:color="auto" w:fill="auto"/>
          </w:tcPr>
          <w:p w:rsidR="00691C6E" w:rsidRPr="00812E8B" w:rsidRDefault="00450CF6" w:rsidP="00450CF6">
            <w:pPr>
              <w:pStyle w:val="NoSpacing"/>
              <w:spacing w:line="276" w:lineRule="auto"/>
              <w:ind w:left="-56" w:right="-71"/>
              <w:jc w:val="both"/>
              <w:cnfStyle w:val="000000100000"/>
              <w:rPr>
                <w:lang w:val="en-US"/>
              </w:rPr>
            </w:pPr>
            <w:r w:rsidRPr="00812E8B">
              <w:rPr>
                <w:lang w:val="en-US"/>
              </w:rPr>
              <w:t>Coefficient</w:t>
            </w:r>
          </w:p>
        </w:tc>
        <w:tc>
          <w:tcPr>
            <w:tcW w:w="1069" w:type="dxa"/>
            <w:gridSpan w:val="2"/>
            <w:tcBorders>
              <w:top w:val="single" w:sz="8" w:space="0" w:color="000000" w:themeColor="text1"/>
              <w:bottom w:val="single" w:sz="4" w:space="0" w:color="auto"/>
            </w:tcBorders>
            <w:shd w:val="clear" w:color="auto" w:fill="auto"/>
          </w:tcPr>
          <w:p w:rsidR="00691C6E" w:rsidRPr="00812E8B" w:rsidRDefault="00691C6E" w:rsidP="00983B4F">
            <w:pPr>
              <w:pStyle w:val="NoSpacing"/>
              <w:spacing w:line="276" w:lineRule="auto"/>
              <w:jc w:val="both"/>
              <w:cnfStyle w:val="000000100000"/>
              <w:rPr>
                <w:color w:val="auto"/>
                <w:lang w:val="en-US"/>
              </w:rPr>
            </w:pPr>
            <w:r w:rsidRPr="00812E8B">
              <w:rPr>
                <w:lang w:val="en-US"/>
              </w:rPr>
              <w:t>Std. error</w:t>
            </w:r>
          </w:p>
        </w:tc>
        <w:tc>
          <w:tcPr>
            <w:tcW w:w="1005" w:type="dxa"/>
            <w:tcBorders>
              <w:top w:val="single" w:sz="8" w:space="0" w:color="000000" w:themeColor="text1"/>
              <w:bottom w:val="single" w:sz="4" w:space="0" w:color="auto"/>
            </w:tcBorders>
            <w:shd w:val="clear" w:color="auto" w:fill="auto"/>
          </w:tcPr>
          <w:p w:rsidR="00691C6E" w:rsidRPr="00812E8B" w:rsidRDefault="00691C6E" w:rsidP="00983B4F">
            <w:pPr>
              <w:pStyle w:val="NoSpacing"/>
              <w:spacing w:line="276" w:lineRule="auto"/>
              <w:jc w:val="both"/>
              <w:cnfStyle w:val="000000100000"/>
              <w:rPr>
                <w:color w:val="auto"/>
                <w:lang w:val="en-US"/>
              </w:rPr>
            </w:pPr>
            <w:r w:rsidRPr="00812E8B">
              <w:rPr>
                <w:color w:val="auto"/>
                <w:lang w:val="en-US"/>
              </w:rPr>
              <w:t>p-value</w:t>
            </w:r>
          </w:p>
        </w:tc>
        <w:tc>
          <w:tcPr>
            <w:tcW w:w="227" w:type="dxa"/>
            <w:tcBorders>
              <w:top w:val="nil"/>
              <w:bottom w:val="single" w:sz="4" w:space="0" w:color="auto"/>
            </w:tcBorders>
            <w:shd w:val="clear" w:color="auto" w:fill="auto"/>
          </w:tcPr>
          <w:p w:rsidR="00691C6E" w:rsidRPr="00812E8B" w:rsidRDefault="00691C6E" w:rsidP="00983B4F">
            <w:pPr>
              <w:pStyle w:val="NoSpacing"/>
              <w:spacing w:line="276" w:lineRule="auto"/>
              <w:jc w:val="both"/>
              <w:cnfStyle w:val="000000100000"/>
              <w:rPr>
                <w:lang w:val="en-US"/>
              </w:rPr>
            </w:pPr>
          </w:p>
        </w:tc>
        <w:tc>
          <w:tcPr>
            <w:tcW w:w="1120" w:type="dxa"/>
            <w:tcBorders>
              <w:top w:val="single" w:sz="4" w:space="0" w:color="auto"/>
              <w:bottom w:val="single" w:sz="4" w:space="0" w:color="auto"/>
            </w:tcBorders>
            <w:shd w:val="clear" w:color="auto" w:fill="auto"/>
          </w:tcPr>
          <w:p w:rsidR="00691C6E" w:rsidRPr="00812E8B" w:rsidRDefault="00691C6E" w:rsidP="00450CF6">
            <w:pPr>
              <w:pStyle w:val="NoSpacing"/>
              <w:spacing w:line="276" w:lineRule="auto"/>
              <w:ind w:left="-37" w:right="-52"/>
              <w:jc w:val="both"/>
              <w:cnfStyle w:val="000000100000"/>
              <w:rPr>
                <w:lang w:val="en-US"/>
              </w:rPr>
            </w:pPr>
            <w:r w:rsidRPr="00812E8B">
              <w:rPr>
                <w:lang w:val="en-US"/>
              </w:rPr>
              <w:t>Coeff</w:t>
            </w:r>
            <w:r w:rsidR="00450CF6" w:rsidRPr="00812E8B">
              <w:rPr>
                <w:lang w:val="en-US"/>
              </w:rPr>
              <w:t>icient</w:t>
            </w:r>
          </w:p>
        </w:tc>
        <w:tc>
          <w:tcPr>
            <w:tcW w:w="1068" w:type="dxa"/>
            <w:tcBorders>
              <w:top w:val="single" w:sz="4" w:space="0" w:color="auto"/>
              <w:bottom w:val="single" w:sz="4" w:space="0" w:color="auto"/>
            </w:tcBorders>
            <w:shd w:val="clear" w:color="auto" w:fill="auto"/>
          </w:tcPr>
          <w:p w:rsidR="00691C6E" w:rsidRPr="00812E8B" w:rsidRDefault="00691C6E" w:rsidP="00983B4F">
            <w:pPr>
              <w:pStyle w:val="NoSpacing"/>
              <w:spacing w:line="276" w:lineRule="auto"/>
              <w:jc w:val="both"/>
              <w:cnfStyle w:val="000000100000"/>
              <w:rPr>
                <w:color w:val="auto"/>
                <w:lang w:val="en-US"/>
              </w:rPr>
            </w:pPr>
            <w:r w:rsidRPr="00812E8B">
              <w:rPr>
                <w:lang w:val="en-US"/>
              </w:rPr>
              <w:t>Std. error</w:t>
            </w:r>
          </w:p>
        </w:tc>
        <w:tc>
          <w:tcPr>
            <w:tcW w:w="1049" w:type="dxa"/>
            <w:gridSpan w:val="2"/>
            <w:tcBorders>
              <w:top w:val="single" w:sz="4" w:space="0" w:color="auto"/>
              <w:bottom w:val="single" w:sz="4" w:space="0" w:color="auto"/>
            </w:tcBorders>
            <w:shd w:val="clear" w:color="auto" w:fill="auto"/>
          </w:tcPr>
          <w:p w:rsidR="00691C6E" w:rsidRPr="00812E8B" w:rsidRDefault="00691C6E" w:rsidP="00983B4F">
            <w:pPr>
              <w:pStyle w:val="NoSpacing"/>
              <w:spacing w:line="276" w:lineRule="auto"/>
              <w:jc w:val="both"/>
              <w:cnfStyle w:val="000000100000"/>
              <w:rPr>
                <w:lang w:val="en-US"/>
              </w:rPr>
            </w:pPr>
            <w:r w:rsidRPr="00812E8B">
              <w:rPr>
                <w:lang w:val="en-US"/>
              </w:rPr>
              <w:t>p-value</w:t>
            </w:r>
          </w:p>
        </w:tc>
      </w:tr>
      <w:tr w:rsidR="00691C6E" w:rsidRPr="00812E8B" w:rsidTr="00691C6E">
        <w:tc>
          <w:tcPr>
            <w:cnfStyle w:val="001000000000"/>
            <w:tcW w:w="4111" w:type="dxa"/>
            <w:tcBorders>
              <w:top w:val="single" w:sz="4" w:space="0" w:color="auto"/>
            </w:tcBorders>
            <w:shd w:val="clear" w:color="auto" w:fill="auto"/>
          </w:tcPr>
          <w:p w:rsidR="00691C6E" w:rsidRPr="00812E8B" w:rsidRDefault="00691C6E" w:rsidP="008105BB">
            <w:pPr>
              <w:pStyle w:val="NoSpacing"/>
              <w:tabs>
                <w:tab w:val="left" w:pos="0"/>
              </w:tabs>
              <w:spacing w:line="276" w:lineRule="auto"/>
              <w:ind w:left="72"/>
              <w:rPr>
                <w:b w:val="0"/>
                <w:color w:val="auto"/>
                <w:lang w:val="en-US"/>
              </w:rPr>
            </w:pPr>
            <w:r w:rsidRPr="00812E8B">
              <w:rPr>
                <w:b w:val="0"/>
                <w:color w:val="auto"/>
                <w:lang w:val="en-US"/>
              </w:rPr>
              <w:t>Constant</w:t>
            </w:r>
          </w:p>
        </w:tc>
        <w:tc>
          <w:tcPr>
            <w:tcW w:w="1070" w:type="dxa"/>
            <w:tcBorders>
              <w:top w:val="single" w:sz="4" w:space="0" w:color="auto"/>
              <w:bottom w:val="nil"/>
            </w:tcBorders>
            <w:shd w:val="clear" w:color="auto" w:fill="auto"/>
            <w:vAlign w:val="bottom"/>
          </w:tcPr>
          <w:p w:rsidR="00691C6E" w:rsidRPr="00812E8B" w:rsidRDefault="00691C6E" w:rsidP="00A43B90">
            <w:pPr>
              <w:pStyle w:val="NoSpacing"/>
              <w:spacing w:line="276" w:lineRule="auto"/>
              <w:cnfStyle w:val="000000000000"/>
              <w:rPr>
                <w:lang w:val="en-US"/>
              </w:rPr>
            </w:pPr>
            <w:r w:rsidRPr="00812E8B">
              <w:rPr>
                <w:lang w:val="en-US"/>
              </w:rPr>
              <w:t>0.2650</w:t>
            </w:r>
          </w:p>
        </w:tc>
        <w:tc>
          <w:tcPr>
            <w:tcW w:w="1101" w:type="dxa"/>
            <w:gridSpan w:val="2"/>
            <w:tcBorders>
              <w:top w:val="single" w:sz="4" w:space="0" w:color="auto"/>
              <w:bottom w:val="nil"/>
            </w:tcBorders>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0.563</w:t>
            </w:r>
          </w:p>
        </w:tc>
        <w:tc>
          <w:tcPr>
            <w:tcW w:w="941" w:type="dxa"/>
            <w:tcBorders>
              <w:top w:val="single" w:sz="4" w:space="0" w:color="auto"/>
              <w:bottom w:val="nil"/>
            </w:tcBorders>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0.638</w:t>
            </w:r>
          </w:p>
        </w:tc>
        <w:tc>
          <w:tcPr>
            <w:tcW w:w="238" w:type="dxa"/>
            <w:tcBorders>
              <w:top w:val="single" w:sz="4" w:space="0" w:color="auto"/>
              <w:bottom w:val="nil"/>
            </w:tcBorders>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tcBorders>
              <w:top w:val="single" w:sz="4" w:space="0" w:color="auto"/>
              <w:bottom w:val="nil"/>
            </w:tcBorders>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0.2133</w:t>
            </w:r>
          </w:p>
        </w:tc>
        <w:tc>
          <w:tcPr>
            <w:tcW w:w="1069" w:type="dxa"/>
            <w:gridSpan w:val="2"/>
            <w:tcBorders>
              <w:top w:val="single" w:sz="4" w:space="0" w:color="auto"/>
              <w:bottom w:val="nil"/>
            </w:tcBorders>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0.612</w:t>
            </w:r>
          </w:p>
        </w:tc>
        <w:tc>
          <w:tcPr>
            <w:tcW w:w="1005" w:type="dxa"/>
            <w:tcBorders>
              <w:top w:val="single" w:sz="4" w:space="0" w:color="auto"/>
              <w:bottom w:val="nil"/>
            </w:tcBorders>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0.728</w:t>
            </w:r>
          </w:p>
        </w:tc>
        <w:tc>
          <w:tcPr>
            <w:tcW w:w="227" w:type="dxa"/>
            <w:tcBorders>
              <w:top w:val="single" w:sz="4" w:space="0" w:color="auto"/>
              <w:bottom w:val="nil"/>
            </w:tcBorders>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tcBorders>
              <w:top w:val="single" w:sz="4" w:space="0" w:color="auto"/>
              <w:bottom w:val="nil"/>
            </w:tcBorders>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-0.3968</w:t>
            </w:r>
          </w:p>
        </w:tc>
        <w:tc>
          <w:tcPr>
            <w:tcW w:w="1068" w:type="dxa"/>
            <w:tcBorders>
              <w:top w:val="single" w:sz="4" w:space="0" w:color="auto"/>
              <w:bottom w:val="nil"/>
            </w:tcBorders>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1.163</w:t>
            </w:r>
          </w:p>
        </w:tc>
        <w:tc>
          <w:tcPr>
            <w:tcW w:w="1049" w:type="dxa"/>
            <w:gridSpan w:val="2"/>
            <w:tcBorders>
              <w:top w:val="single" w:sz="4" w:space="0" w:color="auto"/>
            </w:tcBorders>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0.733</w:t>
            </w:r>
          </w:p>
        </w:tc>
      </w:tr>
      <w:tr w:rsidR="00691C6E" w:rsidRPr="00812E8B" w:rsidTr="00691C6E">
        <w:trPr>
          <w:cnfStyle w:val="000000100000"/>
        </w:trPr>
        <w:tc>
          <w:tcPr>
            <w:cnfStyle w:val="001000000000"/>
            <w:tcW w:w="4111" w:type="dxa"/>
            <w:shd w:val="clear" w:color="auto" w:fill="auto"/>
          </w:tcPr>
          <w:p w:rsidR="00691C6E" w:rsidRPr="00812E8B" w:rsidRDefault="00691C6E" w:rsidP="00731A94">
            <w:pPr>
              <w:pStyle w:val="NoSpacing"/>
              <w:tabs>
                <w:tab w:val="left" w:pos="0"/>
              </w:tabs>
              <w:spacing w:line="276" w:lineRule="auto"/>
              <w:ind w:left="72"/>
              <w:rPr>
                <w:b w:val="0"/>
                <w:lang w:val="en-US"/>
              </w:rPr>
            </w:pPr>
            <w:r w:rsidRPr="00812E8B">
              <w:rPr>
                <w:b w:val="0"/>
                <w:lang w:val="en-US"/>
              </w:rPr>
              <w:t>Lagged profitability</w:t>
            </w:r>
          </w:p>
        </w:tc>
        <w:tc>
          <w:tcPr>
            <w:tcW w:w="1070" w:type="dxa"/>
            <w:tcBorders>
              <w:top w:val="nil"/>
            </w:tcBorders>
            <w:shd w:val="clear" w:color="auto" w:fill="auto"/>
            <w:vAlign w:val="bottom"/>
          </w:tcPr>
          <w:p w:rsidR="00691C6E" w:rsidRPr="00812E8B" w:rsidRDefault="00691C6E" w:rsidP="00A43B90">
            <w:pPr>
              <w:pStyle w:val="NoSpacing"/>
              <w:spacing w:line="276" w:lineRule="auto"/>
              <w:cnfStyle w:val="000000100000"/>
              <w:rPr>
                <w:lang w:val="en-US"/>
              </w:rPr>
            </w:pPr>
            <w:r w:rsidRPr="00812E8B">
              <w:rPr>
                <w:lang w:val="en-US"/>
              </w:rPr>
              <w:t>0.1262</w:t>
            </w:r>
            <w:r w:rsidRPr="00812E8B">
              <w:rPr>
                <w:vertAlign w:val="superscript"/>
                <w:lang w:val="en-US"/>
              </w:rPr>
              <w:t>**</w:t>
            </w:r>
          </w:p>
        </w:tc>
        <w:tc>
          <w:tcPr>
            <w:tcW w:w="1101" w:type="dxa"/>
            <w:gridSpan w:val="2"/>
            <w:tcBorders>
              <w:top w:val="nil"/>
            </w:tcBorders>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0.062</w:t>
            </w:r>
          </w:p>
        </w:tc>
        <w:tc>
          <w:tcPr>
            <w:tcW w:w="941" w:type="dxa"/>
            <w:tcBorders>
              <w:top w:val="nil"/>
            </w:tcBorders>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0.044</w:t>
            </w:r>
          </w:p>
        </w:tc>
        <w:tc>
          <w:tcPr>
            <w:tcW w:w="238" w:type="dxa"/>
            <w:tcBorders>
              <w:top w:val="nil"/>
            </w:tcBorders>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tcBorders>
              <w:top w:val="nil"/>
            </w:tcBorders>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0.1684</w:t>
            </w:r>
          </w:p>
        </w:tc>
        <w:tc>
          <w:tcPr>
            <w:tcW w:w="1069" w:type="dxa"/>
            <w:gridSpan w:val="2"/>
            <w:tcBorders>
              <w:top w:val="nil"/>
            </w:tcBorders>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0.109</w:t>
            </w:r>
          </w:p>
        </w:tc>
        <w:tc>
          <w:tcPr>
            <w:tcW w:w="1005" w:type="dxa"/>
            <w:tcBorders>
              <w:top w:val="nil"/>
            </w:tcBorders>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0.125</w:t>
            </w:r>
          </w:p>
        </w:tc>
        <w:tc>
          <w:tcPr>
            <w:tcW w:w="227" w:type="dxa"/>
            <w:tcBorders>
              <w:top w:val="nil"/>
            </w:tcBorders>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tcBorders>
              <w:top w:val="nil"/>
            </w:tcBorders>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0.1146</w:t>
            </w:r>
          </w:p>
        </w:tc>
        <w:tc>
          <w:tcPr>
            <w:tcW w:w="1068" w:type="dxa"/>
            <w:tcBorders>
              <w:top w:val="nil"/>
            </w:tcBorders>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0.085</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0.180</w:t>
            </w:r>
          </w:p>
        </w:tc>
      </w:tr>
      <w:tr w:rsidR="00691C6E" w:rsidRPr="00812E8B" w:rsidTr="00691C6E">
        <w:tc>
          <w:tcPr>
            <w:cnfStyle w:val="001000000000"/>
            <w:tcW w:w="4111" w:type="dxa"/>
            <w:shd w:val="clear" w:color="auto" w:fill="auto"/>
          </w:tcPr>
          <w:p w:rsidR="00691C6E" w:rsidRPr="00812E8B" w:rsidRDefault="00691C6E" w:rsidP="00731A94">
            <w:pPr>
              <w:pStyle w:val="NoSpacing"/>
              <w:tabs>
                <w:tab w:val="left" w:pos="0"/>
              </w:tabs>
              <w:spacing w:line="276" w:lineRule="auto"/>
              <w:ind w:left="72"/>
              <w:rPr>
                <w:b w:val="0"/>
                <w:color w:val="auto"/>
                <w:lang w:val="en-US"/>
              </w:rPr>
            </w:pPr>
            <w:r w:rsidRPr="00812E8B">
              <w:rPr>
                <w:b w:val="0"/>
                <w:color w:val="auto"/>
                <w:lang w:val="en-US"/>
              </w:rPr>
              <w:t>Bank-specific factors</w:t>
            </w:r>
          </w:p>
        </w:tc>
        <w:tc>
          <w:tcPr>
            <w:tcW w:w="1070" w:type="dxa"/>
            <w:tcBorders>
              <w:top w:val="nil"/>
            </w:tcBorders>
            <w:shd w:val="clear" w:color="auto" w:fill="auto"/>
            <w:vAlign w:val="bottom"/>
          </w:tcPr>
          <w:p w:rsidR="00691C6E" w:rsidRPr="00812E8B" w:rsidRDefault="00691C6E" w:rsidP="00A43B90">
            <w:pPr>
              <w:pStyle w:val="NoSpacing"/>
              <w:spacing w:line="276" w:lineRule="auto"/>
              <w:cnfStyle w:val="000000000000"/>
              <w:rPr>
                <w:lang w:val="en-US"/>
              </w:rPr>
            </w:pPr>
          </w:p>
        </w:tc>
        <w:tc>
          <w:tcPr>
            <w:tcW w:w="1101" w:type="dxa"/>
            <w:gridSpan w:val="2"/>
            <w:tcBorders>
              <w:top w:val="nil"/>
            </w:tcBorders>
            <w:shd w:val="clear" w:color="auto" w:fill="auto"/>
            <w:vAlign w:val="bottom"/>
          </w:tcPr>
          <w:p w:rsidR="00691C6E" w:rsidRPr="00812E8B" w:rsidRDefault="00691C6E" w:rsidP="00A43B90">
            <w:pPr>
              <w:pStyle w:val="NoSpacing"/>
              <w:spacing w:line="276" w:lineRule="auto"/>
              <w:jc w:val="center"/>
              <w:cnfStyle w:val="000000000000"/>
              <w:rPr>
                <w:lang w:val="en-US"/>
              </w:rPr>
            </w:pPr>
          </w:p>
        </w:tc>
        <w:tc>
          <w:tcPr>
            <w:tcW w:w="941" w:type="dxa"/>
            <w:tcBorders>
              <w:top w:val="nil"/>
            </w:tcBorders>
            <w:shd w:val="clear" w:color="auto" w:fill="auto"/>
            <w:vAlign w:val="bottom"/>
          </w:tcPr>
          <w:p w:rsidR="00691C6E" w:rsidRPr="00812E8B" w:rsidRDefault="00691C6E" w:rsidP="00A43B90">
            <w:pPr>
              <w:pStyle w:val="NoSpacing"/>
              <w:spacing w:line="276" w:lineRule="auto"/>
              <w:jc w:val="center"/>
              <w:cnfStyle w:val="000000000000"/>
              <w:rPr>
                <w:lang w:val="en-US"/>
              </w:rPr>
            </w:pPr>
          </w:p>
        </w:tc>
        <w:tc>
          <w:tcPr>
            <w:tcW w:w="238" w:type="dxa"/>
            <w:tcBorders>
              <w:top w:val="nil"/>
            </w:tcBorders>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tcBorders>
              <w:top w:val="nil"/>
            </w:tcBorders>
            <w:shd w:val="clear" w:color="auto" w:fill="auto"/>
          </w:tcPr>
          <w:p w:rsidR="00691C6E" w:rsidRPr="00812E8B" w:rsidRDefault="00691C6E" w:rsidP="0098152B">
            <w:pPr>
              <w:pStyle w:val="NoSpacing"/>
              <w:spacing w:line="276" w:lineRule="auto"/>
              <w:jc w:val="center"/>
              <w:cnfStyle w:val="000000000000"/>
              <w:rPr>
                <w:lang w:val="en-US"/>
              </w:rPr>
            </w:pPr>
          </w:p>
        </w:tc>
        <w:tc>
          <w:tcPr>
            <w:tcW w:w="1069" w:type="dxa"/>
            <w:gridSpan w:val="2"/>
            <w:tcBorders>
              <w:top w:val="nil"/>
            </w:tcBorders>
            <w:shd w:val="clear" w:color="auto" w:fill="auto"/>
            <w:vAlign w:val="center"/>
          </w:tcPr>
          <w:p w:rsidR="00691C6E" w:rsidRPr="00812E8B" w:rsidRDefault="00691C6E" w:rsidP="00A43B90">
            <w:pPr>
              <w:pStyle w:val="NoSpacing"/>
              <w:spacing w:line="276" w:lineRule="auto"/>
              <w:jc w:val="center"/>
              <w:cnfStyle w:val="000000000000"/>
              <w:rPr>
                <w:color w:val="auto"/>
                <w:lang w:val="en-US"/>
              </w:rPr>
            </w:pPr>
          </w:p>
        </w:tc>
        <w:tc>
          <w:tcPr>
            <w:tcW w:w="1005" w:type="dxa"/>
            <w:tcBorders>
              <w:top w:val="nil"/>
            </w:tcBorders>
            <w:shd w:val="clear" w:color="auto" w:fill="auto"/>
            <w:vAlign w:val="center"/>
          </w:tcPr>
          <w:p w:rsidR="00691C6E" w:rsidRPr="00812E8B" w:rsidRDefault="00691C6E" w:rsidP="00A43B90">
            <w:pPr>
              <w:pStyle w:val="NoSpacing"/>
              <w:spacing w:line="276" w:lineRule="auto"/>
              <w:jc w:val="center"/>
              <w:cnfStyle w:val="000000000000"/>
              <w:rPr>
                <w:color w:val="auto"/>
                <w:lang w:val="en-US"/>
              </w:rPr>
            </w:pPr>
          </w:p>
        </w:tc>
        <w:tc>
          <w:tcPr>
            <w:tcW w:w="227" w:type="dxa"/>
            <w:tcBorders>
              <w:top w:val="nil"/>
            </w:tcBorders>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tcBorders>
              <w:top w:val="nil"/>
            </w:tcBorders>
            <w:shd w:val="clear" w:color="auto" w:fill="auto"/>
          </w:tcPr>
          <w:p w:rsidR="00691C6E" w:rsidRPr="00812E8B" w:rsidRDefault="00691C6E" w:rsidP="0098152B">
            <w:pPr>
              <w:pStyle w:val="NoSpacing"/>
              <w:spacing w:line="276" w:lineRule="auto"/>
              <w:jc w:val="center"/>
              <w:cnfStyle w:val="000000000000"/>
              <w:rPr>
                <w:lang w:val="en-US"/>
              </w:rPr>
            </w:pPr>
          </w:p>
        </w:tc>
        <w:tc>
          <w:tcPr>
            <w:tcW w:w="1068" w:type="dxa"/>
            <w:tcBorders>
              <w:top w:val="nil"/>
            </w:tcBorders>
            <w:shd w:val="clear" w:color="auto" w:fill="auto"/>
            <w:vAlign w:val="center"/>
          </w:tcPr>
          <w:p w:rsidR="00691C6E" w:rsidRPr="00812E8B" w:rsidRDefault="00691C6E" w:rsidP="00A43B90">
            <w:pPr>
              <w:pStyle w:val="NoSpacing"/>
              <w:spacing w:line="276" w:lineRule="auto"/>
              <w:jc w:val="center"/>
              <w:cnfStyle w:val="000000000000"/>
              <w:rPr>
                <w:color w:val="auto"/>
                <w:lang w:val="en-US"/>
              </w:rPr>
            </w:pP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p>
        </w:tc>
      </w:tr>
      <w:tr w:rsidR="00691C6E" w:rsidRPr="00812E8B" w:rsidTr="00691C6E">
        <w:trPr>
          <w:cnfStyle w:val="000000100000"/>
        </w:trPr>
        <w:tc>
          <w:tcPr>
            <w:cnfStyle w:val="001000000000"/>
            <w:tcW w:w="4111" w:type="dxa"/>
            <w:shd w:val="clear" w:color="auto" w:fill="auto"/>
          </w:tcPr>
          <w:p w:rsidR="00691C6E" w:rsidRPr="00812E8B" w:rsidRDefault="00691C6E" w:rsidP="00731A94">
            <w:pPr>
              <w:pStyle w:val="NoSpacing"/>
              <w:spacing w:line="276" w:lineRule="auto"/>
              <w:ind w:left="252"/>
              <w:rPr>
                <w:b w:val="0"/>
                <w:color w:val="auto"/>
                <w:lang w:val="en-US"/>
              </w:rPr>
            </w:pPr>
            <w:r w:rsidRPr="00812E8B">
              <w:rPr>
                <w:b w:val="0"/>
                <w:color w:val="auto"/>
                <w:lang w:val="en-US"/>
              </w:rPr>
              <w:t>Equity to total assets</w:t>
            </w:r>
          </w:p>
        </w:tc>
        <w:tc>
          <w:tcPr>
            <w:tcW w:w="1070" w:type="dxa"/>
            <w:shd w:val="clear" w:color="auto" w:fill="auto"/>
            <w:vAlign w:val="bottom"/>
          </w:tcPr>
          <w:p w:rsidR="00691C6E" w:rsidRPr="00812E8B" w:rsidRDefault="00691C6E" w:rsidP="00A43B90">
            <w:pPr>
              <w:pStyle w:val="NoSpacing"/>
              <w:spacing w:line="276" w:lineRule="auto"/>
              <w:cnfStyle w:val="000000100000"/>
              <w:rPr>
                <w:lang w:val="en-US"/>
              </w:rPr>
            </w:pPr>
            <w:r w:rsidRPr="00812E8B">
              <w:rPr>
                <w:lang w:val="en-US"/>
              </w:rPr>
              <w:t>0.0691</w:t>
            </w:r>
            <w:r w:rsidRPr="00812E8B">
              <w:rPr>
                <w:vertAlign w:val="superscript"/>
                <w:lang w:val="en-US"/>
              </w:rPr>
              <w:t>***</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0.010</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0.000</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100000"/>
              <w:rPr>
                <w:vertAlign w:val="superscript"/>
                <w:lang w:val="en-US"/>
              </w:rPr>
            </w:pPr>
            <w:r w:rsidRPr="00812E8B">
              <w:rPr>
                <w:lang w:val="en-US"/>
              </w:rPr>
              <w:t>0.0562</w:t>
            </w:r>
            <w:r w:rsidRPr="00812E8B">
              <w:rPr>
                <w:vertAlign w:val="superscript"/>
                <w:lang w:val="en-US"/>
              </w:rPr>
              <w:t>***</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0.011</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0.000</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vertAlign w:val="superscript"/>
                <w:lang w:val="en-US"/>
              </w:rPr>
            </w:pPr>
            <w:r w:rsidRPr="00812E8B">
              <w:rPr>
                <w:lang w:val="en-US"/>
              </w:rPr>
              <w:t>0.0839</w:t>
            </w:r>
            <w:r w:rsidRPr="00812E8B">
              <w:rPr>
                <w:vertAlign w:val="superscript"/>
                <w:lang w:val="en-US"/>
              </w:rPr>
              <w:t>***</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0.026</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0.001</w:t>
            </w:r>
          </w:p>
        </w:tc>
      </w:tr>
      <w:tr w:rsidR="00691C6E" w:rsidRPr="00812E8B" w:rsidTr="00691C6E">
        <w:tc>
          <w:tcPr>
            <w:cnfStyle w:val="001000000000"/>
            <w:tcW w:w="4111" w:type="dxa"/>
            <w:shd w:val="clear" w:color="auto" w:fill="auto"/>
          </w:tcPr>
          <w:p w:rsidR="00691C6E" w:rsidRPr="00812E8B" w:rsidRDefault="00691C6E" w:rsidP="00B81518">
            <w:pPr>
              <w:pStyle w:val="NoSpacing"/>
              <w:spacing w:line="276" w:lineRule="auto"/>
              <w:ind w:left="252" w:right="-209"/>
              <w:rPr>
                <w:b w:val="0"/>
                <w:color w:val="auto"/>
                <w:lang w:val="en-US"/>
              </w:rPr>
            </w:pPr>
            <w:r w:rsidRPr="00812E8B">
              <w:rPr>
                <w:b w:val="0"/>
                <w:color w:val="auto"/>
                <w:lang w:val="en-US"/>
              </w:rPr>
              <w:t>Customer deposits to total funding</w:t>
            </w:r>
          </w:p>
        </w:tc>
        <w:tc>
          <w:tcPr>
            <w:tcW w:w="1070" w:type="dxa"/>
            <w:shd w:val="clear" w:color="auto" w:fill="auto"/>
            <w:vAlign w:val="bottom"/>
          </w:tcPr>
          <w:p w:rsidR="00691C6E" w:rsidRPr="00812E8B" w:rsidRDefault="00691C6E" w:rsidP="00A43B90">
            <w:pPr>
              <w:pStyle w:val="NoSpacing"/>
              <w:spacing w:line="276" w:lineRule="auto"/>
              <w:cnfStyle w:val="000000000000"/>
              <w:rPr>
                <w:lang w:val="en-US"/>
              </w:rPr>
            </w:pPr>
            <w:r w:rsidRPr="00812E8B">
              <w:rPr>
                <w:lang w:val="en-US"/>
              </w:rPr>
              <w:t>0.0002</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0.002</w:t>
            </w: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0.917</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0.0007</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0.002</w:t>
            </w: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0.693</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-0.0002</w:t>
            </w: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0.003</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0.959</w:t>
            </w:r>
          </w:p>
        </w:tc>
      </w:tr>
      <w:tr w:rsidR="00691C6E" w:rsidRPr="00812E8B" w:rsidTr="00691C6E">
        <w:trPr>
          <w:cnfStyle w:val="000000100000"/>
        </w:trPr>
        <w:tc>
          <w:tcPr>
            <w:cnfStyle w:val="001000000000"/>
            <w:tcW w:w="4111" w:type="dxa"/>
            <w:shd w:val="clear" w:color="auto" w:fill="auto"/>
          </w:tcPr>
          <w:p w:rsidR="00691C6E" w:rsidRPr="00812E8B" w:rsidRDefault="00691C6E" w:rsidP="00FC2B7C">
            <w:pPr>
              <w:pStyle w:val="NoSpacing"/>
              <w:spacing w:line="276" w:lineRule="auto"/>
              <w:ind w:left="252" w:right="-198"/>
              <w:rPr>
                <w:b w:val="0"/>
                <w:color w:val="auto"/>
                <w:lang w:val="en-US"/>
              </w:rPr>
            </w:pPr>
            <w:r w:rsidRPr="00812E8B">
              <w:rPr>
                <w:b w:val="0"/>
                <w:color w:val="auto"/>
                <w:lang w:val="en-US"/>
              </w:rPr>
              <w:t>Loan loss provision to interest revenue</w:t>
            </w:r>
          </w:p>
        </w:tc>
        <w:tc>
          <w:tcPr>
            <w:tcW w:w="1070" w:type="dxa"/>
            <w:shd w:val="clear" w:color="auto" w:fill="auto"/>
            <w:vAlign w:val="bottom"/>
          </w:tcPr>
          <w:p w:rsidR="00691C6E" w:rsidRPr="00812E8B" w:rsidRDefault="00691C6E" w:rsidP="00A43B90">
            <w:pPr>
              <w:pStyle w:val="NoSpacing"/>
              <w:spacing w:line="276" w:lineRule="auto"/>
              <w:ind w:left="-108" w:right="-118"/>
              <w:cnfStyle w:val="000000100000"/>
              <w:rPr>
                <w:vertAlign w:val="superscript"/>
                <w:lang w:val="en-US"/>
              </w:rPr>
            </w:pPr>
            <w:r w:rsidRPr="00812E8B">
              <w:rPr>
                <w:lang w:val="en-US"/>
              </w:rPr>
              <w:t>-0.0057</w:t>
            </w:r>
            <w:r w:rsidRPr="00812E8B">
              <w:rPr>
                <w:vertAlign w:val="superscript"/>
                <w:lang w:val="en-US"/>
              </w:rPr>
              <w:t>***</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0.001</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0.000</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100000"/>
              <w:rPr>
                <w:vertAlign w:val="superscript"/>
                <w:lang w:val="en-US"/>
              </w:rPr>
            </w:pPr>
            <w:r w:rsidRPr="00812E8B">
              <w:rPr>
                <w:lang w:val="en-US"/>
              </w:rPr>
              <w:t>-0.0027</w:t>
            </w:r>
            <w:r w:rsidRPr="00812E8B">
              <w:rPr>
                <w:vertAlign w:val="superscript"/>
                <w:lang w:val="en-US"/>
              </w:rPr>
              <w:t>**</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0.001</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0.023</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vertAlign w:val="superscript"/>
                <w:lang w:val="en-US"/>
              </w:rPr>
            </w:pPr>
            <w:r w:rsidRPr="00812E8B">
              <w:rPr>
                <w:lang w:val="en-US"/>
              </w:rPr>
              <w:t>-0.0067</w:t>
            </w:r>
            <w:r w:rsidRPr="00812E8B">
              <w:rPr>
                <w:vertAlign w:val="superscript"/>
                <w:lang w:val="en-US"/>
              </w:rPr>
              <w:t>***</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0.002</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0.001</w:t>
            </w:r>
          </w:p>
        </w:tc>
      </w:tr>
      <w:tr w:rsidR="00691C6E" w:rsidRPr="00812E8B" w:rsidTr="00691C6E">
        <w:tc>
          <w:tcPr>
            <w:cnfStyle w:val="001000000000"/>
            <w:tcW w:w="4111" w:type="dxa"/>
            <w:shd w:val="clear" w:color="auto" w:fill="auto"/>
          </w:tcPr>
          <w:p w:rsidR="00691C6E" w:rsidRPr="00812E8B" w:rsidRDefault="00691C6E" w:rsidP="00B81518">
            <w:pPr>
              <w:pStyle w:val="NoSpacing"/>
              <w:spacing w:line="276" w:lineRule="auto"/>
              <w:ind w:left="252" w:right="-108"/>
              <w:rPr>
                <w:b w:val="0"/>
                <w:color w:val="auto"/>
                <w:lang w:val="en-US"/>
              </w:rPr>
            </w:pPr>
            <w:r w:rsidRPr="00812E8B">
              <w:rPr>
                <w:b w:val="0"/>
                <w:color w:val="auto"/>
                <w:lang w:val="en-US"/>
              </w:rPr>
              <w:t>Liquid assets to short term funding</w:t>
            </w:r>
          </w:p>
        </w:tc>
        <w:tc>
          <w:tcPr>
            <w:tcW w:w="1070" w:type="dxa"/>
            <w:shd w:val="clear" w:color="auto" w:fill="auto"/>
            <w:vAlign w:val="bottom"/>
          </w:tcPr>
          <w:p w:rsidR="00691C6E" w:rsidRPr="00812E8B" w:rsidRDefault="00691C6E" w:rsidP="00A43B90">
            <w:pPr>
              <w:pStyle w:val="NoSpacing"/>
              <w:spacing w:line="276" w:lineRule="auto"/>
              <w:ind w:left="-108" w:right="-118"/>
              <w:cnfStyle w:val="000000000000"/>
              <w:rPr>
                <w:lang w:val="en-US"/>
              </w:rPr>
            </w:pPr>
            <w:r w:rsidRPr="00812E8B">
              <w:rPr>
                <w:lang w:val="en-US"/>
              </w:rPr>
              <w:t>-0.0004</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0.230</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-0.0001</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0.736</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-0.0008</w:t>
            </w: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0.001</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0.180</w:t>
            </w:r>
          </w:p>
        </w:tc>
      </w:tr>
      <w:tr w:rsidR="00691C6E" w:rsidRPr="00812E8B" w:rsidTr="00691C6E">
        <w:trPr>
          <w:cnfStyle w:val="000000100000"/>
        </w:trPr>
        <w:tc>
          <w:tcPr>
            <w:cnfStyle w:val="001000000000"/>
            <w:tcW w:w="4111" w:type="dxa"/>
            <w:shd w:val="clear" w:color="auto" w:fill="auto"/>
          </w:tcPr>
          <w:p w:rsidR="00691C6E" w:rsidRPr="00812E8B" w:rsidRDefault="00691C6E" w:rsidP="00B81518">
            <w:pPr>
              <w:pStyle w:val="NoSpacing"/>
              <w:spacing w:line="276" w:lineRule="auto"/>
              <w:ind w:left="252" w:right="-108"/>
              <w:rPr>
                <w:b w:val="0"/>
                <w:lang w:val="en-US"/>
              </w:rPr>
            </w:pPr>
            <w:r w:rsidRPr="00812E8B">
              <w:rPr>
                <w:b w:val="0"/>
                <w:lang w:val="en-US"/>
              </w:rPr>
              <w:t>Interest expense on customer deposits</w:t>
            </w:r>
          </w:p>
        </w:tc>
        <w:tc>
          <w:tcPr>
            <w:tcW w:w="1070" w:type="dxa"/>
            <w:shd w:val="clear" w:color="auto" w:fill="auto"/>
            <w:vAlign w:val="bottom"/>
          </w:tcPr>
          <w:p w:rsidR="00691C6E" w:rsidRPr="00812E8B" w:rsidRDefault="00691C6E" w:rsidP="00A43B90">
            <w:pPr>
              <w:pStyle w:val="NoSpacing"/>
              <w:spacing w:line="276" w:lineRule="auto"/>
              <w:ind w:left="-108"/>
              <w:cnfStyle w:val="000000100000"/>
              <w:rPr>
                <w:lang w:val="en-US"/>
              </w:rPr>
            </w:pPr>
            <w:r w:rsidRPr="00812E8B">
              <w:rPr>
                <w:lang w:val="en-US"/>
              </w:rPr>
              <w:t>-0.0016</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0.008</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0.843</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0.0007</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0.009</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0.934</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-0.0038</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0.017</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0.824</w:t>
            </w:r>
          </w:p>
        </w:tc>
      </w:tr>
      <w:tr w:rsidR="00691C6E" w:rsidRPr="00812E8B" w:rsidTr="00691C6E">
        <w:tc>
          <w:tcPr>
            <w:cnfStyle w:val="001000000000"/>
            <w:tcW w:w="4111" w:type="dxa"/>
            <w:shd w:val="clear" w:color="auto" w:fill="auto"/>
          </w:tcPr>
          <w:p w:rsidR="00691C6E" w:rsidRPr="00812E8B" w:rsidRDefault="00691C6E" w:rsidP="00731A94">
            <w:pPr>
              <w:pStyle w:val="NoSpacing"/>
              <w:spacing w:line="276" w:lineRule="auto"/>
              <w:ind w:left="252"/>
              <w:rPr>
                <w:b w:val="0"/>
                <w:color w:val="auto"/>
                <w:lang w:val="en-US"/>
              </w:rPr>
            </w:pPr>
            <w:r w:rsidRPr="00812E8B">
              <w:rPr>
                <w:b w:val="0"/>
                <w:color w:val="auto"/>
                <w:lang w:val="en-US"/>
              </w:rPr>
              <w:t>Non-interest income</w:t>
            </w:r>
          </w:p>
        </w:tc>
        <w:tc>
          <w:tcPr>
            <w:tcW w:w="1070" w:type="dxa"/>
            <w:shd w:val="clear" w:color="auto" w:fill="auto"/>
            <w:vAlign w:val="bottom"/>
          </w:tcPr>
          <w:p w:rsidR="00691C6E" w:rsidRPr="00812E8B" w:rsidRDefault="00691C6E" w:rsidP="00A43B90">
            <w:pPr>
              <w:pStyle w:val="NoSpacing"/>
              <w:spacing w:line="276" w:lineRule="auto"/>
              <w:cnfStyle w:val="000000000000"/>
              <w:rPr>
                <w:vertAlign w:val="superscript"/>
                <w:lang w:val="en-US"/>
              </w:rPr>
            </w:pPr>
            <w:r w:rsidRPr="00812E8B">
              <w:rPr>
                <w:lang w:val="en-US"/>
              </w:rPr>
              <w:t>0.0017</w:t>
            </w:r>
            <w:r w:rsidRPr="00812E8B">
              <w:rPr>
                <w:vertAlign w:val="superscript"/>
                <w:lang w:val="en-US"/>
              </w:rPr>
              <w:t>***</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000000"/>
              <w:rPr>
                <w:vertAlign w:val="superscript"/>
                <w:lang w:val="en-US"/>
              </w:rPr>
            </w:pPr>
            <w:r w:rsidRPr="00812E8B">
              <w:rPr>
                <w:lang w:val="en-US"/>
              </w:rPr>
              <w:t>0.0023</w:t>
            </w:r>
            <w:r w:rsidRPr="00812E8B">
              <w:rPr>
                <w:vertAlign w:val="superscript"/>
                <w:lang w:val="en-US"/>
              </w:rPr>
              <w:t>***</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0.001</w:t>
            </w: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0.002</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000000"/>
              <w:rPr>
                <w:vertAlign w:val="superscript"/>
                <w:lang w:val="en-US"/>
              </w:rPr>
            </w:pPr>
            <w:r w:rsidRPr="00812E8B">
              <w:rPr>
                <w:lang w:val="en-US"/>
              </w:rPr>
              <w:t>0.0019</w:t>
            </w:r>
            <w:r w:rsidRPr="00812E8B">
              <w:rPr>
                <w:vertAlign w:val="superscript"/>
                <w:lang w:val="en-US"/>
              </w:rPr>
              <w:t>***</w:t>
            </w: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0.001</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0.009</w:t>
            </w:r>
          </w:p>
        </w:tc>
      </w:tr>
      <w:tr w:rsidR="00691C6E" w:rsidRPr="00812E8B" w:rsidTr="00691C6E">
        <w:trPr>
          <w:cnfStyle w:val="000000100000"/>
        </w:trPr>
        <w:tc>
          <w:tcPr>
            <w:cnfStyle w:val="001000000000"/>
            <w:tcW w:w="4111" w:type="dxa"/>
            <w:shd w:val="clear" w:color="auto" w:fill="auto"/>
          </w:tcPr>
          <w:p w:rsidR="00691C6E" w:rsidRPr="00812E8B" w:rsidRDefault="00335EFC" w:rsidP="00731A94">
            <w:pPr>
              <w:pStyle w:val="NoSpacing"/>
              <w:spacing w:line="276" w:lineRule="auto"/>
              <w:ind w:left="252"/>
              <w:rPr>
                <w:b w:val="0"/>
                <w:color w:val="auto"/>
                <w:lang w:val="en-US"/>
              </w:rPr>
            </w:pPr>
            <w:r w:rsidRPr="00812E8B">
              <w:rPr>
                <w:b w:val="0"/>
                <w:color w:val="auto"/>
                <w:lang w:val="en-US"/>
              </w:rPr>
              <w:t>Cost-to-income ratio</w:t>
            </w:r>
          </w:p>
        </w:tc>
        <w:tc>
          <w:tcPr>
            <w:tcW w:w="1070" w:type="dxa"/>
            <w:shd w:val="clear" w:color="auto" w:fill="auto"/>
            <w:vAlign w:val="bottom"/>
          </w:tcPr>
          <w:p w:rsidR="00691C6E" w:rsidRPr="00812E8B" w:rsidRDefault="00691C6E" w:rsidP="00A43B90">
            <w:pPr>
              <w:pStyle w:val="NoSpacing"/>
              <w:spacing w:line="276" w:lineRule="auto"/>
              <w:ind w:left="-108" w:right="-28"/>
              <w:cnfStyle w:val="000000100000"/>
              <w:rPr>
                <w:vertAlign w:val="superscript"/>
                <w:lang w:val="en-US"/>
              </w:rPr>
            </w:pPr>
            <w:r w:rsidRPr="00812E8B">
              <w:rPr>
                <w:lang w:val="en-US"/>
              </w:rPr>
              <w:t>-0.0069</w:t>
            </w:r>
            <w:r w:rsidRPr="00812E8B">
              <w:rPr>
                <w:vertAlign w:val="superscript"/>
                <w:lang w:val="en-US"/>
              </w:rPr>
              <w:t>***</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0.001</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0.000</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ind w:left="-38"/>
              <w:jc w:val="center"/>
              <w:cnfStyle w:val="000000100000"/>
              <w:rPr>
                <w:vertAlign w:val="superscript"/>
                <w:lang w:val="en-US"/>
              </w:rPr>
            </w:pPr>
            <w:r w:rsidRPr="00812E8B">
              <w:rPr>
                <w:lang w:val="en-US"/>
              </w:rPr>
              <w:t>-0.0061</w:t>
            </w:r>
            <w:r w:rsidRPr="00812E8B">
              <w:rPr>
                <w:vertAlign w:val="superscript"/>
                <w:lang w:val="en-US"/>
              </w:rPr>
              <w:t>***</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0.001</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0.000</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vertAlign w:val="superscript"/>
                <w:lang w:val="en-US"/>
              </w:rPr>
            </w:pPr>
            <w:r w:rsidRPr="00812E8B">
              <w:rPr>
                <w:lang w:val="en-US"/>
              </w:rPr>
              <w:t>-0.0069</w:t>
            </w:r>
            <w:r w:rsidRPr="00812E8B">
              <w:rPr>
                <w:vertAlign w:val="superscript"/>
                <w:lang w:val="en-US"/>
              </w:rPr>
              <w:t>***</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0.001</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0.000</w:t>
            </w:r>
          </w:p>
        </w:tc>
      </w:tr>
      <w:tr w:rsidR="00691C6E" w:rsidRPr="00812E8B" w:rsidTr="00691C6E">
        <w:tc>
          <w:tcPr>
            <w:cnfStyle w:val="001000000000"/>
            <w:tcW w:w="4111" w:type="dxa"/>
            <w:shd w:val="clear" w:color="auto" w:fill="auto"/>
          </w:tcPr>
          <w:p w:rsidR="00691C6E" w:rsidRPr="00812E8B" w:rsidRDefault="00691C6E" w:rsidP="00731A94">
            <w:pPr>
              <w:pStyle w:val="NoSpacing"/>
              <w:spacing w:line="276" w:lineRule="auto"/>
              <w:ind w:left="252"/>
              <w:rPr>
                <w:b w:val="0"/>
                <w:lang w:val="en-US"/>
              </w:rPr>
            </w:pPr>
            <w:r w:rsidRPr="00812E8B">
              <w:rPr>
                <w:b w:val="0"/>
                <w:lang w:val="en-US"/>
              </w:rPr>
              <w:t>Growth of gross loans</w:t>
            </w:r>
          </w:p>
        </w:tc>
        <w:tc>
          <w:tcPr>
            <w:tcW w:w="1070" w:type="dxa"/>
            <w:shd w:val="clear" w:color="auto" w:fill="auto"/>
            <w:vAlign w:val="bottom"/>
          </w:tcPr>
          <w:p w:rsidR="00691C6E" w:rsidRPr="00812E8B" w:rsidRDefault="00691C6E" w:rsidP="00A43B90">
            <w:pPr>
              <w:pStyle w:val="NoSpacing"/>
              <w:spacing w:line="276" w:lineRule="auto"/>
              <w:cnfStyle w:val="000000000000"/>
              <w:rPr>
                <w:lang w:val="en-US"/>
              </w:rPr>
            </w:pPr>
            <w:r w:rsidRPr="00812E8B">
              <w:rPr>
                <w:lang w:val="en-US"/>
              </w:rPr>
              <w:t>0.0009</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0.001</w:t>
            </w: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0.148</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0.0008</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0.001</w:t>
            </w: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0.276</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0.0007</w:t>
            </w: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0.001</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0.593</w:t>
            </w:r>
          </w:p>
        </w:tc>
      </w:tr>
      <w:tr w:rsidR="00691C6E" w:rsidRPr="00812E8B" w:rsidTr="00691C6E">
        <w:trPr>
          <w:cnfStyle w:val="000000100000"/>
        </w:trPr>
        <w:tc>
          <w:tcPr>
            <w:cnfStyle w:val="001000000000"/>
            <w:tcW w:w="4111" w:type="dxa"/>
            <w:shd w:val="clear" w:color="auto" w:fill="auto"/>
          </w:tcPr>
          <w:p w:rsidR="00691C6E" w:rsidRPr="00812E8B" w:rsidRDefault="00691C6E" w:rsidP="00731A94">
            <w:pPr>
              <w:pStyle w:val="NoSpacing"/>
              <w:spacing w:line="276" w:lineRule="auto"/>
              <w:ind w:left="72"/>
              <w:rPr>
                <w:b w:val="0"/>
                <w:lang w:val="en-US"/>
              </w:rPr>
            </w:pPr>
            <w:r w:rsidRPr="00812E8B">
              <w:rPr>
                <w:b w:val="0"/>
                <w:lang w:val="en-US"/>
              </w:rPr>
              <w:t>Industry-specific variables</w:t>
            </w:r>
          </w:p>
        </w:tc>
        <w:tc>
          <w:tcPr>
            <w:tcW w:w="1070" w:type="dxa"/>
            <w:shd w:val="clear" w:color="auto" w:fill="auto"/>
            <w:vAlign w:val="bottom"/>
          </w:tcPr>
          <w:p w:rsidR="00691C6E" w:rsidRPr="00812E8B" w:rsidRDefault="00691C6E" w:rsidP="00A43B90">
            <w:pPr>
              <w:pStyle w:val="NoSpacing"/>
              <w:spacing w:line="276" w:lineRule="auto"/>
              <w:cnfStyle w:val="000000100000"/>
              <w:rPr>
                <w:lang w:val="en-US"/>
              </w:rPr>
            </w:pP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p>
        </w:tc>
      </w:tr>
      <w:tr w:rsidR="00691C6E" w:rsidRPr="00812E8B" w:rsidTr="00691C6E">
        <w:tc>
          <w:tcPr>
            <w:cnfStyle w:val="001000000000"/>
            <w:tcW w:w="4111" w:type="dxa"/>
            <w:shd w:val="clear" w:color="auto" w:fill="auto"/>
          </w:tcPr>
          <w:p w:rsidR="00691C6E" w:rsidRPr="00812E8B" w:rsidRDefault="00691C6E" w:rsidP="00731A94">
            <w:pPr>
              <w:pStyle w:val="NoSpacing"/>
              <w:spacing w:line="276" w:lineRule="auto"/>
              <w:ind w:left="252"/>
              <w:rPr>
                <w:b w:val="0"/>
                <w:lang w:val="en-US"/>
              </w:rPr>
            </w:pPr>
            <w:r w:rsidRPr="00812E8B">
              <w:rPr>
                <w:b w:val="0"/>
                <w:lang w:val="en-US"/>
              </w:rPr>
              <w:t>Herfindahl-Hischman index</w:t>
            </w:r>
          </w:p>
        </w:tc>
        <w:tc>
          <w:tcPr>
            <w:tcW w:w="1070" w:type="dxa"/>
            <w:shd w:val="clear" w:color="auto" w:fill="auto"/>
            <w:vAlign w:val="bottom"/>
          </w:tcPr>
          <w:p w:rsidR="00691C6E" w:rsidRPr="00812E8B" w:rsidRDefault="00691C6E" w:rsidP="00A43B90">
            <w:pPr>
              <w:pStyle w:val="NoSpacing"/>
              <w:spacing w:line="276" w:lineRule="auto"/>
              <w:cnfStyle w:val="000000000000"/>
              <w:rPr>
                <w:lang w:val="en-US"/>
              </w:rPr>
            </w:pPr>
            <w:r w:rsidRPr="00812E8B">
              <w:rPr>
                <w:lang w:val="en-US"/>
              </w:rPr>
              <w:t>0.0000</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0.903</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000000"/>
              <w:rPr>
                <w:vertAlign w:val="superscript"/>
                <w:lang w:val="en-US"/>
              </w:rPr>
            </w:pPr>
            <w:r w:rsidRPr="00812E8B">
              <w:rPr>
                <w:lang w:val="en-US"/>
              </w:rPr>
              <w:t>0.0001</w:t>
            </w:r>
            <w:r w:rsidRPr="00812E8B">
              <w:rPr>
                <w:vertAlign w:val="superscript"/>
                <w:lang w:val="en-US"/>
              </w:rPr>
              <w:t>**</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0.024</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0.0000</w:t>
            </w: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0.872</w:t>
            </w:r>
          </w:p>
        </w:tc>
      </w:tr>
      <w:tr w:rsidR="00691C6E" w:rsidRPr="00812E8B" w:rsidTr="00691C6E">
        <w:trPr>
          <w:cnfStyle w:val="000000100000"/>
        </w:trPr>
        <w:tc>
          <w:tcPr>
            <w:cnfStyle w:val="001000000000"/>
            <w:tcW w:w="4111" w:type="dxa"/>
            <w:shd w:val="clear" w:color="auto" w:fill="auto"/>
          </w:tcPr>
          <w:p w:rsidR="00691C6E" w:rsidRPr="00812E8B" w:rsidRDefault="00691C6E" w:rsidP="00731A94">
            <w:pPr>
              <w:pStyle w:val="NoSpacing"/>
              <w:spacing w:line="276" w:lineRule="auto"/>
              <w:ind w:left="252"/>
              <w:rPr>
                <w:b w:val="0"/>
                <w:lang w:val="en-US"/>
              </w:rPr>
            </w:pPr>
            <w:r w:rsidRPr="00812E8B">
              <w:rPr>
                <w:b w:val="0"/>
                <w:lang w:val="en-US"/>
              </w:rPr>
              <w:t>Logarithm of total assets</w:t>
            </w:r>
          </w:p>
        </w:tc>
        <w:tc>
          <w:tcPr>
            <w:tcW w:w="1070" w:type="dxa"/>
            <w:shd w:val="clear" w:color="auto" w:fill="auto"/>
            <w:vAlign w:val="bottom"/>
          </w:tcPr>
          <w:p w:rsidR="00691C6E" w:rsidRPr="00812E8B" w:rsidRDefault="00691C6E" w:rsidP="00A43B90">
            <w:pPr>
              <w:pStyle w:val="NoSpacing"/>
              <w:spacing w:line="276" w:lineRule="auto"/>
              <w:cnfStyle w:val="000000100000"/>
              <w:rPr>
                <w:lang w:val="en-US"/>
              </w:rPr>
            </w:pPr>
            <w:r w:rsidRPr="00812E8B">
              <w:rPr>
                <w:lang w:val="en-US"/>
              </w:rPr>
              <w:t>0.0058</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0.015</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0.702</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0.0014</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0.016</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0.933</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0.0255</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0.032</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0.425</w:t>
            </w:r>
          </w:p>
        </w:tc>
      </w:tr>
      <w:tr w:rsidR="00691C6E" w:rsidRPr="00812E8B" w:rsidTr="00691C6E">
        <w:tc>
          <w:tcPr>
            <w:cnfStyle w:val="001000000000"/>
            <w:tcW w:w="4111" w:type="dxa"/>
            <w:shd w:val="clear" w:color="auto" w:fill="auto"/>
          </w:tcPr>
          <w:p w:rsidR="00691C6E" w:rsidRPr="00812E8B" w:rsidRDefault="00691C6E" w:rsidP="00731A94">
            <w:pPr>
              <w:pStyle w:val="NoSpacing"/>
              <w:spacing w:line="276" w:lineRule="auto"/>
              <w:ind w:left="252"/>
              <w:rPr>
                <w:b w:val="0"/>
                <w:lang w:val="en-US"/>
              </w:rPr>
            </w:pPr>
            <w:r w:rsidRPr="00812E8B">
              <w:rPr>
                <w:b w:val="0"/>
                <w:lang w:val="en-US"/>
              </w:rPr>
              <w:t>Dummy stakeholder</w:t>
            </w:r>
          </w:p>
        </w:tc>
        <w:tc>
          <w:tcPr>
            <w:tcW w:w="1070" w:type="dxa"/>
            <w:shd w:val="clear" w:color="auto" w:fill="auto"/>
            <w:vAlign w:val="bottom"/>
          </w:tcPr>
          <w:p w:rsidR="00691C6E" w:rsidRPr="00812E8B" w:rsidRDefault="00691C6E" w:rsidP="00A43B90">
            <w:pPr>
              <w:pStyle w:val="NoSpacing"/>
              <w:spacing w:line="276" w:lineRule="auto"/>
              <w:ind w:left="-108"/>
              <w:cnfStyle w:val="000000000000"/>
              <w:rPr>
                <w:lang w:val="en-US"/>
              </w:rPr>
            </w:pPr>
            <w:r w:rsidRPr="00812E8B">
              <w:rPr>
                <w:lang w:val="en-US"/>
              </w:rPr>
              <w:t>-0.0208</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0.042</w:t>
            </w: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0.620</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-0.0056</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0.043</w:t>
            </w: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0.896</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-0.1039</w:t>
            </w: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0.087</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0.234</w:t>
            </w:r>
          </w:p>
        </w:tc>
      </w:tr>
      <w:tr w:rsidR="00691C6E" w:rsidRPr="00812E8B" w:rsidTr="00691C6E">
        <w:trPr>
          <w:cnfStyle w:val="000000100000"/>
        </w:trPr>
        <w:tc>
          <w:tcPr>
            <w:cnfStyle w:val="001000000000"/>
            <w:tcW w:w="4111" w:type="dxa"/>
            <w:shd w:val="clear" w:color="auto" w:fill="auto"/>
          </w:tcPr>
          <w:p w:rsidR="00691C6E" w:rsidRPr="00812E8B" w:rsidRDefault="00691C6E" w:rsidP="00731A94">
            <w:pPr>
              <w:pStyle w:val="NoSpacing"/>
              <w:spacing w:line="276" w:lineRule="auto"/>
              <w:ind w:left="252"/>
              <w:rPr>
                <w:b w:val="0"/>
                <w:lang w:val="en-US"/>
              </w:rPr>
            </w:pPr>
            <w:r w:rsidRPr="00812E8B">
              <w:rPr>
                <w:b w:val="0"/>
                <w:lang w:val="en-US"/>
              </w:rPr>
              <w:t>Dummy government</w:t>
            </w:r>
          </w:p>
        </w:tc>
        <w:tc>
          <w:tcPr>
            <w:tcW w:w="1070" w:type="dxa"/>
            <w:shd w:val="clear" w:color="auto" w:fill="auto"/>
            <w:vAlign w:val="bottom"/>
          </w:tcPr>
          <w:p w:rsidR="00691C6E" w:rsidRPr="00812E8B" w:rsidRDefault="00691C6E" w:rsidP="00A43B90">
            <w:pPr>
              <w:pStyle w:val="NoSpacing"/>
              <w:spacing w:line="276" w:lineRule="auto"/>
              <w:ind w:left="-108"/>
              <w:cnfStyle w:val="000000100000"/>
              <w:rPr>
                <w:vertAlign w:val="superscript"/>
                <w:lang w:val="en-US"/>
              </w:rPr>
            </w:pPr>
            <w:r w:rsidRPr="00812E8B">
              <w:rPr>
                <w:lang w:val="en-US"/>
              </w:rPr>
              <w:t>-0.1040</w:t>
            </w:r>
            <w:r w:rsidRPr="00812E8B">
              <w:rPr>
                <w:vertAlign w:val="superscript"/>
                <w:lang w:val="en-US"/>
              </w:rPr>
              <w:t>*</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0.056</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0.067</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-0.0580</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0.058</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0.322</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-0.1782</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0.114</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0.120</w:t>
            </w:r>
          </w:p>
        </w:tc>
      </w:tr>
      <w:tr w:rsidR="00691C6E" w:rsidRPr="00812E8B" w:rsidTr="00691C6E">
        <w:tc>
          <w:tcPr>
            <w:cnfStyle w:val="001000000000"/>
            <w:tcW w:w="4111" w:type="dxa"/>
            <w:shd w:val="clear" w:color="auto" w:fill="auto"/>
          </w:tcPr>
          <w:p w:rsidR="00691C6E" w:rsidRPr="00812E8B" w:rsidRDefault="00691C6E" w:rsidP="00731A94">
            <w:pPr>
              <w:pStyle w:val="NoSpacing"/>
              <w:spacing w:line="276" w:lineRule="auto"/>
              <w:ind w:left="72"/>
              <w:rPr>
                <w:b w:val="0"/>
                <w:lang w:val="en-US"/>
              </w:rPr>
            </w:pPr>
            <w:r w:rsidRPr="00812E8B">
              <w:rPr>
                <w:b w:val="0"/>
                <w:lang w:val="en-US"/>
              </w:rPr>
              <w:t>Macroeconomic variables</w:t>
            </w:r>
          </w:p>
        </w:tc>
        <w:tc>
          <w:tcPr>
            <w:tcW w:w="1070" w:type="dxa"/>
            <w:shd w:val="clear" w:color="auto" w:fill="auto"/>
            <w:vAlign w:val="bottom"/>
          </w:tcPr>
          <w:p w:rsidR="00691C6E" w:rsidRPr="00812E8B" w:rsidRDefault="00691C6E" w:rsidP="00A43B90">
            <w:pPr>
              <w:pStyle w:val="NoSpacing"/>
              <w:spacing w:line="276" w:lineRule="auto"/>
              <w:cnfStyle w:val="000000000000"/>
              <w:rPr>
                <w:lang w:val="en-US"/>
              </w:rPr>
            </w:pP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p>
        </w:tc>
      </w:tr>
      <w:tr w:rsidR="00691C6E" w:rsidRPr="00812E8B" w:rsidTr="00691C6E">
        <w:trPr>
          <w:cnfStyle w:val="000000100000"/>
          <w:trHeight w:val="221"/>
        </w:trPr>
        <w:tc>
          <w:tcPr>
            <w:cnfStyle w:val="001000000000"/>
            <w:tcW w:w="4111" w:type="dxa"/>
            <w:shd w:val="clear" w:color="auto" w:fill="auto"/>
          </w:tcPr>
          <w:p w:rsidR="00691C6E" w:rsidRPr="00812E8B" w:rsidRDefault="00691C6E" w:rsidP="00731A94">
            <w:pPr>
              <w:pStyle w:val="NoSpacing"/>
              <w:spacing w:line="276" w:lineRule="auto"/>
              <w:ind w:left="252"/>
              <w:rPr>
                <w:b w:val="0"/>
                <w:lang w:val="en-US"/>
              </w:rPr>
            </w:pPr>
            <w:r w:rsidRPr="00812E8B">
              <w:rPr>
                <w:b w:val="0"/>
                <w:lang w:val="en-US"/>
              </w:rPr>
              <w:t>Real GDP growth</w:t>
            </w:r>
          </w:p>
        </w:tc>
        <w:tc>
          <w:tcPr>
            <w:tcW w:w="1070" w:type="dxa"/>
            <w:shd w:val="clear" w:color="auto" w:fill="auto"/>
            <w:vAlign w:val="bottom"/>
          </w:tcPr>
          <w:p w:rsidR="00691C6E" w:rsidRPr="00812E8B" w:rsidRDefault="00691C6E" w:rsidP="00A43B90">
            <w:pPr>
              <w:pStyle w:val="NoSpacing"/>
              <w:spacing w:line="276" w:lineRule="auto"/>
              <w:cnfStyle w:val="000000100000"/>
              <w:rPr>
                <w:vertAlign w:val="superscript"/>
                <w:lang w:val="en-US"/>
              </w:rPr>
            </w:pPr>
            <w:r w:rsidRPr="00812E8B">
              <w:rPr>
                <w:lang w:val="en-US"/>
              </w:rPr>
              <w:t>0.0222</w:t>
            </w:r>
            <w:r w:rsidRPr="00812E8B">
              <w:rPr>
                <w:vertAlign w:val="superscript"/>
                <w:lang w:val="en-US"/>
              </w:rPr>
              <w:t>***</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0.006</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0.000</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100000"/>
              <w:rPr>
                <w:vertAlign w:val="superscript"/>
                <w:lang w:val="en-US"/>
              </w:rPr>
            </w:pPr>
            <w:r w:rsidRPr="00812E8B">
              <w:rPr>
                <w:lang w:val="en-US"/>
              </w:rPr>
              <w:t>0.0193</w:t>
            </w:r>
            <w:r w:rsidRPr="00812E8B">
              <w:rPr>
                <w:vertAlign w:val="superscript"/>
                <w:lang w:val="en-US"/>
              </w:rPr>
              <w:t>**</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0.007</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0.011</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vertAlign w:val="superscript"/>
                <w:lang w:val="en-US"/>
              </w:rPr>
            </w:pPr>
            <w:r w:rsidRPr="00812E8B">
              <w:rPr>
                <w:lang w:val="en-US"/>
              </w:rPr>
              <w:t>0.0268</w:t>
            </w:r>
            <w:r w:rsidRPr="00812E8B">
              <w:rPr>
                <w:vertAlign w:val="superscript"/>
                <w:lang w:val="en-US"/>
              </w:rPr>
              <w:t>***</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0.009</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0.005</w:t>
            </w:r>
          </w:p>
        </w:tc>
      </w:tr>
      <w:tr w:rsidR="00691C6E" w:rsidRPr="00812E8B" w:rsidTr="00691C6E">
        <w:tc>
          <w:tcPr>
            <w:cnfStyle w:val="001000000000"/>
            <w:tcW w:w="4111" w:type="dxa"/>
            <w:shd w:val="clear" w:color="auto" w:fill="auto"/>
          </w:tcPr>
          <w:p w:rsidR="00691C6E" w:rsidRPr="00812E8B" w:rsidRDefault="00691C6E" w:rsidP="00731A94">
            <w:pPr>
              <w:pStyle w:val="NoSpacing"/>
              <w:spacing w:line="276" w:lineRule="auto"/>
              <w:ind w:left="252"/>
              <w:rPr>
                <w:b w:val="0"/>
                <w:lang w:val="en-US"/>
              </w:rPr>
            </w:pPr>
            <w:r w:rsidRPr="00812E8B">
              <w:rPr>
                <w:b w:val="0"/>
                <w:lang w:val="en-US"/>
              </w:rPr>
              <w:t>Effective tax rate</w:t>
            </w:r>
          </w:p>
        </w:tc>
        <w:tc>
          <w:tcPr>
            <w:tcW w:w="1070" w:type="dxa"/>
            <w:shd w:val="clear" w:color="auto" w:fill="auto"/>
            <w:vAlign w:val="bottom"/>
          </w:tcPr>
          <w:p w:rsidR="00691C6E" w:rsidRPr="00812E8B" w:rsidRDefault="00691C6E" w:rsidP="00A43B90">
            <w:pPr>
              <w:pStyle w:val="NoSpacing"/>
              <w:spacing w:line="276" w:lineRule="auto"/>
              <w:cnfStyle w:val="000000000000"/>
              <w:rPr>
                <w:lang w:val="en-US"/>
              </w:rPr>
            </w:pPr>
            <w:r w:rsidRPr="00812E8B">
              <w:rPr>
                <w:lang w:val="en-US"/>
              </w:rPr>
              <w:t>0.0000</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941" w:type="dxa"/>
            <w:shd w:val="clear" w:color="auto" w:fill="auto"/>
            <w:vAlign w:val="bottom"/>
          </w:tcPr>
          <w:p w:rsidR="00691C6E" w:rsidRPr="00812E8B" w:rsidRDefault="00691C6E" w:rsidP="00A43B90">
            <w:pPr>
              <w:pStyle w:val="NoSpacing"/>
              <w:spacing w:line="276" w:lineRule="auto"/>
              <w:jc w:val="center"/>
              <w:cnfStyle w:val="000000000000"/>
              <w:rPr>
                <w:lang w:val="en-US"/>
              </w:rPr>
            </w:pPr>
            <w:r w:rsidRPr="00812E8B">
              <w:rPr>
                <w:lang w:val="en-US"/>
              </w:rPr>
              <w:t>0.945</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0.0002</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1005"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0.439</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000000"/>
              <w:rPr>
                <w:lang w:val="en-US"/>
              </w:rPr>
            </w:pPr>
            <w:r w:rsidRPr="00812E8B">
              <w:rPr>
                <w:lang w:val="en-US"/>
              </w:rPr>
              <w:t>-0.0002</w:t>
            </w:r>
          </w:p>
        </w:tc>
        <w:tc>
          <w:tcPr>
            <w:tcW w:w="1068" w:type="dxa"/>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0.000</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000000"/>
              <w:rPr>
                <w:lang w:val="en-US"/>
              </w:rPr>
            </w:pPr>
            <w:r w:rsidRPr="00812E8B">
              <w:rPr>
                <w:lang w:val="en-US"/>
              </w:rPr>
              <w:t>0.600</w:t>
            </w:r>
          </w:p>
        </w:tc>
      </w:tr>
      <w:tr w:rsidR="00691C6E" w:rsidRPr="00812E8B" w:rsidTr="00691C6E">
        <w:trPr>
          <w:cnfStyle w:val="000000100000"/>
        </w:trPr>
        <w:tc>
          <w:tcPr>
            <w:cnfStyle w:val="001000000000"/>
            <w:tcW w:w="4111" w:type="dxa"/>
            <w:shd w:val="clear" w:color="auto" w:fill="auto"/>
          </w:tcPr>
          <w:p w:rsidR="00691C6E" w:rsidRPr="00812E8B" w:rsidRDefault="00691C6E" w:rsidP="00B81518">
            <w:pPr>
              <w:pStyle w:val="NoSpacing"/>
              <w:spacing w:line="276" w:lineRule="auto"/>
              <w:ind w:left="252"/>
              <w:jc w:val="both"/>
              <w:rPr>
                <w:b w:val="0"/>
                <w:lang w:val="en-US"/>
              </w:rPr>
            </w:pPr>
            <w:r w:rsidRPr="00812E8B">
              <w:rPr>
                <w:b w:val="0"/>
                <w:lang w:val="en-US"/>
              </w:rPr>
              <w:t>Term structure interest</w:t>
            </w:r>
          </w:p>
        </w:tc>
        <w:tc>
          <w:tcPr>
            <w:tcW w:w="1070" w:type="dxa"/>
            <w:shd w:val="clear" w:color="auto" w:fill="auto"/>
            <w:vAlign w:val="bottom"/>
          </w:tcPr>
          <w:p w:rsidR="00691C6E" w:rsidRPr="00812E8B" w:rsidRDefault="00691C6E" w:rsidP="00A43B90">
            <w:pPr>
              <w:pStyle w:val="NoSpacing"/>
              <w:spacing w:line="276" w:lineRule="auto"/>
              <w:ind w:left="-108"/>
              <w:cnfStyle w:val="000000100000"/>
              <w:rPr>
                <w:lang w:val="en-US"/>
              </w:rPr>
            </w:pPr>
            <w:r w:rsidRPr="00812E8B">
              <w:rPr>
                <w:lang w:val="en-US"/>
              </w:rPr>
              <w:t>-0.0025</w:t>
            </w:r>
          </w:p>
        </w:tc>
        <w:tc>
          <w:tcPr>
            <w:tcW w:w="1101" w:type="dxa"/>
            <w:gridSpan w:val="2"/>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0.017</w:t>
            </w:r>
          </w:p>
        </w:tc>
        <w:tc>
          <w:tcPr>
            <w:tcW w:w="941" w:type="dxa"/>
            <w:shd w:val="clear" w:color="auto" w:fill="auto"/>
            <w:vAlign w:val="bottom"/>
          </w:tcPr>
          <w:p w:rsidR="00691C6E" w:rsidRPr="00812E8B" w:rsidRDefault="00691C6E" w:rsidP="00A43B90">
            <w:pPr>
              <w:pStyle w:val="NoSpacing"/>
              <w:spacing w:line="276" w:lineRule="auto"/>
              <w:jc w:val="center"/>
              <w:cnfStyle w:val="000000100000"/>
              <w:rPr>
                <w:lang w:val="en-US"/>
              </w:rPr>
            </w:pPr>
            <w:r w:rsidRPr="00812E8B">
              <w:rPr>
                <w:lang w:val="en-US"/>
              </w:rPr>
              <w:t>0.879</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082"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0.0246</w:t>
            </w:r>
          </w:p>
        </w:tc>
        <w:tc>
          <w:tcPr>
            <w:tcW w:w="106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0.022</w:t>
            </w:r>
          </w:p>
        </w:tc>
        <w:tc>
          <w:tcPr>
            <w:tcW w:w="1005"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0.256</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1120" w:type="dxa"/>
            <w:shd w:val="clear" w:color="auto" w:fill="auto"/>
            <w:vAlign w:val="bottom"/>
          </w:tcPr>
          <w:p w:rsidR="00691C6E" w:rsidRPr="00812E8B" w:rsidRDefault="00691C6E" w:rsidP="0098152B">
            <w:pPr>
              <w:pStyle w:val="NoSpacing"/>
              <w:spacing w:line="276" w:lineRule="auto"/>
              <w:jc w:val="center"/>
              <w:cnfStyle w:val="000000100000"/>
              <w:rPr>
                <w:lang w:val="en-US"/>
              </w:rPr>
            </w:pPr>
            <w:r w:rsidRPr="00812E8B">
              <w:rPr>
                <w:lang w:val="en-US"/>
              </w:rPr>
              <w:t>-0.0003</w:t>
            </w:r>
          </w:p>
        </w:tc>
        <w:tc>
          <w:tcPr>
            <w:tcW w:w="1068" w:type="dxa"/>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0.023</w:t>
            </w:r>
          </w:p>
        </w:tc>
        <w:tc>
          <w:tcPr>
            <w:tcW w:w="1049" w:type="dxa"/>
            <w:gridSpan w:val="2"/>
            <w:shd w:val="clear" w:color="auto" w:fill="auto"/>
            <w:vAlign w:val="center"/>
          </w:tcPr>
          <w:p w:rsidR="00691C6E" w:rsidRPr="00812E8B" w:rsidRDefault="00691C6E" w:rsidP="00A43B90">
            <w:pPr>
              <w:pStyle w:val="NoSpacing"/>
              <w:spacing w:line="276" w:lineRule="auto"/>
              <w:jc w:val="center"/>
              <w:cnfStyle w:val="000000100000"/>
              <w:rPr>
                <w:lang w:val="en-US"/>
              </w:rPr>
            </w:pPr>
            <w:r w:rsidRPr="00812E8B">
              <w:rPr>
                <w:lang w:val="en-US"/>
              </w:rPr>
              <w:t>0.989</w:t>
            </w:r>
          </w:p>
        </w:tc>
      </w:tr>
      <w:tr w:rsidR="00691C6E" w:rsidRPr="00812E8B" w:rsidTr="00691C6E">
        <w:tc>
          <w:tcPr>
            <w:cnfStyle w:val="001000000000"/>
            <w:tcW w:w="4111" w:type="dxa"/>
            <w:shd w:val="clear" w:color="auto" w:fill="auto"/>
          </w:tcPr>
          <w:p w:rsidR="00691C6E" w:rsidRPr="00812E8B" w:rsidRDefault="00691C6E" w:rsidP="008105BB">
            <w:pPr>
              <w:pStyle w:val="NoSpacing"/>
              <w:spacing w:line="276" w:lineRule="auto"/>
              <w:ind w:left="72"/>
              <w:jc w:val="both"/>
              <w:rPr>
                <w:b w:val="0"/>
                <w:lang w:val="en-US"/>
              </w:rPr>
            </w:pPr>
            <w:r w:rsidRPr="00812E8B">
              <w:rPr>
                <w:b w:val="0"/>
                <w:lang w:val="en-US"/>
              </w:rPr>
              <w:t>Observations</w:t>
            </w:r>
          </w:p>
        </w:tc>
        <w:tc>
          <w:tcPr>
            <w:tcW w:w="3112" w:type="dxa"/>
            <w:gridSpan w:val="4"/>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1339</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3156" w:type="dxa"/>
            <w:gridSpan w:val="4"/>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740</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3237" w:type="dxa"/>
            <w:gridSpan w:val="4"/>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599</w:t>
            </w:r>
          </w:p>
        </w:tc>
      </w:tr>
      <w:tr w:rsidR="00691C6E" w:rsidRPr="00812E8B" w:rsidTr="00691C6E">
        <w:trPr>
          <w:cnfStyle w:val="000000100000"/>
        </w:trPr>
        <w:tc>
          <w:tcPr>
            <w:cnfStyle w:val="001000000000"/>
            <w:tcW w:w="4111" w:type="dxa"/>
            <w:shd w:val="clear" w:color="auto" w:fill="auto"/>
          </w:tcPr>
          <w:p w:rsidR="00691C6E" w:rsidRPr="00812E8B" w:rsidRDefault="00691C6E" w:rsidP="00E93E1E">
            <w:pPr>
              <w:pStyle w:val="NoSpacing"/>
              <w:spacing w:line="276" w:lineRule="auto"/>
              <w:ind w:left="72"/>
              <w:jc w:val="both"/>
              <w:rPr>
                <w:b w:val="0"/>
                <w:lang w:val="en-US"/>
              </w:rPr>
            </w:pPr>
            <w:r w:rsidRPr="00812E8B">
              <w:rPr>
                <w:b w:val="0"/>
                <w:lang w:val="en-US"/>
              </w:rPr>
              <w:t>Number of banks</w:t>
            </w:r>
          </w:p>
        </w:tc>
        <w:tc>
          <w:tcPr>
            <w:tcW w:w="3112" w:type="dxa"/>
            <w:gridSpan w:val="4"/>
            <w:shd w:val="clear" w:color="auto" w:fill="auto"/>
          </w:tcPr>
          <w:p w:rsidR="00691C6E" w:rsidRPr="00812E8B" w:rsidRDefault="00691C6E" w:rsidP="0098152B">
            <w:pPr>
              <w:pStyle w:val="NoSpacing"/>
              <w:spacing w:line="276" w:lineRule="auto"/>
              <w:jc w:val="center"/>
              <w:cnfStyle w:val="000000100000"/>
              <w:rPr>
                <w:lang w:val="en-US"/>
              </w:rPr>
            </w:pPr>
            <w:r w:rsidRPr="00812E8B">
              <w:rPr>
                <w:lang w:val="en-US"/>
              </w:rPr>
              <w:t>261</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3156" w:type="dxa"/>
            <w:gridSpan w:val="4"/>
            <w:shd w:val="clear" w:color="auto" w:fill="auto"/>
          </w:tcPr>
          <w:p w:rsidR="00691C6E" w:rsidRPr="00812E8B" w:rsidRDefault="00691C6E" w:rsidP="0098152B">
            <w:pPr>
              <w:pStyle w:val="NoSpacing"/>
              <w:spacing w:line="276" w:lineRule="auto"/>
              <w:jc w:val="center"/>
              <w:cnfStyle w:val="000000100000"/>
              <w:rPr>
                <w:lang w:val="en-US"/>
              </w:rPr>
            </w:pPr>
            <w:r w:rsidRPr="00812E8B">
              <w:rPr>
                <w:lang w:val="en-US"/>
              </w:rPr>
              <w:t>184</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3237" w:type="dxa"/>
            <w:gridSpan w:val="4"/>
            <w:shd w:val="clear" w:color="auto" w:fill="auto"/>
          </w:tcPr>
          <w:p w:rsidR="00691C6E" w:rsidRPr="00812E8B" w:rsidRDefault="00691C6E" w:rsidP="0098152B">
            <w:pPr>
              <w:pStyle w:val="NoSpacing"/>
              <w:spacing w:line="276" w:lineRule="auto"/>
              <w:jc w:val="center"/>
              <w:cnfStyle w:val="000000100000"/>
              <w:rPr>
                <w:lang w:val="en-US"/>
              </w:rPr>
            </w:pPr>
            <w:r w:rsidRPr="00812E8B">
              <w:rPr>
                <w:lang w:val="en-US"/>
              </w:rPr>
              <w:t>246</w:t>
            </w:r>
          </w:p>
        </w:tc>
      </w:tr>
      <w:tr w:rsidR="00691C6E" w:rsidRPr="00812E8B" w:rsidTr="00691C6E">
        <w:tc>
          <w:tcPr>
            <w:cnfStyle w:val="001000000000"/>
            <w:tcW w:w="4111" w:type="dxa"/>
            <w:shd w:val="clear" w:color="auto" w:fill="auto"/>
          </w:tcPr>
          <w:p w:rsidR="00691C6E" w:rsidRPr="00812E8B" w:rsidRDefault="00691C6E" w:rsidP="00E93E1E">
            <w:pPr>
              <w:pStyle w:val="NoSpacing"/>
              <w:spacing w:line="276" w:lineRule="auto"/>
              <w:ind w:left="72"/>
              <w:jc w:val="both"/>
              <w:rPr>
                <w:b w:val="0"/>
                <w:lang w:val="en-US"/>
              </w:rPr>
            </w:pPr>
            <w:r w:rsidRPr="00812E8B">
              <w:rPr>
                <w:b w:val="0"/>
                <w:lang w:val="en-US"/>
              </w:rPr>
              <w:t>Number of instruments</w:t>
            </w:r>
          </w:p>
        </w:tc>
        <w:tc>
          <w:tcPr>
            <w:tcW w:w="3112" w:type="dxa"/>
            <w:gridSpan w:val="4"/>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256</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3156" w:type="dxa"/>
            <w:gridSpan w:val="4"/>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173</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3237" w:type="dxa"/>
            <w:gridSpan w:val="4"/>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89</w:t>
            </w:r>
          </w:p>
        </w:tc>
      </w:tr>
      <w:tr w:rsidR="00691C6E" w:rsidRPr="00812E8B" w:rsidTr="00691C6E">
        <w:trPr>
          <w:cnfStyle w:val="000000100000"/>
        </w:trPr>
        <w:tc>
          <w:tcPr>
            <w:cnfStyle w:val="001000000000"/>
            <w:tcW w:w="4111" w:type="dxa"/>
            <w:shd w:val="clear" w:color="auto" w:fill="auto"/>
          </w:tcPr>
          <w:p w:rsidR="00691C6E" w:rsidRPr="00812E8B" w:rsidRDefault="00B949F5" w:rsidP="00E93E1E">
            <w:pPr>
              <w:pStyle w:val="NoSpacing"/>
              <w:spacing w:line="276" w:lineRule="auto"/>
              <w:ind w:left="72"/>
              <w:jc w:val="both"/>
              <w:rPr>
                <w:b w:val="0"/>
                <w:lang w:val="en-US"/>
              </w:rPr>
            </w:pPr>
            <w:r w:rsidRPr="00812E8B">
              <w:rPr>
                <w:b w:val="0"/>
                <w:lang w:val="en-US"/>
              </w:rPr>
              <w:t>F</w:t>
            </w:r>
            <w:r w:rsidR="00691C6E" w:rsidRPr="00812E8B">
              <w:rPr>
                <w:b w:val="0"/>
                <w:lang w:val="en-US"/>
              </w:rPr>
              <w:t>-test</w:t>
            </w:r>
          </w:p>
        </w:tc>
        <w:tc>
          <w:tcPr>
            <w:tcW w:w="2074" w:type="dxa"/>
            <w:gridSpan w:val="2"/>
            <w:shd w:val="clear" w:color="auto" w:fill="auto"/>
          </w:tcPr>
          <w:p w:rsidR="00691C6E" w:rsidRPr="00812E8B" w:rsidRDefault="00B949F5" w:rsidP="00B949F5">
            <w:pPr>
              <w:pStyle w:val="NoSpacing"/>
              <w:spacing w:line="276" w:lineRule="auto"/>
              <w:cnfStyle w:val="000000100000"/>
              <w:rPr>
                <w:lang w:val="en-US"/>
              </w:rPr>
            </w:pPr>
            <w:r w:rsidRPr="00812E8B">
              <w:rPr>
                <w:lang w:val="en-US"/>
              </w:rPr>
              <w:t>F</w:t>
            </w:r>
            <w:r w:rsidR="00691C6E" w:rsidRPr="00812E8B">
              <w:rPr>
                <w:lang w:val="en-US"/>
              </w:rPr>
              <w:t>(16</w:t>
            </w:r>
            <w:r w:rsidRPr="00812E8B">
              <w:rPr>
                <w:lang w:val="en-US"/>
              </w:rPr>
              <w:t>,260</w:t>
            </w:r>
            <w:r w:rsidR="00691C6E" w:rsidRPr="00812E8B">
              <w:rPr>
                <w:lang w:val="en-US"/>
              </w:rPr>
              <w:t xml:space="preserve">) = </w:t>
            </w:r>
            <w:r w:rsidRPr="00812E8B">
              <w:rPr>
                <w:lang w:val="en-US"/>
              </w:rPr>
              <w:t>24.61</w:t>
            </w:r>
          </w:p>
        </w:tc>
        <w:tc>
          <w:tcPr>
            <w:tcW w:w="1038" w:type="dxa"/>
            <w:gridSpan w:val="2"/>
            <w:shd w:val="clear" w:color="auto" w:fill="auto"/>
          </w:tcPr>
          <w:p w:rsidR="00691C6E" w:rsidRPr="00812E8B" w:rsidRDefault="00691C6E" w:rsidP="008E276B">
            <w:pPr>
              <w:pStyle w:val="NoSpacing"/>
              <w:spacing w:line="276" w:lineRule="auto"/>
              <w:jc w:val="center"/>
              <w:cnfStyle w:val="000000100000"/>
              <w:rPr>
                <w:lang w:val="en-US"/>
              </w:rPr>
            </w:pPr>
            <w:r w:rsidRPr="00812E8B">
              <w:rPr>
                <w:lang w:val="en-US"/>
              </w:rPr>
              <w:t>0.000</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2104" w:type="dxa"/>
            <w:gridSpan w:val="2"/>
            <w:shd w:val="clear" w:color="auto" w:fill="auto"/>
          </w:tcPr>
          <w:p w:rsidR="00691C6E" w:rsidRPr="00812E8B" w:rsidRDefault="004B231E" w:rsidP="004B231E">
            <w:pPr>
              <w:pStyle w:val="NoSpacing"/>
              <w:spacing w:line="276" w:lineRule="auto"/>
              <w:cnfStyle w:val="000000100000"/>
              <w:rPr>
                <w:lang w:val="en-US"/>
              </w:rPr>
            </w:pPr>
            <w:r w:rsidRPr="00812E8B">
              <w:rPr>
                <w:lang w:val="en-US"/>
              </w:rPr>
              <w:t>F(16,183) = 31.80</w:t>
            </w:r>
          </w:p>
        </w:tc>
        <w:tc>
          <w:tcPr>
            <w:tcW w:w="1052" w:type="dxa"/>
            <w:gridSpan w:val="2"/>
            <w:shd w:val="clear" w:color="auto" w:fill="auto"/>
          </w:tcPr>
          <w:p w:rsidR="00691C6E" w:rsidRPr="00812E8B" w:rsidRDefault="00691C6E" w:rsidP="0048382D">
            <w:pPr>
              <w:pStyle w:val="NoSpacing"/>
              <w:spacing w:line="276" w:lineRule="auto"/>
              <w:jc w:val="center"/>
              <w:cnfStyle w:val="000000100000"/>
              <w:rPr>
                <w:lang w:val="en-US"/>
              </w:rPr>
            </w:pPr>
            <w:r w:rsidRPr="00812E8B">
              <w:rPr>
                <w:lang w:val="en-US"/>
              </w:rPr>
              <w:t>0.000</w:t>
            </w:r>
          </w:p>
        </w:tc>
        <w:tc>
          <w:tcPr>
            <w:tcW w:w="2545" w:type="dxa"/>
            <w:gridSpan w:val="4"/>
            <w:shd w:val="clear" w:color="auto" w:fill="auto"/>
          </w:tcPr>
          <w:p w:rsidR="00691C6E" w:rsidRPr="00812E8B" w:rsidRDefault="004B231E" w:rsidP="008E276B">
            <w:pPr>
              <w:pStyle w:val="NoSpacing"/>
              <w:spacing w:line="276" w:lineRule="auto"/>
              <w:cnfStyle w:val="000000100000"/>
              <w:rPr>
                <w:lang w:val="en-US"/>
              </w:rPr>
            </w:pPr>
            <w:r w:rsidRPr="00812E8B">
              <w:rPr>
                <w:lang w:val="en-US"/>
              </w:rPr>
              <w:t>F(16,245) = 8.11</w:t>
            </w:r>
          </w:p>
        </w:tc>
        <w:tc>
          <w:tcPr>
            <w:tcW w:w="919" w:type="dxa"/>
            <w:shd w:val="clear" w:color="auto" w:fill="auto"/>
          </w:tcPr>
          <w:p w:rsidR="00691C6E" w:rsidRPr="00812E8B" w:rsidRDefault="00691C6E" w:rsidP="0048382D">
            <w:pPr>
              <w:pStyle w:val="NoSpacing"/>
              <w:spacing w:line="276" w:lineRule="auto"/>
              <w:jc w:val="center"/>
              <w:cnfStyle w:val="000000100000"/>
              <w:rPr>
                <w:lang w:val="en-US"/>
              </w:rPr>
            </w:pPr>
            <w:r w:rsidRPr="00812E8B">
              <w:rPr>
                <w:lang w:val="en-US"/>
              </w:rPr>
              <w:t>0.000</w:t>
            </w:r>
          </w:p>
        </w:tc>
      </w:tr>
      <w:tr w:rsidR="00691C6E" w:rsidRPr="00812E8B" w:rsidTr="00691C6E">
        <w:tc>
          <w:tcPr>
            <w:cnfStyle w:val="001000000000"/>
            <w:tcW w:w="4111" w:type="dxa"/>
            <w:shd w:val="clear" w:color="auto" w:fill="auto"/>
          </w:tcPr>
          <w:p w:rsidR="00691C6E" w:rsidRPr="00812E8B" w:rsidRDefault="00691C6E" w:rsidP="00E93E1E">
            <w:pPr>
              <w:pStyle w:val="NoSpacing"/>
              <w:spacing w:line="276" w:lineRule="auto"/>
              <w:ind w:left="72"/>
              <w:jc w:val="both"/>
              <w:rPr>
                <w:b w:val="0"/>
                <w:lang w:val="en-US"/>
              </w:rPr>
            </w:pPr>
            <w:r w:rsidRPr="00812E8B">
              <w:rPr>
                <w:b w:val="0"/>
                <w:lang w:val="en-US"/>
              </w:rPr>
              <w:t>Arrelano-Bond test for AR(1)</w:t>
            </w:r>
          </w:p>
        </w:tc>
        <w:tc>
          <w:tcPr>
            <w:tcW w:w="2171" w:type="dxa"/>
            <w:gridSpan w:val="3"/>
            <w:shd w:val="clear" w:color="auto" w:fill="auto"/>
          </w:tcPr>
          <w:p w:rsidR="00691C6E" w:rsidRPr="00812E8B" w:rsidRDefault="00691C6E" w:rsidP="00A43B90">
            <w:pPr>
              <w:pStyle w:val="NoSpacing"/>
              <w:spacing w:line="276" w:lineRule="auto"/>
              <w:cnfStyle w:val="000000000000"/>
              <w:rPr>
                <w:vertAlign w:val="superscript"/>
                <w:lang w:val="en-US"/>
              </w:rPr>
            </w:pPr>
            <w:r w:rsidRPr="00812E8B">
              <w:rPr>
                <w:lang w:val="en-US"/>
              </w:rPr>
              <w:t>Z = -3.04</w:t>
            </w:r>
            <w:r w:rsidRPr="00812E8B">
              <w:rPr>
                <w:vertAlign w:val="superscript"/>
                <w:lang w:val="en-US"/>
              </w:rPr>
              <w:t>***</w:t>
            </w:r>
          </w:p>
        </w:tc>
        <w:tc>
          <w:tcPr>
            <w:tcW w:w="941" w:type="dxa"/>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0.002</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2151" w:type="dxa"/>
            <w:gridSpan w:val="3"/>
            <w:shd w:val="clear" w:color="auto" w:fill="auto"/>
          </w:tcPr>
          <w:p w:rsidR="00691C6E" w:rsidRPr="00812E8B" w:rsidRDefault="00691C6E" w:rsidP="00A43B90">
            <w:pPr>
              <w:pStyle w:val="NoSpacing"/>
              <w:spacing w:line="276" w:lineRule="auto"/>
              <w:cnfStyle w:val="000000000000"/>
              <w:rPr>
                <w:vertAlign w:val="superscript"/>
                <w:lang w:val="en-US"/>
              </w:rPr>
            </w:pPr>
            <w:r w:rsidRPr="00812E8B">
              <w:rPr>
                <w:lang w:val="en-US"/>
              </w:rPr>
              <w:t>Z = -2.33</w:t>
            </w:r>
            <w:r w:rsidRPr="00812E8B">
              <w:rPr>
                <w:vertAlign w:val="superscript"/>
                <w:lang w:val="en-US"/>
              </w:rPr>
              <w:t>***</w:t>
            </w:r>
          </w:p>
        </w:tc>
        <w:tc>
          <w:tcPr>
            <w:tcW w:w="1005" w:type="dxa"/>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0.020</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2188" w:type="dxa"/>
            <w:gridSpan w:val="2"/>
            <w:shd w:val="clear" w:color="auto" w:fill="auto"/>
          </w:tcPr>
          <w:p w:rsidR="00691C6E" w:rsidRPr="00812E8B" w:rsidRDefault="00691C6E" w:rsidP="00A43B90">
            <w:pPr>
              <w:pStyle w:val="NoSpacing"/>
              <w:spacing w:line="276" w:lineRule="auto"/>
              <w:cnfStyle w:val="000000000000"/>
              <w:rPr>
                <w:lang w:val="en-US"/>
              </w:rPr>
            </w:pPr>
            <w:r w:rsidRPr="00812E8B">
              <w:rPr>
                <w:lang w:val="en-US"/>
              </w:rPr>
              <w:t>Z = -2.73</w:t>
            </w:r>
          </w:p>
        </w:tc>
        <w:tc>
          <w:tcPr>
            <w:tcW w:w="1049" w:type="dxa"/>
            <w:gridSpan w:val="2"/>
            <w:shd w:val="clear" w:color="auto" w:fill="auto"/>
          </w:tcPr>
          <w:p w:rsidR="00691C6E" w:rsidRPr="00812E8B" w:rsidRDefault="00691C6E" w:rsidP="0098152B">
            <w:pPr>
              <w:pStyle w:val="NoSpacing"/>
              <w:spacing w:line="276" w:lineRule="auto"/>
              <w:jc w:val="center"/>
              <w:cnfStyle w:val="000000000000"/>
              <w:rPr>
                <w:vertAlign w:val="superscript"/>
                <w:lang w:val="en-US"/>
              </w:rPr>
            </w:pPr>
            <w:r w:rsidRPr="00812E8B">
              <w:rPr>
                <w:lang w:val="en-US"/>
              </w:rPr>
              <w:t>0.006</w:t>
            </w:r>
            <w:r w:rsidRPr="00812E8B">
              <w:rPr>
                <w:vertAlign w:val="superscript"/>
                <w:lang w:val="en-US"/>
              </w:rPr>
              <w:t>***</w:t>
            </w:r>
          </w:p>
        </w:tc>
      </w:tr>
      <w:tr w:rsidR="00691C6E" w:rsidRPr="00812E8B" w:rsidTr="00691C6E">
        <w:trPr>
          <w:cnfStyle w:val="000000100000"/>
        </w:trPr>
        <w:tc>
          <w:tcPr>
            <w:cnfStyle w:val="001000000000"/>
            <w:tcW w:w="4111" w:type="dxa"/>
            <w:shd w:val="clear" w:color="auto" w:fill="auto"/>
          </w:tcPr>
          <w:p w:rsidR="00691C6E" w:rsidRPr="00812E8B" w:rsidRDefault="00691C6E" w:rsidP="00E93E1E">
            <w:pPr>
              <w:pStyle w:val="NoSpacing"/>
              <w:spacing w:line="276" w:lineRule="auto"/>
              <w:ind w:left="72"/>
              <w:jc w:val="both"/>
              <w:rPr>
                <w:b w:val="0"/>
                <w:lang w:val="en-US"/>
              </w:rPr>
            </w:pPr>
            <w:r w:rsidRPr="00812E8B">
              <w:rPr>
                <w:b w:val="0"/>
                <w:lang w:val="en-US"/>
              </w:rPr>
              <w:t>Arrelano-Bond test for AR(2)</w:t>
            </w:r>
          </w:p>
        </w:tc>
        <w:tc>
          <w:tcPr>
            <w:tcW w:w="2171" w:type="dxa"/>
            <w:gridSpan w:val="3"/>
            <w:shd w:val="clear" w:color="auto" w:fill="auto"/>
          </w:tcPr>
          <w:p w:rsidR="00691C6E" w:rsidRPr="00812E8B" w:rsidRDefault="00691C6E" w:rsidP="00A43B90">
            <w:pPr>
              <w:pStyle w:val="NoSpacing"/>
              <w:spacing w:line="276" w:lineRule="auto"/>
              <w:cnfStyle w:val="000000100000"/>
              <w:rPr>
                <w:lang w:val="en-US"/>
              </w:rPr>
            </w:pPr>
            <w:r w:rsidRPr="00812E8B">
              <w:rPr>
                <w:lang w:val="en-US"/>
              </w:rPr>
              <w:t>Z = -0.50</w:t>
            </w:r>
          </w:p>
        </w:tc>
        <w:tc>
          <w:tcPr>
            <w:tcW w:w="941" w:type="dxa"/>
            <w:shd w:val="clear" w:color="auto" w:fill="auto"/>
          </w:tcPr>
          <w:p w:rsidR="00691C6E" w:rsidRPr="00812E8B" w:rsidRDefault="00691C6E" w:rsidP="0098152B">
            <w:pPr>
              <w:pStyle w:val="NoSpacing"/>
              <w:spacing w:line="276" w:lineRule="auto"/>
              <w:jc w:val="center"/>
              <w:cnfStyle w:val="000000100000"/>
              <w:rPr>
                <w:lang w:val="en-US"/>
              </w:rPr>
            </w:pPr>
            <w:r w:rsidRPr="00812E8B">
              <w:rPr>
                <w:lang w:val="en-US"/>
              </w:rPr>
              <w:t>0.620</w:t>
            </w:r>
          </w:p>
        </w:tc>
        <w:tc>
          <w:tcPr>
            <w:tcW w:w="238" w:type="dxa"/>
            <w:shd w:val="clear" w:color="auto" w:fill="auto"/>
          </w:tcPr>
          <w:p w:rsidR="00691C6E" w:rsidRPr="00812E8B" w:rsidRDefault="00691C6E" w:rsidP="0098152B">
            <w:pPr>
              <w:pStyle w:val="NoSpacing"/>
              <w:spacing w:line="276" w:lineRule="auto"/>
              <w:jc w:val="center"/>
              <w:cnfStyle w:val="000000100000"/>
              <w:rPr>
                <w:lang w:val="en-US"/>
              </w:rPr>
            </w:pPr>
          </w:p>
        </w:tc>
        <w:tc>
          <w:tcPr>
            <w:tcW w:w="2151" w:type="dxa"/>
            <w:gridSpan w:val="3"/>
            <w:shd w:val="clear" w:color="auto" w:fill="auto"/>
          </w:tcPr>
          <w:p w:rsidR="00691C6E" w:rsidRPr="00812E8B" w:rsidRDefault="00691C6E" w:rsidP="00A43B90">
            <w:pPr>
              <w:pStyle w:val="NoSpacing"/>
              <w:spacing w:line="276" w:lineRule="auto"/>
              <w:cnfStyle w:val="000000100000"/>
              <w:rPr>
                <w:lang w:val="en-US"/>
              </w:rPr>
            </w:pPr>
            <w:r w:rsidRPr="00812E8B">
              <w:rPr>
                <w:lang w:val="en-US"/>
              </w:rPr>
              <w:t>Z = -0.83</w:t>
            </w:r>
          </w:p>
        </w:tc>
        <w:tc>
          <w:tcPr>
            <w:tcW w:w="1005" w:type="dxa"/>
            <w:shd w:val="clear" w:color="auto" w:fill="auto"/>
          </w:tcPr>
          <w:p w:rsidR="00691C6E" w:rsidRPr="00812E8B" w:rsidRDefault="00691C6E" w:rsidP="0098152B">
            <w:pPr>
              <w:pStyle w:val="NoSpacing"/>
              <w:spacing w:line="276" w:lineRule="auto"/>
              <w:jc w:val="center"/>
              <w:cnfStyle w:val="000000100000"/>
              <w:rPr>
                <w:lang w:val="en-US"/>
              </w:rPr>
            </w:pPr>
            <w:r w:rsidRPr="00812E8B">
              <w:rPr>
                <w:lang w:val="en-US"/>
              </w:rPr>
              <w:t>0.404</w:t>
            </w:r>
          </w:p>
        </w:tc>
        <w:tc>
          <w:tcPr>
            <w:tcW w:w="227" w:type="dxa"/>
            <w:shd w:val="clear" w:color="auto" w:fill="auto"/>
          </w:tcPr>
          <w:p w:rsidR="00691C6E" w:rsidRPr="00812E8B" w:rsidRDefault="00691C6E" w:rsidP="0098152B">
            <w:pPr>
              <w:pStyle w:val="NoSpacing"/>
              <w:spacing w:line="276" w:lineRule="auto"/>
              <w:jc w:val="center"/>
              <w:cnfStyle w:val="000000100000"/>
              <w:rPr>
                <w:lang w:val="en-US"/>
              </w:rPr>
            </w:pPr>
          </w:p>
        </w:tc>
        <w:tc>
          <w:tcPr>
            <w:tcW w:w="2188" w:type="dxa"/>
            <w:gridSpan w:val="2"/>
            <w:shd w:val="clear" w:color="auto" w:fill="auto"/>
          </w:tcPr>
          <w:p w:rsidR="00691C6E" w:rsidRPr="00812E8B" w:rsidRDefault="00691C6E" w:rsidP="00A43B90">
            <w:pPr>
              <w:pStyle w:val="NoSpacing"/>
              <w:spacing w:line="276" w:lineRule="auto"/>
              <w:cnfStyle w:val="000000100000"/>
              <w:rPr>
                <w:lang w:val="en-US"/>
              </w:rPr>
            </w:pPr>
            <w:r w:rsidRPr="00812E8B">
              <w:rPr>
                <w:lang w:val="en-US"/>
              </w:rPr>
              <w:t>Z = -0.42</w:t>
            </w:r>
          </w:p>
        </w:tc>
        <w:tc>
          <w:tcPr>
            <w:tcW w:w="1049" w:type="dxa"/>
            <w:gridSpan w:val="2"/>
            <w:shd w:val="clear" w:color="auto" w:fill="auto"/>
          </w:tcPr>
          <w:p w:rsidR="00691C6E" w:rsidRPr="00812E8B" w:rsidRDefault="00691C6E" w:rsidP="0098152B">
            <w:pPr>
              <w:pStyle w:val="NoSpacing"/>
              <w:spacing w:line="276" w:lineRule="auto"/>
              <w:jc w:val="center"/>
              <w:cnfStyle w:val="000000100000"/>
              <w:rPr>
                <w:lang w:val="en-US"/>
              </w:rPr>
            </w:pPr>
            <w:r w:rsidRPr="00812E8B">
              <w:rPr>
                <w:lang w:val="en-US"/>
              </w:rPr>
              <w:t>0.676</w:t>
            </w:r>
          </w:p>
        </w:tc>
      </w:tr>
      <w:tr w:rsidR="00691C6E" w:rsidRPr="00812E8B" w:rsidTr="00691C6E">
        <w:tc>
          <w:tcPr>
            <w:cnfStyle w:val="001000000000"/>
            <w:tcW w:w="4111" w:type="dxa"/>
            <w:shd w:val="clear" w:color="auto" w:fill="auto"/>
          </w:tcPr>
          <w:p w:rsidR="00691C6E" w:rsidRPr="00812E8B" w:rsidRDefault="00691C6E" w:rsidP="00E93E1E">
            <w:pPr>
              <w:pStyle w:val="NoSpacing"/>
              <w:spacing w:line="276" w:lineRule="auto"/>
              <w:ind w:left="72"/>
              <w:jc w:val="both"/>
              <w:rPr>
                <w:b w:val="0"/>
                <w:lang w:val="en-US"/>
              </w:rPr>
            </w:pPr>
            <w:r w:rsidRPr="00812E8B">
              <w:rPr>
                <w:b w:val="0"/>
                <w:lang w:val="en-US"/>
              </w:rPr>
              <w:t>Hansen-test over identification</w:t>
            </w:r>
          </w:p>
        </w:tc>
        <w:tc>
          <w:tcPr>
            <w:tcW w:w="2171" w:type="dxa"/>
            <w:gridSpan w:val="3"/>
            <w:shd w:val="clear" w:color="auto" w:fill="auto"/>
          </w:tcPr>
          <w:p w:rsidR="00691C6E" w:rsidRPr="00812E8B" w:rsidRDefault="00691C6E" w:rsidP="00A43B90">
            <w:pPr>
              <w:pStyle w:val="NoSpacing"/>
              <w:spacing w:line="276" w:lineRule="auto"/>
              <w:cnfStyle w:val="000000000000"/>
              <w:rPr>
                <w:lang w:val="en-US"/>
              </w:rPr>
            </w:pPr>
            <w:r w:rsidRPr="00812E8B">
              <w:rPr>
                <w:lang w:val="en-US"/>
              </w:rPr>
              <w:t>Χ</w:t>
            </w:r>
            <w:r w:rsidRPr="00812E8B">
              <w:rPr>
                <w:vertAlign w:val="superscript"/>
                <w:lang w:val="en-US"/>
              </w:rPr>
              <w:t>2</w:t>
            </w:r>
            <w:r w:rsidRPr="00812E8B">
              <w:rPr>
                <w:lang w:val="en-US"/>
              </w:rPr>
              <w:t>(239) = 232.47</w:t>
            </w:r>
          </w:p>
        </w:tc>
        <w:tc>
          <w:tcPr>
            <w:tcW w:w="941" w:type="dxa"/>
            <w:shd w:val="clear" w:color="auto" w:fill="auto"/>
          </w:tcPr>
          <w:p w:rsidR="00691C6E" w:rsidRPr="00812E8B" w:rsidRDefault="00691C6E" w:rsidP="0098152B">
            <w:pPr>
              <w:pStyle w:val="NoSpacing"/>
              <w:spacing w:line="276" w:lineRule="auto"/>
              <w:jc w:val="center"/>
              <w:cnfStyle w:val="000000000000"/>
              <w:rPr>
                <w:lang w:val="en-US"/>
              </w:rPr>
            </w:pPr>
            <w:r w:rsidRPr="00812E8B">
              <w:rPr>
                <w:lang w:val="en-US"/>
              </w:rPr>
              <w:t>0.607</w:t>
            </w:r>
          </w:p>
        </w:tc>
        <w:tc>
          <w:tcPr>
            <w:tcW w:w="238" w:type="dxa"/>
            <w:shd w:val="clear" w:color="auto" w:fill="auto"/>
          </w:tcPr>
          <w:p w:rsidR="00691C6E" w:rsidRPr="00812E8B" w:rsidRDefault="00691C6E" w:rsidP="0098152B">
            <w:pPr>
              <w:pStyle w:val="NoSpacing"/>
              <w:spacing w:line="276" w:lineRule="auto"/>
              <w:jc w:val="center"/>
              <w:cnfStyle w:val="000000000000"/>
              <w:rPr>
                <w:lang w:val="en-US"/>
              </w:rPr>
            </w:pPr>
          </w:p>
        </w:tc>
        <w:tc>
          <w:tcPr>
            <w:tcW w:w="2151" w:type="dxa"/>
            <w:gridSpan w:val="3"/>
            <w:shd w:val="clear" w:color="auto" w:fill="auto"/>
          </w:tcPr>
          <w:p w:rsidR="00691C6E" w:rsidRPr="00812E8B" w:rsidRDefault="00691C6E" w:rsidP="00A43B90">
            <w:pPr>
              <w:pStyle w:val="NoSpacing"/>
              <w:spacing w:line="276" w:lineRule="auto"/>
              <w:cnfStyle w:val="000000000000"/>
              <w:rPr>
                <w:lang w:val="en-US"/>
              </w:rPr>
            </w:pPr>
            <w:r w:rsidRPr="00812E8B">
              <w:rPr>
                <w:lang w:val="en-US"/>
              </w:rPr>
              <w:t>Χ</w:t>
            </w:r>
            <w:r w:rsidRPr="00812E8B">
              <w:rPr>
                <w:vertAlign w:val="superscript"/>
                <w:lang w:val="en-US"/>
              </w:rPr>
              <w:t>2</w:t>
            </w:r>
            <w:r w:rsidRPr="00812E8B">
              <w:rPr>
                <w:lang w:val="en-US"/>
              </w:rPr>
              <w:t>(156) = 162.89</w:t>
            </w:r>
          </w:p>
        </w:tc>
        <w:tc>
          <w:tcPr>
            <w:tcW w:w="1005" w:type="dxa"/>
            <w:shd w:val="clear" w:color="auto" w:fill="auto"/>
          </w:tcPr>
          <w:p w:rsidR="00691C6E" w:rsidRPr="00812E8B" w:rsidRDefault="00691C6E" w:rsidP="00257A65">
            <w:pPr>
              <w:pStyle w:val="NoSpacing"/>
              <w:spacing w:line="276" w:lineRule="auto"/>
              <w:jc w:val="center"/>
              <w:cnfStyle w:val="000000000000"/>
              <w:rPr>
                <w:lang w:val="en-US"/>
              </w:rPr>
            </w:pPr>
            <w:r w:rsidRPr="00812E8B">
              <w:rPr>
                <w:lang w:val="en-US"/>
              </w:rPr>
              <w:t>0.336</w:t>
            </w:r>
          </w:p>
        </w:tc>
        <w:tc>
          <w:tcPr>
            <w:tcW w:w="227" w:type="dxa"/>
            <w:shd w:val="clear" w:color="auto" w:fill="auto"/>
          </w:tcPr>
          <w:p w:rsidR="00691C6E" w:rsidRPr="00812E8B" w:rsidRDefault="00691C6E" w:rsidP="0098152B">
            <w:pPr>
              <w:pStyle w:val="NoSpacing"/>
              <w:spacing w:line="276" w:lineRule="auto"/>
              <w:jc w:val="center"/>
              <w:cnfStyle w:val="000000000000"/>
              <w:rPr>
                <w:lang w:val="en-US"/>
              </w:rPr>
            </w:pPr>
          </w:p>
        </w:tc>
        <w:tc>
          <w:tcPr>
            <w:tcW w:w="2188" w:type="dxa"/>
            <w:gridSpan w:val="2"/>
            <w:shd w:val="clear" w:color="auto" w:fill="auto"/>
          </w:tcPr>
          <w:p w:rsidR="00691C6E" w:rsidRPr="00812E8B" w:rsidRDefault="00691C6E" w:rsidP="00A43B90">
            <w:pPr>
              <w:pStyle w:val="NoSpacing"/>
              <w:spacing w:line="276" w:lineRule="auto"/>
              <w:cnfStyle w:val="000000000000"/>
              <w:rPr>
                <w:lang w:val="en-US"/>
              </w:rPr>
            </w:pPr>
            <w:r w:rsidRPr="00812E8B">
              <w:rPr>
                <w:lang w:val="en-US"/>
              </w:rPr>
              <w:t>Χ</w:t>
            </w:r>
            <w:r w:rsidRPr="00812E8B">
              <w:rPr>
                <w:vertAlign w:val="superscript"/>
                <w:lang w:val="en-US"/>
              </w:rPr>
              <w:t>2</w:t>
            </w:r>
            <w:r w:rsidRPr="00812E8B">
              <w:rPr>
                <w:lang w:val="en-US"/>
              </w:rPr>
              <w:t>(72) = 83.73</w:t>
            </w:r>
          </w:p>
        </w:tc>
        <w:tc>
          <w:tcPr>
            <w:tcW w:w="1049" w:type="dxa"/>
            <w:gridSpan w:val="2"/>
            <w:shd w:val="clear" w:color="auto" w:fill="auto"/>
          </w:tcPr>
          <w:p w:rsidR="00691C6E" w:rsidRPr="00812E8B" w:rsidRDefault="00691C6E" w:rsidP="00257A65">
            <w:pPr>
              <w:pStyle w:val="NoSpacing"/>
              <w:spacing w:line="276" w:lineRule="auto"/>
              <w:jc w:val="center"/>
              <w:cnfStyle w:val="000000000000"/>
              <w:rPr>
                <w:lang w:val="en-US"/>
              </w:rPr>
            </w:pPr>
            <w:r w:rsidRPr="00812E8B">
              <w:rPr>
                <w:lang w:val="en-US"/>
              </w:rPr>
              <w:t>0.163</w:t>
            </w:r>
          </w:p>
        </w:tc>
      </w:tr>
    </w:tbl>
    <w:p w:rsidR="00983B4F" w:rsidRPr="00812E8B" w:rsidRDefault="0074508B" w:rsidP="0074508B">
      <w:pPr>
        <w:pStyle w:val="NoSpacing"/>
        <w:ind w:right="504"/>
        <w:jc w:val="both"/>
        <w:rPr>
          <w:sz w:val="20"/>
          <w:szCs w:val="20"/>
          <w:lang w:val="en-US"/>
        </w:rPr>
      </w:pPr>
      <w:r w:rsidRPr="00812E8B">
        <w:rPr>
          <w:sz w:val="20"/>
          <w:szCs w:val="20"/>
          <w:lang w:val="en-US"/>
        </w:rPr>
        <w:t xml:space="preserve">The standard errors are consistent to heteroscedasticity using; potential biases arising from using the two-step estimator are corrected by using the Windmeijer correction. The significant parameters are indicated as such with </w:t>
      </w:r>
      <w:r w:rsidR="00594461" w:rsidRPr="00812E8B">
        <w:rPr>
          <w:sz w:val="20"/>
          <w:szCs w:val="20"/>
          <w:lang w:val="en-US"/>
        </w:rPr>
        <w:t xml:space="preserve">*, ** </w:t>
      </w:r>
      <w:r w:rsidR="00250305" w:rsidRPr="00812E8B">
        <w:rPr>
          <w:sz w:val="20"/>
          <w:szCs w:val="20"/>
          <w:lang w:val="en-US"/>
        </w:rPr>
        <w:t>or</w:t>
      </w:r>
      <w:r w:rsidR="00594461" w:rsidRPr="00812E8B">
        <w:rPr>
          <w:sz w:val="20"/>
          <w:szCs w:val="20"/>
          <w:lang w:val="en-US"/>
        </w:rPr>
        <w:t xml:space="preserve"> ***</w:t>
      </w:r>
      <w:r w:rsidRPr="00812E8B">
        <w:rPr>
          <w:sz w:val="20"/>
          <w:szCs w:val="20"/>
          <w:lang w:val="en-US"/>
        </w:rPr>
        <w:t xml:space="preserve"> representing </w:t>
      </w:r>
      <w:r w:rsidR="00594461" w:rsidRPr="00812E8B">
        <w:rPr>
          <w:sz w:val="20"/>
          <w:szCs w:val="20"/>
          <w:lang w:val="en-US"/>
        </w:rPr>
        <w:t>confidence levels</w:t>
      </w:r>
      <w:r w:rsidRPr="00812E8B">
        <w:rPr>
          <w:sz w:val="20"/>
          <w:szCs w:val="20"/>
          <w:lang w:val="en-US"/>
        </w:rPr>
        <w:t xml:space="preserve"> of respectively</w:t>
      </w:r>
      <w:r w:rsidR="00594461" w:rsidRPr="00812E8B">
        <w:rPr>
          <w:sz w:val="20"/>
          <w:szCs w:val="20"/>
          <w:lang w:val="en-US"/>
        </w:rPr>
        <w:t xml:space="preserve"> 90%, 95% and 99%</w:t>
      </w:r>
      <w:r w:rsidRPr="00812E8B">
        <w:rPr>
          <w:sz w:val="20"/>
          <w:szCs w:val="20"/>
          <w:lang w:val="en-US"/>
        </w:rPr>
        <w:t>.</w:t>
      </w:r>
    </w:p>
    <w:p w:rsidR="0074508B" w:rsidRPr="00812E8B" w:rsidRDefault="0074508B" w:rsidP="0074508B">
      <w:pPr>
        <w:pStyle w:val="NoSpacing"/>
        <w:ind w:right="504"/>
        <w:jc w:val="both"/>
        <w:rPr>
          <w:sz w:val="20"/>
          <w:szCs w:val="20"/>
          <w:lang w:val="en-US"/>
        </w:rPr>
        <w:sectPr w:rsidR="0074508B" w:rsidRPr="00812E8B" w:rsidSect="00CC4E32">
          <w:headerReference w:type="first" r:id="rId31"/>
          <w:endnotePr>
            <w:numFmt w:val="decimal"/>
          </w:endnotePr>
          <w:pgSz w:w="16838" w:h="11906" w:orient="landscape"/>
          <w:pgMar w:top="709" w:right="1417" w:bottom="720" w:left="1417" w:header="450" w:footer="708" w:gutter="0"/>
          <w:cols w:space="708"/>
          <w:titlePg/>
          <w:docGrid w:linePitch="360"/>
        </w:sectPr>
      </w:pPr>
    </w:p>
    <w:p w:rsidR="00062BDC" w:rsidRPr="00812E8B" w:rsidRDefault="006E58C1" w:rsidP="00062BDC">
      <w:pPr>
        <w:pStyle w:val="NoSpacing"/>
        <w:spacing w:line="276" w:lineRule="auto"/>
        <w:jc w:val="both"/>
        <w:rPr>
          <w:lang w:val="en-US"/>
        </w:rPr>
      </w:pPr>
      <w:r w:rsidRPr="00812E8B">
        <w:rPr>
          <w:lang w:val="en-US"/>
        </w:rPr>
        <w:lastRenderedPageBreak/>
        <w:t xml:space="preserve">markup pricing strategy the funding costs are charged to its customers and then the funding costs are itself not a determinant of banks’ </w:t>
      </w:r>
      <w:r w:rsidR="00596521" w:rsidRPr="00812E8B">
        <w:rPr>
          <w:lang w:val="en-US"/>
        </w:rPr>
        <w:t>profitability. Moreover, the sign for non-interest income is in turn, positive and significant similar to the hypothesized sign. The parameter for the total sample equals 0.0017 and in both subsamples the parameters are also quite comparable to each other, 0.0023 against 0.0019</w:t>
      </w:r>
      <w:r w:rsidR="00596521" w:rsidRPr="00812E8B">
        <w:rPr>
          <w:color w:val="FF0000"/>
          <w:lang w:val="en-US"/>
        </w:rPr>
        <w:t xml:space="preserve">. </w:t>
      </w:r>
      <w:r w:rsidR="00596521" w:rsidRPr="00812E8B">
        <w:rPr>
          <w:lang w:val="en-US"/>
        </w:rPr>
        <w:t xml:space="preserve">Accordingly, there is evidence found </w:t>
      </w:r>
      <w:r w:rsidR="002B2695" w:rsidRPr="00812E8B">
        <w:rPr>
          <w:lang w:val="en-US"/>
        </w:rPr>
        <w:t xml:space="preserve">that margins are larger for non-interest income (such as fees and commissions income) or that diversification is positively associated with profitability. The findings are in line with earlier studies </w:t>
      </w:r>
      <w:r w:rsidR="00F45869" w:rsidRPr="00812E8B">
        <w:rPr>
          <w:lang w:val="en-US"/>
        </w:rPr>
        <w:t xml:space="preserve">of </w:t>
      </w:r>
      <w:r w:rsidR="00F45869" w:rsidRPr="00812E8B">
        <w:rPr>
          <w:color w:val="365F91" w:themeColor="accent1" w:themeShade="BF"/>
          <w:lang w:val="en-US"/>
        </w:rPr>
        <w:t>Valverde and Fernández (2007)</w:t>
      </w:r>
      <w:r w:rsidR="002B2695" w:rsidRPr="00812E8B">
        <w:rPr>
          <w:color w:val="365F91" w:themeColor="accent1" w:themeShade="BF"/>
          <w:lang w:val="en-US"/>
        </w:rPr>
        <w:t xml:space="preserve"> </w:t>
      </w:r>
      <w:r w:rsidR="00F45869" w:rsidRPr="00812E8B">
        <w:rPr>
          <w:lang w:val="en-US"/>
        </w:rPr>
        <w:t xml:space="preserve">and </w:t>
      </w:r>
      <w:r w:rsidR="001B30EB" w:rsidRPr="00812E8B">
        <w:rPr>
          <w:color w:val="365F91" w:themeColor="accent1" w:themeShade="BF"/>
          <w:lang w:val="en-US"/>
        </w:rPr>
        <w:t>Dietrich and Wanzenried, 2011)</w:t>
      </w:r>
      <w:r w:rsidR="002B2695" w:rsidRPr="00812E8B">
        <w:rPr>
          <w:lang w:val="en-US"/>
        </w:rPr>
        <w:t xml:space="preserve"> and in line with the theoretical explanation suggested by </w:t>
      </w:r>
      <w:r w:rsidR="00F45869" w:rsidRPr="00812E8B">
        <w:rPr>
          <w:color w:val="365F91" w:themeColor="accent1" w:themeShade="BF"/>
          <w:lang w:val="en-US"/>
        </w:rPr>
        <w:t>Stiroh (2004)</w:t>
      </w:r>
      <w:r w:rsidR="002B2695" w:rsidRPr="00812E8B">
        <w:rPr>
          <w:lang w:val="en-US"/>
        </w:rPr>
        <w:t xml:space="preserve">. The latter suggested that noninterest income lower the volatility and cyclical variation of banks’ earnings and profitability through diversification. In contrary </w:t>
      </w:r>
      <w:r w:rsidR="005552A6" w:rsidRPr="00812E8B">
        <w:rPr>
          <w:lang w:val="en-US"/>
        </w:rPr>
        <w:t xml:space="preserve">to the theoretical explanation, </w:t>
      </w:r>
      <w:r w:rsidR="00D91EEF">
        <w:rPr>
          <w:color w:val="365F91" w:themeColor="accent1" w:themeShade="BF"/>
          <w:lang w:val="en-US"/>
        </w:rPr>
        <w:t>Stiroh, 2004</w:t>
      </w:r>
      <w:r w:rsidR="00D91EEF">
        <w:rPr>
          <w:lang w:val="en-US"/>
        </w:rPr>
        <w:t xml:space="preserve"> find </w:t>
      </w:r>
      <w:r w:rsidR="005552A6" w:rsidRPr="00812E8B">
        <w:rPr>
          <w:lang w:val="en-US"/>
        </w:rPr>
        <w:t xml:space="preserve">little </w:t>
      </w:r>
      <w:r w:rsidR="00AF4B5A" w:rsidRPr="00812E8B">
        <w:rPr>
          <w:lang w:val="en-US"/>
        </w:rPr>
        <w:t>empirical</w:t>
      </w:r>
      <w:r w:rsidR="005552A6" w:rsidRPr="00812E8B">
        <w:rPr>
          <w:lang w:val="en-US"/>
        </w:rPr>
        <w:t xml:space="preserve"> evidence that diversification stabilize profits or earnings</w:t>
      </w:r>
      <w:r w:rsidR="00D91EEF">
        <w:rPr>
          <w:lang w:val="en-US"/>
        </w:rPr>
        <w:t>.</w:t>
      </w:r>
      <w:r w:rsidR="003A3A48" w:rsidRPr="00812E8B">
        <w:rPr>
          <w:color w:val="365F91" w:themeColor="accent1" w:themeShade="BF"/>
          <w:lang w:val="en-US"/>
        </w:rPr>
        <w:t xml:space="preserve"> </w:t>
      </w:r>
      <w:r w:rsidR="005552A6" w:rsidRPr="00812E8B">
        <w:rPr>
          <w:lang w:val="en-US"/>
        </w:rPr>
        <w:t xml:space="preserve">He merely found that trading income shows enormous </w:t>
      </w:r>
      <w:r w:rsidR="00AF4B5A">
        <w:rPr>
          <w:lang w:val="en-US"/>
        </w:rPr>
        <w:t>volatility</w:t>
      </w:r>
      <w:r w:rsidR="005552A6" w:rsidRPr="00812E8B">
        <w:rPr>
          <w:lang w:val="en-US"/>
        </w:rPr>
        <w:t xml:space="preserve">. </w:t>
      </w:r>
      <w:r w:rsidR="00062BDC" w:rsidRPr="00AF4B5A">
        <w:rPr>
          <w:lang w:val="en-US"/>
        </w:rPr>
        <w:t>According to table 6</w:t>
      </w:r>
      <w:r w:rsidR="00AF4B5A">
        <w:rPr>
          <w:lang w:val="en-US"/>
        </w:rPr>
        <w:t>,</w:t>
      </w:r>
      <w:r w:rsidR="00062BDC" w:rsidRPr="00AF4B5A">
        <w:rPr>
          <w:lang w:val="en-US"/>
        </w:rPr>
        <w:t xml:space="preserve"> </w:t>
      </w:r>
      <w:r w:rsidR="00062BDC" w:rsidRPr="00812E8B">
        <w:rPr>
          <w:lang w:val="en-US"/>
        </w:rPr>
        <w:t>the parameter of non-interest income is only slightly higher in the pre-crisis period than in the crisis period, somewhat supporting the explanation of that income from the trading book is more volatile</w:t>
      </w:r>
      <w:r w:rsidR="00D91EEF">
        <w:rPr>
          <w:lang w:val="en-US"/>
        </w:rPr>
        <w:t xml:space="preserve"> (</w:t>
      </w:r>
      <w:r w:rsidR="00D91EEF" w:rsidRPr="00812E8B">
        <w:rPr>
          <w:color w:val="365F91" w:themeColor="accent1" w:themeShade="BF"/>
          <w:lang w:val="en-US"/>
        </w:rPr>
        <w:t>Stiroh</w:t>
      </w:r>
      <w:r w:rsidR="00D91EEF">
        <w:rPr>
          <w:color w:val="365F91" w:themeColor="accent1" w:themeShade="BF"/>
          <w:lang w:val="en-US"/>
        </w:rPr>
        <w:t xml:space="preserve">, </w:t>
      </w:r>
      <w:r w:rsidR="00D91EEF" w:rsidRPr="00812E8B">
        <w:rPr>
          <w:color w:val="365F91" w:themeColor="accent1" w:themeShade="BF"/>
          <w:lang w:val="en-US"/>
        </w:rPr>
        <w:t>2004)</w:t>
      </w:r>
      <w:r w:rsidR="00062BDC" w:rsidRPr="00812E8B">
        <w:rPr>
          <w:lang w:val="en-US"/>
        </w:rPr>
        <w:t>.</w:t>
      </w:r>
    </w:p>
    <w:p w:rsidR="00062BDC" w:rsidRPr="00812E8B" w:rsidRDefault="00062BDC" w:rsidP="00691C6E">
      <w:pPr>
        <w:pStyle w:val="NoSpacing"/>
        <w:spacing w:line="276" w:lineRule="auto"/>
        <w:jc w:val="both"/>
        <w:rPr>
          <w:lang w:val="en-US"/>
        </w:rPr>
      </w:pPr>
    </w:p>
    <w:p w:rsidR="00691C6E" w:rsidRPr="00812E8B" w:rsidRDefault="00691C6E" w:rsidP="00691C6E">
      <w:pPr>
        <w:pStyle w:val="NoSpacing"/>
        <w:spacing w:line="276" w:lineRule="auto"/>
        <w:jc w:val="both"/>
        <w:rPr>
          <w:lang w:val="en-US"/>
        </w:rPr>
      </w:pPr>
      <w:r w:rsidRPr="00812E8B">
        <w:rPr>
          <w:lang w:val="en-US"/>
        </w:rPr>
        <w:t>Lastly, table 6 reports the estimations for the growth of gross loans, which is the last determinant of profitability that is examined. The parameter for the growth of gross loans is positively but insignificant in all periods. Hence, there is no evidence found for that the growth of a bank positively influence profitability</w:t>
      </w:r>
      <w:r w:rsidR="00062BDC" w:rsidRPr="00812E8B">
        <w:rPr>
          <w:lang w:val="en-US"/>
        </w:rPr>
        <w:t xml:space="preserve">. The results are in the opposite </w:t>
      </w:r>
      <w:r w:rsidR="00755F48" w:rsidRPr="00812E8B">
        <w:rPr>
          <w:lang w:val="en-US"/>
        </w:rPr>
        <w:t>of</w:t>
      </w:r>
      <w:r w:rsidR="00062BDC" w:rsidRPr="00812E8B">
        <w:rPr>
          <w:lang w:val="en-US"/>
        </w:rPr>
        <w:t xml:space="preserve"> </w:t>
      </w:r>
      <w:r w:rsidR="00F45869" w:rsidRPr="00812E8B">
        <w:rPr>
          <w:color w:val="365F91" w:themeColor="accent1" w:themeShade="BF"/>
          <w:lang w:val="en-US"/>
        </w:rPr>
        <w:t>García-Herrero et al. (2009)</w:t>
      </w:r>
      <w:r w:rsidR="00062BDC" w:rsidRPr="00812E8B">
        <w:rPr>
          <w:lang w:val="en-US"/>
        </w:rPr>
        <w:t xml:space="preserve">, </w:t>
      </w:r>
      <w:r w:rsidR="00F45869" w:rsidRPr="00812E8B">
        <w:rPr>
          <w:lang w:val="en-US"/>
        </w:rPr>
        <w:t xml:space="preserve">who </w:t>
      </w:r>
      <w:r w:rsidR="003A3A48" w:rsidRPr="00812E8B">
        <w:rPr>
          <w:lang w:val="en-US"/>
        </w:rPr>
        <w:t>observe</w:t>
      </w:r>
      <w:r w:rsidR="00062BDC" w:rsidRPr="00812E8B">
        <w:rPr>
          <w:lang w:val="en-US"/>
        </w:rPr>
        <w:t xml:space="preserve"> a significant negative relationship between loan growth and pre-tax ROA</w:t>
      </w:r>
      <w:r w:rsidR="00755F48" w:rsidRPr="00812E8B">
        <w:rPr>
          <w:rStyle w:val="EndnoteReference"/>
          <w:lang w:val="en-US"/>
        </w:rPr>
        <w:endnoteReference w:id="20"/>
      </w:r>
      <w:r w:rsidR="00062BDC" w:rsidRPr="00812E8B">
        <w:rPr>
          <w:lang w:val="en-US"/>
        </w:rPr>
        <w:t xml:space="preserve">. The results are also quite different to results from </w:t>
      </w:r>
      <w:r w:rsidR="001B30EB" w:rsidRPr="00812E8B">
        <w:rPr>
          <w:color w:val="365F91" w:themeColor="accent1" w:themeShade="BF"/>
          <w:lang w:val="en-US"/>
        </w:rPr>
        <w:t>Dietrich and Wanzenried (2011)</w:t>
      </w:r>
      <w:r w:rsidR="00062BDC" w:rsidRPr="00812E8B">
        <w:rPr>
          <w:lang w:val="en-US"/>
        </w:rPr>
        <w:t xml:space="preserve"> </w:t>
      </w:r>
      <w:r w:rsidR="00755F48" w:rsidRPr="00812E8B">
        <w:rPr>
          <w:lang w:val="en-US"/>
        </w:rPr>
        <w:t xml:space="preserve">but more similar to </w:t>
      </w:r>
      <w:r w:rsidR="00881610" w:rsidRPr="00812E8B">
        <w:rPr>
          <w:color w:val="365F91" w:themeColor="accent1" w:themeShade="BF"/>
          <w:lang w:val="en-US"/>
        </w:rPr>
        <w:t xml:space="preserve">Trujillo-Ponce (2011). </w:t>
      </w:r>
      <w:r w:rsidR="00755F48" w:rsidRPr="00812E8B">
        <w:rPr>
          <w:lang w:val="en-US"/>
        </w:rPr>
        <w:t xml:space="preserve">Note that both studies </w:t>
      </w:r>
      <w:r w:rsidR="003A3A48" w:rsidRPr="00812E8B">
        <w:rPr>
          <w:lang w:val="en-US"/>
        </w:rPr>
        <w:t>use</w:t>
      </w:r>
      <w:r w:rsidR="00062BDC" w:rsidRPr="00812E8B">
        <w:rPr>
          <w:lang w:val="en-US"/>
        </w:rPr>
        <w:t xml:space="preserve"> the </w:t>
      </w:r>
      <w:r w:rsidR="00755F48" w:rsidRPr="00812E8B">
        <w:rPr>
          <w:lang w:val="en-US"/>
        </w:rPr>
        <w:t xml:space="preserve">growth in </w:t>
      </w:r>
      <w:r w:rsidR="00062BDC" w:rsidRPr="00812E8B">
        <w:rPr>
          <w:lang w:val="en-US"/>
        </w:rPr>
        <w:t>customer deposit</w:t>
      </w:r>
      <w:r w:rsidR="00755F48" w:rsidRPr="00812E8B">
        <w:rPr>
          <w:lang w:val="en-US"/>
        </w:rPr>
        <w:t>s</w:t>
      </w:r>
      <w:r w:rsidR="00062BDC" w:rsidRPr="00812E8B">
        <w:rPr>
          <w:lang w:val="en-US"/>
        </w:rPr>
        <w:t xml:space="preserve"> as proxy for bank growth. </w:t>
      </w:r>
      <w:r w:rsidR="00755F48" w:rsidRPr="00812E8B">
        <w:rPr>
          <w:lang w:val="en-US"/>
        </w:rPr>
        <w:t>The first study found a significant and negative parameter while the latter found an insignificant positive relationship.</w:t>
      </w:r>
    </w:p>
    <w:p w:rsidR="00691C6E" w:rsidRPr="00812E8B" w:rsidRDefault="00691C6E" w:rsidP="001705D0">
      <w:pPr>
        <w:pStyle w:val="NoSpacing"/>
        <w:spacing w:line="276" w:lineRule="auto"/>
        <w:jc w:val="both"/>
        <w:rPr>
          <w:lang w:val="en-US"/>
        </w:rPr>
      </w:pPr>
    </w:p>
    <w:p w:rsidR="00A273EE" w:rsidRPr="00812E8B" w:rsidRDefault="00FE55D3" w:rsidP="001705D0">
      <w:pPr>
        <w:pStyle w:val="NoSpacing"/>
        <w:spacing w:line="276" w:lineRule="auto"/>
        <w:jc w:val="both"/>
        <w:rPr>
          <w:lang w:val="en-US"/>
        </w:rPr>
      </w:pPr>
      <w:r w:rsidRPr="00812E8B">
        <w:rPr>
          <w:lang w:val="en-US"/>
        </w:rPr>
        <w:t xml:space="preserve">Continuing to the </w:t>
      </w:r>
      <w:r w:rsidR="00F459B6" w:rsidRPr="00812E8B">
        <w:rPr>
          <w:lang w:val="en-US"/>
        </w:rPr>
        <w:t>industry-specific variables,</w:t>
      </w:r>
      <w:r w:rsidRPr="00812E8B">
        <w:rPr>
          <w:lang w:val="en-US"/>
        </w:rPr>
        <w:t xml:space="preserve"> </w:t>
      </w:r>
      <w:r w:rsidR="003D0DE7" w:rsidRPr="00812E8B">
        <w:rPr>
          <w:lang w:val="en-US"/>
        </w:rPr>
        <w:t xml:space="preserve">it is </w:t>
      </w:r>
      <w:r w:rsidRPr="00812E8B">
        <w:rPr>
          <w:lang w:val="en-US"/>
        </w:rPr>
        <w:t>observed that there are no strongly significant findings</w:t>
      </w:r>
      <w:r w:rsidR="00F459B6" w:rsidRPr="00812E8B">
        <w:rPr>
          <w:lang w:val="en-US"/>
        </w:rPr>
        <w:t xml:space="preserve">. The size of a bank </w:t>
      </w:r>
      <w:r w:rsidR="003D0DE7" w:rsidRPr="00812E8B">
        <w:rPr>
          <w:lang w:val="en-US"/>
        </w:rPr>
        <w:t xml:space="preserve">influence banks’ profitability positively but this effect is rather insignificant. Size is thus </w:t>
      </w:r>
      <w:r w:rsidR="00F459B6" w:rsidRPr="00812E8B">
        <w:rPr>
          <w:lang w:val="en-US"/>
        </w:rPr>
        <w:t xml:space="preserve">not an explanation for the return on average assets indicated by the insignificant coefficient in both subsamples as in the total sample. </w:t>
      </w:r>
      <w:r w:rsidR="00306F73" w:rsidRPr="00812E8B">
        <w:rPr>
          <w:lang w:val="en-US"/>
        </w:rPr>
        <w:t>Hence, there is no evidence for the hypothesis of economies of scale or diseconomies of scale after a certain level.</w:t>
      </w:r>
      <w:r w:rsidR="00A273EE" w:rsidRPr="00812E8B">
        <w:rPr>
          <w:lang w:val="en-US"/>
        </w:rPr>
        <w:t xml:space="preserve"> </w:t>
      </w:r>
      <w:r w:rsidR="003A3A48" w:rsidRPr="00812E8B">
        <w:rPr>
          <w:lang w:val="en-US"/>
        </w:rPr>
        <w:t xml:space="preserve">The result is </w:t>
      </w:r>
      <w:r w:rsidR="00A273EE" w:rsidRPr="00812E8B">
        <w:rPr>
          <w:lang w:val="en-US"/>
        </w:rPr>
        <w:t>rather surprising</w:t>
      </w:r>
      <w:r w:rsidR="003A3A48" w:rsidRPr="00812E8B">
        <w:rPr>
          <w:lang w:val="en-US"/>
        </w:rPr>
        <w:t xml:space="preserve"> since, in the European banking sector, a consolidation process has took place in the past decade, as described in previous chapters. Many banks were active in mergers and acquisition suggesting that expanding activities results in additional profits, which is not observed. </w:t>
      </w:r>
      <w:r w:rsidR="00226598" w:rsidRPr="00812E8B">
        <w:rPr>
          <w:lang w:val="en-US"/>
        </w:rPr>
        <w:t xml:space="preserve">The result stands </w:t>
      </w:r>
      <w:r w:rsidR="003A3A48" w:rsidRPr="00812E8B">
        <w:rPr>
          <w:lang w:val="en-US"/>
        </w:rPr>
        <w:t xml:space="preserve">also </w:t>
      </w:r>
      <w:r w:rsidR="00226598" w:rsidRPr="00812E8B">
        <w:rPr>
          <w:lang w:val="en-US"/>
        </w:rPr>
        <w:t xml:space="preserve">in contrast to the negative and significant coefficient </w:t>
      </w:r>
      <w:r w:rsidR="003A3A48" w:rsidRPr="00812E8B">
        <w:rPr>
          <w:lang w:val="en-US"/>
        </w:rPr>
        <w:t>reported</w:t>
      </w:r>
      <w:r w:rsidR="00226598" w:rsidRPr="00812E8B">
        <w:rPr>
          <w:lang w:val="en-US"/>
        </w:rPr>
        <w:t xml:space="preserve"> by </w:t>
      </w:r>
      <w:r w:rsidR="007D7CD9" w:rsidRPr="00812E8B">
        <w:rPr>
          <w:color w:val="365F91" w:themeColor="accent1" w:themeShade="BF"/>
          <w:lang w:val="en-US"/>
        </w:rPr>
        <w:t>Pasiouras and Kosmidou (2007)</w:t>
      </w:r>
      <w:r w:rsidR="007D7CD9" w:rsidRPr="00812E8B">
        <w:rPr>
          <w:lang w:val="en-US"/>
        </w:rPr>
        <w:t xml:space="preserve"> </w:t>
      </w:r>
      <w:r w:rsidR="0085153A" w:rsidRPr="00812E8B">
        <w:rPr>
          <w:lang w:val="en-US"/>
        </w:rPr>
        <w:t xml:space="preserve">for size, measured by the absolute amount of total assets, </w:t>
      </w:r>
      <w:r w:rsidR="00226598" w:rsidRPr="00812E8B">
        <w:rPr>
          <w:lang w:val="en-US"/>
        </w:rPr>
        <w:t>in the European Union between 1995 and 2001.</w:t>
      </w:r>
      <w:r w:rsidR="0085153A" w:rsidRPr="00812E8B">
        <w:rPr>
          <w:lang w:val="en-US"/>
        </w:rPr>
        <w:t xml:space="preserve"> </w:t>
      </w:r>
      <w:r w:rsidR="00226598" w:rsidRPr="00812E8B">
        <w:rPr>
          <w:lang w:val="en-US"/>
        </w:rPr>
        <w:t xml:space="preserve">Nonetheless, the results are similar to the insignificant coefficients found by </w:t>
      </w:r>
      <w:r w:rsidR="00E34060" w:rsidRPr="00812E8B">
        <w:rPr>
          <w:color w:val="365F91" w:themeColor="accent1" w:themeShade="BF"/>
          <w:lang w:val="en-US"/>
        </w:rPr>
        <w:t xml:space="preserve">Athanasoglou et al. (2008) </w:t>
      </w:r>
      <w:r w:rsidR="00226598" w:rsidRPr="00812E8B">
        <w:rPr>
          <w:lang w:val="en-US"/>
        </w:rPr>
        <w:t xml:space="preserve">and </w:t>
      </w:r>
      <w:r w:rsidR="00881610" w:rsidRPr="00812E8B">
        <w:rPr>
          <w:color w:val="365F91" w:themeColor="accent1" w:themeShade="BF"/>
          <w:lang w:val="en-US"/>
        </w:rPr>
        <w:t>Trujillo-Ponce (2011)</w:t>
      </w:r>
      <w:r w:rsidR="00226598" w:rsidRPr="00812E8B">
        <w:rPr>
          <w:lang w:val="en-US"/>
        </w:rPr>
        <w:t xml:space="preserve"> in Greece and Spain. </w:t>
      </w:r>
      <w:r w:rsidR="00306F73" w:rsidRPr="00812E8B">
        <w:rPr>
          <w:lang w:val="en-US"/>
        </w:rPr>
        <w:t>Thereby, t</w:t>
      </w:r>
      <w:r w:rsidR="00F459B6" w:rsidRPr="00812E8B">
        <w:rPr>
          <w:lang w:val="en-US"/>
        </w:rPr>
        <w:t xml:space="preserve">here is only some evidence that concentration is </w:t>
      </w:r>
      <w:r w:rsidRPr="00812E8B">
        <w:rPr>
          <w:lang w:val="en-US"/>
        </w:rPr>
        <w:t>a</w:t>
      </w:r>
      <w:r w:rsidR="00F459B6" w:rsidRPr="00812E8B">
        <w:rPr>
          <w:lang w:val="en-US"/>
        </w:rPr>
        <w:t xml:space="preserve"> determinant for banks’ profitability</w:t>
      </w:r>
      <w:r w:rsidR="00226598" w:rsidRPr="00812E8B">
        <w:rPr>
          <w:lang w:val="en-US"/>
        </w:rPr>
        <w:t xml:space="preserve"> with a coefficient of at most 0.0001, which is almost negligible. </w:t>
      </w:r>
      <w:r w:rsidR="00F459B6" w:rsidRPr="00812E8B">
        <w:rPr>
          <w:lang w:val="en-US"/>
        </w:rPr>
        <w:t xml:space="preserve">Concentration is only significant </w:t>
      </w:r>
      <w:r w:rsidR="00306F73" w:rsidRPr="00812E8B">
        <w:rPr>
          <w:lang w:val="en-US"/>
        </w:rPr>
        <w:t xml:space="preserve">in the pre-crisis period </w:t>
      </w:r>
      <w:r w:rsidR="00F459B6" w:rsidRPr="00812E8B">
        <w:rPr>
          <w:lang w:val="en-US"/>
        </w:rPr>
        <w:t>on a 5% level</w:t>
      </w:r>
      <w:r w:rsidR="00306F73" w:rsidRPr="00812E8B">
        <w:rPr>
          <w:lang w:val="en-US"/>
        </w:rPr>
        <w:t xml:space="preserve"> (p-value equals 0.024)</w:t>
      </w:r>
      <w:r w:rsidR="00226598" w:rsidRPr="00812E8B">
        <w:rPr>
          <w:lang w:val="en-US"/>
        </w:rPr>
        <w:t xml:space="preserve"> whilst the banking sectors are significantly more concentrated in the crisis </w:t>
      </w:r>
      <w:r w:rsidR="007F5A0C" w:rsidRPr="00812E8B">
        <w:rPr>
          <w:lang w:val="en-US"/>
        </w:rPr>
        <w:t xml:space="preserve">as illustrated in table 4. The results are quite comparable to the results of </w:t>
      </w:r>
      <w:r w:rsidR="001B30EB" w:rsidRPr="00812E8B">
        <w:rPr>
          <w:color w:val="365F91" w:themeColor="accent1" w:themeShade="BF"/>
          <w:lang w:val="en-US"/>
        </w:rPr>
        <w:t>Dietrich and Wanzenried (2011)</w:t>
      </w:r>
      <w:r w:rsidR="007F5A0C" w:rsidRPr="00812E8B">
        <w:rPr>
          <w:lang w:val="en-US"/>
        </w:rPr>
        <w:t xml:space="preserve">; they also </w:t>
      </w:r>
      <w:r w:rsidR="003A3A48" w:rsidRPr="00812E8B">
        <w:rPr>
          <w:lang w:val="en-US"/>
        </w:rPr>
        <w:t>find</w:t>
      </w:r>
      <w:r w:rsidR="007F5A0C" w:rsidRPr="00812E8B">
        <w:rPr>
          <w:lang w:val="en-US"/>
        </w:rPr>
        <w:t xml:space="preserve"> a positive but negligible coefficient that was not significant in the crisis period. An initial explorative conclusion would be that concentration is only a positive determinant to profitability up to a certain level. Beyond that </w:t>
      </w:r>
      <w:r w:rsidR="006170A4" w:rsidRPr="00812E8B">
        <w:rPr>
          <w:lang w:val="en-US"/>
        </w:rPr>
        <w:t>level,</w:t>
      </w:r>
      <w:r w:rsidR="007F5A0C" w:rsidRPr="00812E8B">
        <w:rPr>
          <w:lang w:val="en-US"/>
        </w:rPr>
        <w:t xml:space="preserve"> an increasing concentration will not positively influence profitability</w:t>
      </w:r>
      <w:r w:rsidR="007F5A0C" w:rsidRPr="00812E8B">
        <w:rPr>
          <w:rStyle w:val="EndnoteReference"/>
          <w:lang w:val="en-US"/>
        </w:rPr>
        <w:endnoteReference w:id="21"/>
      </w:r>
      <w:r w:rsidR="007F5A0C" w:rsidRPr="00812E8B">
        <w:rPr>
          <w:lang w:val="en-US"/>
        </w:rPr>
        <w:t>.</w:t>
      </w:r>
      <w:r w:rsidR="006170A4" w:rsidRPr="00812E8B">
        <w:rPr>
          <w:lang w:val="en-US"/>
        </w:rPr>
        <w:t xml:space="preserve"> Consider, however, that there are other studies that </w:t>
      </w:r>
      <w:r w:rsidR="003A3A48" w:rsidRPr="00812E8B">
        <w:rPr>
          <w:lang w:val="en-US"/>
        </w:rPr>
        <w:t xml:space="preserve">have </w:t>
      </w:r>
      <w:r w:rsidR="006170A4" w:rsidRPr="00812E8B">
        <w:rPr>
          <w:lang w:val="en-US"/>
        </w:rPr>
        <w:lastRenderedPageBreak/>
        <w:t xml:space="preserve">found a clearly positive and significant relationship (e.g. </w:t>
      </w:r>
      <w:r w:rsidR="00F45869" w:rsidRPr="00812E8B">
        <w:rPr>
          <w:color w:val="365F91" w:themeColor="accent1" w:themeShade="BF"/>
          <w:lang w:val="en-US"/>
        </w:rPr>
        <w:t>Bourke, 1989; Short, 1979;</w:t>
      </w:r>
      <w:r w:rsidR="007D7CD9" w:rsidRPr="00812E8B">
        <w:rPr>
          <w:color w:val="365F91" w:themeColor="accent1" w:themeShade="BF"/>
          <w:lang w:val="en-US"/>
        </w:rPr>
        <w:t xml:space="preserve"> Pasiouras and Kosmidou, 2007</w:t>
      </w:r>
      <w:r w:rsidR="006170A4" w:rsidRPr="00812E8B">
        <w:rPr>
          <w:lang w:val="en-US"/>
        </w:rPr>
        <w:t xml:space="preserve"> and </w:t>
      </w:r>
      <w:r w:rsidR="00881610" w:rsidRPr="00812E8B">
        <w:rPr>
          <w:color w:val="365F91" w:themeColor="accent1" w:themeShade="BF"/>
          <w:lang w:val="en-US"/>
        </w:rPr>
        <w:t xml:space="preserve">Trujillo-Ponce, 2011) </w:t>
      </w:r>
      <w:r w:rsidR="006170A4" w:rsidRPr="00812E8B">
        <w:rPr>
          <w:lang w:val="en-US"/>
        </w:rPr>
        <w:t xml:space="preserve">or a </w:t>
      </w:r>
      <w:r w:rsidR="00F45869" w:rsidRPr="00812E8B">
        <w:rPr>
          <w:lang w:val="en-US"/>
        </w:rPr>
        <w:t xml:space="preserve">significant </w:t>
      </w:r>
      <w:r w:rsidR="006170A4" w:rsidRPr="00812E8B">
        <w:rPr>
          <w:lang w:val="en-US"/>
        </w:rPr>
        <w:t xml:space="preserve">negative relationship </w:t>
      </w:r>
      <w:r w:rsidR="00E34060" w:rsidRPr="00812E8B">
        <w:rPr>
          <w:color w:val="365F91" w:themeColor="accent1" w:themeShade="BF"/>
          <w:lang w:val="en-US"/>
        </w:rPr>
        <w:t>(</w:t>
      </w:r>
      <w:r w:rsidR="00F45869" w:rsidRPr="00812E8B">
        <w:rPr>
          <w:lang w:val="en-US"/>
        </w:rPr>
        <w:t xml:space="preserve">e.g </w:t>
      </w:r>
      <w:r w:rsidR="00E34060" w:rsidRPr="00812E8B">
        <w:rPr>
          <w:color w:val="365F91" w:themeColor="accent1" w:themeShade="BF"/>
          <w:lang w:val="en-US"/>
        </w:rPr>
        <w:t>Athanasoglou et al., 2008)</w:t>
      </w:r>
      <w:r w:rsidR="006170A4" w:rsidRPr="00812E8B">
        <w:rPr>
          <w:lang w:val="en-US"/>
        </w:rPr>
        <w:t xml:space="preserve">. </w:t>
      </w:r>
      <w:r w:rsidR="007F5A0C" w:rsidRPr="00812E8B">
        <w:rPr>
          <w:lang w:val="en-US"/>
        </w:rPr>
        <w:t>Concluding</w:t>
      </w:r>
      <w:r w:rsidR="00226598" w:rsidRPr="00812E8B">
        <w:rPr>
          <w:lang w:val="en-US"/>
        </w:rPr>
        <w:t xml:space="preserve">, the </w:t>
      </w:r>
      <w:r w:rsidR="00623DBD" w:rsidRPr="00812E8B">
        <w:rPr>
          <w:lang w:val="en-US"/>
        </w:rPr>
        <w:t>positive coefficient gives</w:t>
      </w:r>
      <w:r w:rsidR="00226598" w:rsidRPr="00812E8B">
        <w:rPr>
          <w:lang w:val="en-US"/>
        </w:rPr>
        <w:t xml:space="preserve"> no evidence in favor of the</w:t>
      </w:r>
      <w:r w:rsidR="00623DBD" w:rsidRPr="00812E8B">
        <w:rPr>
          <w:lang w:val="en-US"/>
        </w:rPr>
        <w:t xml:space="preserve"> </w:t>
      </w:r>
      <w:r w:rsidR="00226598" w:rsidRPr="00812E8B">
        <w:rPr>
          <w:lang w:val="en-US"/>
        </w:rPr>
        <w:t xml:space="preserve">efficiency hypothesis but </w:t>
      </w:r>
      <w:r w:rsidR="00623DBD" w:rsidRPr="00812E8B">
        <w:rPr>
          <w:lang w:val="en-US"/>
        </w:rPr>
        <w:t>only</w:t>
      </w:r>
      <w:r w:rsidR="00226598" w:rsidRPr="00812E8B">
        <w:rPr>
          <w:lang w:val="en-US"/>
        </w:rPr>
        <w:t xml:space="preserve"> </w:t>
      </w:r>
      <w:r w:rsidR="00623DBD" w:rsidRPr="00812E8B">
        <w:rPr>
          <w:lang w:val="en-US"/>
        </w:rPr>
        <w:t xml:space="preserve">some minor </w:t>
      </w:r>
      <w:r w:rsidRPr="00812E8B">
        <w:rPr>
          <w:lang w:val="en-US"/>
        </w:rPr>
        <w:t xml:space="preserve">evidence for the structure-conduct </w:t>
      </w:r>
      <w:r w:rsidR="00623DBD" w:rsidRPr="00812E8B">
        <w:rPr>
          <w:lang w:val="en-US"/>
        </w:rPr>
        <w:t>hypothesis</w:t>
      </w:r>
      <w:r w:rsidRPr="00812E8B">
        <w:rPr>
          <w:lang w:val="en-US"/>
        </w:rPr>
        <w:t>. Resuming, these hypotheses suggest that banks increase their profitability by monopoly profits or by being</w:t>
      </w:r>
      <w:r w:rsidR="00623DBD" w:rsidRPr="00812E8B">
        <w:rPr>
          <w:lang w:val="en-US"/>
        </w:rPr>
        <w:t xml:space="preserve"> larger and thus</w:t>
      </w:r>
      <w:r w:rsidRPr="00812E8B">
        <w:rPr>
          <w:lang w:val="en-US"/>
        </w:rPr>
        <w:t xml:space="preserve"> more efficient.</w:t>
      </w:r>
      <w:r w:rsidR="00623DBD" w:rsidRPr="00812E8B">
        <w:rPr>
          <w:lang w:val="en-US"/>
        </w:rPr>
        <w:t xml:space="preserve"> For the efficiency hypothesis there is no evidence found since the size variable is insignificant. </w:t>
      </w:r>
      <w:r w:rsidR="006170A4" w:rsidRPr="00812E8B">
        <w:rPr>
          <w:lang w:val="en-US"/>
        </w:rPr>
        <w:t xml:space="preserve">For the </w:t>
      </w:r>
      <w:r w:rsidR="00830F54" w:rsidRPr="00812E8B">
        <w:rPr>
          <w:lang w:val="en-US"/>
        </w:rPr>
        <w:t>structure-conduct-hypothesis,</w:t>
      </w:r>
      <w:r w:rsidR="006170A4" w:rsidRPr="00812E8B">
        <w:rPr>
          <w:lang w:val="en-US"/>
        </w:rPr>
        <w:t xml:space="preserve"> only some minor evidence is found in the pre-crisis sample.</w:t>
      </w:r>
    </w:p>
    <w:p w:rsidR="00A273EE" w:rsidRPr="00812E8B" w:rsidRDefault="00A273EE" w:rsidP="001705D0">
      <w:pPr>
        <w:pStyle w:val="NoSpacing"/>
        <w:spacing w:line="276" w:lineRule="auto"/>
        <w:jc w:val="both"/>
        <w:rPr>
          <w:lang w:val="en-US"/>
        </w:rPr>
      </w:pPr>
    </w:p>
    <w:p w:rsidR="00DA29EC" w:rsidRPr="00812E8B" w:rsidRDefault="00C360B1" w:rsidP="00A273EE">
      <w:pPr>
        <w:pStyle w:val="NoSpacing"/>
        <w:spacing w:line="276" w:lineRule="auto"/>
        <w:jc w:val="both"/>
        <w:rPr>
          <w:lang w:val="en-US"/>
        </w:rPr>
      </w:pPr>
      <w:r w:rsidRPr="00812E8B">
        <w:rPr>
          <w:lang w:val="en-US"/>
        </w:rPr>
        <w:t xml:space="preserve">With the exception of </w:t>
      </w:r>
      <w:r w:rsidR="003A3A48" w:rsidRPr="00812E8B">
        <w:rPr>
          <w:lang w:val="en-US"/>
        </w:rPr>
        <w:t xml:space="preserve">the </w:t>
      </w:r>
      <w:r w:rsidRPr="00812E8B">
        <w:rPr>
          <w:lang w:val="en-US"/>
        </w:rPr>
        <w:t>business cycle, no determinants of banks’ profitability are found within the macroeconomic variables. Only the growth of GDP is a significant positive determinant of banking profitability</w:t>
      </w:r>
      <w:r w:rsidR="003A3A48" w:rsidRPr="00812E8B">
        <w:rPr>
          <w:lang w:val="en-US"/>
        </w:rPr>
        <w:t xml:space="preserve"> supporting the hypothesized effect. The parameter is significant in </w:t>
      </w:r>
      <w:r w:rsidRPr="00812E8B">
        <w:rPr>
          <w:lang w:val="en-US"/>
        </w:rPr>
        <w:t xml:space="preserve">both the pre-crisis period as in the crisis period. </w:t>
      </w:r>
      <w:r w:rsidR="00306F73" w:rsidRPr="00812E8B">
        <w:rPr>
          <w:lang w:val="en-US"/>
        </w:rPr>
        <w:t>The parameter, of 0.0222 in the total sample, indicates that the business cycle is a quite substantial determinant of banks’ profitability. Moreover, the coefficient is higher in the crisis-period than in the pre-crisis period</w:t>
      </w:r>
      <w:r w:rsidR="003D0DE7" w:rsidRPr="00812E8B">
        <w:rPr>
          <w:lang w:val="en-US"/>
        </w:rPr>
        <w:t>, 0.0268 against 0.0193</w:t>
      </w:r>
      <w:r w:rsidR="00306F73" w:rsidRPr="00812E8B">
        <w:rPr>
          <w:lang w:val="en-US"/>
        </w:rPr>
        <w:t xml:space="preserve">. </w:t>
      </w:r>
      <w:r w:rsidR="006170A4" w:rsidRPr="00812E8B">
        <w:rPr>
          <w:lang w:val="en-US"/>
        </w:rPr>
        <w:t>This finding suggests</w:t>
      </w:r>
      <w:r w:rsidR="003D0DE7" w:rsidRPr="00812E8B">
        <w:rPr>
          <w:lang w:val="en-US"/>
        </w:rPr>
        <w:t xml:space="preserve"> that </w:t>
      </w:r>
      <w:r w:rsidR="00306F73" w:rsidRPr="00812E8B">
        <w:rPr>
          <w:lang w:val="en-US"/>
        </w:rPr>
        <w:t>a negative real GDP growth</w:t>
      </w:r>
      <w:r w:rsidR="00A7273D" w:rsidRPr="00812E8B">
        <w:rPr>
          <w:lang w:val="en-US"/>
        </w:rPr>
        <w:t xml:space="preserve"> </w:t>
      </w:r>
      <w:r w:rsidR="00306F73" w:rsidRPr="00812E8B">
        <w:rPr>
          <w:lang w:val="en-US"/>
        </w:rPr>
        <w:t xml:space="preserve">rate </w:t>
      </w:r>
      <w:r w:rsidR="00A7273D" w:rsidRPr="00812E8B">
        <w:rPr>
          <w:lang w:val="en-US"/>
        </w:rPr>
        <w:t xml:space="preserve">(observable in the crisis period) </w:t>
      </w:r>
      <w:r w:rsidR="00306F73" w:rsidRPr="00812E8B">
        <w:rPr>
          <w:lang w:val="en-US"/>
        </w:rPr>
        <w:t>have a larger impact than a positive real GDP growth</w:t>
      </w:r>
      <w:r w:rsidR="00A7273D" w:rsidRPr="00812E8B">
        <w:rPr>
          <w:lang w:val="en-US"/>
        </w:rPr>
        <w:t xml:space="preserve">. </w:t>
      </w:r>
      <w:r w:rsidR="003A3A48" w:rsidRPr="00812E8B">
        <w:rPr>
          <w:lang w:val="en-US"/>
        </w:rPr>
        <w:t xml:space="preserve">The results for a positive coefficients are similar to the parameters that are observed by </w:t>
      </w:r>
      <w:r w:rsidR="007D7CD9" w:rsidRPr="00812E8B">
        <w:rPr>
          <w:color w:val="365F91" w:themeColor="accent1" w:themeShade="BF"/>
          <w:lang w:val="en-US"/>
        </w:rPr>
        <w:t xml:space="preserve">Pasiouras and Kosmidou (2007), </w:t>
      </w:r>
      <w:r w:rsidR="00F45869" w:rsidRPr="00812E8B">
        <w:rPr>
          <w:color w:val="365F91" w:themeColor="accent1" w:themeShade="BF"/>
          <w:lang w:val="en-US"/>
        </w:rPr>
        <w:t>Valverde and Fernández (2007)</w:t>
      </w:r>
      <w:r w:rsidR="00881610" w:rsidRPr="00812E8B">
        <w:rPr>
          <w:color w:val="365F91" w:themeColor="accent1" w:themeShade="BF"/>
          <w:lang w:val="en-US"/>
        </w:rPr>
        <w:t xml:space="preserve"> </w:t>
      </w:r>
      <w:r w:rsidR="00881610" w:rsidRPr="00812E8B">
        <w:rPr>
          <w:lang w:val="en-US"/>
        </w:rPr>
        <w:t xml:space="preserve">and </w:t>
      </w:r>
      <w:r w:rsidR="00881610" w:rsidRPr="00812E8B">
        <w:rPr>
          <w:color w:val="365F91" w:themeColor="accent1" w:themeShade="BF"/>
          <w:lang w:val="en-US"/>
        </w:rPr>
        <w:t>Trujillo-Ponce (2011)</w:t>
      </w:r>
      <w:r w:rsidR="003A3A48" w:rsidRPr="00812E8B">
        <w:rPr>
          <w:color w:val="365F91" w:themeColor="accent1" w:themeShade="BF"/>
          <w:lang w:val="en-US"/>
        </w:rPr>
        <w:t>.</w:t>
      </w:r>
      <w:r w:rsidR="003A3A48" w:rsidRPr="00812E8B">
        <w:rPr>
          <w:lang w:val="en-US"/>
        </w:rPr>
        <w:t xml:space="preserve"> </w:t>
      </w:r>
      <w:r w:rsidR="00666720" w:rsidRPr="00812E8B">
        <w:rPr>
          <w:lang w:val="en-US"/>
        </w:rPr>
        <w:t xml:space="preserve">In contrary </w:t>
      </w:r>
      <w:r w:rsidR="003A3A48" w:rsidRPr="00812E8B">
        <w:rPr>
          <w:lang w:val="en-US"/>
        </w:rPr>
        <w:t xml:space="preserve">to </w:t>
      </w:r>
      <w:r w:rsidR="00E34060" w:rsidRPr="00812E8B">
        <w:rPr>
          <w:color w:val="365F91" w:themeColor="accent1" w:themeShade="BF"/>
          <w:lang w:val="en-US"/>
        </w:rPr>
        <w:t xml:space="preserve">Athanasoglou et al. (2008) </w:t>
      </w:r>
      <w:r w:rsidR="00E34060" w:rsidRPr="00812E8B">
        <w:rPr>
          <w:lang w:val="en-US"/>
        </w:rPr>
        <w:t xml:space="preserve">and </w:t>
      </w:r>
      <w:r w:rsidR="001B30EB" w:rsidRPr="00812E8B">
        <w:rPr>
          <w:color w:val="365F91" w:themeColor="accent1" w:themeShade="BF"/>
          <w:lang w:val="en-US"/>
        </w:rPr>
        <w:t>D</w:t>
      </w:r>
      <w:r w:rsidR="00F45869" w:rsidRPr="00812E8B">
        <w:rPr>
          <w:color w:val="365F91" w:themeColor="accent1" w:themeShade="BF"/>
          <w:lang w:val="en-US"/>
        </w:rPr>
        <w:t>ietrich and Wanzenried (</w:t>
      </w:r>
      <w:r w:rsidR="001B30EB" w:rsidRPr="00812E8B">
        <w:rPr>
          <w:color w:val="365F91" w:themeColor="accent1" w:themeShade="BF"/>
          <w:lang w:val="en-US"/>
        </w:rPr>
        <w:t>2011)</w:t>
      </w:r>
      <w:r w:rsidR="00666720" w:rsidRPr="00812E8B">
        <w:rPr>
          <w:color w:val="365F91" w:themeColor="accent1" w:themeShade="BF"/>
          <w:lang w:val="en-US"/>
        </w:rPr>
        <w:t xml:space="preserve">, </w:t>
      </w:r>
      <w:r w:rsidR="003A3A48" w:rsidRPr="00812E8B">
        <w:rPr>
          <w:lang w:val="en-US"/>
        </w:rPr>
        <w:t>the effect is symmetric in times of prosperity but also in times of recession or depression.</w:t>
      </w:r>
      <w:r w:rsidR="00666720" w:rsidRPr="00812E8B">
        <w:rPr>
          <w:lang w:val="en-US"/>
        </w:rPr>
        <w:t xml:space="preserve"> </w:t>
      </w:r>
      <w:r w:rsidR="00304525" w:rsidRPr="00812E8B">
        <w:rPr>
          <w:color w:val="365F91" w:themeColor="accent1" w:themeShade="BF"/>
          <w:lang w:val="en-US"/>
        </w:rPr>
        <w:t>Athanasoglou et al. (2008)</w:t>
      </w:r>
      <w:r w:rsidR="00666720" w:rsidRPr="00812E8B">
        <w:rPr>
          <w:lang w:val="en-US"/>
        </w:rPr>
        <w:t xml:space="preserve"> only observe a significant and positive relationship in cyclical upswings and not in downswings while this </w:t>
      </w:r>
      <w:r w:rsidR="00304525" w:rsidRPr="00812E8B">
        <w:rPr>
          <w:lang w:val="en-US"/>
        </w:rPr>
        <w:t>thesis</w:t>
      </w:r>
      <w:r w:rsidR="00666720" w:rsidRPr="00812E8B">
        <w:rPr>
          <w:lang w:val="en-US"/>
        </w:rPr>
        <w:t xml:space="preserve"> report</w:t>
      </w:r>
      <w:r w:rsidR="00304525" w:rsidRPr="00812E8B">
        <w:rPr>
          <w:lang w:val="en-US"/>
        </w:rPr>
        <w:t>s</w:t>
      </w:r>
      <w:r w:rsidR="00666720" w:rsidRPr="00812E8B">
        <w:rPr>
          <w:lang w:val="en-US"/>
        </w:rPr>
        <w:t xml:space="preserve"> a significant coefficient during a negative real GDP growth. </w:t>
      </w:r>
      <w:r w:rsidR="00A7273D" w:rsidRPr="00812E8B">
        <w:rPr>
          <w:lang w:val="en-US"/>
        </w:rPr>
        <w:t>Finally, table 6 report</w:t>
      </w:r>
      <w:r w:rsidR="00B46A9C" w:rsidRPr="00812E8B">
        <w:rPr>
          <w:lang w:val="en-US"/>
        </w:rPr>
        <w:t>s</w:t>
      </w:r>
      <w:r w:rsidR="00A7273D" w:rsidRPr="00812E8B">
        <w:rPr>
          <w:lang w:val="en-US"/>
        </w:rPr>
        <w:t xml:space="preserve"> that the coefficients of the effective tax rate and proxy for the steepness of the yield curve are insignificant in all samples. Besides, for both variables the sign alters from positive in the pre-crisis sample to negative in the crisis sample.</w:t>
      </w:r>
      <w:r w:rsidR="00666720" w:rsidRPr="00812E8B">
        <w:rPr>
          <w:lang w:val="en-US"/>
        </w:rPr>
        <w:t xml:space="preserve"> Results from </w:t>
      </w:r>
      <w:r w:rsidR="00746D5F" w:rsidRPr="00812E8B">
        <w:rPr>
          <w:color w:val="365F91" w:themeColor="accent1" w:themeShade="BF"/>
          <w:lang w:val="en-US"/>
        </w:rPr>
        <w:t xml:space="preserve">Dietrich and Wanzenried (2011) </w:t>
      </w:r>
      <w:r w:rsidR="00666720" w:rsidRPr="00812E8B">
        <w:rPr>
          <w:lang w:val="en-US"/>
        </w:rPr>
        <w:t xml:space="preserve">report </w:t>
      </w:r>
      <w:r w:rsidR="000A4923" w:rsidRPr="00812E8B">
        <w:rPr>
          <w:lang w:val="en-US"/>
        </w:rPr>
        <w:t xml:space="preserve">a negative parameter for the effective tax rate in all samples. The difference in results could probably arise by the fact that they used a homogenous group of Swiss banks with respect to tax rates while the European banks differs heavily in tax rates and in tax provisions </w:t>
      </w:r>
      <w:r w:rsidR="00962D92" w:rsidRPr="00812E8B">
        <w:rPr>
          <w:lang w:val="en-US"/>
        </w:rPr>
        <w:t>giving extreme observations in the tails of the distribution</w:t>
      </w:r>
      <w:r w:rsidR="000A4923" w:rsidRPr="00812E8B">
        <w:rPr>
          <w:lang w:val="en-US"/>
        </w:rPr>
        <w:t xml:space="preserve">. </w:t>
      </w:r>
      <w:r w:rsidR="000E3059" w:rsidRPr="00812E8B">
        <w:rPr>
          <w:lang w:val="en-US"/>
        </w:rPr>
        <w:t xml:space="preserve">In subsequent paragraphs one could see that the effective tax rate is significant and negative in the same model after a more strictly removal of outliers (see table 7). </w:t>
      </w:r>
      <w:r w:rsidR="000A4923" w:rsidRPr="00812E8B">
        <w:rPr>
          <w:lang w:val="en-US"/>
        </w:rPr>
        <w:t xml:space="preserve">Furthermore, </w:t>
      </w:r>
      <w:r w:rsidR="00746D5F" w:rsidRPr="00812E8B">
        <w:rPr>
          <w:color w:val="365F91" w:themeColor="accent1" w:themeShade="BF"/>
          <w:lang w:val="en-US"/>
        </w:rPr>
        <w:t xml:space="preserve">Dietrich and Wanzenried (2011) </w:t>
      </w:r>
      <w:r w:rsidR="000A4923" w:rsidRPr="00812E8B">
        <w:rPr>
          <w:lang w:val="en-US"/>
        </w:rPr>
        <w:t xml:space="preserve">were the first that empirically investigates the </w:t>
      </w:r>
      <w:r w:rsidR="00DA29EC" w:rsidRPr="00812E8B">
        <w:rPr>
          <w:lang w:val="en-US"/>
        </w:rPr>
        <w:t xml:space="preserve">steepness of the </w:t>
      </w:r>
      <w:r w:rsidR="000A4923" w:rsidRPr="00812E8B">
        <w:rPr>
          <w:lang w:val="en-US"/>
        </w:rPr>
        <w:t xml:space="preserve">yield curve, and found a positive relationship with </w:t>
      </w:r>
      <w:r w:rsidR="00DA29EC" w:rsidRPr="00812E8B">
        <w:rPr>
          <w:lang w:val="en-US"/>
        </w:rPr>
        <w:t>profitability</w:t>
      </w:r>
      <w:r w:rsidR="000A4923" w:rsidRPr="00812E8B">
        <w:rPr>
          <w:lang w:val="en-US"/>
        </w:rPr>
        <w:t>. However, the</w:t>
      </w:r>
      <w:r w:rsidR="00DA29EC" w:rsidRPr="00812E8B">
        <w:rPr>
          <w:lang w:val="en-US"/>
        </w:rPr>
        <w:t>ir</w:t>
      </w:r>
      <w:r w:rsidR="000A4923" w:rsidRPr="00812E8B">
        <w:rPr>
          <w:lang w:val="en-US"/>
        </w:rPr>
        <w:t xml:space="preserve"> proxy for measuring the slope of the yield curve is arbitrary and the choice for the difference between the 5-years and 2-years Swiss treasury bills is questionable since the reference curve for banks is often assumed </w:t>
      </w:r>
      <w:r w:rsidR="005438F1" w:rsidRPr="00812E8B">
        <w:rPr>
          <w:lang w:val="en-US"/>
        </w:rPr>
        <w:t>the IRS</w:t>
      </w:r>
      <w:r w:rsidR="00D91EEF">
        <w:rPr>
          <w:lang w:val="en-US"/>
        </w:rPr>
        <w:t xml:space="preserve"> curve and EURIBOR </w:t>
      </w:r>
      <w:r w:rsidR="00DA29EC" w:rsidRPr="00812E8B">
        <w:rPr>
          <w:lang w:val="en-US"/>
        </w:rPr>
        <w:t xml:space="preserve">curve. Thereby, the interest rate position for most banks is hedged using derivatives to limit the impact of interest rate changes on economic capital. Furthermore, it could be that the level of the interest rate is more important </w:t>
      </w:r>
      <w:r w:rsidR="005438F1" w:rsidRPr="00812E8B">
        <w:rPr>
          <w:lang w:val="en-US"/>
        </w:rPr>
        <w:t xml:space="preserve">for banks </w:t>
      </w:r>
      <w:r w:rsidR="00DA29EC" w:rsidRPr="00812E8B">
        <w:rPr>
          <w:lang w:val="en-US"/>
        </w:rPr>
        <w:t>than the slope</w:t>
      </w:r>
      <w:r w:rsidR="005438F1" w:rsidRPr="00812E8B">
        <w:rPr>
          <w:lang w:val="en-US"/>
        </w:rPr>
        <w:t xml:space="preserve"> (or steepness) </w:t>
      </w:r>
      <w:r w:rsidR="00DA29EC" w:rsidRPr="00812E8B">
        <w:rPr>
          <w:lang w:val="en-US"/>
        </w:rPr>
        <w:t>of the yield cur</w:t>
      </w:r>
      <w:r w:rsidR="005438F1" w:rsidRPr="00812E8B">
        <w:rPr>
          <w:lang w:val="en-US"/>
        </w:rPr>
        <w:t>ve. A higher level of the interest rate will lead to a higher margin on top of the non-interest earning equity funds and current accounts (within the customer deposits) while a lower level reduce the margins on these funding resources and could negatively influence the profitability.</w:t>
      </w:r>
    </w:p>
    <w:p w:rsidR="00DA29EC" w:rsidRPr="00812E8B" w:rsidRDefault="00DA29EC" w:rsidP="00A273EE">
      <w:pPr>
        <w:pStyle w:val="NoSpacing"/>
        <w:spacing w:line="276" w:lineRule="auto"/>
        <w:jc w:val="both"/>
        <w:rPr>
          <w:lang w:val="en-US"/>
        </w:rPr>
      </w:pPr>
    </w:p>
    <w:p w:rsidR="00DD0CA5" w:rsidRPr="00812E8B" w:rsidRDefault="00DD0CA5" w:rsidP="00DD0CA5">
      <w:pPr>
        <w:pStyle w:val="Heading3"/>
        <w:rPr>
          <w:color w:val="auto"/>
          <w:lang w:val="en-US"/>
        </w:rPr>
      </w:pPr>
      <w:r w:rsidRPr="00812E8B">
        <w:rPr>
          <w:color w:val="auto"/>
          <w:lang w:val="en-US"/>
        </w:rPr>
        <w:lastRenderedPageBreak/>
        <w:t>6.</w:t>
      </w:r>
      <w:r w:rsidR="009F71E8" w:rsidRPr="00812E8B">
        <w:rPr>
          <w:color w:val="auto"/>
          <w:lang w:val="en-US"/>
        </w:rPr>
        <w:t>1</w:t>
      </w:r>
      <w:r w:rsidRPr="00812E8B">
        <w:rPr>
          <w:color w:val="auto"/>
          <w:lang w:val="en-US"/>
        </w:rPr>
        <w:t>.2 T</w:t>
      </w:r>
      <w:r w:rsidR="00937B13" w:rsidRPr="00812E8B">
        <w:rPr>
          <w:color w:val="auto"/>
          <w:sz w:val="19"/>
          <w:szCs w:val="19"/>
          <w:lang w:val="en-US"/>
        </w:rPr>
        <w:t>ESTING THE VALIDITY AND CONSISTENCY OF THE GMM ESTIMATOR</w:t>
      </w:r>
    </w:p>
    <w:p w:rsidR="0040305B" w:rsidRPr="00812E8B" w:rsidRDefault="00A97035" w:rsidP="004900AA">
      <w:pPr>
        <w:pStyle w:val="NoSpacing"/>
        <w:spacing w:line="276" w:lineRule="auto"/>
        <w:jc w:val="both"/>
        <w:rPr>
          <w:lang w:val="en-US"/>
        </w:rPr>
      </w:pPr>
      <w:r w:rsidRPr="00812E8B">
        <w:rPr>
          <w:lang w:val="en-US"/>
        </w:rPr>
        <w:t xml:space="preserve">In the bottom of the table, the number of observations, banks and instruments are reported as proposed by </w:t>
      </w:r>
      <w:r w:rsidR="00304525" w:rsidRPr="00812E8B">
        <w:rPr>
          <w:color w:val="365F91" w:themeColor="accent1" w:themeShade="BF"/>
          <w:lang w:val="en-US"/>
        </w:rPr>
        <w:t>Roodman (2008)</w:t>
      </w:r>
      <w:r w:rsidRPr="00812E8B">
        <w:rPr>
          <w:lang w:val="en-US"/>
        </w:rPr>
        <w:t xml:space="preserve">. As discussed in the previous chapter, System GMM does not make any assumption about the distribution of the panel. Hence, tests whether the data follows a normal distribution or if the distribution is skewed are </w:t>
      </w:r>
      <w:r w:rsidR="00CC4E32" w:rsidRPr="00812E8B">
        <w:rPr>
          <w:lang w:val="en-US"/>
        </w:rPr>
        <w:t>not</w:t>
      </w:r>
      <w:r w:rsidRPr="00812E8B">
        <w:rPr>
          <w:lang w:val="en-US"/>
        </w:rPr>
        <w:t xml:space="preserve"> reported. Nevertheless, there are </w:t>
      </w:r>
      <w:r w:rsidR="00472D57" w:rsidRPr="00812E8B">
        <w:rPr>
          <w:lang w:val="en-US"/>
        </w:rPr>
        <w:t>two</w:t>
      </w:r>
      <w:r w:rsidRPr="00812E8B">
        <w:rPr>
          <w:lang w:val="en-US"/>
        </w:rPr>
        <w:t xml:space="preserve"> assumptions underlying the System GMM technique. System GMM is only consistent when there is no second-order autocorrelation within the error item and</w:t>
      </w:r>
      <w:r w:rsidR="00472D57" w:rsidRPr="00812E8B">
        <w:rPr>
          <w:lang w:val="en-US"/>
        </w:rPr>
        <w:t xml:space="preserve"> second, </w:t>
      </w:r>
      <w:r w:rsidRPr="00812E8B">
        <w:rPr>
          <w:lang w:val="en-US"/>
        </w:rPr>
        <w:t>when the</w:t>
      </w:r>
      <w:r w:rsidR="00EF2D92" w:rsidRPr="00812E8B">
        <w:rPr>
          <w:lang w:val="en-US"/>
        </w:rPr>
        <w:t xml:space="preserve"> model is not over-</w:t>
      </w:r>
      <w:r w:rsidR="00500CFE" w:rsidRPr="00812E8B">
        <w:rPr>
          <w:lang w:val="en-US"/>
        </w:rPr>
        <w:t>identified</w:t>
      </w:r>
      <w:r w:rsidR="00EF2D92" w:rsidRPr="00812E8B">
        <w:rPr>
          <w:lang w:val="en-US"/>
        </w:rPr>
        <w:t xml:space="preserve"> (i.e. when the </w:t>
      </w:r>
      <w:r w:rsidRPr="00812E8B">
        <w:rPr>
          <w:lang w:val="en-US"/>
        </w:rPr>
        <w:t>instruments are valid</w:t>
      </w:r>
      <w:r w:rsidR="00EF2D92" w:rsidRPr="00812E8B">
        <w:rPr>
          <w:lang w:val="en-US"/>
        </w:rPr>
        <w:t>)</w:t>
      </w:r>
      <w:r w:rsidRPr="00812E8B">
        <w:rPr>
          <w:lang w:val="en-US"/>
        </w:rPr>
        <w:t xml:space="preserve">. Therefore the table report two tests; the Arrelano and Bond test of first- and second-order autocorrelation in the residuals and the Hansen test of </w:t>
      </w:r>
      <w:r w:rsidR="000F042F" w:rsidRPr="00812E8B">
        <w:rPr>
          <w:lang w:val="en-US"/>
        </w:rPr>
        <w:t>over-identification</w:t>
      </w:r>
      <w:r w:rsidRPr="00812E8B">
        <w:rPr>
          <w:lang w:val="en-US"/>
        </w:rPr>
        <w:t>.</w:t>
      </w:r>
      <w:r w:rsidR="00472D57" w:rsidRPr="00812E8B">
        <w:rPr>
          <w:lang w:val="en-US"/>
        </w:rPr>
        <w:t xml:space="preserve"> Table 6 report</w:t>
      </w:r>
      <w:r w:rsidR="00B46A9C" w:rsidRPr="00812E8B">
        <w:rPr>
          <w:lang w:val="en-US"/>
        </w:rPr>
        <w:t>s</w:t>
      </w:r>
      <w:r w:rsidR="00472D57" w:rsidRPr="00812E8B">
        <w:rPr>
          <w:lang w:val="en-US"/>
        </w:rPr>
        <w:t xml:space="preserve"> that the null hypothesis of no first-order autocorrelation is rejected. </w:t>
      </w:r>
      <w:r w:rsidRPr="00812E8B">
        <w:rPr>
          <w:lang w:val="en-US"/>
        </w:rPr>
        <w:t>The rejection of the null hypothesis of no first-order autocorrelation does not result in an inconsistent System GMM estimator. This is only the case when secon</w:t>
      </w:r>
      <w:r w:rsidR="00EF2D92" w:rsidRPr="00812E8B">
        <w:rPr>
          <w:lang w:val="en-US"/>
        </w:rPr>
        <w:t>d-order correlation is present</w:t>
      </w:r>
      <w:r w:rsidR="00CC4E32" w:rsidRPr="00812E8B">
        <w:rPr>
          <w:lang w:val="en-US"/>
        </w:rPr>
        <w:t xml:space="preserve">, but the </w:t>
      </w:r>
      <w:r w:rsidR="00472D57" w:rsidRPr="00812E8B">
        <w:rPr>
          <w:lang w:val="en-US"/>
        </w:rPr>
        <w:t xml:space="preserve">p-value of the </w:t>
      </w:r>
      <w:r w:rsidR="008E276B" w:rsidRPr="00812E8B">
        <w:rPr>
          <w:lang w:val="en-US"/>
        </w:rPr>
        <w:t>Arrelano and Bond</w:t>
      </w:r>
      <w:r w:rsidR="00472D57" w:rsidRPr="00812E8B">
        <w:rPr>
          <w:lang w:val="en-US"/>
        </w:rPr>
        <w:t xml:space="preserve"> test of second order correlation does not reject the null hypothesis, indicating</w:t>
      </w:r>
      <w:r w:rsidR="00CC4E32" w:rsidRPr="00812E8B">
        <w:rPr>
          <w:lang w:val="en-US"/>
        </w:rPr>
        <w:t xml:space="preserve"> that there is no second-order correlation</w:t>
      </w:r>
      <w:r w:rsidR="00EF2D92" w:rsidRPr="00812E8B">
        <w:rPr>
          <w:lang w:val="en-US"/>
        </w:rPr>
        <w:t xml:space="preserve">. </w:t>
      </w:r>
      <w:r w:rsidRPr="00812E8B">
        <w:rPr>
          <w:lang w:val="en-US"/>
        </w:rPr>
        <w:t xml:space="preserve">These results confirms the usage of a dynamic panel data model in which several variables are instrumented; using lags of these variables removes autocorrelation in the second-order. Furthermore, </w:t>
      </w:r>
      <w:r w:rsidR="000F042F" w:rsidRPr="00812E8B">
        <w:rPr>
          <w:lang w:val="en-US"/>
        </w:rPr>
        <w:t xml:space="preserve">over-identification </w:t>
      </w:r>
      <w:r w:rsidRPr="00812E8B">
        <w:rPr>
          <w:lang w:val="en-US"/>
        </w:rPr>
        <w:t xml:space="preserve">is tested using the Hansen test of </w:t>
      </w:r>
      <w:r w:rsidR="000F042F" w:rsidRPr="00812E8B">
        <w:rPr>
          <w:lang w:val="en-US"/>
        </w:rPr>
        <w:t>over-identification</w:t>
      </w:r>
      <w:r w:rsidRPr="00812E8B">
        <w:rPr>
          <w:lang w:val="en-US"/>
        </w:rPr>
        <w:t xml:space="preserve">, which is robust to </w:t>
      </w:r>
      <w:r w:rsidR="00500CFE" w:rsidRPr="00812E8B">
        <w:rPr>
          <w:lang w:val="en-US"/>
        </w:rPr>
        <w:t>heteroscedasticity</w:t>
      </w:r>
      <w:r w:rsidRPr="00812E8B">
        <w:rPr>
          <w:lang w:val="en-US"/>
        </w:rPr>
        <w:t xml:space="preserve"> in the error item in contrary to the Sargan’s test </w:t>
      </w:r>
      <w:r w:rsidR="00304525" w:rsidRPr="00812E8B">
        <w:rPr>
          <w:color w:val="365F91" w:themeColor="accent1" w:themeShade="BF"/>
          <w:lang w:val="en-US"/>
        </w:rPr>
        <w:t>(Roodman, 2008)</w:t>
      </w:r>
      <w:r w:rsidRPr="00812E8B">
        <w:rPr>
          <w:color w:val="365F91" w:themeColor="accent1" w:themeShade="BF"/>
          <w:lang w:val="en-US"/>
        </w:rPr>
        <w:t xml:space="preserve">. </w:t>
      </w:r>
      <w:r w:rsidRPr="00812E8B">
        <w:rPr>
          <w:lang w:val="en-US"/>
        </w:rPr>
        <w:t xml:space="preserve">The insignificant p-value of the Hansen-test implies that the null hypothesis of no </w:t>
      </w:r>
      <w:r w:rsidR="000F042F" w:rsidRPr="00812E8B">
        <w:rPr>
          <w:lang w:val="en-US"/>
        </w:rPr>
        <w:t xml:space="preserve">over-identification </w:t>
      </w:r>
      <w:r w:rsidRPr="00812E8B">
        <w:rPr>
          <w:lang w:val="en-US"/>
        </w:rPr>
        <w:t>is not rejected.</w:t>
      </w:r>
      <w:r w:rsidR="00EF2D92" w:rsidRPr="00812E8B">
        <w:rPr>
          <w:lang w:val="en-US"/>
        </w:rPr>
        <w:t xml:space="preserve"> </w:t>
      </w:r>
      <w:r w:rsidRPr="00812E8B">
        <w:rPr>
          <w:lang w:val="en-US"/>
        </w:rPr>
        <w:t xml:space="preserve">The Hansen-test reported in the table is thought to be more reliable than those reported in </w:t>
      </w:r>
      <w:r w:rsidR="00746D5F" w:rsidRPr="00812E8B">
        <w:rPr>
          <w:color w:val="365F91" w:themeColor="accent1" w:themeShade="BF"/>
          <w:lang w:val="en-US"/>
        </w:rPr>
        <w:t>Dietrich and Wanzenried (2011),</w:t>
      </w:r>
      <w:r w:rsidR="006567A6" w:rsidRPr="00812E8B">
        <w:rPr>
          <w:color w:val="365F91" w:themeColor="accent1" w:themeShade="BF"/>
          <w:lang w:val="en-US"/>
        </w:rPr>
        <w:t xml:space="preserve"> Athanasoglou et al. (2008) </w:t>
      </w:r>
      <w:r w:rsidR="006567A6" w:rsidRPr="00812E8B">
        <w:rPr>
          <w:lang w:val="en-US"/>
        </w:rPr>
        <w:t>and</w:t>
      </w:r>
      <w:r w:rsidR="00304525" w:rsidRPr="00812E8B">
        <w:rPr>
          <w:color w:val="365F91" w:themeColor="accent1" w:themeShade="BF"/>
          <w:lang w:val="en-US"/>
        </w:rPr>
        <w:t xml:space="preserve"> García-Herrero et al. (2009)</w:t>
      </w:r>
      <w:r w:rsidRPr="00812E8B">
        <w:rPr>
          <w:lang w:val="en-US"/>
        </w:rPr>
        <w:t xml:space="preserve">, which </w:t>
      </w:r>
      <w:r w:rsidR="000E3059" w:rsidRPr="00812E8B">
        <w:rPr>
          <w:lang w:val="en-US"/>
        </w:rPr>
        <w:t>could be</w:t>
      </w:r>
      <w:r w:rsidRPr="00812E8B">
        <w:rPr>
          <w:lang w:val="en-US"/>
        </w:rPr>
        <w:t xml:space="preserve"> misleading </w:t>
      </w:r>
      <w:r w:rsidR="000E3059" w:rsidRPr="00812E8B">
        <w:rPr>
          <w:lang w:val="en-US"/>
        </w:rPr>
        <w:t xml:space="preserve">due </w:t>
      </w:r>
      <w:r w:rsidR="00304525" w:rsidRPr="00812E8B">
        <w:rPr>
          <w:lang w:val="en-US"/>
        </w:rPr>
        <w:t>to</w:t>
      </w:r>
      <w:r w:rsidRPr="00812E8B">
        <w:rPr>
          <w:lang w:val="en-US"/>
        </w:rPr>
        <w:t xml:space="preserve"> the usage of more instruments than cross-sectional observations. </w:t>
      </w:r>
      <w:r w:rsidR="00472D57" w:rsidRPr="00812E8B">
        <w:rPr>
          <w:lang w:val="en-US"/>
        </w:rPr>
        <w:t xml:space="preserve">Finally, table 6 does also report the </w:t>
      </w:r>
      <w:r w:rsidR="00962D92" w:rsidRPr="00812E8B">
        <w:rPr>
          <w:lang w:val="en-US"/>
        </w:rPr>
        <w:t>F-</w:t>
      </w:r>
      <w:r w:rsidR="00472D57" w:rsidRPr="00812E8B">
        <w:rPr>
          <w:lang w:val="en-US"/>
        </w:rPr>
        <w:t xml:space="preserve">test under the null hypothesis that all variables are simultaneously not different from zero. The p-value reject the null </w:t>
      </w:r>
      <w:r w:rsidR="00031D00" w:rsidRPr="00812E8B">
        <w:rPr>
          <w:lang w:val="en-US"/>
        </w:rPr>
        <w:t xml:space="preserve">hypothesis </w:t>
      </w:r>
      <w:r w:rsidR="00472D57" w:rsidRPr="00812E8B">
        <w:rPr>
          <w:lang w:val="en-US"/>
        </w:rPr>
        <w:t>illustrating that</w:t>
      </w:r>
      <w:r w:rsidR="00031D00" w:rsidRPr="00812E8B">
        <w:rPr>
          <w:lang w:val="en-US"/>
        </w:rPr>
        <w:t xml:space="preserve"> the</w:t>
      </w:r>
      <w:r w:rsidR="008E276B" w:rsidRPr="00812E8B">
        <w:rPr>
          <w:lang w:val="en-US"/>
        </w:rPr>
        <w:t xml:space="preserve"> model present</w:t>
      </w:r>
      <w:r w:rsidR="00D91EEF">
        <w:rPr>
          <w:lang w:val="en-US"/>
        </w:rPr>
        <w:t>s</w:t>
      </w:r>
      <w:r w:rsidR="008E276B" w:rsidRPr="00812E8B">
        <w:rPr>
          <w:lang w:val="en-US"/>
        </w:rPr>
        <w:t xml:space="preserve"> a good overall </w:t>
      </w:r>
      <w:r w:rsidR="00472D57" w:rsidRPr="00812E8B">
        <w:rPr>
          <w:lang w:val="en-US"/>
        </w:rPr>
        <w:t>fit.</w:t>
      </w:r>
    </w:p>
    <w:p w:rsidR="00472D57" w:rsidRPr="00812E8B" w:rsidRDefault="00472D57" w:rsidP="004900AA">
      <w:pPr>
        <w:pStyle w:val="NoSpacing"/>
        <w:spacing w:line="276" w:lineRule="auto"/>
        <w:jc w:val="both"/>
        <w:rPr>
          <w:color w:val="FF0000"/>
          <w:lang w:val="en-US"/>
        </w:rPr>
      </w:pPr>
    </w:p>
    <w:p w:rsidR="00A25DA7" w:rsidRPr="00812E8B" w:rsidRDefault="00983B4F" w:rsidP="00A25DA7">
      <w:pPr>
        <w:pStyle w:val="Heading2"/>
        <w:rPr>
          <w:color w:val="auto"/>
          <w:lang w:val="en-US"/>
        </w:rPr>
      </w:pPr>
      <w:bookmarkStart w:id="40" w:name="_Toc306359655"/>
      <w:r w:rsidRPr="00812E8B">
        <w:rPr>
          <w:color w:val="auto"/>
          <w:lang w:val="en-US"/>
        </w:rPr>
        <w:t>6.</w:t>
      </w:r>
      <w:r w:rsidR="009F71E8" w:rsidRPr="00812E8B">
        <w:rPr>
          <w:color w:val="auto"/>
          <w:lang w:val="en-US"/>
        </w:rPr>
        <w:t>2</w:t>
      </w:r>
      <w:r w:rsidRPr="00812E8B">
        <w:rPr>
          <w:color w:val="auto"/>
          <w:lang w:val="en-US"/>
        </w:rPr>
        <w:t xml:space="preserve"> R</w:t>
      </w:r>
      <w:r w:rsidR="00937B13" w:rsidRPr="00812E8B">
        <w:rPr>
          <w:color w:val="auto"/>
          <w:sz w:val="20"/>
          <w:szCs w:val="20"/>
          <w:lang w:val="en-US"/>
        </w:rPr>
        <w:t>OBUSTNESS CHECKS</w:t>
      </w:r>
      <w:bookmarkEnd w:id="40"/>
    </w:p>
    <w:p w:rsidR="00E708D2" w:rsidRPr="00812E8B" w:rsidRDefault="009B250C" w:rsidP="00E708D2">
      <w:pPr>
        <w:pStyle w:val="NoSpacing"/>
        <w:spacing w:line="276" w:lineRule="auto"/>
        <w:jc w:val="both"/>
        <w:rPr>
          <w:lang w:val="en-US"/>
        </w:rPr>
      </w:pPr>
      <w:r w:rsidRPr="00812E8B">
        <w:rPr>
          <w:lang w:val="en-US"/>
        </w:rPr>
        <w:t>Hitherto, this chapter</w:t>
      </w:r>
      <w:r w:rsidR="00E708D2" w:rsidRPr="00812E8B">
        <w:rPr>
          <w:lang w:val="en-US"/>
        </w:rPr>
        <w:t xml:space="preserve"> </w:t>
      </w:r>
      <w:r w:rsidR="00F048F6" w:rsidRPr="00812E8B">
        <w:rPr>
          <w:lang w:val="en-US"/>
        </w:rPr>
        <w:t>discussed</w:t>
      </w:r>
      <w:r w:rsidR="00E708D2" w:rsidRPr="00812E8B">
        <w:rPr>
          <w:lang w:val="en-US"/>
        </w:rPr>
        <w:t xml:space="preserve"> the results from the regression analysis regarding determinants of banks’ profitability in the European banking sector.</w:t>
      </w:r>
      <w:r w:rsidR="00472D57" w:rsidRPr="00812E8B">
        <w:rPr>
          <w:lang w:val="en-US"/>
        </w:rPr>
        <w:t xml:space="preserve"> </w:t>
      </w:r>
      <w:r w:rsidR="00E708D2" w:rsidRPr="00812E8B">
        <w:rPr>
          <w:lang w:val="en-US"/>
        </w:rPr>
        <w:t>T</w:t>
      </w:r>
      <w:r w:rsidR="001E1FFC" w:rsidRPr="00812E8B">
        <w:rPr>
          <w:lang w:val="en-US"/>
        </w:rPr>
        <w:t>his paragraph</w:t>
      </w:r>
      <w:r w:rsidR="00E708D2" w:rsidRPr="00812E8B">
        <w:rPr>
          <w:lang w:val="en-US"/>
        </w:rPr>
        <w:t xml:space="preserve"> further</w:t>
      </w:r>
      <w:r w:rsidR="001E1FFC" w:rsidRPr="00812E8B">
        <w:rPr>
          <w:lang w:val="en-US"/>
        </w:rPr>
        <w:t xml:space="preserve"> discusses whether the results as presented in table 6 are valid explanations for banks’ profitability.</w:t>
      </w:r>
      <w:r w:rsidR="005B6F7D" w:rsidRPr="00812E8B">
        <w:rPr>
          <w:lang w:val="en-US"/>
        </w:rPr>
        <w:t xml:space="preserve"> </w:t>
      </w:r>
      <w:r w:rsidR="00E708D2" w:rsidRPr="00812E8B">
        <w:rPr>
          <w:lang w:val="en-US"/>
        </w:rPr>
        <w:t xml:space="preserve">In particular, several tests are performed to examine whether the findings are robust to change in the sample or changes in the methodology. </w:t>
      </w:r>
    </w:p>
    <w:p w:rsidR="00E708D2" w:rsidRPr="00812E8B" w:rsidRDefault="00E708D2" w:rsidP="00E708D2">
      <w:pPr>
        <w:pStyle w:val="NoSpacing"/>
        <w:spacing w:line="276" w:lineRule="auto"/>
        <w:jc w:val="both"/>
        <w:rPr>
          <w:lang w:val="en-US"/>
        </w:rPr>
      </w:pPr>
    </w:p>
    <w:p w:rsidR="00CF72A4" w:rsidRPr="00812E8B" w:rsidRDefault="001E1FFC" w:rsidP="00BA59AB">
      <w:pPr>
        <w:pStyle w:val="NoSpacing"/>
        <w:spacing w:line="276" w:lineRule="auto"/>
        <w:jc w:val="both"/>
        <w:rPr>
          <w:lang w:val="en-US"/>
        </w:rPr>
      </w:pPr>
      <w:r w:rsidRPr="00812E8B">
        <w:rPr>
          <w:lang w:val="en-US"/>
        </w:rPr>
        <w:t>T</w:t>
      </w:r>
      <w:r w:rsidR="005B6F7D" w:rsidRPr="00812E8B">
        <w:rPr>
          <w:lang w:val="en-US"/>
        </w:rPr>
        <w:t>h</w:t>
      </w:r>
      <w:r w:rsidR="00E708D2" w:rsidRPr="00812E8B">
        <w:rPr>
          <w:lang w:val="en-US"/>
        </w:rPr>
        <w:t xml:space="preserve">roughout the empirical analysis, </w:t>
      </w:r>
      <w:r w:rsidR="005B6F7D" w:rsidRPr="00812E8B">
        <w:rPr>
          <w:lang w:val="en-US"/>
        </w:rPr>
        <w:t xml:space="preserve">several choices </w:t>
      </w:r>
      <w:r w:rsidR="00E708D2" w:rsidRPr="00812E8B">
        <w:rPr>
          <w:lang w:val="en-US"/>
        </w:rPr>
        <w:t xml:space="preserve">are justified for constructing the sample and regression </w:t>
      </w:r>
      <w:r w:rsidR="00500CFE" w:rsidRPr="00812E8B">
        <w:rPr>
          <w:lang w:val="en-US"/>
        </w:rPr>
        <w:t>technique. This paragraph relaxes some of these choices to review the sensitivity of the results to the assumptions</w:t>
      </w:r>
      <w:r w:rsidR="00472D57" w:rsidRPr="00812E8B">
        <w:rPr>
          <w:lang w:val="en-US"/>
        </w:rPr>
        <w:t xml:space="preserve">. </w:t>
      </w:r>
      <w:r w:rsidR="00F048F6" w:rsidRPr="00812E8B">
        <w:rPr>
          <w:lang w:val="en-US"/>
        </w:rPr>
        <w:t xml:space="preserve">Whenever the </w:t>
      </w:r>
      <w:r w:rsidR="00472D57" w:rsidRPr="00812E8B">
        <w:rPr>
          <w:lang w:val="en-US"/>
        </w:rPr>
        <w:t xml:space="preserve">statistical procedure </w:t>
      </w:r>
      <w:r w:rsidR="00F048F6" w:rsidRPr="00812E8B">
        <w:rPr>
          <w:lang w:val="en-US"/>
        </w:rPr>
        <w:t xml:space="preserve">is </w:t>
      </w:r>
      <w:r w:rsidR="00472D57" w:rsidRPr="00812E8B">
        <w:rPr>
          <w:lang w:val="en-US"/>
        </w:rPr>
        <w:t>insensitive to the initial assumptions and choices of the model</w:t>
      </w:r>
      <w:r w:rsidR="00F048F6" w:rsidRPr="00812E8B">
        <w:rPr>
          <w:lang w:val="en-US"/>
        </w:rPr>
        <w:t>, the results are thought to be robust</w:t>
      </w:r>
      <w:r w:rsidR="00D244A9" w:rsidRPr="00812E8B">
        <w:rPr>
          <w:lang w:val="en-US"/>
        </w:rPr>
        <w:t>.</w:t>
      </w:r>
      <w:r w:rsidR="00472D57" w:rsidRPr="00812E8B">
        <w:rPr>
          <w:lang w:val="en-US"/>
        </w:rPr>
        <w:t xml:space="preserve"> </w:t>
      </w:r>
      <w:r w:rsidR="00D244A9" w:rsidRPr="00812E8B">
        <w:rPr>
          <w:lang w:val="en-US"/>
        </w:rPr>
        <w:t>Firstly,</w:t>
      </w:r>
      <w:r w:rsidR="00500CFE" w:rsidRPr="00812E8B">
        <w:rPr>
          <w:lang w:val="en-US"/>
        </w:rPr>
        <w:t xml:space="preserve"> the panel data methodology is adapted from the GMM technique to more simple regression techniques</w:t>
      </w:r>
      <w:r w:rsidR="00500CFE" w:rsidRPr="006B2E20">
        <w:rPr>
          <w:lang w:val="en-US"/>
        </w:rPr>
        <w:t>. Table 7 presents the results for a</w:t>
      </w:r>
      <w:r w:rsidR="00CF72A4" w:rsidRPr="006B2E20">
        <w:rPr>
          <w:lang w:val="en-US"/>
        </w:rPr>
        <w:t xml:space="preserve"> pooled</w:t>
      </w:r>
      <w:r w:rsidR="00500CFE" w:rsidRPr="006B2E20">
        <w:rPr>
          <w:lang w:val="en-US"/>
        </w:rPr>
        <w:t xml:space="preserve"> ordinary least s</w:t>
      </w:r>
      <w:r w:rsidR="00472D57" w:rsidRPr="006B2E20">
        <w:rPr>
          <w:lang w:val="en-US"/>
        </w:rPr>
        <w:t xml:space="preserve">quares regression and for a fixed </w:t>
      </w:r>
      <w:r w:rsidR="00500CFE" w:rsidRPr="006B2E20">
        <w:rPr>
          <w:lang w:val="en-US"/>
        </w:rPr>
        <w:t>effects regression</w:t>
      </w:r>
      <w:r w:rsidR="00500CFE" w:rsidRPr="00812E8B">
        <w:rPr>
          <w:lang w:val="en-US"/>
        </w:rPr>
        <w:t xml:space="preserve">. The coefficients are used to establish a range in which the coefficients of the GMM estimator are valid, similar to </w:t>
      </w:r>
      <w:r w:rsidR="00304525" w:rsidRPr="00812E8B">
        <w:rPr>
          <w:color w:val="365F91" w:themeColor="accent1" w:themeShade="BF"/>
          <w:lang w:val="en-US"/>
        </w:rPr>
        <w:t>Roodman (2009)</w:t>
      </w:r>
      <w:r w:rsidR="004C4D8A" w:rsidRPr="00812E8B">
        <w:rPr>
          <w:lang w:val="en-US"/>
        </w:rPr>
        <w:t>.</w:t>
      </w:r>
      <w:r w:rsidR="00500CFE" w:rsidRPr="00812E8B">
        <w:rPr>
          <w:lang w:val="en-US"/>
        </w:rPr>
        <w:t xml:space="preserve"> The </w:t>
      </w:r>
      <w:r w:rsidR="00CF72A4" w:rsidRPr="00812E8B">
        <w:rPr>
          <w:lang w:val="en-US"/>
        </w:rPr>
        <w:t xml:space="preserve">pooled </w:t>
      </w:r>
      <w:r w:rsidR="00500CFE" w:rsidRPr="00812E8B">
        <w:rPr>
          <w:lang w:val="en-US"/>
        </w:rPr>
        <w:t xml:space="preserve">OLS </w:t>
      </w:r>
      <w:r w:rsidR="003F242C" w:rsidRPr="00812E8B">
        <w:rPr>
          <w:lang w:val="en-US"/>
        </w:rPr>
        <w:t xml:space="preserve">estimators are </w:t>
      </w:r>
      <w:r w:rsidR="00500CFE" w:rsidRPr="00812E8B">
        <w:rPr>
          <w:lang w:val="en-US"/>
        </w:rPr>
        <w:t xml:space="preserve">not adjusted for non-normality, heteroscedasticity, endogeneity or autocorrelation in the disturbance term. Therefore, the p-values are </w:t>
      </w:r>
      <w:r w:rsidR="00AC5DF2" w:rsidRPr="00812E8B">
        <w:rPr>
          <w:lang w:val="en-US"/>
        </w:rPr>
        <w:t>calculated</w:t>
      </w:r>
      <w:r w:rsidR="00500CFE" w:rsidRPr="00812E8B">
        <w:rPr>
          <w:lang w:val="en-US"/>
        </w:rPr>
        <w:t xml:space="preserve"> using robust standard errors to make the hypothesis rejection area more conservative in the presence of </w:t>
      </w:r>
      <w:r w:rsidR="00F048F6" w:rsidRPr="00812E8B">
        <w:rPr>
          <w:lang w:val="en-US"/>
        </w:rPr>
        <w:t xml:space="preserve">non-independent error items and </w:t>
      </w:r>
      <w:r w:rsidR="00500CFE" w:rsidRPr="00812E8B">
        <w:rPr>
          <w:lang w:val="en-US"/>
        </w:rPr>
        <w:t>heterosced</w:t>
      </w:r>
      <w:r w:rsidR="00F048F6" w:rsidRPr="00812E8B">
        <w:rPr>
          <w:lang w:val="en-US"/>
        </w:rPr>
        <w:t>asticity</w:t>
      </w:r>
      <w:r w:rsidR="00AC5DF2" w:rsidRPr="00812E8B">
        <w:rPr>
          <w:lang w:val="en-US"/>
        </w:rPr>
        <w:t xml:space="preserve">. Furthermore, the table also </w:t>
      </w:r>
      <w:r w:rsidR="00AC5DF2" w:rsidRPr="00812E8B">
        <w:rPr>
          <w:lang w:val="en-US"/>
        </w:rPr>
        <w:lastRenderedPageBreak/>
        <w:t xml:space="preserve">reports regression estimates from the </w:t>
      </w:r>
      <w:r w:rsidR="003F242C" w:rsidRPr="00812E8B">
        <w:rPr>
          <w:lang w:val="en-US"/>
        </w:rPr>
        <w:t>fixed</w:t>
      </w:r>
      <w:r w:rsidR="00AC5DF2" w:rsidRPr="00812E8B">
        <w:rPr>
          <w:lang w:val="en-US"/>
        </w:rPr>
        <w:t xml:space="preserve"> effect</w:t>
      </w:r>
      <w:r w:rsidR="003F242C" w:rsidRPr="00812E8B">
        <w:rPr>
          <w:lang w:val="en-US"/>
        </w:rPr>
        <w:t>s</w:t>
      </w:r>
      <w:r w:rsidR="00AC5DF2" w:rsidRPr="00812E8B">
        <w:rPr>
          <w:lang w:val="en-US"/>
        </w:rPr>
        <w:t xml:space="preserve"> model in which the bank-specific effect  </w:t>
      </w:r>
      <m:oMath>
        <m:sSub>
          <m:sSubPr>
            <m:ctrlPr>
              <w:rPr>
                <w:rFonts w:ascii="Cambria Math" w:hAnsi="Cambria Math"/>
                <w:bCs/>
                <w:i/>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oMath>
      <w:r w:rsidR="00AC5DF2" w:rsidRPr="00812E8B">
        <w:rPr>
          <w:lang w:val="en-US"/>
        </w:rPr>
        <w:t xml:space="preserve"> is eliminated from the error item by using dummy variables. The </w:t>
      </w:r>
      <w:r w:rsidR="003F242C" w:rsidRPr="00812E8B">
        <w:rPr>
          <w:lang w:val="en-US"/>
        </w:rPr>
        <w:t>fixed</w:t>
      </w:r>
      <w:r w:rsidR="00AC5DF2" w:rsidRPr="00812E8B">
        <w:rPr>
          <w:lang w:val="en-US"/>
        </w:rPr>
        <w:t xml:space="preserve"> effect</w:t>
      </w:r>
      <w:r w:rsidR="003F242C" w:rsidRPr="00812E8B">
        <w:rPr>
          <w:lang w:val="en-US"/>
        </w:rPr>
        <w:t>s</w:t>
      </w:r>
      <w:r w:rsidR="00AC5DF2" w:rsidRPr="00812E8B">
        <w:rPr>
          <w:lang w:val="en-US"/>
        </w:rPr>
        <w:t xml:space="preserve"> model is a first attempt to solve the problem of endogeneity and dynamic panel bias. Note that the table does not report the coefficient for the lagged dependent variable for both models since it could severely bias the estimates for the other parameters.</w:t>
      </w:r>
      <w:r w:rsidR="003F242C" w:rsidRPr="00812E8B">
        <w:rPr>
          <w:lang w:val="en-US"/>
        </w:rPr>
        <w:t xml:space="preserve"> Incorporating the lagged dependent variable in OLS </w:t>
      </w:r>
      <w:r w:rsidR="007F5784" w:rsidRPr="00812E8B">
        <w:rPr>
          <w:lang w:val="en-US"/>
        </w:rPr>
        <w:t>or</w:t>
      </w:r>
      <w:r w:rsidR="003F242C" w:rsidRPr="00812E8B">
        <w:rPr>
          <w:lang w:val="en-US"/>
        </w:rPr>
        <w:t xml:space="preserve"> fixed effects regression</w:t>
      </w:r>
      <w:r w:rsidR="007F5784" w:rsidRPr="00812E8B">
        <w:rPr>
          <w:lang w:val="en-US"/>
        </w:rPr>
        <w:t>,</w:t>
      </w:r>
      <w:r w:rsidR="003F242C" w:rsidRPr="00812E8B">
        <w:rPr>
          <w:lang w:val="en-US"/>
        </w:rPr>
        <w:t xml:space="preserve"> introduce the problem of non-stationary and unit root (see appendix V)</w:t>
      </w:r>
      <w:r w:rsidR="007F5784" w:rsidRPr="00812E8B">
        <w:rPr>
          <w:lang w:val="en-US"/>
        </w:rPr>
        <w:t xml:space="preserve">. </w:t>
      </w:r>
      <w:r w:rsidR="00AC5DF2" w:rsidRPr="00812E8B">
        <w:rPr>
          <w:lang w:val="en-US"/>
        </w:rPr>
        <w:t xml:space="preserve">Although, both </w:t>
      </w:r>
      <w:r w:rsidR="00ED41FA" w:rsidRPr="00812E8B">
        <w:rPr>
          <w:lang w:val="en-US"/>
        </w:rPr>
        <w:t xml:space="preserve">regressions are performed with the lagged dependent variable </w:t>
      </w:r>
      <w:r w:rsidR="003F242C" w:rsidRPr="00812E8B">
        <w:rPr>
          <w:lang w:val="en-US"/>
        </w:rPr>
        <w:t xml:space="preserve">to </w:t>
      </w:r>
      <w:r w:rsidR="00472D57" w:rsidRPr="00812E8B">
        <w:rPr>
          <w:lang w:val="en-US"/>
        </w:rPr>
        <w:t xml:space="preserve">establish </w:t>
      </w:r>
      <w:r w:rsidR="003F242C" w:rsidRPr="00812E8B">
        <w:rPr>
          <w:lang w:val="en-US"/>
        </w:rPr>
        <w:t>a range in whic</w:t>
      </w:r>
      <w:r w:rsidR="00472D57" w:rsidRPr="00812E8B">
        <w:rPr>
          <w:lang w:val="en-US"/>
        </w:rPr>
        <w:t xml:space="preserve">h the parameters of the lagged dependent variable </w:t>
      </w:r>
      <w:r w:rsidR="003F242C" w:rsidRPr="00812E8B">
        <w:rPr>
          <w:lang w:val="en-US"/>
        </w:rPr>
        <w:t xml:space="preserve">should </w:t>
      </w:r>
      <w:r w:rsidR="00472D57" w:rsidRPr="00812E8B">
        <w:rPr>
          <w:lang w:val="en-US"/>
        </w:rPr>
        <w:t xml:space="preserve">fall, as </w:t>
      </w:r>
      <w:r w:rsidR="003F242C" w:rsidRPr="00812E8B">
        <w:rPr>
          <w:lang w:val="en-US"/>
        </w:rPr>
        <w:t xml:space="preserve">suggested by </w:t>
      </w:r>
      <w:r w:rsidR="00304525" w:rsidRPr="00812E8B">
        <w:rPr>
          <w:color w:val="365F91" w:themeColor="accent1" w:themeShade="BF"/>
          <w:lang w:val="en-US"/>
        </w:rPr>
        <w:t>Roodman (2009)</w:t>
      </w:r>
      <w:r w:rsidR="00472D57" w:rsidRPr="00812E8B">
        <w:rPr>
          <w:lang w:val="en-US"/>
        </w:rPr>
        <w:t xml:space="preserve">. </w:t>
      </w:r>
      <w:r w:rsidR="007F5784" w:rsidRPr="00812E8B">
        <w:rPr>
          <w:lang w:val="en-US"/>
        </w:rPr>
        <w:t>In these regressions, t</w:t>
      </w:r>
      <w:r w:rsidR="00472D57" w:rsidRPr="00812E8B">
        <w:rPr>
          <w:lang w:val="en-US"/>
        </w:rPr>
        <w:t xml:space="preserve">he coefficient for the lagged dependent </w:t>
      </w:r>
      <w:r w:rsidR="00CF72A4" w:rsidRPr="00812E8B">
        <w:rPr>
          <w:lang w:val="en-US"/>
        </w:rPr>
        <w:t>variable equals</w:t>
      </w:r>
      <w:r w:rsidR="003F242C" w:rsidRPr="00812E8B">
        <w:rPr>
          <w:lang w:val="en-US"/>
        </w:rPr>
        <w:t xml:space="preserve"> 0.3083 under OLS and 0.0428 under</w:t>
      </w:r>
      <w:r w:rsidR="00472D57" w:rsidRPr="00812E8B">
        <w:rPr>
          <w:lang w:val="en-US"/>
        </w:rPr>
        <w:t xml:space="preserve"> the</w:t>
      </w:r>
      <w:r w:rsidR="003F242C" w:rsidRPr="00812E8B">
        <w:rPr>
          <w:lang w:val="en-US"/>
        </w:rPr>
        <w:t xml:space="preserve"> fixed effects</w:t>
      </w:r>
      <w:r w:rsidR="00472D57" w:rsidRPr="00812E8B">
        <w:rPr>
          <w:lang w:val="en-US"/>
        </w:rPr>
        <w:t xml:space="preserve"> regression</w:t>
      </w:r>
      <w:r w:rsidR="007F5784" w:rsidRPr="00812E8B">
        <w:rPr>
          <w:lang w:val="en-US"/>
        </w:rPr>
        <w:t xml:space="preserve"> (</w:t>
      </w:r>
      <w:r w:rsidR="00F048F6" w:rsidRPr="00812E8B">
        <w:rPr>
          <w:lang w:val="en-US"/>
        </w:rPr>
        <w:t xml:space="preserve">note that these </w:t>
      </w:r>
      <w:r w:rsidR="007F5784" w:rsidRPr="00812E8B">
        <w:rPr>
          <w:lang w:val="en-US"/>
        </w:rPr>
        <w:t>results are not reported in the table)</w:t>
      </w:r>
      <w:r w:rsidR="00CF72A4" w:rsidRPr="00812E8B">
        <w:rPr>
          <w:lang w:val="en-US"/>
        </w:rPr>
        <w:t xml:space="preserve">. The </w:t>
      </w:r>
      <w:r w:rsidR="00F048F6" w:rsidRPr="00812E8B">
        <w:rPr>
          <w:lang w:val="en-US"/>
        </w:rPr>
        <w:t>two-step GMM technique gives an estimation of the lagged dependent variable that</w:t>
      </w:r>
      <w:r w:rsidR="00CF72A4" w:rsidRPr="00812E8B">
        <w:rPr>
          <w:lang w:val="en-US"/>
        </w:rPr>
        <w:t xml:space="preserve"> equals 0.1262</w:t>
      </w:r>
      <w:r w:rsidR="00F048F6" w:rsidRPr="00812E8B">
        <w:rPr>
          <w:lang w:val="en-US"/>
        </w:rPr>
        <w:t xml:space="preserve">. The parameter </w:t>
      </w:r>
      <w:r w:rsidR="00CF72A4" w:rsidRPr="00812E8B">
        <w:rPr>
          <w:lang w:val="en-US"/>
        </w:rPr>
        <w:t xml:space="preserve">falls within a credible range as suggested by both other regression techniques. Note that the coefficient of the lagged dependent variable under OLS and fixed effects </w:t>
      </w:r>
      <w:r w:rsidR="003F242C" w:rsidRPr="00812E8B">
        <w:rPr>
          <w:lang w:val="en-US"/>
        </w:rPr>
        <w:t xml:space="preserve">are rather a rude measure since </w:t>
      </w:r>
      <w:r w:rsidR="00472D57" w:rsidRPr="00812E8B">
        <w:rPr>
          <w:lang w:val="en-US"/>
        </w:rPr>
        <w:t xml:space="preserve">the model incorporates </w:t>
      </w:r>
      <w:r w:rsidR="003F242C" w:rsidRPr="00812E8B">
        <w:rPr>
          <w:lang w:val="en-US"/>
        </w:rPr>
        <w:t xml:space="preserve">a unit root and non-stationary process. </w:t>
      </w:r>
      <w:r w:rsidR="00DA1D91" w:rsidRPr="00812E8B">
        <w:rPr>
          <w:lang w:val="en-US"/>
        </w:rPr>
        <w:t>Under OLS the parameter for the lagged profitability is biased upwards while under the fixed effects it</w:t>
      </w:r>
      <w:r w:rsidR="00472D57" w:rsidRPr="00812E8B">
        <w:rPr>
          <w:lang w:val="en-US"/>
        </w:rPr>
        <w:t xml:space="preserve"> is the other way around. This bias </w:t>
      </w:r>
      <w:r w:rsidR="00DA1D91" w:rsidRPr="00812E8B">
        <w:rPr>
          <w:lang w:val="en-US"/>
        </w:rPr>
        <w:t>is caused by the fact that under OLS the variable is positively correlated with the erro</w:t>
      </w:r>
      <w:r w:rsidR="00472D57" w:rsidRPr="00812E8B">
        <w:rPr>
          <w:lang w:val="en-US"/>
        </w:rPr>
        <w:t>r</w:t>
      </w:r>
      <w:r w:rsidR="00DA1D91" w:rsidRPr="00812E8B">
        <w:rPr>
          <w:lang w:val="en-US"/>
        </w:rPr>
        <w:t xml:space="preserve"> item while the opposite is the case under fixed effects</w:t>
      </w:r>
      <w:r w:rsidR="00472D57" w:rsidRPr="00812E8B">
        <w:rPr>
          <w:lang w:val="en-US"/>
        </w:rPr>
        <w:t xml:space="preserve"> </w:t>
      </w:r>
      <w:r w:rsidR="00304525" w:rsidRPr="00812E8B">
        <w:rPr>
          <w:color w:val="365F91" w:themeColor="accent1" w:themeShade="BF"/>
          <w:lang w:val="en-US"/>
        </w:rPr>
        <w:t>(Roodman, 2009)</w:t>
      </w:r>
      <w:r w:rsidR="00DA1D91" w:rsidRPr="00812E8B">
        <w:rPr>
          <w:lang w:val="en-US"/>
        </w:rPr>
        <w:t xml:space="preserve">. </w:t>
      </w:r>
    </w:p>
    <w:p w:rsidR="00CF72A4" w:rsidRPr="00812E8B" w:rsidRDefault="00CF72A4" w:rsidP="00BA59AB">
      <w:pPr>
        <w:pStyle w:val="NoSpacing"/>
        <w:spacing w:line="276" w:lineRule="auto"/>
        <w:jc w:val="both"/>
        <w:rPr>
          <w:lang w:val="en-US"/>
        </w:rPr>
      </w:pPr>
    </w:p>
    <w:p w:rsidR="00944898" w:rsidRPr="00812E8B" w:rsidRDefault="00CF72A4" w:rsidP="00944898">
      <w:pPr>
        <w:pStyle w:val="NoSpacing"/>
        <w:spacing w:line="276" w:lineRule="auto"/>
        <w:jc w:val="both"/>
        <w:rPr>
          <w:color w:val="FF0000"/>
          <w:lang w:val="en-US"/>
        </w:rPr>
      </w:pPr>
      <w:r w:rsidRPr="00812E8B">
        <w:rPr>
          <w:lang w:val="en-US"/>
        </w:rPr>
        <w:t xml:space="preserve">Until now, this paragraph described the application and potential problems of the OLS and fixed effects regression; more extensively discussed in appendix V. This section </w:t>
      </w:r>
      <w:r w:rsidR="002F6643" w:rsidRPr="00812E8B">
        <w:rPr>
          <w:lang w:val="en-US"/>
        </w:rPr>
        <w:t xml:space="preserve">continues </w:t>
      </w:r>
      <w:r w:rsidR="00F048F6" w:rsidRPr="00812E8B">
        <w:rPr>
          <w:lang w:val="en-US"/>
        </w:rPr>
        <w:t>by comparing the results from the two robustness checks with the estimations from</w:t>
      </w:r>
      <w:r w:rsidRPr="00812E8B">
        <w:rPr>
          <w:lang w:val="en-US"/>
        </w:rPr>
        <w:t xml:space="preserve"> the two-step system GMM technique. </w:t>
      </w:r>
      <w:r w:rsidR="002F3D2D" w:rsidRPr="00812E8B">
        <w:rPr>
          <w:lang w:val="en-US"/>
        </w:rPr>
        <w:t xml:space="preserve">Results obtained from the </w:t>
      </w:r>
      <w:r w:rsidR="004B0FE6" w:rsidRPr="00812E8B">
        <w:rPr>
          <w:lang w:val="en-US"/>
        </w:rPr>
        <w:t xml:space="preserve">pooled </w:t>
      </w:r>
      <w:r w:rsidR="002F3D2D" w:rsidRPr="00812E8B">
        <w:rPr>
          <w:lang w:val="en-US"/>
        </w:rPr>
        <w:t xml:space="preserve">ordinary least squares regression </w:t>
      </w:r>
      <w:r w:rsidR="00876B62" w:rsidRPr="00812E8B">
        <w:rPr>
          <w:lang w:val="en-US"/>
        </w:rPr>
        <w:t xml:space="preserve">and fixed effects regression </w:t>
      </w:r>
      <w:r w:rsidR="002F3D2D" w:rsidRPr="00812E8B">
        <w:rPr>
          <w:lang w:val="en-US"/>
        </w:rPr>
        <w:t xml:space="preserve">are </w:t>
      </w:r>
      <w:r w:rsidR="004B0FE6" w:rsidRPr="00812E8B">
        <w:rPr>
          <w:lang w:val="en-US"/>
        </w:rPr>
        <w:t>very</w:t>
      </w:r>
      <w:r w:rsidR="002F3D2D" w:rsidRPr="00812E8B">
        <w:rPr>
          <w:lang w:val="en-US"/>
        </w:rPr>
        <w:t xml:space="preserve"> similar to those obtained from the </w:t>
      </w:r>
      <w:r w:rsidR="004B0FE6" w:rsidRPr="00812E8B">
        <w:rPr>
          <w:lang w:val="en-US"/>
        </w:rPr>
        <w:t>two-stem System GMM regression</w:t>
      </w:r>
      <w:r w:rsidR="00876B62" w:rsidRPr="00812E8B">
        <w:rPr>
          <w:lang w:val="en-US"/>
        </w:rPr>
        <w:t>; m</w:t>
      </w:r>
      <w:r w:rsidR="002F3D2D" w:rsidRPr="00812E8B">
        <w:rPr>
          <w:lang w:val="en-US"/>
        </w:rPr>
        <w:t>ost variables retain their sign and significance</w:t>
      </w:r>
      <w:r w:rsidR="00876B62" w:rsidRPr="00812E8B">
        <w:rPr>
          <w:lang w:val="en-US"/>
        </w:rPr>
        <w:t xml:space="preserve">. Although, there are some interesting differences to mention, starting with the pooled OLS results: (i) the variable customer deposits to total funding is significant and positive determinant of banks’ profitability (parameter equals 0.0021) and (ii) </w:t>
      </w:r>
      <w:r w:rsidR="00944898" w:rsidRPr="00812E8B">
        <w:rPr>
          <w:lang w:val="en-US"/>
        </w:rPr>
        <w:t>t</w:t>
      </w:r>
      <w:r w:rsidR="00876B62" w:rsidRPr="00812E8B">
        <w:rPr>
          <w:lang w:val="en-US"/>
        </w:rPr>
        <w:t>he variable liquid assets to short-term funding is, relatively less, significant and negative (coefficient equals -0.0003). Furthermore, from th</w:t>
      </w:r>
      <w:r w:rsidR="00944898" w:rsidRPr="00812E8B">
        <w:rPr>
          <w:lang w:val="en-US"/>
        </w:rPr>
        <w:t xml:space="preserve">e bank-specific determinants (iii) the variable interest expense on customer deposits gains a highly significant coefficient of -0.0174. Besides, the estimated coefficient of the </w:t>
      </w:r>
      <w:r w:rsidR="00876B62" w:rsidRPr="00812E8B">
        <w:rPr>
          <w:lang w:val="en-US"/>
        </w:rPr>
        <w:t xml:space="preserve">variable growth of gross loans </w:t>
      </w:r>
      <w:r w:rsidR="00944898" w:rsidRPr="00812E8B">
        <w:rPr>
          <w:lang w:val="en-US"/>
        </w:rPr>
        <w:t xml:space="preserve">(iv) </w:t>
      </w:r>
      <w:r w:rsidR="00876B62" w:rsidRPr="00812E8B">
        <w:rPr>
          <w:lang w:val="en-US"/>
        </w:rPr>
        <w:t>is very similar to the main model but now significant on a 10% level and</w:t>
      </w:r>
      <w:r w:rsidR="00944898" w:rsidRPr="00812E8B">
        <w:rPr>
          <w:lang w:val="en-US"/>
        </w:rPr>
        <w:t xml:space="preserve"> (v) also holds for the effective</w:t>
      </w:r>
      <w:r w:rsidR="00876B62" w:rsidRPr="00812E8B">
        <w:rPr>
          <w:lang w:val="en-US"/>
        </w:rPr>
        <w:t xml:space="preserve"> tax rate</w:t>
      </w:r>
      <w:r w:rsidR="00944898" w:rsidRPr="00812E8B">
        <w:rPr>
          <w:lang w:val="en-US"/>
        </w:rPr>
        <w:t xml:space="preserve">, which now </w:t>
      </w:r>
      <w:r w:rsidR="00876B62" w:rsidRPr="00812E8B">
        <w:rPr>
          <w:lang w:val="en-US"/>
        </w:rPr>
        <w:t xml:space="preserve">gains a negative parameter of -0.0004 </w:t>
      </w:r>
      <w:r w:rsidR="00944898" w:rsidRPr="00812E8B">
        <w:rPr>
          <w:lang w:val="en-US"/>
        </w:rPr>
        <w:t xml:space="preserve">only </w:t>
      </w:r>
      <w:r w:rsidR="00876B62" w:rsidRPr="00812E8B">
        <w:rPr>
          <w:lang w:val="en-US"/>
        </w:rPr>
        <w:t>significant on a 10% level.</w:t>
      </w:r>
      <w:r w:rsidR="00944898" w:rsidRPr="00812E8B">
        <w:rPr>
          <w:lang w:val="en-US"/>
        </w:rPr>
        <w:t xml:space="preserve"> The relatively less significant results for the growth of a bank, effective tax rate and liquid assets to short-term funding should be carefully threated since the violations of the assumptions under pooled OLS increase the likeliness of Type 1 and 2 errors.  Turning to the results of the fixed effects regression (least-squares dummy variables regression) significant results under pooled OLS vanish for the variables: customer deposits to total funding, liquid assets to short term funding, interest expense on customer deposits and the variable effective tax rate. Only the variable growth of gross loans has a significant positive parameter under both the pooled OLS as well as the fixed effects regression.  </w:t>
      </w:r>
    </w:p>
    <w:p w:rsidR="004F2468" w:rsidRPr="00812E8B" w:rsidRDefault="004F2468" w:rsidP="00BA59AB">
      <w:pPr>
        <w:pStyle w:val="NoSpacing"/>
        <w:spacing w:line="276" w:lineRule="auto"/>
        <w:jc w:val="both"/>
        <w:rPr>
          <w:color w:val="FF0000"/>
          <w:lang w:val="en-US"/>
        </w:rPr>
      </w:pPr>
    </w:p>
    <w:p w:rsidR="006049D3" w:rsidRPr="00812E8B" w:rsidRDefault="006550C3" w:rsidP="00746D5F">
      <w:pPr>
        <w:pStyle w:val="NoSpacing"/>
        <w:spacing w:line="276" w:lineRule="auto"/>
        <w:jc w:val="both"/>
        <w:rPr>
          <w:lang w:val="en-US"/>
        </w:rPr>
        <w:sectPr w:rsidR="006049D3" w:rsidRPr="00812E8B" w:rsidSect="00D911B8">
          <w:headerReference w:type="first" r:id="rId32"/>
          <w:endnotePr>
            <w:numFmt w:val="decimal"/>
          </w:endnotePr>
          <w:pgSz w:w="11906" w:h="16838"/>
          <w:pgMar w:top="1417" w:right="1417" w:bottom="1417" w:left="1417" w:header="708" w:footer="708" w:gutter="0"/>
          <w:cols w:space="708"/>
          <w:titlePg/>
          <w:docGrid w:linePitch="360"/>
        </w:sectPr>
      </w:pPr>
      <w:r w:rsidRPr="00812E8B">
        <w:rPr>
          <w:lang w:val="en-US"/>
        </w:rPr>
        <w:t>Secondly the GMM technique is applied in which all</w:t>
      </w:r>
      <w:r w:rsidR="00944898" w:rsidRPr="00812E8B">
        <w:rPr>
          <w:lang w:val="en-US"/>
        </w:rPr>
        <w:t xml:space="preserve"> potential pre-determined, endogenous variables are </w:t>
      </w:r>
      <w:r w:rsidR="00991044" w:rsidRPr="00812E8B">
        <w:rPr>
          <w:lang w:val="en-US"/>
        </w:rPr>
        <w:t>instrumented</w:t>
      </w:r>
      <w:r w:rsidR="00944898" w:rsidRPr="00812E8B">
        <w:rPr>
          <w:lang w:val="en-US"/>
        </w:rPr>
        <w:t xml:space="preserve"> with all lags available </w:t>
      </w:r>
      <w:r w:rsidR="00AE6F24" w:rsidRPr="00812E8B">
        <w:rPr>
          <w:lang w:val="en-US"/>
        </w:rPr>
        <w:t xml:space="preserve">similar to </w:t>
      </w:r>
      <w:r w:rsidR="00304525" w:rsidRPr="00812E8B">
        <w:rPr>
          <w:color w:val="365F91" w:themeColor="accent1" w:themeShade="BF"/>
          <w:lang w:val="en-US"/>
        </w:rPr>
        <w:t>García-Herrero et al. (2009)</w:t>
      </w:r>
      <w:r w:rsidR="00AE6F24" w:rsidRPr="00812E8B">
        <w:rPr>
          <w:lang w:val="en-US"/>
        </w:rPr>
        <w:t xml:space="preserve"> and</w:t>
      </w:r>
      <w:r w:rsidR="00746D5F" w:rsidRPr="00812E8B">
        <w:rPr>
          <w:lang w:val="en-US"/>
        </w:rPr>
        <w:t xml:space="preserve"> </w:t>
      </w:r>
      <w:r w:rsidR="00746D5F" w:rsidRPr="00812E8B">
        <w:rPr>
          <w:color w:val="365F91" w:themeColor="accent1" w:themeShade="BF"/>
          <w:lang w:val="en-US"/>
        </w:rPr>
        <w:t>Dietrich and Wanzenried (2011)</w:t>
      </w:r>
      <w:r w:rsidRPr="00812E8B">
        <w:rPr>
          <w:lang w:val="en-US"/>
        </w:rPr>
        <w:t>. Very similar to</w:t>
      </w:r>
      <w:r w:rsidR="00AE6F24" w:rsidRPr="00812E8B">
        <w:rPr>
          <w:lang w:val="en-US"/>
        </w:rPr>
        <w:t xml:space="preserve"> the aforementioned studies</w:t>
      </w:r>
      <w:r w:rsidR="00991044" w:rsidRPr="00812E8B">
        <w:rPr>
          <w:lang w:val="en-US"/>
        </w:rPr>
        <w:t>,</w:t>
      </w:r>
      <w:r w:rsidR="00AE6F24" w:rsidRPr="00812E8B">
        <w:rPr>
          <w:lang w:val="en-US"/>
        </w:rPr>
        <w:t xml:space="preserve"> </w:t>
      </w:r>
      <w:r w:rsidRPr="00812E8B">
        <w:rPr>
          <w:lang w:val="en-US"/>
        </w:rPr>
        <w:t>the GMM estimator with unrestricted lags for the instrumental variables gives a very high p-value for the Hansen test of</w:t>
      </w:r>
    </w:p>
    <w:tbl>
      <w:tblPr>
        <w:tblStyle w:val="Lichtearcering1"/>
        <w:tblpPr w:leftFromText="141" w:rightFromText="141" w:vertAnchor="page" w:horzAnchor="page" w:tblpX="661" w:tblpY="939"/>
        <w:tblW w:w="15757" w:type="dxa"/>
        <w:tblLayout w:type="fixed"/>
        <w:tblLook w:val="04A0"/>
      </w:tblPr>
      <w:tblGrid>
        <w:gridCol w:w="3539"/>
        <w:gridCol w:w="1196"/>
        <w:gridCol w:w="51"/>
        <w:gridCol w:w="704"/>
        <w:gridCol w:w="183"/>
        <w:gridCol w:w="236"/>
        <w:gridCol w:w="7"/>
        <w:gridCol w:w="1039"/>
        <w:gridCol w:w="997"/>
        <w:gridCol w:w="419"/>
        <w:gridCol w:w="7"/>
        <w:gridCol w:w="1163"/>
        <w:gridCol w:w="7"/>
        <w:gridCol w:w="997"/>
        <w:gridCol w:w="7"/>
        <w:gridCol w:w="460"/>
        <w:gridCol w:w="7"/>
        <w:gridCol w:w="1032"/>
        <w:gridCol w:w="7"/>
        <w:gridCol w:w="788"/>
        <w:gridCol w:w="7"/>
        <w:gridCol w:w="198"/>
        <w:gridCol w:w="31"/>
        <w:gridCol w:w="7"/>
        <w:gridCol w:w="344"/>
        <w:gridCol w:w="1144"/>
        <w:gridCol w:w="45"/>
        <w:gridCol w:w="799"/>
        <w:gridCol w:w="7"/>
        <w:gridCol w:w="38"/>
        <w:gridCol w:w="246"/>
        <w:gridCol w:w="7"/>
        <w:gridCol w:w="38"/>
      </w:tblGrid>
      <w:tr w:rsidR="0074508B" w:rsidRPr="005F4A48" w:rsidTr="00B46A9C">
        <w:trPr>
          <w:cnfStyle w:val="100000000000"/>
          <w:trHeight w:val="269"/>
        </w:trPr>
        <w:tc>
          <w:tcPr>
            <w:cnfStyle w:val="001000000000"/>
            <w:tcW w:w="3539" w:type="dxa"/>
            <w:tcBorders>
              <w:top w:val="single" w:sz="4" w:space="0" w:color="auto"/>
              <w:bottom w:val="nil"/>
            </w:tcBorders>
            <w:shd w:val="clear" w:color="auto" w:fill="auto"/>
          </w:tcPr>
          <w:p w:rsidR="0074508B" w:rsidRPr="00812E8B" w:rsidRDefault="0074508B" w:rsidP="00B46A9C">
            <w:pPr>
              <w:pStyle w:val="NoSpacing"/>
              <w:spacing w:line="276" w:lineRule="auto"/>
              <w:ind w:left="252"/>
              <w:jc w:val="both"/>
              <w:rPr>
                <w:b w:val="0"/>
                <w:color w:val="auto"/>
                <w:lang w:val="en-US"/>
              </w:rPr>
            </w:pPr>
            <w:bookmarkStart w:id="41" w:name="_Toc305410559"/>
          </w:p>
        </w:tc>
        <w:tc>
          <w:tcPr>
            <w:tcW w:w="1951" w:type="dxa"/>
            <w:gridSpan w:val="3"/>
            <w:tcBorders>
              <w:top w:val="single" w:sz="4" w:space="0" w:color="auto"/>
              <w:bottom w:val="single" w:sz="4" w:space="0" w:color="auto"/>
            </w:tcBorders>
            <w:shd w:val="clear" w:color="auto" w:fill="auto"/>
          </w:tcPr>
          <w:p w:rsidR="0074508B" w:rsidRPr="00812E8B" w:rsidRDefault="0074508B" w:rsidP="00B46A9C">
            <w:pPr>
              <w:pStyle w:val="NoSpacing"/>
              <w:spacing w:line="276" w:lineRule="auto"/>
              <w:ind w:left="34"/>
              <w:jc w:val="both"/>
              <w:cnfStyle w:val="100000000000"/>
              <w:rPr>
                <w:b w:val="0"/>
                <w:lang w:val="en-US"/>
              </w:rPr>
            </w:pPr>
            <w:r w:rsidRPr="00812E8B">
              <w:rPr>
                <w:b w:val="0"/>
                <w:lang w:val="en-US"/>
              </w:rPr>
              <w:t>Model 1: Ordinary</w:t>
            </w:r>
          </w:p>
          <w:p w:rsidR="0074508B" w:rsidRPr="00812E8B" w:rsidRDefault="0074508B" w:rsidP="00B46A9C">
            <w:pPr>
              <w:pStyle w:val="NoSpacing"/>
              <w:spacing w:line="276" w:lineRule="auto"/>
              <w:ind w:left="34"/>
              <w:jc w:val="both"/>
              <w:cnfStyle w:val="100000000000"/>
              <w:rPr>
                <w:b w:val="0"/>
                <w:lang w:val="en-US"/>
              </w:rPr>
            </w:pPr>
            <w:r w:rsidRPr="00812E8B">
              <w:rPr>
                <w:b w:val="0"/>
                <w:lang w:val="en-US"/>
              </w:rPr>
              <w:t>least squares</w:t>
            </w:r>
          </w:p>
        </w:tc>
        <w:tc>
          <w:tcPr>
            <w:tcW w:w="426" w:type="dxa"/>
            <w:gridSpan w:val="3"/>
            <w:tcBorders>
              <w:top w:val="single" w:sz="4" w:space="0" w:color="auto"/>
              <w:bottom w:val="nil"/>
            </w:tcBorders>
          </w:tcPr>
          <w:p w:rsidR="0074508B" w:rsidRPr="00812E8B" w:rsidRDefault="0074508B" w:rsidP="00B46A9C">
            <w:pPr>
              <w:pStyle w:val="NoSpacing"/>
              <w:spacing w:line="276" w:lineRule="auto"/>
              <w:ind w:left="252"/>
              <w:jc w:val="both"/>
              <w:cnfStyle w:val="100000000000"/>
              <w:rPr>
                <w:b w:val="0"/>
                <w:lang w:val="en-US"/>
              </w:rPr>
            </w:pPr>
          </w:p>
        </w:tc>
        <w:tc>
          <w:tcPr>
            <w:tcW w:w="2036" w:type="dxa"/>
            <w:gridSpan w:val="2"/>
            <w:tcBorders>
              <w:top w:val="single" w:sz="4" w:space="0" w:color="auto"/>
              <w:bottom w:val="single" w:sz="4" w:space="0" w:color="auto"/>
            </w:tcBorders>
          </w:tcPr>
          <w:p w:rsidR="0074508B" w:rsidRPr="00812E8B" w:rsidRDefault="0074508B" w:rsidP="00B46A9C">
            <w:pPr>
              <w:pStyle w:val="NoSpacing"/>
              <w:spacing w:line="276" w:lineRule="auto"/>
              <w:jc w:val="both"/>
              <w:cnfStyle w:val="100000000000"/>
              <w:rPr>
                <w:b w:val="0"/>
                <w:lang w:val="en-US"/>
              </w:rPr>
            </w:pPr>
            <w:r w:rsidRPr="00812E8B">
              <w:rPr>
                <w:b w:val="0"/>
                <w:lang w:val="en-US"/>
              </w:rPr>
              <w:t>Model 2:</w:t>
            </w:r>
          </w:p>
          <w:p w:rsidR="0074508B" w:rsidRPr="00812E8B" w:rsidRDefault="0074508B" w:rsidP="00B46A9C">
            <w:pPr>
              <w:pStyle w:val="NoSpacing"/>
              <w:spacing w:line="276" w:lineRule="auto"/>
              <w:jc w:val="both"/>
              <w:cnfStyle w:val="100000000000"/>
              <w:rPr>
                <w:b w:val="0"/>
                <w:lang w:val="en-US"/>
              </w:rPr>
            </w:pPr>
            <w:r w:rsidRPr="00812E8B">
              <w:rPr>
                <w:b w:val="0"/>
                <w:lang w:val="en-US"/>
              </w:rPr>
              <w:t>Fixed effects</w:t>
            </w:r>
          </w:p>
        </w:tc>
        <w:tc>
          <w:tcPr>
            <w:tcW w:w="426" w:type="dxa"/>
            <w:gridSpan w:val="2"/>
            <w:tcBorders>
              <w:top w:val="single" w:sz="4" w:space="0" w:color="auto"/>
              <w:bottom w:val="nil"/>
            </w:tcBorders>
          </w:tcPr>
          <w:p w:rsidR="0074508B" w:rsidRPr="00812E8B" w:rsidRDefault="0074508B" w:rsidP="00B46A9C">
            <w:pPr>
              <w:pStyle w:val="NoSpacing"/>
              <w:spacing w:line="276" w:lineRule="auto"/>
              <w:ind w:left="252"/>
              <w:jc w:val="both"/>
              <w:cnfStyle w:val="100000000000"/>
              <w:rPr>
                <w:b w:val="0"/>
                <w:lang w:val="en-US"/>
              </w:rPr>
            </w:pPr>
          </w:p>
        </w:tc>
        <w:tc>
          <w:tcPr>
            <w:tcW w:w="2174" w:type="dxa"/>
            <w:gridSpan w:val="4"/>
            <w:tcBorders>
              <w:top w:val="single" w:sz="4" w:space="0" w:color="auto"/>
              <w:bottom w:val="single" w:sz="4" w:space="0" w:color="auto"/>
            </w:tcBorders>
            <w:shd w:val="clear" w:color="auto" w:fill="auto"/>
          </w:tcPr>
          <w:p w:rsidR="0074508B" w:rsidRPr="00812E8B" w:rsidRDefault="0074508B" w:rsidP="00B46A9C">
            <w:pPr>
              <w:pStyle w:val="NoSpacing"/>
              <w:spacing w:line="276" w:lineRule="auto"/>
              <w:jc w:val="both"/>
              <w:cnfStyle w:val="100000000000"/>
              <w:rPr>
                <w:b w:val="0"/>
                <w:lang w:val="en-US"/>
              </w:rPr>
            </w:pPr>
            <w:r w:rsidRPr="00812E8B">
              <w:rPr>
                <w:b w:val="0"/>
                <w:lang w:val="en-US"/>
              </w:rPr>
              <w:t>Model 3: GMM all</w:t>
            </w:r>
          </w:p>
          <w:p w:rsidR="0074508B" w:rsidRPr="00812E8B" w:rsidRDefault="0074508B" w:rsidP="00B46A9C">
            <w:pPr>
              <w:pStyle w:val="NoSpacing"/>
              <w:spacing w:line="276" w:lineRule="auto"/>
              <w:jc w:val="both"/>
              <w:cnfStyle w:val="100000000000"/>
              <w:rPr>
                <w:b w:val="0"/>
                <w:lang w:val="en-US"/>
              </w:rPr>
            </w:pPr>
            <w:r w:rsidRPr="00812E8B">
              <w:rPr>
                <w:b w:val="0"/>
                <w:lang w:val="en-US"/>
              </w:rPr>
              <w:t>available instruments</w:t>
            </w:r>
          </w:p>
        </w:tc>
        <w:tc>
          <w:tcPr>
            <w:tcW w:w="467" w:type="dxa"/>
            <w:gridSpan w:val="2"/>
            <w:tcBorders>
              <w:top w:val="single" w:sz="4" w:space="0" w:color="auto"/>
              <w:bottom w:val="nil"/>
            </w:tcBorders>
            <w:shd w:val="clear" w:color="auto" w:fill="auto"/>
          </w:tcPr>
          <w:p w:rsidR="0074508B" w:rsidRPr="00812E8B" w:rsidRDefault="0074508B" w:rsidP="00B46A9C">
            <w:pPr>
              <w:pStyle w:val="NoSpacing"/>
              <w:spacing w:line="276" w:lineRule="auto"/>
              <w:ind w:left="252"/>
              <w:jc w:val="both"/>
              <w:cnfStyle w:val="100000000000"/>
              <w:rPr>
                <w:b w:val="0"/>
                <w:lang w:val="en-US"/>
              </w:rPr>
            </w:pPr>
          </w:p>
        </w:tc>
        <w:tc>
          <w:tcPr>
            <w:tcW w:w="2032" w:type="dxa"/>
            <w:gridSpan w:val="5"/>
            <w:tcBorders>
              <w:top w:val="single" w:sz="4" w:space="0" w:color="auto"/>
              <w:bottom w:val="single" w:sz="4" w:space="0" w:color="auto"/>
            </w:tcBorders>
          </w:tcPr>
          <w:p w:rsidR="0074508B" w:rsidRPr="00812E8B" w:rsidRDefault="0074508B" w:rsidP="00B46A9C">
            <w:pPr>
              <w:pStyle w:val="NoSpacing"/>
              <w:spacing w:line="276" w:lineRule="auto"/>
              <w:ind w:left="-44" w:right="-144"/>
              <w:jc w:val="both"/>
              <w:cnfStyle w:val="100000000000"/>
              <w:rPr>
                <w:b w:val="0"/>
                <w:lang w:val="en-US"/>
              </w:rPr>
            </w:pPr>
            <w:r w:rsidRPr="00812E8B">
              <w:rPr>
                <w:b w:val="0"/>
                <w:lang w:val="en-US"/>
              </w:rPr>
              <w:t xml:space="preserve">Model 4: GMM </w:t>
            </w:r>
          </w:p>
          <w:p w:rsidR="0074508B" w:rsidRPr="00812E8B" w:rsidRDefault="0074508B" w:rsidP="00B46A9C">
            <w:pPr>
              <w:pStyle w:val="NoSpacing"/>
              <w:spacing w:line="276" w:lineRule="auto"/>
              <w:jc w:val="both"/>
              <w:cnfStyle w:val="100000000000"/>
              <w:rPr>
                <w:b w:val="0"/>
                <w:lang w:val="en-US"/>
              </w:rPr>
            </w:pPr>
            <w:r w:rsidRPr="00812E8B">
              <w:rPr>
                <w:b w:val="0"/>
                <w:lang w:val="en-US"/>
              </w:rPr>
              <w:t>removal of outliers</w:t>
            </w:r>
          </w:p>
        </w:tc>
        <w:tc>
          <w:tcPr>
            <w:tcW w:w="382" w:type="dxa"/>
            <w:gridSpan w:val="3"/>
            <w:tcBorders>
              <w:top w:val="single" w:sz="4" w:space="0" w:color="auto"/>
              <w:bottom w:val="nil"/>
            </w:tcBorders>
          </w:tcPr>
          <w:p w:rsidR="0074508B" w:rsidRPr="00812E8B" w:rsidRDefault="0074508B" w:rsidP="00B46A9C">
            <w:pPr>
              <w:pStyle w:val="NoSpacing"/>
              <w:spacing w:line="276" w:lineRule="auto"/>
              <w:ind w:left="252"/>
              <w:jc w:val="both"/>
              <w:cnfStyle w:val="100000000000"/>
              <w:rPr>
                <w:b w:val="0"/>
                <w:lang w:val="en-US"/>
              </w:rPr>
            </w:pPr>
          </w:p>
        </w:tc>
        <w:tc>
          <w:tcPr>
            <w:tcW w:w="2324" w:type="dxa"/>
            <w:gridSpan w:val="8"/>
            <w:tcBorders>
              <w:top w:val="single" w:sz="4" w:space="0" w:color="auto"/>
              <w:bottom w:val="single" w:sz="4" w:space="0" w:color="auto"/>
            </w:tcBorders>
          </w:tcPr>
          <w:p w:rsidR="0074508B" w:rsidRPr="00812E8B" w:rsidRDefault="0074508B" w:rsidP="00B46A9C">
            <w:pPr>
              <w:pStyle w:val="NoSpacing"/>
              <w:spacing w:line="276" w:lineRule="auto"/>
              <w:ind w:left="17"/>
              <w:jc w:val="both"/>
              <w:cnfStyle w:val="100000000000"/>
              <w:rPr>
                <w:b w:val="0"/>
                <w:lang w:val="en-US"/>
              </w:rPr>
            </w:pPr>
            <w:r w:rsidRPr="00812E8B">
              <w:rPr>
                <w:b w:val="0"/>
                <w:lang w:val="en-US"/>
              </w:rPr>
              <w:t>Model 5: GGM sample (un)consolidated</w:t>
            </w:r>
          </w:p>
        </w:tc>
      </w:tr>
      <w:tr w:rsidR="00067BCC" w:rsidRPr="00812E8B" w:rsidTr="00B46A9C">
        <w:trPr>
          <w:gridAfter w:val="2"/>
          <w:cnfStyle w:val="000000100000"/>
          <w:wAfter w:w="45" w:type="dxa"/>
          <w:trHeight w:val="430"/>
        </w:trPr>
        <w:tc>
          <w:tcPr>
            <w:cnfStyle w:val="001000000000"/>
            <w:tcW w:w="3539" w:type="dxa"/>
            <w:tcBorders>
              <w:top w:val="nil"/>
              <w:bottom w:val="single" w:sz="4" w:space="0" w:color="auto"/>
            </w:tcBorders>
            <w:shd w:val="clear" w:color="auto" w:fill="auto"/>
          </w:tcPr>
          <w:p w:rsidR="0074508B" w:rsidRPr="00812E8B" w:rsidRDefault="0074508B" w:rsidP="00B46A9C">
            <w:pPr>
              <w:pStyle w:val="NoSpacing"/>
              <w:spacing w:line="276" w:lineRule="auto"/>
              <w:ind w:left="252"/>
              <w:jc w:val="both"/>
              <w:rPr>
                <w:color w:val="auto"/>
                <w:lang w:val="en-US"/>
              </w:rPr>
            </w:pPr>
          </w:p>
        </w:tc>
        <w:tc>
          <w:tcPr>
            <w:tcW w:w="1196" w:type="dxa"/>
            <w:tcBorders>
              <w:top w:val="single" w:sz="4" w:space="0" w:color="auto"/>
              <w:bottom w:val="single" w:sz="4" w:space="0" w:color="auto"/>
            </w:tcBorders>
            <w:shd w:val="clear" w:color="auto" w:fill="auto"/>
          </w:tcPr>
          <w:p w:rsidR="0074508B" w:rsidRPr="00812E8B" w:rsidRDefault="0074508B" w:rsidP="00B46A9C">
            <w:pPr>
              <w:pStyle w:val="NoSpacing"/>
              <w:spacing w:line="276" w:lineRule="auto"/>
              <w:ind w:left="62" w:right="-165"/>
              <w:cnfStyle w:val="000000100000"/>
              <w:rPr>
                <w:lang w:val="en-US"/>
              </w:rPr>
            </w:pPr>
            <w:r w:rsidRPr="00812E8B">
              <w:rPr>
                <w:lang w:val="en-US"/>
              </w:rPr>
              <w:t>Coeff est.</w:t>
            </w:r>
          </w:p>
        </w:tc>
        <w:tc>
          <w:tcPr>
            <w:tcW w:w="755" w:type="dxa"/>
            <w:gridSpan w:val="2"/>
            <w:tcBorders>
              <w:top w:val="single" w:sz="4" w:space="0" w:color="auto"/>
              <w:bottom w:val="single" w:sz="4" w:space="0" w:color="auto"/>
            </w:tcBorders>
            <w:shd w:val="clear" w:color="auto" w:fill="auto"/>
          </w:tcPr>
          <w:p w:rsidR="0074508B" w:rsidRPr="00812E8B" w:rsidRDefault="0074508B" w:rsidP="00B46A9C">
            <w:pPr>
              <w:pStyle w:val="NoSpacing"/>
              <w:tabs>
                <w:tab w:val="left" w:pos="34"/>
              </w:tabs>
              <w:spacing w:line="276" w:lineRule="auto"/>
              <w:ind w:right="-255"/>
              <w:cnfStyle w:val="000000100000"/>
              <w:rPr>
                <w:lang w:val="en-US"/>
              </w:rPr>
            </w:pPr>
            <w:r w:rsidRPr="00812E8B">
              <w:rPr>
                <w:lang w:val="en-US"/>
              </w:rPr>
              <w:t>p-value</w:t>
            </w:r>
          </w:p>
        </w:tc>
        <w:tc>
          <w:tcPr>
            <w:tcW w:w="426" w:type="dxa"/>
            <w:gridSpan w:val="3"/>
            <w:tcBorders>
              <w:top w:val="nil"/>
              <w:bottom w:val="single" w:sz="4" w:space="0" w:color="auto"/>
            </w:tcBorders>
            <w:shd w:val="clear" w:color="auto" w:fill="auto"/>
          </w:tcPr>
          <w:p w:rsidR="0074508B" w:rsidRPr="00812E8B" w:rsidRDefault="0074508B" w:rsidP="00B46A9C">
            <w:pPr>
              <w:pStyle w:val="NoSpacing"/>
              <w:spacing w:line="276" w:lineRule="auto"/>
              <w:ind w:left="38"/>
              <w:cnfStyle w:val="000000100000"/>
              <w:rPr>
                <w:lang w:val="en-US"/>
              </w:rPr>
            </w:pPr>
          </w:p>
        </w:tc>
        <w:tc>
          <w:tcPr>
            <w:tcW w:w="1039" w:type="dxa"/>
            <w:tcBorders>
              <w:top w:val="single" w:sz="4" w:space="0" w:color="auto"/>
              <w:bottom w:val="single" w:sz="4" w:space="0" w:color="auto"/>
            </w:tcBorders>
            <w:shd w:val="clear" w:color="auto" w:fill="auto"/>
          </w:tcPr>
          <w:p w:rsidR="0074508B" w:rsidRPr="00812E8B" w:rsidRDefault="0074508B" w:rsidP="00B46A9C">
            <w:pPr>
              <w:pStyle w:val="NoSpacing"/>
              <w:spacing w:line="276" w:lineRule="auto"/>
              <w:ind w:left="62" w:right="-216"/>
              <w:cnfStyle w:val="000000100000"/>
              <w:rPr>
                <w:lang w:val="en-US"/>
              </w:rPr>
            </w:pPr>
            <w:r w:rsidRPr="00812E8B">
              <w:rPr>
                <w:lang w:val="en-US"/>
              </w:rPr>
              <w:t>Coeff est.</w:t>
            </w:r>
          </w:p>
        </w:tc>
        <w:tc>
          <w:tcPr>
            <w:tcW w:w="997" w:type="dxa"/>
            <w:tcBorders>
              <w:top w:val="single" w:sz="4" w:space="0" w:color="auto"/>
              <w:bottom w:val="single" w:sz="4" w:space="0" w:color="auto"/>
            </w:tcBorders>
            <w:shd w:val="clear" w:color="auto" w:fill="auto"/>
          </w:tcPr>
          <w:p w:rsidR="0074508B" w:rsidRPr="00812E8B" w:rsidRDefault="0074508B" w:rsidP="00B46A9C">
            <w:pPr>
              <w:pStyle w:val="NoSpacing"/>
              <w:tabs>
                <w:tab w:val="left" w:pos="34"/>
              </w:tabs>
              <w:spacing w:line="276" w:lineRule="auto"/>
              <w:ind w:right="-91"/>
              <w:cnfStyle w:val="000000100000"/>
              <w:rPr>
                <w:lang w:val="en-US"/>
              </w:rPr>
            </w:pPr>
            <w:r w:rsidRPr="00812E8B">
              <w:rPr>
                <w:lang w:val="en-US"/>
              </w:rPr>
              <w:t>p-value</w:t>
            </w:r>
          </w:p>
        </w:tc>
        <w:tc>
          <w:tcPr>
            <w:tcW w:w="426" w:type="dxa"/>
            <w:gridSpan w:val="2"/>
            <w:tcBorders>
              <w:top w:val="nil"/>
              <w:bottom w:val="single" w:sz="4" w:space="0" w:color="auto"/>
            </w:tcBorders>
            <w:shd w:val="clear" w:color="auto" w:fill="auto"/>
          </w:tcPr>
          <w:p w:rsidR="0074508B" w:rsidRPr="00812E8B" w:rsidRDefault="0074508B" w:rsidP="00B46A9C">
            <w:pPr>
              <w:pStyle w:val="NoSpacing"/>
              <w:tabs>
                <w:tab w:val="left" w:pos="34"/>
              </w:tabs>
              <w:spacing w:line="276" w:lineRule="auto"/>
              <w:cnfStyle w:val="000000100000"/>
              <w:rPr>
                <w:lang w:val="en-US"/>
              </w:rPr>
            </w:pPr>
          </w:p>
        </w:tc>
        <w:tc>
          <w:tcPr>
            <w:tcW w:w="1170" w:type="dxa"/>
            <w:gridSpan w:val="2"/>
            <w:tcBorders>
              <w:top w:val="single" w:sz="4" w:space="0" w:color="auto"/>
              <w:bottom w:val="single" w:sz="4" w:space="0" w:color="auto"/>
            </w:tcBorders>
            <w:shd w:val="clear" w:color="auto" w:fill="auto"/>
          </w:tcPr>
          <w:p w:rsidR="0074508B" w:rsidRPr="00812E8B" w:rsidRDefault="0074508B" w:rsidP="00B46A9C">
            <w:pPr>
              <w:pStyle w:val="NoSpacing"/>
              <w:spacing w:line="276" w:lineRule="auto"/>
              <w:ind w:left="62" w:right="-108"/>
              <w:cnfStyle w:val="000000100000"/>
              <w:rPr>
                <w:lang w:val="en-US"/>
              </w:rPr>
            </w:pPr>
            <w:r w:rsidRPr="00812E8B">
              <w:rPr>
                <w:lang w:val="en-US"/>
              </w:rPr>
              <w:t>Coeff est.</w:t>
            </w:r>
          </w:p>
        </w:tc>
        <w:tc>
          <w:tcPr>
            <w:tcW w:w="1004" w:type="dxa"/>
            <w:gridSpan w:val="2"/>
            <w:tcBorders>
              <w:top w:val="single" w:sz="4" w:space="0" w:color="auto"/>
              <w:bottom w:val="single" w:sz="4" w:space="0" w:color="auto"/>
            </w:tcBorders>
            <w:shd w:val="clear" w:color="auto" w:fill="auto"/>
          </w:tcPr>
          <w:p w:rsidR="0074508B" w:rsidRPr="00812E8B" w:rsidRDefault="0074508B" w:rsidP="00B46A9C">
            <w:pPr>
              <w:pStyle w:val="NoSpacing"/>
              <w:tabs>
                <w:tab w:val="left" w:pos="34"/>
              </w:tabs>
              <w:spacing w:line="276" w:lineRule="auto"/>
              <w:cnfStyle w:val="000000100000"/>
              <w:rPr>
                <w:lang w:val="en-US"/>
              </w:rPr>
            </w:pPr>
            <w:r w:rsidRPr="00812E8B">
              <w:rPr>
                <w:lang w:val="en-US"/>
              </w:rPr>
              <w:t>p-value</w:t>
            </w:r>
          </w:p>
        </w:tc>
        <w:tc>
          <w:tcPr>
            <w:tcW w:w="467" w:type="dxa"/>
            <w:gridSpan w:val="2"/>
            <w:tcBorders>
              <w:top w:val="nil"/>
              <w:bottom w:val="single" w:sz="4" w:space="0" w:color="auto"/>
            </w:tcBorders>
            <w:shd w:val="clear" w:color="auto" w:fill="auto"/>
          </w:tcPr>
          <w:p w:rsidR="0074508B" w:rsidRPr="00812E8B" w:rsidRDefault="0074508B" w:rsidP="00B46A9C">
            <w:pPr>
              <w:pStyle w:val="NoSpacing"/>
              <w:tabs>
                <w:tab w:val="left" w:pos="34"/>
              </w:tabs>
              <w:spacing w:line="276" w:lineRule="auto"/>
              <w:cnfStyle w:val="000000100000"/>
              <w:rPr>
                <w:lang w:val="en-US"/>
              </w:rPr>
            </w:pPr>
          </w:p>
        </w:tc>
        <w:tc>
          <w:tcPr>
            <w:tcW w:w="1039" w:type="dxa"/>
            <w:gridSpan w:val="2"/>
            <w:tcBorders>
              <w:top w:val="single" w:sz="4" w:space="0" w:color="auto"/>
              <w:bottom w:val="single" w:sz="4" w:space="0" w:color="auto"/>
            </w:tcBorders>
            <w:shd w:val="clear" w:color="auto" w:fill="auto"/>
          </w:tcPr>
          <w:p w:rsidR="0074508B" w:rsidRPr="00812E8B" w:rsidRDefault="0074508B" w:rsidP="00B46A9C">
            <w:pPr>
              <w:pStyle w:val="NoSpacing"/>
              <w:spacing w:line="276" w:lineRule="auto"/>
              <w:ind w:left="62" w:right="-108"/>
              <w:cnfStyle w:val="000000100000"/>
              <w:rPr>
                <w:lang w:val="en-US"/>
              </w:rPr>
            </w:pPr>
            <w:r w:rsidRPr="00812E8B">
              <w:rPr>
                <w:lang w:val="en-US"/>
              </w:rPr>
              <w:t>Coeff est.</w:t>
            </w:r>
          </w:p>
        </w:tc>
        <w:tc>
          <w:tcPr>
            <w:tcW w:w="795" w:type="dxa"/>
            <w:gridSpan w:val="2"/>
            <w:tcBorders>
              <w:top w:val="single" w:sz="4" w:space="0" w:color="auto"/>
              <w:bottom w:val="single" w:sz="4" w:space="0" w:color="auto"/>
            </w:tcBorders>
            <w:shd w:val="clear" w:color="auto" w:fill="auto"/>
          </w:tcPr>
          <w:p w:rsidR="0074508B" w:rsidRPr="00812E8B" w:rsidRDefault="0074508B" w:rsidP="00B46A9C">
            <w:pPr>
              <w:pStyle w:val="NoSpacing"/>
              <w:tabs>
                <w:tab w:val="left" w:pos="34"/>
              </w:tabs>
              <w:spacing w:line="276" w:lineRule="auto"/>
              <w:ind w:right="-120"/>
              <w:cnfStyle w:val="000000100000"/>
              <w:rPr>
                <w:lang w:val="en-US"/>
              </w:rPr>
            </w:pPr>
            <w:r w:rsidRPr="00812E8B">
              <w:rPr>
                <w:lang w:val="en-US"/>
              </w:rPr>
              <w:t>p-value</w:t>
            </w:r>
          </w:p>
        </w:tc>
        <w:tc>
          <w:tcPr>
            <w:tcW w:w="236" w:type="dxa"/>
            <w:gridSpan w:val="3"/>
            <w:tcBorders>
              <w:top w:val="single" w:sz="4" w:space="0" w:color="auto"/>
              <w:bottom w:val="single" w:sz="4" w:space="0" w:color="auto"/>
            </w:tcBorders>
            <w:shd w:val="clear" w:color="auto" w:fill="auto"/>
          </w:tcPr>
          <w:p w:rsidR="0074508B" w:rsidRPr="00812E8B" w:rsidRDefault="0074508B" w:rsidP="00B46A9C">
            <w:pPr>
              <w:pStyle w:val="NoSpacing"/>
              <w:tabs>
                <w:tab w:val="left" w:pos="34"/>
              </w:tabs>
              <w:spacing w:line="276" w:lineRule="auto"/>
              <w:cnfStyle w:val="000000100000"/>
              <w:rPr>
                <w:lang w:val="en-US"/>
              </w:rPr>
            </w:pPr>
          </w:p>
        </w:tc>
        <w:tc>
          <w:tcPr>
            <w:tcW w:w="344" w:type="dxa"/>
            <w:tcBorders>
              <w:top w:val="nil"/>
              <w:bottom w:val="single" w:sz="4" w:space="0" w:color="auto"/>
            </w:tcBorders>
            <w:shd w:val="clear" w:color="auto" w:fill="auto"/>
          </w:tcPr>
          <w:p w:rsidR="0074508B" w:rsidRPr="00812E8B" w:rsidRDefault="0074508B" w:rsidP="00B46A9C">
            <w:pPr>
              <w:pStyle w:val="NoSpacing"/>
              <w:tabs>
                <w:tab w:val="left" w:pos="34"/>
              </w:tabs>
              <w:spacing w:line="276" w:lineRule="auto"/>
              <w:cnfStyle w:val="000000100000"/>
              <w:rPr>
                <w:lang w:val="en-US"/>
              </w:rPr>
            </w:pPr>
          </w:p>
        </w:tc>
        <w:tc>
          <w:tcPr>
            <w:tcW w:w="1144" w:type="dxa"/>
            <w:tcBorders>
              <w:top w:val="single" w:sz="4" w:space="0" w:color="auto"/>
              <w:bottom w:val="single" w:sz="4" w:space="0" w:color="auto"/>
            </w:tcBorders>
            <w:shd w:val="clear" w:color="auto" w:fill="auto"/>
          </w:tcPr>
          <w:p w:rsidR="0074508B" w:rsidRPr="00812E8B" w:rsidRDefault="0074508B" w:rsidP="00B46A9C">
            <w:pPr>
              <w:pStyle w:val="NoSpacing"/>
              <w:spacing w:line="276" w:lineRule="auto"/>
              <w:ind w:left="62" w:right="-108"/>
              <w:cnfStyle w:val="000000100000"/>
              <w:rPr>
                <w:lang w:val="en-US"/>
              </w:rPr>
            </w:pPr>
            <w:r w:rsidRPr="00812E8B">
              <w:rPr>
                <w:lang w:val="en-US"/>
              </w:rPr>
              <w:t>Coeff est.</w:t>
            </w:r>
          </w:p>
        </w:tc>
        <w:tc>
          <w:tcPr>
            <w:tcW w:w="844" w:type="dxa"/>
            <w:gridSpan w:val="2"/>
            <w:tcBorders>
              <w:top w:val="single" w:sz="4" w:space="0" w:color="auto"/>
              <w:bottom w:val="single" w:sz="4" w:space="0" w:color="auto"/>
            </w:tcBorders>
            <w:shd w:val="clear" w:color="auto" w:fill="auto"/>
          </w:tcPr>
          <w:p w:rsidR="0074508B" w:rsidRPr="00812E8B" w:rsidRDefault="0074508B" w:rsidP="00B46A9C">
            <w:pPr>
              <w:pStyle w:val="NoSpacing"/>
              <w:tabs>
                <w:tab w:val="left" w:pos="34"/>
              </w:tabs>
              <w:spacing w:line="276" w:lineRule="auto"/>
              <w:ind w:right="-120"/>
              <w:cnfStyle w:val="000000100000"/>
              <w:rPr>
                <w:lang w:val="en-US"/>
              </w:rPr>
            </w:pPr>
            <w:r w:rsidRPr="00812E8B">
              <w:rPr>
                <w:lang w:val="en-US"/>
              </w:rPr>
              <w:t>p-value</w:t>
            </w:r>
          </w:p>
        </w:tc>
        <w:tc>
          <w:tcPr>
            <w:tcW w:w="291" w:type="dxa"/>
            <w:gridSpan w:val="3"/>
            <w:tcBorders>
              <w:top w:val="nil"/>
              <w:bottom w:val="single" w:sz="4" w:space="0" w:color="auto"/>
            </w:tcBorders>
            <w:shd w:val="clear" w:color="auto" w:fill="auto"/>
          </w:tcPr>
          <w:p w:rsidR="0074508B" w:rsidRPr="00812E8B" w:rsidRDefault="0074508B" w:rsidP="00B46A9C">
            <w:pPr>
              <w:pStyle w:val="NoSpacing"/>
              <w:tabs>
                <w:tab w:val="left" w:pos="34"/>
              </w:tabs>
              <w:spacing w:line="276" w:lineRule="auto"/>
              <w:ind w:right="-120"/>
              <w:cnfStyle w:val="000000100000"/>
              <w:rPr>
                <w:lang w:val="en-US"/>
              </w:rPr>
            </w:pPr>
          </w:p>
        </w:tc>
      </w:tr>
      <w:tr w:rsidR="0074508B" w:rsidRPr="00812E8B" w:rsidTr="00B46A9C">
        <w:trPr>
          <w:gridAfter w:val="2"/>
          <w:wAfter w:w="45" w:type="dxa"/>
        </w:trPr>
        <w:tc>
          <w:tcPr>
            <w:cnfStyle w:val="001000000000"/>
            <w:tcW w:w="3539" w:type="dxa"/>
            <w:tcBorders>
              <w:top w:val="single" w:sz="4" w:space="0" w:color="auto"/>
            </w:tcBorders>
            <w:shd w:val="clear" w:color="auto" w:fill="auto"/>
          </w:tcPr>
          <w:p w:rsidR="0074508B" w:rsidRPr="00812E8B" w:rsidRDefault="0074508B" w:rsidP="00B46A9C">
            <w:pPr>
              <w:pStyle w:val="NoSpacing"/>
              <w:tabs>
                <w:tab w:val="left" w:pos="0"/>
              </w:tabs>
              <w:spacing w:line="276" w:lineRule="auto"/>
              <w:ind w:left="72"/>
              <w:rPr>
                <w:b w:val="0"/>
                <w:color w:val="auto"/>
                <w:lang w:val="en-US"/>
              </w:rPr>
            </w:pPr>
            <w:r w:rsidRPr="00812E8B">
              <w:rPr>
                <w:b w:val="0"/>
                <w:color w:val="auto"/>
                <w:lang w:val="en-US"/>
              </w:rPr>
              <w:t>Constant</w:t>
            </w:r>
          </w:p>
        </w:tc>
        <w:tc>
          <w:tcPr>
            <w:tcW w:w="1196" w:type="dxa"/>
            <w:tcBorders>
              <w:top w:val="single" w:sz="4" w:space="0" w:color="auto"/>
            </w:tcBorders>
            <w:shd w:val="clear" w:color="auto" w:fill="auto"/>
          </w:tcPr>
          <w:p w:rsidR="0074508B" w:rsidRPr="00812E8B" w:rsidRDefault="0074508B" w:rsidP="00B46A9C">
            <w:pPr>
              <w:cnfStyle w:val="000000000000"/>
              <w:rPr>
                <w:rFonts w:ascii="Calibri" w:hAnsi="Calibri" w:cs="Calibri"/>
                <w:color w:val="000000"/>
                <w:vertAlign w:val="superscript"/>
                <w:lang w:val="en-US"/>
              </w:rPr>
            </w:pPr>
            <w:r w:rsidRPr="00812E8B">
              <w:rPr>
                <w:rFonts w:ascii="Calibri" w:hAnsi="Calibri" w:cs="Calibri"/>
                <w:color w:val="000000"/>
                <w:lang w:val="en-US"/>
              </w:rPr>
              <w:t xml:space="preserve"> 0.4769</w:t>
            </w:r>
            <w:r w:rsidRPr="00812E8B">
              <w:rPr>
                <w:rFonts w:ascii="Calibri" w:hAnsi="Calibri" w:cs="Calibri"/>
                <w:color w:val="000000"/>
                <w:vertAlign w:val="superscript"/>
                <w:lang w:val="en-US"/>
              </w:rPr>
              <w:t>*</w:t>
            </w:r>
          </w:p>
        </w:tc>
        <w:tc>
          <w:tcPr>
            <w:tcW w:w="755" w:type="dxa"/>
            <w:gridSpan w:val="2"/>
            <w:tcBorders>
              <w:top w:val="single" w:sz="4" w:space="0" w:color="auto"/>
            </w:tcBorders>
            <w:shd w:val="clear" w:color="auto" w:fill="auto"/>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0.073</w:t>
            </w:r>
          </w:p>
        </w:tc>
        <w:tc>
          <w:tcPr>
            <w:tcW w:w="426" w:type="dxa"/>
            <w:gridSpan w:val="3"/>
            <w:tcBorders>
              <w:top w:val="single" w:sz="4" w:space="0" w:color="auto"/>
            </w:tcBorders>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039" w:type="dxa"/>
            <w:tcBorders>
              <w:top w:val="single" w:sz="4" w:space="0" w:color="auto"/>
            </w:tcBorders>
            <w:shd w:val="clear" w:color="auto" w:fill="auto"/>
          </w:tcPr>
          <w:p w:rsidR="0074508B" w:rsidRPr="00812E8B" w:rsidRDefault="0074508B" w:rsidP="00B46A9C">
            <w:pPr>
              <w:ind w:left="33" w:right="-61"/>
              <w:cnfStyle w:val="000000000000"/>
              <w:rPr>
                <w:rFonts w:ascii="Calibri" w:hAnsi="Calibri" w:cs="Calibri"/>
                <w:color w:val="000000"/>
                <w:lang w:val="en-US"/>
              </w:rPr>
            </w:pPr>
            <w:r w:rsidRPr="00812E8B">
              <w:rPr>
                <w:rFonts w:ascii="Calibri" w:hAnsi="Calibri" w:cs="Calibri"/>
                <w:color w:val="000000"/>
                <w:lang w:val="en-US"/>
              </w:rPr>
              <w:t xml:space="preserve"> 0.5181</w:t>
            </w:r>
          </w:p>
        </w:tc>
        <w:tc>
          <w:tcPr>
            <w:tcW w:w="997" w:type="dxa"/>
            <w:tcBorders>
              <w:top w:val="single" w:sz="4" w:space="0" w:color="auto"/>
            </w:tcBorders>
            <w:shd w:val="clear" w:color="auto" w:fill="auto"/>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0.661</w:t>
            </w:r>
          </w:p>
        </w:tc>
        <w:tc>
          <w:tcPr>
            <w:tcW w:w="426" w:type="dxa"/>
            <w:gridSpan w:val="2"/>
            <w:tcBorders>
              <w:top w:val="single" w:sz="4" w:space="0" w:color="auto"/>
            </w:tcBorders>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170" w:type="dxa"/>
            <w:gridSpan w:val="2"/>
            <w:tcBorders>
              <w:top w:val="single" w:sz="4" w:space="0" w:color="auto"/>
            </w:tcBorders>
            <w:shd w:val="clear" w:color="auto" w:fill="auto"/>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0.1118</w:t>
            </w:r>
          </w:p>
        </w:tc>
        <w:tc>
          <w:tcPr>
            <w:tcW w:w="1004" w:type="dxa"/>
            <w:gridSpan w:val="2"/>
            <w:tcBorders>
              <w:top w:val="single" w:sz="4" w:space="0" w:color="auto"/>
            </w:tcBorders>
            <w:shd w:val="clear" w:color="auto" w:fill="auto"/>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0.810</w:t>
            </w:r>
          </w:p>
        </w:tc>
        <w:tc>
          <w:tcPr>
            <w:tcW w:w="467" w:type="dxa"/>
            <w:gridSpan w:val="2"/>
            <w:tcBorders>
              <w:top w:val="single" w:sz="4" w:space="0" w:color="auto"/>
            </w:tcBorders>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039" w:type="dxa"/>
            <w:gridSpan w:val="2"/>
            <w:tcBorders>
              <w:top w:val="single" w:sz="4" w:space="0" w:color="auto"/>
            </w:tcBorders>
            <w:shd w:val="clear" w:color="auto" w:fill="auto"/>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0.5784</w:t>
            </w:r>
          </w:p>
        </w:tc>
        <w:tc>
          <w:tcPr>
            <w:tcW w:w="795" w:type="dxa"/>
            <w:gridSpan w:val="2"/>
            <w:tcBorders>
              <w:top w:val="single" w:sz="4" w:space="0" w:color="auto"/>
            </w:tcBorders>
            <w:shd w:val="clear" w:color="auto" w:fill="auto"/>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0.314</w:t>
            </w:r>
          </w:p>
        </w:tc>
        <w:tc>
          <w:tcPr>
            <w:tcW w:w="236" w:type="dxa"/>
            <w:gridSpan w:val="3"/>
            <w:tcBorders>
              <w:top w:val="single" w:sz="4" w:space="0" w:color="auto"/>
            </w:tcBorders>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344" w:type="dxa"/>
            <w:tcBorders>
              <w:top w:val="single" w:sz="4" w:space="0" w:color="auto"/>
            </w:tcBorders>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144" w:type="dxa"/>
            <w:tcBorders>
              <w:top w:val="single" w:sz="4" w:space="0" w:color="auto"/>
            </w:tcBorders>
            <w:shd w:val="clear" w:color="auto" w:fill="auto"/>
          </w:tcPr>
          <w:p w:rsidR="0074508B" w:rsidRPr="00812E8B" w:rsidRDefault="0074508B" w:rsidP="00B46A9C">
            <w:pPr>
              <w:cnfStyle w:val="000000000000"/>
              <w:rPr>
                <w:rFonts w:ascii="Calibri" w:hAnsi="Calibri" w:cs="Calibri"/>
                <w:color w:val="000000"/>
                <w:vertAlign w:val="superscript"/>
                <w:lang w:val="en-US"/>
              </w:rPr>
            </w:pPr>
            <w:r w:rsidRPr="00812E8B">
              <w:rPr>
                <w:rFonts w:ascii="Calibri" w:hAnsi="Calibri" w:cs="Calibri"/>
                <w:color w:val="000000"/>
                <w:lang w:val="en-US"/>
              </w:rPr>
              <w:t>-0.8633</w:t>
            </w:r>
            <w:r w:rsidRPr="00812E8B">
              <w:rPr>
                <w:rFonts w:ascii="Calibri" w:hAnsi="Calibri" w:cs="Calibri"/>
                <w:color w:val="000000"/>
                <w:vertAlign w:val="superscript"/>
                <w:lang w:val="en-US"/>
              </w:rPr>
              <w:t>*</w:t>
            </w:r>
          </w:p>
        </w:tc>
        <w:tc>
          <w:tcPr>
            <w:tcW w:w="844" w:type="dxa"/>
            <w:gridSpan w:val="2"/>
            <w:tcBorders>
              <w:top w:val="single" w:sz="4" w:space="0" w:color="auto"/>
            </w:tcBorders>
            <w:shd w:val="clear" w:color="auto" w:fill="auto"/>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0.074</w:t>
            </w:r>
          </w:p>
        </w:tc>
        <w:tc>
          <w:tcPr>
            <w:tcW w:w="291" w:type="dxa"/>
            <w:gridSpan w:val="3"/>
            <w:tcBorders>
              <w:top w:val="single" w:sz="4" w:space="0" w:color="auto"/>
            </w:tcBorders>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tabs>
                <w:tab w:val="left" w:pos="0"/>
              </w:tabs>
              <w:spacing w:line="276" w:lineRule="auto"/>
              <w:ind w:left="72"/>
              <w:rPr>
                <w:b w:val="0"/>
                <w:lang w:val="en-US"/>
              </w:rPr>
            </w:pPr>
            <w:r w:rsidRPr="00812E8B">
              <w:rPr>
                <w:b w:val="0"/>
                <w:lang w:val="en-US"/>
              </w:rPr>
              <w:t>Lagged profitability</w:t>
            </w:r>
          </w:p>
        </w:tc>
        <w:tc>
          <w:tcPr>
            <w:tcW w:w="1951" w:type="dxa"/>
            <w:gridSpan w:val="3"/>
            <w:shd w:val="clear" w:color="auto" w:fill="auto"/>
          </w:tcPr>
          <w:p w:rsidR="0074508B" w:rsidRPr="00812E8B" w:rsidRDefault="0074508B" w:rsidP="00B46A9C">
            <w:pPr>
              <w:pStyle w:val="NoSpacing"/>
              <w:tabs>
                <w:tab w:val="left" w:pos="0"/>
              </w:tabs>
              <w:spacing w:line="276" w:lineRule="auto"/>
              <w:ind w:left="72"/>
              <w:jc w:val="center"/>
              <w:cnfStyle w:val="000000100000"/>
              <w:rPr>
                <w:lang w:val="en-US"/>
              </w:rPr>
            </w:pPr>
            <w:r w:rsidRPr="00812E8B">
              <w:rPr>
                <w:lang w:val="en-US"/>
              </w:rPr>
              <w:t>-</w:t>
            </w:r>
          </w:p>
        </w:tc>
        <w:tc>
          <w:tcPr>
            <w:tcW w:w="426" w:type="dxa"/>
            <w:gridSpan w:val="3"/>
            <w:shd w:val="clear" w:color="auto" w:fill="auto"/>
          </w:tcPr>
          <w:p w:rsidR="0074508B" w:rsidRPr="00812E8B" w:rsidRDefault="0074508B" w:rsidP="00B46A9C">
            <w:pPr>
              <w:pStyle w:val="NoSpacing"/>
              <w:tabs>
                <w:tab w:val="left" w:pos="0"/>
              </w:tabs>
              <w:spacing w:line="276" w:lineRule="auto"/>
              <w:ind w:left="72"/>
              <w:jc w:val="center"/>
              <w:cnfStyle w:val="000000100000"/>
              <w:rPr>
                <w:b/>
                <w:lang w:val="en-US"/>
              </w:rPr>
            </w:pPr>
          </w:p>
        </w:tc>
        <w:tc>
          <w:tcPr>
            <w:tcW w:w="2036" w:type="dxa"/>
            <w:gridSpan w:val="2"/>
            <w:shd w:val="clear" w:color="auto" w:fill="auto"/>
          </w:tcPr>
          <w:p w:rsidR="0074508B" w:rsidRPr="00812E8B" w:rsidRDefault="0074508B" w:rsidP="00B46A9C">
            <w:pPr>
              <w:pStyle w:val="NoSpacing"/>
              <w:tabs>
                <w:tab w:val="left" w:pos="0"/>
              </w:tabs>
              <w:spacing w:line="276" w:lineRule="auto"/>
              <w:ind w:left="72"/>
              <w:jc w:val="center"/>
              <w:cnfStyle w:val="000000100000"/>
              <w:rPr>
                <w:b/>
                <w:lang w:val="en-US"/>
              </w:rPr>
            </w:pPr>
            <w:r w:rsidRPr="00812E8B">
              <w:rPr>
                <w:lang w:val="en-US"/>
              </w:rPr>
              <w:t>-</w:t>
            </w:r>
          </w:p>
        </w:tc>
        <w:tc>
          <w:tcPr>
            <w:tcW w:w="426" w:type="dxa"/>
            <w:gridSpan w:val="2"/>
            <w:shd w:val="clear" w:color="auto" w:fill="auto"/>
          </w:tcPr>
          <w:p w:rsidR="0074508B" w:rsidRPr="00812E8B" w:rsidRDefault="0074508B" w:rsidP="00B46A9C">
            <w:pPr>
              <w:pStyle w:val="NoSpacing"/>
              <w:tabs>
                <w:tab w:val="left" w:pos="0"/>
              </w:tabs>
              <w:spacing w:line="276" w:lineRule="auto"/>
              <w:ind w:left="72"/>
              <w:jc w:val="center"/>
              <w:cnfStyle w:val="000000100000"/>
              <w:rPr>
                <w:b/>
                <w:lang w:val="en-US"/>
              </w:rPr>
            </w:pPr>
          </w:p>
        </w:tc>
        <w:tc>
          <w:tcPr>
            <w:tcW w:w="1170" w:type="dxa"/>
            <w:gridSpan w:val="2"/>
            <w:shd w:val="clear" w:color="auto" w:fill="auto"/>
          </w:tcPr>
          <w:p w:rsidR="0074508B" w:rsidRPr="00812E8B" w:rsidRDefault="0074508B" w:rsidP="00B46A9C">
            <w:pPr>
              <w:cnfStyle w:val="000000100000"/>
              <w:rPr>
                <w:rFonts w:ascii="Calibri" w:hAnsi="Calibri" w:cs="Calibri"/>
                <w:color w:val="000000"/>
                <w:vertAlign w:val="superscript"/>
                <w:lang w:val="en-US"/>
              </w:rPr>
            </w:pPr>
            <w:r w:rsidRPr="00812E8B">
              <w:rPr>
                <w:rFonts w:ascii="Calibri" w:hAnsi="Calibri" w:cs="Calibri"/>
                <w:color w:val="000000"/>
                <w:lang w:val="en-US"/>
              </w:rPr>
              <w:t xml:space="preserve"> 0.1790</w:t>
            </w:r>
            <w:r w:rsidRPr="00812E8B">
              <w:rPr>
                <w:rFonts w:ascii="Calibri" w:hAnsi="Calibri" w:cs="Calibri"/>
                <w:color w:val="000000"/>
                <w:vertAlign w:val="superscript"/>
                <w:lang w:val="en-US"/>
              </w:rPr>
              <w:t>***</w:t>
            </w:r>
          </w:p>
        </w:tc>
        <w:tc>
          <w:tcPr>
            <w:tcW w:w="1004" w:type="dxa"/>
            <w:gridSpan w:val="2"/>
            <w:shd w:val="clear" w:color="auto" w:fill="auto"/>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0.003</w:t>
            </w:r>
          </w:p>
        </w:tc>
        <w:tc>
          <w:tcPr>
            <w:tcW w:w="467" w:type="dxa"/>
            <w:gridSpan w:val="2"/>
            <w:shd w:val="clear" w:color="auto" w:fill="auto"/>
          </w:tcPr>
          <w:p w:rsidR="0074508B" w:rsidRPr="00812E8B" w:rsidRDefault="0074508B" w:rsidP="00B46A9C">
            <w:pPr>
              <w:pStyle w:val="NoSpacing"/>
              <w:tabs>
                <w:tab w:val="left" w:pos="0"/>
              </w:tabs>
              <w:spacing w:line="276" w:lineRule="auto"/>
              <w:ind w:left="72"/>
              <w:jc w:val="center"/>
              <w:cnfStyle w:val="000000100000"/>
              <w:rPr>
                <w:b/>
                <w:lang w:val="en-US"/>
              </w:rPr>
            </w:pPr>
          </w:p>
        </w:tc>
        <w:tc>
          <w:tcPr>
            <w:tcW w:w="1039" w:type="dxa"/>
            <w:gridSpan w:val="2"/>
            <w:shd w:val="clear" w:color="auto" w:fill="auto"/>
          </w:tcPr>
          <w:p w:rsidR="0074508B" w:rsidRPr="00812E8B" w:rsidRDefault="0074508B" w:rsidP="00B46A9C">
            <w:pPr>
              <w:ind w:right="-65"/>
              <w:cnfStyle w:val="000000100000"/>
              <w:rPr>
                <w:rFonts w:ascii="Calibri" w:hAnsi="Calibri" w:cs="Calibri"/>
                <w:color w:val="000000"/>
                <w:lang w:val="en-US"/>
              </w:rPr>
            </w:pPr>
            <w:r w:rsidRPr="00812E8B">
              <w:rPr>
                <w:rFonts w:ascii="Calibri" w:hAnsi="Calibri" w:cs="Calibri"/>
                <w:color w:val="000000"/>
                <w:lang w:val="en-US"/>
              </w:rPr>
              <w:t xml:space="preserve"> 0.2860</w:t>
            </w:r>
            <w:r w:rsidRPr="00812E8B">
              <w:rPr>
                <w:rFonts w:ascii="Calibri" w:hAnsi="Calibri" w:cs="Calibri"/>
                <w:color w:val="000000"/>
                <w:vertAlign w:val="superscript"/>
                <w:lang w:val="en-US"/>
              </w:rPr>
              <w:t>***</w:t>
            </w:r>
          </w:p>
        </w:tc>
        <w:tc>
          <w:tcPr>
            <w:tcW w:w="795" w:type="dxa"/>
            <w:gridSpan w:val="2"/>
            <w:shd w:val="clear" w:color="auto" w:fill="auto"/>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236" w:type="dxa"/>
            <w:gridSpan w:val="3"/>
            <w:shd w:val="clear" w:color="auto" w:fill="auto"/>
          </w:tcPr>
          <w:p w:rsidR="0074508B" w:rsidRPr="00812E8B" w:rsidRDefault="0074508B" w:rsidP="00B46A9C">
            <w:pPr>
              <w:pStyle w:val="NoSpacing"/>
              <w:tabs>
                <w:tab w:val="left" w:pos="0"/>
              </w:tabs>
              <w:spacing w:line="276" w:lineRule="auto"/>
              <w:ind w:left="72"/>
              <w:jc w:val="center"/>
              <w:cnfStyle w:val="000000100000"/>
              <w:rPr>
                <w:b/>
                <w:lang w:val="en-US"/>
              </w:rPr>
            </w:pPr>
          </w:p>
        </w:tc>
        <w:tc>
          <w:tcPr>
            <w:tcW w:w="344" w:type="dxa"/>
            <w:shd w:val="clear" w:color="auto" w:fill="auto"/>
          </w:tcPr>
          <w:p w:rsidR="0074508B" w:rsidRPr="00812E8B" w:rsidRDefault="0074508B" w:rsidP="00B46A9C">
            <w:pPr>
              <w:pStyle w:val="NoSpacing"/>
              <w:tabs>
                <w:tab w:val="left" w:pos="0"/>
              </w:tabs>
              <w:spacing w:line="276" w:lineRule="auto"/>
              <w:ind w:left="72"/>
              <w:jc w:val="center"/>
              <w:cnfStyle w:val="000000100000"/>
              <w:rPr>
                <w:b/>
                <w:lang w:val="en-US"/>
              </w:rPr>
            </w:pPr>
          </w:p>
        </w:tc>
        <w:tc>
          <w:tcPr>
            <w:tcW w:w="1144" w:type="dxa"/>
            <w:shd w:val="clear" w:color="auto" w:fill="auto"/>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 xml:space="preserve"> 0.1786</w:t>
            </w:r>
            <w:r w:rsidRPr="00812E8B">
              <w:rPr>
                <w:rFonts w:ascii="Calibri" w:hAnsi="Calibri" w:cs="Calibri"/>
                <w:color w:val="000000"/>
                <w:vertAlign w:val="superscript"/>
                <w:lang w:val="en-US"/>
              </w:rPr>
              <w:t>***</w:t>
            </w:r>
          </w:p>
        </w:tc>
        <w:tc>
          <w:tcPr>
            <w:tcW w:w="844" w:type="dxa"/>
            <w:gridSpan w:val="2"/>
            <w:shd w:val="clear" w:color="auto" w:fill="auto"/>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0.003</w:t>
            </w:r>
          </w:p>
        </w:tc>
        <w:tc>
          <w:tcPr>
            <w:tcW w:w="291" w:type="dxa"/>
            <w:gridSpan w:val="3"/>
            <w:shd w:val="clear" w:color="auto" w:fill="auto"/>
          </w:tcPr>
          <w:p w:rsidR="0074508B" w:rsidRPr="00812E8B" w:rsidRDefault="0074508B" w:rsidP="00B46A9C">
            <w:pPr>
              <w:pStyle w:val="NoSpacing"/>
              <w:tabs>
                <w:tab w:val="left" w:pos="0"/>
              </w:tabs>
              <w:spacing w:line="276" w:lineRule="auto"/>
              <w:ind w:left="7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tabs>
                <w:tab w:val="left" w:pos="0"/>
              </w:tabs>
              <w:spacing w:line="276" w:lineRule="auto"/>
              <w:ind w:left="72"/>
              <w:rPr>
                <w:b w:val="0"/>
                <w:color w:val="auto"/>
                <w:lang w:val="en-US"/>
              </w:rPr>
            </w:pPr>
            <w:r w:rsidRPr="00812E8B">
              <w:rPr>
                <w:b w:val="0"/>
                <w:color w:val="auto"/>
                <w:lang w:val="en-US"/>
              </w:rPr>
              <w:t>Bank-specific factors</w:t>
            </w:r>
          </w:p>
        </w:tc>
        <w:tc>
          <w:tcPr>
            <w:tcW w:w="1196" w:type="dxa"/>
            <w:shd w:val="clear" w:color="auto" w:fill="auto"/>
          </w:tcPr>
          <w:p w:rsidR="0074508B" w:rsidRPr="00812E8B" w:rsidRDefault="0074508B" w:rsidP="00B46A9C">
            <w:pPr>
              <w:pStyle w:val="NoSpacing"/>
              <w:tabs>
                <w:tab w:val="left" w:pos="0"/>
              </w:tabs>
              <w:spacing w:line="276" w:lineRule="auto"/>
              <w:ind w:left="72"/>
              <w:cnfStyle w:val="000000000000"/>
              <w:rPr>
                <w:b/>
                <w:lang w:val="en-US"/>
              </w:rPr>
            </w:pPr>
          </w:p>
        </w:tc>
        <w:tc>
          <w:tcPr>
            <w:tcW w:w="755" w:type="dxa"/>
            <w:gridSpan w:val="2"/>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426" w:type="dxa"/>
            <w:gridSpan w:val="3"/>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039" w:type="dxa"/>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997" w:type="dxa"/>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426" w:type="dxa"/>
            <w:gridSpan w:val="2"/>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p>
        </w:tc>
        <w:tc>
          <w:tcPr>
            <w:tcW w:w="1004" w:type="dxa"/>
            <w:gridSpan w:val="2"/>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467" w:type="dxa"/>
            <w:gridSpan w:val="2"/>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039" w:type="dxa"/>
            <w:gridSpan w:val="2"/>
            <w:shd w:val="clear" w:color="auto" w:fill="auto"/>
          </w:tcPr>
          <w:p w:rsidR="0074508B" w:rsidRPr="00812E8B" w:rsidRDefault="0074508B" w:rsidP="00B46A9C">
            <w:pPr>
              <w:pStyle w:val="NoSpacing"/>
              <w:tabs>
                <w:tab w:val="left" w:pos="0"/>
              </w:tabs>
              <w:spacing w:line="276" w:lineRule="auto"/>
              <w:ind w:left="72"/>
              <w:cnfStyle w:val="000000000000"/>
              <w:rPr>
                <w:b/>
                <w:lang w:val="en-US"/>
              </w:rPr>
            </w:pPr>
          </w:p>
        </w:tc>
        <w:tc>
          <w:tcPr>
            <w:tcW w:w="795" w:type="dxa"/>
            <w:gridSpan w:val="2"/>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236" w:type="dxa"/>
            <w:gridSpan w:val="3"/>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344" w:type="dxa"/>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1144" w:type="dxa"/>
            <w:shd w:val="clear" w:color="auto" w:fill="auto"/>
          </w:tcPr>
          <w:p w:rsidR="0074508B" w:rsidRPr="00812E8B" w:rsidRDefault="0074508B" w:rsidP="00B46A9C">
            <w:pPr>
              <w:pStyle w:val="NoSpacing"/>
              <w:tabs>
                <w:tab w:val="left" w:pos="0"/>
              </w:tabs>
              <w:spacing w:line="276" w:lineRule="auto"/>
              <w:ind w:left="72"/>
              <w:cnfStyle w:val="000000000000"/>
              <w:rPr>
                <w:b/>
                <w:lang w:val="en-US"/>
              </w:rPr>
            </w:pPr>
          </w:p>
        </w:tc>
        <w:tc>
          <w:tcPr>
            <w:tcW w:w="844" w:type="dxa"/>
            <w:gridSpan w:val="2"/>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c>
          <w:tcPr>
            <w:tcW w:w="291" w:type="dxa"/>
            <w:gridSpan w:val="3"/>
            <w:shd w:val="clear" w:color="auto" w:fill="auto"/>
          </w:tcPr>
          <w:p w:rsidR="0074508B" w:rsidRPr="00812E8B" w:rsidRDefault="0074508B" w:rsidP="00B46A9C">
            <w:pPr>
              <w:pStyle w:val="NoSpacing"/>
              <w:tabs>
                <w:tab w:val="left" w:pos="0"/>
              </w:tabs>
              <w:spacing w:line="276" w:lineRule="auto"/>
              <w:ind w:left="7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color w:val="auto"/>
                <w:lang w:val="en-US"/>
              </w:rPr>
            </w:pPr>
            <w:r w:rsidRPr="00812E8B">
              <w:rPr>
                <w:b w:val="0"/>
                <w:color w:val="auto"/>
                <w:lang w:val="en-US"/>
              </w:rPr>
              <w:t>Equity to total assets</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vertAlign w:val="superscript"/>
                <w:lang w:val="en-US"/>
              </w:rPr>
            </w:pPr>
            <w:r w:rsidRPr="00812E8B">
              <w:rPr>
                <w:rFonts w:ascii="Calibri" w:hAnsi="Calibri" w:cs="Calibri"/>
                <w:color w:val="000000"/>
                <w:lang w:val="en-US"/>
              </w:rPr>
              <w:t xml:space="preserve"> 0.0652</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shd w:val="clear" w:color="auto" w:fill="auto"/>
            <w:vAlign w:val="bottom"/>
          </w:tcPr>
          <w:p w:rsidR="0074508B" w:rsidRPr="00812E8B" w:rsidRDefault="0074508B" w:rsidP="00B46A9C">
            <w:pPr>
              <w:ind w:right="-65"/>
              <w:cnfStyle w:val="000000100000"/>
              <w:rPr>
                <w:rFonts w:ascii="Calibri" w:hAnsi="Calibri" w:cs="Calibri"/>
                <w:color w:val="000000"/>
                <w:vertAlign w:val="superscript"/>
                <w:lang w:val="en-US"/>
              </w:rPr>
            </w:pPr>
            <w:r w:rsidRPr="00812E8B">
              <w:rPr>
                <w:rFonts w:ascii="Calibri" w:hAnsi="Calibri" w:cs="Calibri"/>
                <w:color w:val="000000"/>
                <w:lang w:val="en-US"/>
              </w:rPr>
              <w:t xml:space="preserve"> 0.0698</w:t>
            </w:r>
            <w:r w:rsidRPr="00812E8B">
              <w:rPr>
                <w:rFonts w:ascii="Calibri" w:hAnsi="Calibri" w:cs="Calibri"/>
                <w:color w:val="000000"/>
                <w:vertAlign w:val="superscript"/>
                <w:lang w:val="en-US"/>
              </w:rPr>
              <w:t>***</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70"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 xml:space="preserve"> 0.0534</w:t>
            </w:r>
            <w:r w:rsidRPr="00812E8B">
              <w:rPr>
                <w:rFonts w:ascii="Calibri" w:hAnsi="Calibri" w:cs="Calibri"/>
                <w:color w:val="000000"/>
                <w:vertAlign w:val="superscript"/>
                <w:lang w:val="en-US"/>
              </w:rPr>
              <w:t>***</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gridSpan w:val="2"/>
            <w:shd w:val="clear" w:color="auto" w:fill="auto"/>
            <w:vAlign w:val="bottom"/>
          </w:tcPr>
          <w:p w:rsidR="0074508B" w:rsidRPr="00812E8B" w:rsidRDefault="0074508B" w:rsidP="00B46A9C">
            <w:pPr>
              <w:ind w:right="-65"/>
              <w:cnfStyle w:val="000000100000"/>
              <w:rPr>
                <w:rFonts w:ascii="Calibri" w:hAnsi="Calibri" w:cs="Calibri"/>
                <w:color w:val="000000"/>
                <w:lang w:val="en-US"/>
              </w:rPr>
            </w:pPr>
            <w:r w:rsidRPr="00812E8B">
              <w:rPr>
                <w:rFonts w:ascii="Calibri" w:hAnsi="Calibri" w:cs="Calibri"/>
                <w:color w:val="000000"/>
                <w:lang w:val="en-US"/>
              </w:rPr>
              <w:t xml:space="preserve"> 0.0413</w:t>
            </w:r>
            <w:r w:rsidRPr="00812E8B">
              <w:rPr>
                <w:rFonts w:ascii="Calibri" w:hAnsi="Calibri" w:cs="Calibri"/>
                <w:color w:val="000000"/>
                <w:vertAlign w:val="superscript"/>
                <w:lang w:val="en-US"/>
              </w:rPr>
              <w:t>***</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0.000</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44" w:type="dxa"/>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 xml:space="preserve"> 0.0678</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252" w:right="-209"/>
              <w:rPr>
                <w:b w:val="0"/>
                <w:color w:val="auto"/>
                <w:lang w:val="en-US"/>
              </w:rPr>
            </w:pPr>
            <w:r w:rsidRPr="00812E8B">
              <w:rPr>
                <w:b w:val="0"/>
                <w:color w:val="auto"/>
                <w:lang w:val="en-US"/>
              </w:rPr>
              <w:t>Customer deposits to total funding</w:t>
            </w:r>
          </w:p>
        </w:tc>
        <w:tc>
          <w:tcPr>
            <w:tcW w:w="1196" w:type="dxa"/>
            <w:shd w:val="clear" w:color="auto" w:fill="auto"/>
            <w:vAlign w:val="bottom"/>
          </w:tcPr>
          <w:p w:rsidR="0074508B" w:rsidRPr="00812E8B" w:rsidRDefault="0074508B" w:rsidP="00B46A9C">
            <w:pPr>
              <w:ind w:left="143" w:hanging="143"/>
              <w:cnfStyle w:val="000000000000"/>
              <w:rPr>
                <w:rFonts w:ascii="Calibri" w:hAnsi="Calibri" w:cs="Calibri"/>
                <w:color w:val="000000"/>
                <w:lang w:val="en-US"/>
              </w:rPr>
            </w:pPr>
            <w:r w:rsidRPr="00812E8B">
              <w:rPr>
                <w:rFonts w:ascii="Calibri" w:hAnsi="Calibri" w:cs="Calibri"/>
                <w:color w:val="000000"/>
                <w:lang w:val="en-US"/>
              </w:rPr>
              <w:t xml:space="preserve"> 0.0021</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0.000</w:t>
            </w:r>
          </w:p>
        </w:tc>
        <w:tc>
          <w:tcPr>
            <w:tcW w:w="426" w:type="dxa"/>
            <w:gridSpan w:val="3"/>
            <w:shd w:val="clear" w:color="auto" w:fill="auto"/>
          </w:tcPr>
          <w:p w:rsidR="0074508B" w:rsidRPr="00812E8B" w:rsidRDefault="0074508B" w:rsidP="00B46A9C">
            <w:pPr>
              <w:pStyle w:val="NoSpacing"/>
              <w:spacing w:line="276" w:lineRule="auto"/>
              <w:ind w:left="252" w:right="-209"/>
              <w:jc w:val="center"/>
              <w:cnfStyle w:val="000000000000"/>
              <w:rPr>
                <w:b/>
                <w:lang w:val="en-US"/>
              </w:rPr>
            </w:pPr>
          </w:p>
        </w:tc>
        <w:tc>
          <w:tcPr>
            <w:tcW w:w="1039"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0.0001</w:t>
            </w:r>
          </w:p>
        </w:tc>
        <w:tc>
          <w:tcPr>
            <w:tcW w:w="997" w:type="dxa"/>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0.969</w:t>
            </w:r>
          </w:p>
        </w:tc>
        <w:tc>
          <w:tcPr>
            <w:tcW w:w="426" w:type="dxa"/>
            <w:gridSpan w:val="2"/>
            <w:shd w:val="clear" w:color="auto" w:fill="auto"/>
          </w:tcPr>
          <w:p w:rsidR="0074508B" w:rsidRPr="00812E8B" w:rsidRDefault="0074508B" w:rsidP="00B46A9C">
            <w:pPr>
              <w:pStyle w:val="NoSpacing"/>
              <w:spacing w:line="276" w:lineRule="auto"/>
              <w:ind w:left="252" w:right="-209"/>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0.0010</w:t>
            </w:r>
          </w:p>
        </w:tc>
        <w:tc>
          <w:tcPr>
            <w:tcW w:w="100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0.394</w:t>
            </w:r>
          </w:p>
        </w:tc>
        <w:tc>
          <w:tcPr>
            <w:tcW w:w="467" w:type="dxa"/>
            <w:gridSpan w:val="2"/>
            <w:shd w:val="clear" w:color="auto" w:fill="auto"/>
          </w:tcPr>
          <w:p w:rsidR="0074508B" w:rsidRPr="00812E8B" w:rsidRDefault="0074508B" w:rsidP="00B46A9C">
            <w:pPr>
              <w:pStyle w:val="NoSpacing"/>
              <w:spacing w:line="276" w:lineRule="auto"/>
              <w:ind w:left="252" w:right="-209"/>
              <w:jc w:val="center"/>
              <w:cnfStyle w:val="000000000000"/>
              <w:rPr>
                <w:b/>
                <w:lang w:val="en-US"/>
              </w:rPr>
            </w:pPr>
          </w:p>
        </w:tc>
        <w:tc>
          <w:tcPr>
            <w:tcW w:w="1039"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0.0011</w:t>
            </w:r>
          </w:p>
        </w:tc>
        <w:tc>
          <w:tcPr>
            <w:tcW w:w="795" w:type="dxa"/>
            <w:gridSpan w:val="2"/>
            <w:shd w:val="clear" w:color="auto" w:fill="auto"/>
            <w:vAlign w:val="bottom"/>
          </w:tcPr>
          <w:p w:rsidR="0074508B" w:rsidRPr="00812E8B" w:rsidRDefault="0074508B" w:rsidP="00B46A9C">
            <w:pPr>
              <w:jc w:val="right"/>
              <w:cnfStyle w:val="000000000000"/>
              <w:rPr>
                <w:rFonts w:ascii="Calibri" w:hAnsi="Calibri" w:cs="Calibri"/>
                <w:color w:val="000000"/>
                <w:lang w:val="en-US"/>
              </w:rPr>
            </w:pPr>
            <w:r w:rsidRPr="00812E8B">
              <w:rPr>
                <w:rFonts w:ascii="Calibri" w:hAnsi="Calibri" w:cs="Calibri"/>
                <w:color w:val="000000"/>
                <w:lang w:val="en-US"/>
              </w:rPr>
              <w:t>0.529</w:t>
            </w:r>
          </w:p>
        </w:tc>
        <w:tc>
          <w:tcPr>
            <w:tcW w:w="236" w:type="dxa"/>
            <w:gridSpan w:val="3"/>
            <w:shd w:val="clear" w:color="auto" w:fill="auto"/>
          </w:tcPr>
          <w:p w:rsidR="0074508B" w:rsidRPr="00812E8B" w:rsidRDefault="0074508B" w:rsidP="00B46A9C">
            <w:pPr>
              <w:pStyle w:val="NoSpacing"/>
              <w:spacing w:line="276" w:lineRule="auto"/>
              <w:ind w:left="252" w:right="-209"/>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252" w:right="-209"/>
              <w:jc w:val="center"/>
              <w:cnfStyle w:val="000000000000"/>
              <w:rPr>
                <w:b/>
                <w:lang w:val="en-US"/>
              </w:rPr>
            </w:pPr>
          </w:p>
        </w:tc>
        <w:tc>
          <w:tcPr>
            <w:tcW w:w="1144"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0.0046</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0.000</w:t>
            </w:r>
          </w:p>
        </w:tc>
        <w:tc>
          <w:tcPr>
            <w:tcW w:w="291" w:type="dxa"/>
            <w:gridSpan w:val="3"/>
            <w:shd w:val="clear" w:color="auto" w:fill="auto"/>
          </w:tcPr>
          <w:p w:rsidR="0074508B" w:rsidRPr="00812E8B" w:rsidRDefault="0074508B" w:rsidP="00B46A9C">
            <w:pPr>
              <w:pStyle w:val="NoSpacing"/>
              <w:spacing w:line="276" w:lineRule="auto"/>
              <w:ind w:left="252" w:right="-209"/>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color w:val="auto"/>
                <w:lang w:val="en-US"/>
              </w:rPr>
            </w:pPr>
            <w:r w:rsidRPr="00812E8B">
              <w:rPr>
                <w:b w:val="0"/>
                <w:color w:val="auto"/>
                <w:lang w:val="en-US"/>
              </w:rPr>
              <w:t>Loan loss reserve loans</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lang w:val="en-US"/>
              </w:rPr>
            </w:pPr>
            <w:r w:rsidRPr="00812E8B">
              <w:rPr>
                <w:rFonts w:ascii="Calibri" w:hAnsi="Calibri" w:cs="Calibri"/>
                <w:color w:val="000000"/>
                <w:lang w:val="en-US"/>
              </w:rPr>
              <w:t>-0.0052</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shd w:val="clear" w:color="auto" w:fill="auto"/>
            <w:vAlign w:val="bottom"/>
          </w:tcPr>
          <w:p w:rsidR="0074508B" w:rsidRPr="00812E8B" w:rsidRDefault="0074508B" w:rsidP="00B46A9C">
            <w:pPr>
              <w:ind w:right="-207"/>
              <w:cnfStyle w:val="000000100000"/>
              <w:rPr>
                <w:rFonts w:ascii="Calibri" w:hAnsi="Calibri" w:cs="Calibri"/>
                <w:color w:val="000000"/>
                <w:lang w:val="en-US"/>
              </w:rPr>
            </w:pPr>
            <w:r w:rsidRPr="00812E8B">
              <w:rPr>
                <w:rFonts w:ascii="Calibri" w:hAnsi="Calibri" w:cs="Calibri"/>
                <w:color w:val="000000"/>
                <w:lang w:val="en-US"/>
              </w:rPr>
              <w:t>-0.0055</w:t>
            </w:r>
            <w:r w:rsidRPr="00812E8B">
              <w:rPr>
                <w:rFonts w:ascii="Calibri" w:hAnsi="Calibri" w:cs="Calibri"/>
                <w:color w:val="000000"/>
                <w:vertAlign w:val="superscript"/>
                <w:lang w:val="en-US"/>
              </w:rPr>
              <w:t>***</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70" w:type="dxa"/>
            <w:gridSpan w:val="2"/>
            <w:shd w:val="clear" w:color="auto" w:fill="auto"/>
            <w:vAlign w:val="bottom"/>
          </w:tcPr>
          <w:p w:rsidR="0074508B" w:rsidRPr="00812E8B" w:rsidRDefault="0074508B" w:rsidP="00B46A9C">
            <w:pPr>
              <w:ind w:right="-43"/>
              <w:cnfStyle w:val="000000100000"/>
              <w:rPr>
                <w:rFonts w:ascii="Calibri" w:hAnsi="Calibri" w:cs="Calibri"/>
                <w:color w:val="000000"/>
                <w:lang w:val="en-US"/>
              </w:rPr>
            </w:pPr>
            <w:r w:rsidRPr="00812E8B">
              <w:rPr>
                <w:rFonts w:ascii="Calibri" w:hAnsi="Calibri" w:cs="Calibri"/>
                <w:color w:val="000000"/>
                <w:lang w:val="en-US"/>
              </w:rPr>
              <w:t>-0.0054</w:t>
            </w:r>
            <w:r w:rsidRPr="00812E8B">
              <w:rPr>
                <w:rFonts w:ascii="Calibri" w:hAnsi="Calibri" w:cs="Calibri"/>
                <w:color w:val="000000"/>
                <w:vertAlign w:val="superscript"/>
                <w:lang w:val="en-US"/>
              </w:rPr>
              <w:t>***</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gridSpan w:val="2"/>
            <w:shd w:val="clear" w:color="auto" w:fill="auto"/>
            <w:vAlign w:val="bottom"/>
          </w:tcPr>
          <w:p w:rsidR="0074508B" w:rsidRPr="00812E8B" w:rsidRDefault="0074508B" w:rsidP="00B46A9C">
            <w:pPr>
              <w:ind w:left="-32" w:right="-137"/>
              <w:cnfStyle w:val="000000100000"/>
              <w:rPr>
                <w:rFonts w:ascii="Calibri" w:hAnsi="Calibri" w:cs="Calibri"/>
                <w:color w:val="000000"/>
                <w:lang w:val="en-US"/>
              </w:rPr>
            </w:pPr>
            <w:r w:rsidRPr="00812E8B">
              <w:rPr>
                <w:rFonts w:ascii="Calibri" w:hAnsi="Calibri" w:cs="Calibri"/>
                <w:color w:val="000000"/>
                <w:lang w:val="en-US"/>
              </w:rPr>
              <w:t>-0.0059</w:t>
            </w:r>
            <w:r w:rsidRPr="00812E8B">
              <w:rPr>
                <w:rFonts w:ascii="Calibri" w:hAnsi="Calibri" w:cs="Calibri"/>
                <w:color w:val="000000"/>
                <w:vertAlign w:val="superscript"/>
                <w:lang w:val="en-US"/>
              </w:rPr>
              <w:t>***</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0.000</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44" w:type="dxa"/>
            <w:shd w:val="clear" w:color="auto" w:fill="auto"/>
            <w:vAlign w:val="bottom"/>
          </w:tcPr>
          <w:p w:rsidR="0074508B" w:rsidRPr="00812E8B" w:rsidRDefault="0074508B" w:rsidP="00B46A9C">
            <w:pPr>
              <w:cnfStyle w:val="000000100000"/>
              <w:rPr>
                <w:rFonts w:ascii="Calibri" w:hAnsi="Calibri" w:cs="Calibri"/>
                <w:color w:val="000000"/>
                <w:vertAlign w:val="superscript"/>
                <w:lang w:val="en-US"/>
              </w:rPr>
            </w:pPr>
            <w:r w:rsidRPr="00812E8B">
              <w:rPr>
                <w:rFonts w:ascii="Calibri" w:hAnsi="Calibri" w:cs="Calibri"/>
                <w:color w:val="000000"/>
                <w:lang w:val="en-US"/>
              </w:rPr>
              <w:t>-0.0084</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252" w:right="-108"/>
              <w:rPr>
                <w:b w:val="0"/>
                <w:color w:val="auto"/>
                <w:lang w:val="en-US"/>
              </w:rPr>
            </w:pPr>
            <w:r w:rsidRPr="00812E8B">
              <w:rPr>
                <w:b w:val="0"/>
                <w:color w:val="auto"/>
                <w:lang w:val="en-US"/>
              </w:rPr>
              <w:t>Liquid assets to short term funding</w:t>
            </w:r>
          </w:p>
        </w:tc>
        <w:tc>
          <w:tcPr>
            <w:tcW w:w="1196" w:type="dxa"/>
            <w:shd w:val="clear" w:color="auto" w:fill="auto"/>
            <w:vAlign w:val="bottom"/>
          </w:tcPr>
          <w:p w:rsidR="0074508B" w:rsidRPr="00812E8B" w:rsidRDefault="0074508B" w:rsidP="00B46A9C">
            <w:pPr>
              <w:ind w:left="143" w:hanging="143"/>
              <w:cnfStyle w:val="000000000000"/>
              <w:rPr>
                <w:rFonts w:ascii="Calibri" w:hAnsi="Calibri" w:cs="Calibri"/>
                <w:color w:val="000000"/>
                <w:vertAlign w:val="superscript"/>
                <w:lang w:val="en-US"/>
              </w:rPr>
            </w:pPr>
            <w:r w:rsidRPr="00812E8B">
              <w:rPr>
                <w:rFonts w:ascii="Calibri" w:hAnsi="Calibri" w:cs="Calibri"/>
                <w:color w:val="000000"/>
                <w:lang w:val="en-US"/>
              </w:rPr>
              <w:t>-0.0003</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0.094</w:t>
            </w:r>
          </w:p>
        </w:tc>
        <w:tc>
          <w:tcPr>
            <w:tcW w:w="426" w:type="dxa"/>
            <w:gridSpan w:val="3"/>
            <w:shd w:val="clear" w:color="auto" w:fill="auto"/>
          </w:tcPr>
          <w:p w:rsidR="0074508B" w:rsidRPr="00812E8B" w:rsidRDefault="0074508B" w:rsidP="00B46A9C">
            <w:pPr>
              <w:pStyle w:val="NoSpacing"/>
              <w:spacing w:line="276" w:lineRule="auto"/>
              <w:ind w:left="252" w:right="-108"/>
              <w:jc w:val="center"/>
              <w:cnfStyle w:val="000000000000"/>
              <w:rPr>
                <w:b/>
                <w:lang w:val="en-US"/>
              </w:rPr>
            </w:pPr>
          </w:p>
        </w:tc>
        <w:tc>
          <w:tcPr>
            <w:tcW w:w="1039"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-0.0003</w:t>
            </w:r>
          </w:p>
        </w:tc>
        <w:tc>
          <w:tcPr>
            <w:tcW w:w="997" w:type="dxa"/>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0.627</w:t>
            </w:r>
          </w:p>
        </w:tc>
        <w:tc>
          <w:tcPr>
            <w:tcW w:w="426" w:type="dxa"/>
            <w:gridSpan w:val="2"/>
            <w:shd w:val="clear" w:color="auto" w:fill="auto"/>
          </w:tcPr>
          <w:p w:rsidR="0074508B" w:rsidRPr="00812E8B" w:rsidRDefault="0074508B" w:rsidP="00B46A9C">
            <w:pPr>
              <w:pStyle w:val="NoSpacing"/>
              <w:spacing w:line="276" w:lineRule="auto"/>
              <w:ind w:left="252" w:right="-108"/>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-0.0003</w:t>
            </w:r>
          </w:p>
        </w:tc>
        <w:tc>
          <w:tcPr>
            <w:tcW w:w="100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0.306</w:t>
            </w:r>
          </w:p>
        </w:tc>
        <w:tc>
          <w:tcPr>
            <w:tcW w:w="467" w:type="dxa"/>
            <w:gridSpan w:val="2"/>
            <w:shd w:val="clear" w:color="auto" w:fill="auto"/>
          </w:tcPr>
          <w:p w:rsidR="0074508B" w:rsidRPr="00812E8B" w:rsidRDefault="0074508B" w:rsidP="00B46A9C">
            <w:pPr>
              <w:pStyle w:val="NoSpacing"/>
              <w:spacing w:line="276" w:lineRule="auto"/>
              <w:ind w:left="252" w:right="-108"/>
              <w:jc w:val="center"/>
              <w:cnfStyle w:val="000000000000"/>
              <w:rPr>
                <w:b/>
                <w:lang w:val="en-US"/>
              </w:rPr>
            </w:pPr>
          </w:p>
        </w:tc>
        <w:tc>
          <w:tcPr>
            <w:tcW w:w="1039"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-0.0007</w:t>
            </w:r>
          </w:p>
        </w:tc>
        <w:tc>
          <w:tcPr>
            <w:tcW w:w="795" w:type="dxa"/>
            <w:gridSpan w:val="2"/>
            <w:shd w:val="clear" w:color="auto" w:fill="auto"/>
            <w:vAlign w:val="bottom"/>
          </w:tcPr>
          <w:p w:rsidR="0074508B" w:rsidRPr="00812E8B" w:rsidRDefault="0074508B" w:rsidP="00B46A9C">
            <w:pPr>
              <w:jc w:val="right"/>
              <w:cnfStyle w:val="000000000000"/>
              <w:rPr>
                <w:rFonts w:ascii="Calibri" w:hAnsi="Calibri" w:cs="Calibri"/>
                <w:color w:val="000000"/>
                <w:lang w:val="en-US"/>
              </w:rPr>
            </w:pPr>
            <w:r w:rsidRPr="00812E8B">
              <w:rPr>
                <w:rFonts w:ascii="Calibri" w:hAnsi="Calibri" w:cs="Calibri"/>
                <w:color w:val="000000"/>
                <w:lang w:val="en-US"/>
              </w:rPr>
              <w:t>0.273</w:t>
            </w:r>
          </w:p>
        </w:tc>
        <w:tc>
          <w:tcPr>
            <w:tcW w:w="236" w:type="dxa"/>
            <w:gridSpan w:val="3"/>
            <w:shd w:val="clear" w:color="auto" w:fill="auto"/>
          </w:tcPr>
          <w:p w:rsidR="0074508B" w:rsidRPr="00812E8B" w:rsidRDefault="0074508B" w:rsidP="00B46A9C">
            <w:pPr>
              <w:pStyle w:val="NoSpacing"/>
              <w:spacing w:line="276" w:lineRule="auto"/>
              <w:ind w:left="252" w:right="-108"/>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252" w:right="-108"/>
              <w:jc w:val="center"/>
              <w:cnfStyle w:val="000000000000"/>
              <w:rPr>
                <w:b/>
                <w:lang w:val="en-US"/>
              </w:rPr>
            </w:pPr>
          </w:p>
        </w:tc>
        <w:tc>
          <w:tcPr>
            <w:tcW w:w="1144"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0.0004</w:t>
            </w:r>
          </w:p>
        </w:tc>
        <w:tc>
          <w:tcPr>
            <w:tcW w:w="84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0.179</w:t>
            </w:r>
          </w:p>
        </w:tc>
        <w:tc>
          <w:tcPr>
            <w:tcW w:w="291" w:type="dxa"/>
            <w:gridSpan w:val="3"/>
            <w:shd w:val="clear" w:color="auto" w:fill="auto"/>
          </w:tcPr>
          <w:p w:rsidR="0074508B" w:rsidRPr="00812E8B" w:rsidRDefault="0074508B" w:rsidP="00B46A9C">
            <w:pPr>
              <w:pStyle w:val="NoSpacing"/>
              <w:spacing w:line="276" w:lineRule="auto"/>
              <w:ind w:left="252" w:right="-108"/>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252" w:right="-108"/>
              <w:rPr>
                <w:b w:val="0"/>
                <w:lang w:val="en-US"/>
              </w:rPr>
            </w:pPr>
            <w:r w:rsidRPr="00812E8B">
              <w:rPr>
                <w:b w:val="0"/>
                <w:lang w:val="en-US"/>
              </w:rPr>
              <w:t>Interest expense deposits</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lang w:val="en-US"/>
              </w:rPr>
            </w:pPr>
            <w:r w:rsidRPr="00812E8B">
              <w:rPr>
                <w:rFonts w:ascii="Calibri" w:hAnsi="Calibri" w:cs="Calibri"/>
                <w:color w:val="000000"/>
                <w:lang w:val="en-US"/>
              </w:rPr>
              <w:t>-0.0174</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0.001</w:t>
            </w:r>
          </w:p>
        </w:tc>
        <w:tc>
          <w:tcPr>
            <w:tcW w:w="426" w:type="dxa"/>
            <w:gridSpan w:val="3"/>
            <w:shd w:val="clear" w:color="auto" w:fill="auto"/>
          </w:tcPr>
          <w:p w:rsidR="0074508B" w:rsidRPr="00812E8B" w:rsidRDefault="0074508B" w:rsidP="00B46A9C">
            <w:pPr>
              <w:pStyle w:val="NoSpacing"/>
              <w:spacing w:line="276" w:lineRule="auto"/>
              <w:ind w:left="252" w:right="-108"/>
              <w:jc w:val="center"/>
              <w:cnfStyle w:val="000000100000"/>
              <w:rPr>
                <w:b/>
                <w:lang w:val="en-US"/>
              </w:rPr>
            </w:pPr>
          </w:p>
        </w:tc>
        <w:tc>
          <w:tcPr>
            <w:tcW w:w="1039" w:type="dxa"/>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-0.0055</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0.491</w:t>
            </w:r>
          </w:p>
        </w:tc>
        <w:tc>
          <w:tcPr>
            <w:tcW w:w="426" w:type="dxa"/>
            <w:gridSpan w:val="2"/>
            <w:shd w:val="clear" w:color="auto" w:fill="auto"/>
          </w:tcPr>
          <w:p w:rsidR="0074508B" w:rsidRPr="00812E8B" w:rsidRDefault="0074508B" w:rsidP="00B46A9C">
            <w:pPr>
              <w:pStyle w:val="NoSpacing"/>
              <w:spacing w:line="276" w:lineRule="auto"/>
              <w:ind w:left="252" w:right="-108"/>
              <w:jc w:val="center"/>
              <w:cnfStyle w:val="000000100000"/>
              <w:rPr>
                <w:b/>
                <w:lang w:val="en-US"/>
              </w:rPr>
            </w:pPr>
          </w:p>
        </w:tc>
        <w:tc>
          <w:tcPr>
            <w:tcW w:w="1170"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-0.0086</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0.153</w:t>
            </w:r>
          </w:p>
        </w:tc>
        <w:tc>
          <w:tcPr>
            <w:tcW w:w="467" w:type="dxa"/>
            <w:gridSpan w:val="2"/>
            <w:shd w:val="clear" w:color="auto" w:fill="auto"/>
          </w:tcPr>
          <w:p w:rsidR="0074508B" w:rsidRPr="00812E8B" w:rsidRDefault="0074508B" w:rsidP="00B46A9C">
            <w:pPr>
              <w:pStyle w:val="NoSpacing"/>
              <w:spacing w:line="276" w:lineRule="auto"/>
              <w:ind w:left="252" w:right="-108"/>
              <w:jc w:val="center"/>
              <w:cnfStyle w:val="000000100000"/>
              <w:rPr>
                <w:b/>
                <w:lang w:val="en-US"/>
              </w:rPr>
            </w:pPr>
          </w:p>
        </w:tc>
        <w:tc>
          <w:tcPr>
            <w:tcW w:w="1039" w:type="dxa"/>
            <w:gridSpan w:val="2"/>
            <w:shd w:val="clear" w:color="auto" w:fill="auto"/>
            <w:vAlign w:val="bottom"/>
          </w:tcPr>
          <w:p w:rsidR="0074508B" w:rsidRPr="00812E8B" w:rsidRDefault="0074508B" w:rsidP="00B46A9C">
            <w:pPr>
              <w:ind w:right="-137"/>
              <w:cnfStyle w:val="000000100000"/>
              <w:rPr>
                <w:rFonts w:ascii="Calibri" w:hAnsi="Calibri" w:cs="Calibri"/>
                <w:color w:val="000000"/>
                <w:lang w:val="en-US"/>
              </w:rPr>
            </w:pPr>
            <w:r w:rsidRPr="00812E8B">
              <w:rPr>
                <w:rFonts w:ascii="Calibri" w:hAnsi="Calibri" w:cs="Calibri"/>
                <w:color w:val="000000"/>
                <w:lang w:val="en-US"/>
              </w:rPr>
              <w:t>-0.0246</w:t>
            </w:r>
            <w:r w:rsidRPr="00812E8B">
              <w:rPr>
                <w:rFonts w:ascii="Calibri" w:hAnsi="Calibri" w:cs="Calibri"/>
                <w:color w:val="000000"/>
                <w:vertAlign w:val="superscript"/>
                <w:lang w:val="en-US"/>
              </w:rPr>
              <w:t>***</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0.005</w:t>
            </w:r>
          </w:p>
        </w:tc>
        <w:tc>
          <w:tcPr>
            <w:tcW w:w="236" w:type="dxa"/>
            <w:gridSpan w:val="3"/>
            <w:shd w:val="clear" w:color="auto" w:fill="auto"/>
          </w:tcPr>
          <w:p w:rsidR="0074508B" w:rsidRPr="00812E8B" w:rsidRDefault="0074508B" w:rsidP="00B46A9C">
            <w:pPr>
              <w:pStyle w:val="NoSpacing"/>
              <w:spacing w:line="276" w:lineRule="auto"/>
              <w:ind w:left="252" w:right="-108"/>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right="-108"/>
              <w:jc w:val="center"/>
              <w:cnfStyle w:val="000000100000"/>
              <w:rPr>
                <w:b/>
                <w:lang w:val="en-US"/>
              </w:rPr>
            </w:pPr>
          </w:p>
        </w:tc>
        <w:tc>
          <w:tcPr>
            <w:tcW w:w="1144" w:type="dxa"/>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 xml:space="preserve"> 0.0023</w:t>
            </w:r>
          </w:p>
        </w:tc>
        <w:tc>
          <w:tcPr>
            <w:tcW w:w="84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0.808</w:t>
            </w:r>
          </w:p>
        </w:tc>
        <w:tc>
          <w:tcPr>
            <w:tcW w:w="291" w:type="dxa"/>
            <w:gridSpan w:val="3"/>
            <w:shd w:val="clear" w:color="auto" w:fill="auto"/>
          </w:tcPr>
          <w:p w:rsidR="0074508B" w:rsidRPr="00812E8B" w:rsidRDefault="0074508B" w:rsidP="00B46A9C">
            <w:pPr>
              <w:pStyle w:val="NoSpacing"/>
              <w:spacing w:line="276" w:lineRule="auto"/>
              <w:ind w:left="252" w:right="-108"/>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color w:val="auto"/>
                <w:lang w:val="en-US"/>
              </w:rPr>
            </w:pPr>
            <w:r w:rsidRPr="00812E8B">
              <w:rPr>
                <w:b w:val="0"/>
                <w:color w:val="auto"/>
                <w:lang w:val="en-US"/>
              </w:rPr>
              <w:t>Non-interest income</w:t>
            </w:r>
          </w:p>
        </w:tc>
        <w:tc>
          <w:tcPr>
            <w:tcW w:w="1196" w:type="dxa"/>
            <w:shd w:val="clear" w:color="auto" w:fill="auto"/>
            <w:vAlign w:val="bottom"/>
          </w:tcPr>
          <w:p w:rsidR="0074508B" w:rsidRPr="00812E8B" w:rsidRDefault="0074508B" w:rsidP="00B46A9C">
            <w:pPr>
              <w:ind w:left="143" w:hanging="143"/>
              <w:cnfStyle w:val="000000000000"/>
              <w:rPr>
                <w:rFonts w:ascii="Calibri" w:hAnsi="Calibri" w:cs="Calibri"/>
                <w:color w:val="000000"/>
                <w:lang w:val="en-US"/>
              </w:rPr>
            </w:pPr>
            <w:r w:rsidRPr="00812E8B">
              <w:rPr>
                <w:rFonts w:ascii="Calibri" w:hAnsi="Calibri" w:cs="Calibri"/>
                <w:color w:val="000000"/>
                <w:lang w:val="en-US"/>
              </w:rPr>
              <w:t xml:space="preserve"> 0.0021</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0.000</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shd w:val="clear" w:color="auto" w:fill="auto"/>
            <w:vAlign w:val="bottom"/>
          </w:tcPr>
          <w:p w:rsidR="0074508B" w:rsidRPr="00812E8B" w:rsidRDefault="0074508B" w:rsidP="00B46A9C">
            <w:pPr>
              <w:ind w:right="-65"/>
              <w:cnfStyle w:val="000000000000"/>
              <w:rPr>
                <w:rFonts w:ascii="Calibri" w:hAnsi="Calibri" w:cs="Calibri"/>
                <w:color w:val="000000"/>
                <w:lang w:val="en-US"/>
              </w:rPr>
            </w:pPr>
            <w:r w:rsidRPr="00812E8B">
              <w:rPr>
                <w:rFonts w:ascii="Calibri" w:hAnsi="Calibri" w:cs="Calibri"/>
                <w:color w:val="000000"/>
                <w:lang w:val="en-US"/>
              </w:rPr>
              <w:t xml:space="preserve"> 0.0019</w:t>
            </w:r>
            <w:r w:rsidRPr="00812E8B">
              <w:rPr>
                <w:rFonts w:ascii="Calibri" w:hAnsi="Calibri" w:cs="Calibri"/>
                <w:color w:val="000000"/>
                <w:vertAlign w:val="superscript"/>
                <w:lang w:val="en-US"/>
              </w:rPr>
              <w:t>***</w:t>
            </w:r>
          </w:p>
        </w:tc>
        <w:tc>
          <w:tcPr>
            <w:tcW w:w="997" w:type="dxa"/>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0.001</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0.0019</w:t>
            </w:r>
            <w:r w:rsidRPr="00812E8B">
              <w:rPr>
                <w:rFonts w:ascii="Calibri" w:hAnsi="Calibri" w:cs="Calibri"/>
                <w:color w:val="000000"/>
                <w:vertAlign w:val="superscript"/>
                <w:lang w:val="en-US"/>
              </w:rPr>
              <w:t>***</w:t>
            </w:r>
          </w:p>
        </w:tc>
        <w:tc>
          <w:tcPr>
            <w:tcW w:w="100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0.000</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0.0025</w:t>
            </w:r>
            <w:r w:rsidRPr="00812E8B">
              <w:rPr>
                <w:rFonts w:ascii="Calibri" w:hAnsi="Calibri" w:cs="Calibri"/>
                <w:color w:val="000000"/>
                <w:vertAlign w:val="superscript"/>
                <w:lang w:val="en-US"/>
              </w:rPr>
              <w:t>**</w:t>
            </w:r>
          </w:p>
        </w:tc>
        <w:tc>
          <w:tcPr>
            <w:tcW w:w="795" w:type="dxa"/>
            <w:gridSpan w:val="2"/>
            <w:shd w:val="clear" w:color="auto" w:fill="auto"/>
            <w:vAlign w:val="bottom"/>
          </w:tcPr>
          <w:p w:rsidR="0074508B" w:rsidRPr="00812E8B" w:rsidRDefault="0074508B" w:rsidP="00B46A9C">
            <w:pPr>
              <w:jc w:val="right"/>
              <w:cnfStyle w:val="000000000000"/>
              <w:rPr>
                <w:rFonts w:ascii="Calibri" w:hAnsi="Calibri" w:cs="Calibri"/>
                <w:color w:val="000000"/>
                <w:lang w:val="en-US"/>
              </w:rPr>
            </w:pPr>
            <w:r w:rsidRPr="00812E8B">
              <w:rPr>
                <w:rFonts w:ascii="Calibri" w:hAnsi="Calibri" w:cs="Calibri"/>
                <w:color w:val="000000"/>
                <w:lang w:val="en-US"/>
              </w:rPr>
              <w:t>0.018</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44" w:type="dxa"/>
            <w:shd w:val="clear" w:color="auto" w:fill="auto"/>
            <w:vAlign w:val="bottom"/>
          </w:tcPr>
          <w:p w:rsidR="0074508B" w:rsidRPr="00812E8B" w:rsidRDefault="0074508B" w:rsidP="00B46A9C">
            <w:pPr>
              <w:cnfStyle w:val="000000000000"/>
              <w:rPr>
                <w:rFonts w:ascii="Calibri" w:hAnsi="Calibri" w:cs="Calibri"/>
                <w:color w:val="000000"/>
                <w:vertAlign w:val="superscript"/>
                <w:lang w:val="en-US"/>
              </w:rPr>
            </w:pPr>
            <w:r w:rsidRPr="00812E8B">
              <w:rPr>
                <w:rFonts w:ascii="Calibri" w:hAnsi="Calibri" w:cs="Calibri"/>
                <w:color w:val="000000"/>
                <w:lang w:val="en-US"/>
              </w:rPr>
              <w:t xml:space="preserve"> 0.0023</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0.004</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color w:val="auto"/>
                <w:lang w:val="en-US"/>
              </w:rPr>
            </w:pPr>
            <w:r w:rsidRPr="00812E8B">
              <w:rPr>
                <w:b w:val="0"/>
                <w:color w:val="auto"/>
                <w:lang w:val="en-US"/>
              </w:rPr>
              <w:t>Cost-to-income ratio</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lang w:val="en-US"/>
              </w:rPr>
            </w:pPr>
            <w:r w:rsidRPr="00812E8B">
              <w:rPr>
                <w:rFonts w:ascii="Calibri" w:hAnsi="Calibri" w:cs="Calibri"/>
                <w:color w:val="000000"/>
                <w:lang w:val="en-US"/>
              </w:rPr>
              <w:t>-0.0083</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shd w:val="clear" w:color="auto" w:fill="auto"/>
            <w:vAlign w:val="bottom"/>
          </w:tcPr>
          <w:p w:rsidR="0074508B" w:rsidRPr="00812E8B" w:rsidRDefault="0074508B" w:rsidP="00B46A9C">
            <w:pPr>
              <w:ind w:right="-207"/>
              <w:cnfStyle w:val="000000100000"/>
              <w:rPr>
                <w:rFonts w:ascii="Calibri" w:hAnsi="Calibri" w:cs="Calibri"/>
                <w:color w:val="000000"/>
                <w:lang w:val="en-US"/>
              </w:rPr>
            </w:pPr>
            <w:r w:rsidRPr="00812E8B">
              <w:rPr>
                <w:rFonts w:ascii="Calibri" w:hAnsi="Calibri" w:cs="Calibri"/>
                <w:color w:val="000000"/>
                <w:lang w:val="en-US"/>
              </w:rPr>
              <w:t>-0.0083</w:t>
            </w:r>
            <w:r w:rsidRPr="00812E8B">
              <w:rPr>
                <w:rFonts w:ascii="Calibri" w:hAnsi="Calibri" w:cs="Calibri"/>
                <w:color w:val="000000"/>
                <w:vertAlign w:val="superscript"/>
                <w:lang w:val="en-US"/>
              </w:rPr>
              <w:t>***</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70" w:type="dxa"/>
            <w:gridSpan w:val="2"/>
            <w:shd w:val="clear" w:color="auto" w:fill="auto"/>
            <w:vAlign w:val="bottom"/>
          </w:tcPr>
          <w:p w:rsidR="0074508B" w:rsidRPr="00812E8B" w:rsidRDefault="0074508B" w:rsidP="00B46A9C">
            <w:pPr>
              <w:ind w:right="-43"/>
              <w:cnfStyle w:val="000000100000"/>
              <w:rPr>
                <w:rFonts w:ascii="Calibri" w:hAnsi="Calibri" w:cs="Calibri"/>
                <w:color w:val="000000"/>
                <w:lang w:val="en-US"/>
              </w:rPr>
            </w:pPr>
            <w:r w:rsidRPr="00812E8B">
              <w:rPr>
                <w:rFonts w:ascii="Calibri" w:hAnsi="Calibri" w:cs="Calibri"/>
                <w:color w:val="000000"/>
                <w:lang w:val="en-US"/>
              </w:rPr>
              <w:t>-0.0066</w:t>
            </w:r>
            <w:r w:rsidRPr="00812E8B">
              <w:rPr>
                <w:rFonts w:ascii="Calibri" w:hAnsi="Calibri" w:cs="Calibri"/>
                <w:color w:val="000000"/>
                <w:vertAlign w:val="superscript"/>
                <w:lang w:val="en-US"/>
              </w:rPr>
              <w:t>***</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gridSpan w:val="2"/>
            <w:shd w:val="clear" w:color="auto" w:fill="auto"/>
            <w:vAlign w:val="bottom"/>
          </w:tcPr>
          <w:p w:rsidR="0074508B" w:rsidRPr="00812E8B" w:rsidRDefault="0074508B" w:rsidP="00B46A9C">
            <w:pPr>
              <w:ind w:right="-137"/>
              <w:cnfStyle w:val="000000100000"/>
              <w:rPr>
                <w:rFonts w:ascii="Calibri" w:hAnsi="Calibri" w:cs="Calibri"/>
                <w:color w:val="000000"/>
                <w:lang w:val="en-US"/>
              </w:rPr>
            </w:pPr>
            <w:r w:rsidRPr="00812E8B">
              <w:rPr>
                <w:rFonts w:ascii="Calibri" w:hAnsi="Calibri" w:cs="Calibri"/>
                <w:color w:val="000000"/>
                <w:lang w:val="en-US"/>
              </w:rPr>
              <w:t>-0.0099</w:t>
            </w:r>
            <w:r w:rsidRPr="00812E8B">
              <w:rPr>
                <w:rFonts w:ascii="Calibri" w:hAnsi="Calibri" w:cs="Calibri"/>
                <w:color w:val="000000"/>
                <w:vertAlign w:val="superscript"/>
                <w:lang w:val="en-US"/>
              </w:rPr>
              <w:t>***</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0.000</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44" w:type="dxa"/>
            <w:shd w:val="clear" w:color="auto" w:fill="auto"/>
            <w:vAlign w:val="bottom"/>
          </w:tcPr>
          <w:p w:rsidR="0074508B" w:rsidRPr="00812E8B" w:rsidRDefault="0074508B" w:rsidP="00B46A9C">
            <w:pPr>
              <w:cnfStyle w:val="000000100000"/>
              <w:rPr>
                <w:rFonts w:ascii="Calibri" w:hAnsi="Calibri" w:cs="Calibri"/>
                <w:color w:val="000000"/>
                <w:vertAlign w:val="superscript"/>
                <w:lang w:val="en-US"/>
              </w:rPr>
            </w:pPr>
            <w:r w:rsidRPr="00812E8B">
              <w:rPr>
                <w:rFonts w:ascii="Calibri" w:hAnsi="Calibri" w:cs="Calibri"/>
                <w:color w:val="000000"/>
                <w:lang w:val="en-US"/>
              </w:rPr>
              <w:t>-0.0054</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lang w:val="en-US"/>
              </w:rPr>
            </w:pPr>
            <w:r w:rsidRPr="00812E8B">
              <w:rPr>
                <w:b w:val="0"/>
                <w:lang w:val="en-US"/>
              </w:rPr>
              <w:t>Growth of gross loans</w:t>
            </w:r>
          </w:p>
        </w:tc>
        <w:tc>
          <w:tcPr>
            <w:tcW w:w="1196" w:type="dxa"/>
            <w:shd w:val="clear" w:color="auto" w:fill="auto"/>
            <w:vAlign w:val="bottom"/>
          </w:tcPr>
          <w:p w:rsidR="0074508B" w:rsidRPr="00812E8B" w:rsidRDefault="0074508B" w:rsidP="00B46A9C">
            <w:pPr>
              <w:ind w:left="143" w:hanging="143"/>
              <w:cnfStyle w:val="000000000000"/>
              <w:rPr>
                <w:rFonts w:ascii="Calibri" w:hAnsi="Calibri" w:cs="Calibri"/>
                <w:color w:val="000000"/>
                <w:vertAlign w:val="superscript"/>
                <w:lang w:val="en-US"/>
              </w:rPr>
            </w:pPr>
            <w:r w:rsidRPr="00812E8B">
              <w:rPr>
                <w:rFonts w:ascii="Calibri" w:hAnsi="Calibri" w:cs="Calibri"/>
                <w:color w:val="000000"/>
                <w:lang w:val="en-US"/>
              </w:rPr>
              <w:t xml:space="preserve"> 0.0013</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0.068</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shd w:val="clear" w:color="auto" w:fill="auto"/>
            <w:vAlign w:val="bottom"/>
          </w:tcPr>
          <w:p w:rsidR="0074508B" w:rsidRPr="00812E8B" w:rsidRDefault="0074508B" w:rsidP="00B46A9C">
            <w:pPr>
              <w:cnfStyle w:val="000000000000"/>
              <w:rPr>
                <w:rFonts w:ascii="Calibri" w:hAnsi="Calibri" w:cs="Calibri"/>
                <w:color w:val="000000"/>
                <w:vertAlign w:val="superscript"/>
                <w:lang w:val="en-US"/>
              </w:rPr>
            </w:pPr>
            <w:r w:rsidRPr="00812E8B">
              <w:rPr>
                <w:rFonts w:ascii="Calibri" w:hAnsi="Calibri" w:cs="Calibri"/>
                <w:color w:val="000000"/>
                <w:lang w:val="en-US"/>
              </w:rPr>
              <w:t xml:space="preserve"> 0.0010</w:t>
            </w:r>
            <w:r w:rsidRPr="00812E8B">
              <w:rPr>
                <w:rFonts w:ascii="Calibri" w:hAnsi="Calibri" w:cs="Calibri"/>
                <w:color w:val="000000"/>
                <w:vertAlign w:val="superscript"/>
                <w:lang w:val="en-US"/>
              </w:rPr>
              <w:t>**</w:t>
            </w:r>
          </w:p>
        </w:tc>
        <w:tc>
          <w:tcPr>
            <w:tcW w:w="997" w:type="dxa"/>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0.032</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0.0007</w:t>
            </w:r>
          </w:p>
        </w:tc>
        <w:tc>
          <w:tcPr>
            <w:tcW w:w="100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0.182</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0.0010</w:t>
            </w:r>
          </w:p>
        </w:tc>
        <w:tc>
          <w:tcPr>
            <w:tcW w:w="795" w:type="dxa"/>
            <w:gridSpan w:val="2"/>
            <w:shd w:val="clear" w:color="auto" w:fill="auto"/>
            <w:vAlign w:val="bottom"/>
          </w:tcPr>
          <w:p w:rsidR="0074508B" w:rsidRPr="00812E8B" w:rsidRDefault="0074508B" w:rsidP="00B46A9C">
            <w:pPr>
              <w:jc w:val="right"/>
              <w:cnfStyle w:val="000000000000"/>
              <w:rPr>
                <w:rFonts w:ascii="Calibri" w:hAnsi="Calibri" w:cs="Calibri"/>
                <w:color w:val="000000"/>
                <w:lang w:val="en-US"/>
              </w:rPr>
            </w:pPr>
            <w:r w:rsidRPr="00812E8B">
              <w:rPr>
                <w:rFonts w:ascii="Calibri" w:hAnsi="Calibri" w:cs="Calibri"/>
                <w:color w:val="000000"/>
                <w:lang w:val="en-US"/>
              </w:rPr>
              <w:t>0.153</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44"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0.0006</w:t>
            </w:r>
          </w:p>
        </w:tc>
        <w:tc>
          <w:tcPr>
            <w:tcW w:w="84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0.194</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72"/>
              <w:rPr>
                <w:b w:val="0"/>
                <w:lang w:val="en-US"/>
              </w:rPr>
            </w:pPr>
            <w:r w:rsidRPr="00812E8B">
              <w:rPr>
                <w:b w:val="0"/>
                <w:lang w:val="en-US"/>
              </w:rPr>
              <w:t>Industry-specific variables</w:t>
            </w:r>
          </w:p>
        </w:tc>
        <w:tc>
          <w:tcPr>
            <w:tcW w:w="1196" w:type="dxa"/>
            <w:shd w:val="clear" w:color="auto" w:fill="auto"/>
          </w:tcPr>
          <w:p w:rsidR="0074508B" w:rsidRPr="00812E8B" w:rsidRDefault="0074508B" w:rsidP="00B46A9C">
            <w:pPr>
              <w:pStyle w:val="NoSpacing"/>
              <w:spacing w:line="276" w:lineRule="auto"/>
              <w:ind w:left="143" w:hanging="143"/>
              <w:cnfStyle w:val="000000100000"/>
              <w:rPr>
                <w:b/>
                <w:lang w:val="en-US"/>
              </w:rPr>
            </w:pPr>
          </w:p>
        </w:tc>
        <w:tc>
          <w:tcPr>
            <w:tcW w:w="755"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426"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039" w:type="dxa"/>
            <w:shd w:val="clear" w:color="auto" w:fill="auto"/>
          </w:tcPr>
          <w:p w:rsidR="0074508B" w:rsidRPr="00812E8B" w:rsidRDefault="0074508B" w:rsidP="00B46A9C">
            <w:pPr>
              <w:pStyle w:val="NoSpacing"/>
              <w:spacing w:line="276" w:lineRule="auto"/>
              <w:ind w:left="72"/>
              <w:cnfStyle w:val="000000100000"/>
              <w:rPr>
                <w:b/>
                <w:lang w:val="en-US"/>
              </w:rPr>
            </w:pPr>
          </w:p>
        </w:tc>
        <w:tc>
          <w:tcPr>
            <w:tcW w:w="997" w:type="dxa"/>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426"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170" w:type="dxa"/>
            <w:gridSpan w:val="2"/>
            <w:shd w:val="clear" w:color="auto" w:fill="auto"/>
          </w:tcPr>
          <w:p w:rsidR="0074508B" w:rsidRPr="00812E8B" w:rsidRDefault="0074508B" w:rsidP="00B46A9C">
            <w:pPr>
              <w:pStyle w:val="NoSpacing"/>
              <w:spacing w:line="276" w:lineRule="auto"/>
              <w:ind w:left="72"/>
              <w:cnfStyle w:val="000000100000"/>
              <w:rPr>
                <w:b/>
                <w:lang w:val="en-US"/>
              </w:rPr>
            </w:pPr>
          </w:p>
        </w:tc>
        <w:tc>
          <w:tcPr>
            <w:tcW w:w="1004"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467"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039" w:type="dxa"/>
            <w:gridSpan w:val="2"/>
            <w:shd w:val="clear" w:color="auto" w:fill="auto"/>
          </w:tcPr>
          <w:p w:rsidR="0074508B" w:rsidRPr="00812E8B" w:rsidRDefault="0074508B" w:rsidP="00B46A9C">
            <w:pPr>
              <w:pStyle w:val="NoSpacing"/>
              <w:spacing w:line="276" w:lineRule="auto"/>
              <w:ind w:left="72"/>
              <w:cnfStyle w:val="000000100000"/>
              <w:rPr>
                <w:b/>
                <w:lang w:val="en-US"/>
              </w:rPr>
            </w:pPr>
          </w:p>
        </w:tc>
        <w:tc>
          <w:tcPr>
            <w:tcW w:w="795"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236"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144" w:type="dxa"/>
            <w:shd w:val="clear" w:color="auto" w:fill="auto"/>
          </w:tcPr>
          <w:p w:rsidR="0074508B" w:rsidRPr="00812E8B" w:rsidRDefault="0074508B" w:rsidP="00B46A9C">
            <w:pPr>
              <w:pStyle w:val="NoSpacing"/>
              <w:spacing w:line="276" w:lineRule="auto"/>
              <w:ind w:left="72"/>
              <w:cnfStyle w:val="000000100000"/>
              <w:rPr>
                <w:b/>
                <w:lang w:val="en-US"/>
              </w:rPr>
            </w:pPr>
          </w:p>
        </w:tc>
        <w:tc>
          <w:tcPr>
            <w:tcW w:w="844"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291"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lang w:val="en-US"/>
              </w:rPr>
            </w:pPr>
            <w:r w:rsidRPr="00812E8B">
              <w:rPr>
                <w:b w:val="0"/>
                <w:lang w:val="en-US"/>
              </w:rPr>
              <w:t>Herfindahl-Hischman index</w:t>
            </w:r>
          </w:p>
        </w:tc>
        <w:tc>
          <w:tcPr>
            <w:tcW w:w="1196" w:type="dxa"/>
            <w:shd w:val="clear" w:color="auto" w:fill="auto"/>
            <w:vAlign w:val="bottom"/>
          </w:tcPr>
          <w:p w:rsidR="0074508B" w:rsidRPr="00812E8B" w:rsidRDefault="0074508B" w:rsidP="00B46A9C">
            <w:pPr>
              <w:ind w:left="143" w:hanging="143"/>
              <w:cnfStyle w:val="000000000000"/>
              <w:rPr>
                <w:rFonts w:ascii="Calibri" w:hAnsi="Calibri" w:cs="Calibri"/>
                <w:color w:val="000000"/>
                <w:lang w:val="en-US"/>
              </w:rPr>
            </w:pPr>
            <w:r w:rsidRPr="00812E8B">
              <w:rPr>
                <w:rFonts w:ascii="Calibri" w:hAnsi="Calibri" w:cs="Calibri"/>
                <w:color w:val="000000"/>
                <w:lang w:val="en-US"/>
              </w:rPr>
              <w:t xml:space="preserve"> 0.0000</w:t>
            </w:r>
          </w:p>
        </w:tc>
        <w:tc>
          <w:tcPr>
            <w:tcW w:w="755"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0.514</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0.0003</w:t>
            </w:r>
          </w:p>
        </w:tc>
        <w:tc>
          <w:tcPr>
            <w:tcW w:w="997" w:type="dxa"/>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0.232</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0.0000</w:t>
            </w:r>
          </w:p>
        </w:tc>
        <w:tc>
          <w:tcPr>
            <w:tcW w:w="100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0.776</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0.0000</w:t>
            </w:r>
          </w:p>
        </w:tc>
        <w:tc>
          <w:tcPr>
            <w:tcW w:w="795" w:type="dxa"/>
            <w:gridSpan w:val="2"/>
            <w:shd w:val="clear" w:color="auto" w:fill="auto"/>
            <w:vAlign w:val="bottom"/>
          </w:tcPr>
          <w:p w:rsidR="0074508B" w:rsidRPr="00812E8B" w:rsidRDefault="0074508B" w:rsidP="00B46A9C">
            <w:pPr>
              <w:jc w:val="right"/>
              <w:cnfStyle w:val="000000000000"/>
              <w:rPr>
                <w:rFonts w:ascii="Calibri" w:hAnsi="Calibri" w:cs="Calibri"/>
                <w:color w:val="000000"/>
                <w:lang w:val="en-US"/>
              </w:rPr>
            </w:pPr>
            <w:r w:rsidRPr="00812E8B">
              <w:rPr>
                <w:rFonts w:ascii="Calibri" w:hAnsi="Calibri" w:cs="Calibri"/>
                <w:color w:val="000000"/>
                <w:lang w:val="en-US"/>
              </w:rPr>
              <w:t>0.932</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44"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0.0000</w:t>
            </w:r>
          </w:p>
        </w:tc>
        <w:tc>
          <w:tcPr>
            <w:tcW w:w="84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0.368</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lang w:val="en-US"/>
              </w:rPr>
            </w:pPr>
            <w:r w:rsidRPr="00812E8B">
              <w:rPr>
                <w:b w:val="0"/>
                <w:lang w:val="en-US"/>
              </w:rPr>
              <w:t>Logarithm of total assets</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lang w:val="en-US"/>
              </w:rPr>
            </w:pPr>
            <w:r w:rsidRPr="00812E8B">
              <w:rPr>
                <w:rFonts w:ascii="Calibri" w:hAnsi="Calibri" w:cs="Calibri"/>
                <w:color w:val="000000"/>
                <w:lang w:val="en-US"/>
              </w:rPr>
              <w:t xml:space="preserve"> 0.0039</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0.615</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-0.0029</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0.930</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70"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 xml:space="preserve"> 0.0109</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0.399</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 xml:space="preserve"> 0.0059</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0.682</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44" w:type="dxa"/>
            <w:shd w:val="clear" w:color="auto" w:fill="auto"/>
            <w:vAlign w:val="bottom"/>
          </w:tcPr>
          <w:p w:rsidR="0074508B" w:rsidRPr="00812E8B" w:rsidRDefault="0074508B" w:rsidP="00B46A9C">
            <w:pPr>
              <w:cnfStyle w:val="000000100000"/>
              <w:rPr>
                <w:rFonts w:ascii="Calibri" w:hAnsi="Calibri" w:cs="Calibri"/>
                <w:color w:val="000000"/>
                <w:vertAlign w:val="superscript"/>
                <w:lang w:val="en-US"/>
              </w:rPr>
            </w:pPr>
            <w:r w:rsidRPr="00812E8B">
              <w:rPr>
                <w:rFonts w:ascii="Calibri" w:hAnsi="Calibri" w:cs="Calibri"/>
                <w:color w:val="000000"/>
                <w:lang w:val="en-US"/>
              </w:rPr>
              <w:t xml:space="preserve"> 0.0291</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0.020</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lang w:val="en-US"/>
              </w:rPr>
            </w:pPr>
            <w:r w:rsidRPr="00812E8B">
              <w:rPr>
                <w:b w:val="0"/>
                <w:lang w:val="en-US"/>
              </w:rPr>
              <w:t>Dummy stakeholder</w:t>
            </w:r>
          </w:p>
        </w:tc>
        <w:tc>
          <w:tcPr>
            <w:tcW w:w="1196" w:type="dxa"/>
            <w:shd w:val="clear" w:color="auto" w:fill="auto"/>
            <w:vAlign w:val="bottom"/>
          </w:tcPr>
          <w:p w:rsidR="0074508B" w:rsidRPr="00812E8B" w:rsidRDefault="0074508B" w:rsidP="00B46A9C">
            <w:pPr>
              <w:ind w:left="143" w:hanging="143"/>
              <w:cnfStyle w:val="000000000000"/>
              <w:rPr>
                <w:rFonts w:ascii="Calibri" w:hAnsi="Calibri" w:cs="Calibri"/>
                <w:color w:val="000000"/>
                <w:lang w:val="en-US"/>
              </w:rPr>
            </w:pPr>
            <w:r w:rsidRPr="00812E8B">
              <w:rPr>
                <w:rFonts w:ascii="Calibri" w:hAnsi="Calibri" w:cs="Calibri"/>
                <w:color w:val="000000"/>
                <w:lang w:val="en-US"/>
              </w:rPr>
              <w:t>-0.0406</w:t>
            </w:r>
          </w:p>
        </w:tc>
        <w:tc>
          <w:tcPr>
            <w:tcW w:w="755"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0.174</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0.0654</w:t>
            </w:r>
          </w:p>
        </w:tc>
        <w:tc>
          <w:tcPr>
            <w:tcW w:w="997" w:type="dxa"/>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0.833</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-0.0142</w:t>
            </w:r>
          </w:p>
        </w:tc>
        <w:tc>
          <w:tcPr>
            <w:tcW w:w="100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0.712</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 xml:space="preserve"> 0.0119</w:t>
            </w:r>
          </w:p>
        </w:tc>
        <w:tc>
          <w:tcPr>
            <w:tcW w:w="795" w:type="dxa"/>
            <w:gridSpan w:val="2"/>
            <w:shd w:val="clear" w:color="auto" w:fill="auto"/>
            <w:vAlign w:val="bottom"/>
          </w:tcPr>
          <w:p w:rsidR="0074508B" w:rsidRPr="00812E8B" w:rsidRDefault="0074508B" w:rsidP="00B46A9C">
            <w:pPr>
              <w:jc w:val="right"/>
              <w:cnfStyle w:val="000000000000"/>
              <w:rPr>
                <w:rFonts w:ascii="Calibri" w:hAnsi="Calibri" w:cs="Calibri"/>
                <w:color w:val="000000"/>
                <w:lang w:val="en-US"/>
              </w:rPr>
            </w:pPr>
            <w:r w:rsidRPr="00812E8B">
              <w:rPr>
                <w:rFonts w:ascii="Calibri" w:hAnsi="Calibri" w:cs="Calibri"/>
                <w:color w:val="000000"/>
                <w:lang w:val="en-US"/>
              </w:rPr>
              <w:t>0.769</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988"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r w:rsidRPr="00812E8B">
              <w:rPr>
                <w:b/>
                <w:lang w:val="en-US"/>
              </w:rPr>
              <w:t>-</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lang w:val="en-US"/>
              </w:rPr>
            </w:pPr>
            <w:r w:rsidRPr="00812E8B">
              <w:rPr>
                <w:b w:val="0"/>
                <w:lang w:val="en-US"/>
              </w:rPr>
              <w:t>Dummy government</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lang w:val="en-US"/>
              </w:rPr>
            </w:pPr>
            <w:r w:rsidRPr="00812E8B">
              <w:rPr>
                <w:rFonts w:ascii="Calibri" w:hAnsi="Calibri" w:cs="Calibri"/>
                <w:color w:val="000000"/>
                <w:lang w:val="en-US"/>
              </w:rPr>
              <w:t>-0.1309</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0.002</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-0.0726</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0.594</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70"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-0.0949</w:t>
            </w:r>
            <w:r w:rsidRPr="00812E8B">
              <w:rPr>
                <w:rFonts w:ascii="Calibri" w:hAnsi="Calibri" w:cs="Calibri"/>
                <w:color w:val="000000"/>
                <w:vertAlign w:val="superscript"/>
                <w:lang w:val="en-US"/>
              </w:rPr>
              <w:t>*</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0.070</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-0.0428</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0.399</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988"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r w:rsidRPr="00812E8B">
              <w:rPr>
                <w:b/>
                <w:lang w:val="en-US"/>
              </w:rPr>
              <w:t>-</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72"/>
              <w:rPr>
                <w:b w:val="0"/>
                <w:lang w:val="en-US"/>
              </w:rPr>
            </w:pPr>
            <w:r w:rsidRPr="00812E8B">
              <w:rPr>
                <w:b w:val="0"/>
                <w:lang w:val="en-US"/>
              </w:rPr>
              <w:t>Macroeconomic variables</w:t>
            </w:r>
          </w:p>
        </w:tc>
        <w:tc>
          <w:tcPr>
            <w:tcW w:w="1196" w:type="dxa"/>
            <w:shd w:val="clear" w:color="auto" w:fill="auto"/>
          </w:tcPr>
          <w:p w:rsidR="0074508B" w:rsidRPr="00812E8B" w:rsidRDefault="0074508B" w:rsidP="00B46A9C">
            <w:pPr>
              <w:pStyle w:val="NoSpacing"/>
              <w:spacing w:line="276" w:lineRule="auto"/>
              <w:ind w:left="143" w:hanging="143"/>
              <w:cnfStyle w:val="000000000000"/>
              <w:rPr>
                <w:b/>
                <w:lang w:val="en-US"/>
              </w:rPr>
            </w:pPr>
          </w:p>
        </w:tc>
        <w:tc>
          <w:tcPr>
            <w:tcW w:w="755"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42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039" w:type="dxa"/>
            <w:shd w:val="clear" w:color="auto" w:fill="auto"/>
          </w:tcPr>
          <w:p w:rsidR="0074508B" w:rsidRPr="00812E8B" w:rsidRDefault="0074508B" w:rsidP="00B46A9C">
            <w:pPr>
              <w:pStyle w:val="NoSpacing"/>
              <w:spacing w:line="276" w:lineRule="auto"/>
              <w:ind w:left="72"/>
              <w:cnfStyle w:val="000000000000"/>
              <w:rPr>
                <w:b/>
                <w:lang w:val="en-US"/>
              </w:rPr>
            </w:pPr>
          </w:p>
        </w:tc>
        <w:tc>
          <w:tcPr>
            <w:tcW w:w="997" w:type="dxa"/>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426"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170" w:type="dxa"/>
            <w:gridSpan w:val="2"/>
            <w:shd w:val="clear" w:color="auto" w:fill="auto"/>
          </w:tcPr>
          <w:p w:rsidR="0074508B" w:rsidRPr="00812E8B" w:rsidRDefault="0074508B" w:rsidP="00B46A9C">
            <w:pPr>
              <w:pStyle w:val="NoSpacing"/>
              <w:spacing w:line="276" w:lineRule="auto"/>
              <w:ind w:left="72"/>
              <w:cnfStyle w:val="000000000000"/>
              <w:rPr>
                <w:b/>
                <w:lang w:val="en-US"/>
              </w:rPr>
            </w:pPr>
          </w:p>
        </w:tc>
        <w:tc>
          <w:tcPr>
            <w:tcW w:w="1004"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467"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039" w:type="dxa"/>
            <w:gridSpan w:val="2"/>
            <w:shd w:val="clear" w:color="auto" w:fill="auto"/>
          </w:tcPr>
          <w:p w:rsidR="0074508B" w:rsidRPr="00812E8B" w:rsidRDefault="0074508B" w:rsidP="00B46A9C">
            <w:pPr>
              <w:pStyle w:val="NoSpacing"/>
              <w:spacing w:line="276" w:lineRule="auto"/>
              <w:ind w:left="72"/>
              <w:cnfStyle w:val="000000000000"/>
              <w:rPr>
                <w:b/>
                <w:lang w:val="en-US"/>
              </w:rPr>
            </w:pPr>
          </w:p>
        </w:tc>
        <w:tc>
          <w:tcPr>
            <w:tcW w:w="795"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23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144" w:type="dxa"/>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844"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291"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r>
      <w:tr w:rsidR="0074508B" w:rsidRPr="00812E8B" w:rsidTr="00B46A9C">
        <w:trPr>
          <w:gridAfter w:val="2"/>
          <w:cnfStyle w:val="000000100000"/>
          <w:wAfter w:w="45" w:type="dxa"/>
          <w:trHeight w:val="221"/>
        </w:trPr>
        <w:tc>
          <w:tcPr>
            <w:cnfStyle w:val="001000000000"/>
            <w:tcW w:w="3539" w:type="dxa"/>
            <w:shd w:val="clear" w:color="auto" w:fill="auto"/>
          </w:tcPr>
          <w:p w:rsidR="0074508B" w:rsidRPr="00812E8B" w:rsidRDefault="0074508B" w:rsidP="00B46A9C">
            <w:pPr>
              <w:pStyle w:val="NoSpacing"/>
              <w:spacing w:line="276" w:lineRule="auto"/>
              <w:ind w:left="252"/>
              <w:rPr>
                <w:b w:val="0"/>
                <w:lang w:val="en-US"/>
              </w:rPr>
            </w:pPr>
            <w:r w:rsidRPr="00812E8B">
              <w:rPr>
                <w:b w:val="0"/>
                <w:lang w:val="en-US"/>
              </w:rPr>
              <w:t>Real GDP growth</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lang w:val="en-US"/>
              </w:rPr>
            </w:pPr>
            <w:r w:rsidRPr="00812E8B">
              <w:rPr>
                <w:rFonts w:ascii="Calibri" w:hAnsi="Calibri" w:cs="Calibri"/>
                <w:color w:val="000000"/>
                <w:lang w:val="en-US"/>
              </w:rPr>
              <w:t xml:space="preserve"> 0.0266</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shd w:val="clear" w:color="auto" w:fill="auto"/>
            <w:vAlign w:val="bottom"/>
          </w:tcPr>
          <w:p w:rsidR="0074508B" w:rsidRPr="00812E8B" w:rsidRDefault="0074508B" w:rsidP="00B46A9C">
            <w:pPr>
              <w:ind w:right="-65"/>
              <w:cnfStyle w:val="000000100000"/>
              <w:rPr>
                <w:rFonts w:ascii="Calibri" w:hAnsi="Calibri" w:cs="Calibri"/>
                <w:color w:val="000000"/>
                <w:lang w:val="en-US"/>
              </w:rPr>
            </w:pPr>
            <w:r w:rsidRPr="00812E8B">
              <w:rPr>
                <w:rFonts w:ascii="Calibri" w:hAnsi="Calibri" w:cs="Calibri"/>
                <w:color w:val="000000"/>
                <w:lang w:val="en-US"/>
              </w:rPr>
              <w:t xml:space="preserve"> 0.0326</w:t>
            </w:r>
            <w:r w:rsidRPr="00812E8B">
              <w:rPr>
                <w:rFonts w:ascii="Calibri" w:hAnsi="Calibri" w:cs="Calibri"/>
                <w:color w:val="000000"/>
                <w:vertAlign w:val="superscript"/>
                <w:lang w:val="en-US"/>
              </w:rPr>
              <w:t>***</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70"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 xml:space="preserve"> 0.0206</w:t>
            </w:r>
            <w:r w:rsidRPr="00812E8B">
              <w:rPr>
                <w:rFonts w:ascii="Calibri" w:hAnsi="Calibri" w:cs="Calibri"/>
                <w:color w:val="000000"/>
                <w:vertAlign w:val="superscript"/>
                <w:lang w:val="en-US"/>
              </w:rPr>
              <w:t>***</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0.000</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gridSpan w:val="2"/>
            <w:shd w:val="clear" w:color="auto" w:fill="auto"/>
            <w:vAlign w:val="bottom"/>
          </w:tcPr>
          <w:p w:rsidR="0074508B" w:rsidRPr="00812E8B" w:rsidRDefault="0074508B" w:rsidP="00B46A9C">
            <w:pPr>
              <w:ind w:right="-65"/>
              <w:cnfStyle w:val="000000100000"/>
              <w:rPr>
                <w:rFonts w:ascii="Calibri" w:hAnsi="Calibri" w:cs="Calibri"/>
                <w:color w:val="000000"/>
                <w:lang w:val="en-US"/>
              </w:rPr>
            </w:pPr>
            <w:r w:rsidRPr="00812E8B">
              <w:rPr>
                <w:rFonts w:ascii="Calibri" w:hAnsi="Calibri" w:cs="Calibri"/>
                <w:color w:val="000000"/>
                <w:lang w:val="en-US"/>
              </w:rPr>
              <w:t xml:space="preserve"> 0.0147</w:t>
            </w:r>
            <w:r w:rsidRPr="00812E8B">
              <w:rPr>
                <w:rFonts w:ascii="Calibri" w:hAnsi="Calibri" w:cs="Calibri"/>
                <w:color w:val="000000"/>
                <w:vertAlign w:val="superscript"/>
                <w:lang w:val="en-US"/>
              </w:rPr>
              <w:t>***</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0.003</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44" w:type="dxa"/>
            <w:shd w:val="clear" w:color="auto" w:fill="auto"/>
            <w:vAlign w:val="bottom"/>
          </w:tcPr>
          <w:p w:rsidR="0074508B" w:rsidRPr="00812E8B" w:rsidRDefault="0074508B" w:rsidP="00B46A9C">
            <w:pPr>
              <w:cnfStyle w:val="000000100000"/>
              <w:rPr>
                <w:rFonts w:ascii="Calibri" w:hAnsi="Calibri" w:cs="Calibri"/>
                <w:color w:val="000000"/>
                <w:vertAlign w:val="superscript"/>
                <w:lang w:val="en-US"/>
              </w:rPr>
            </w:pPr>
            <w:r w:rsidRPr="00812E8B">
              <w:rPr>
                <w:rFonts w:ascii="Calibri" w:hAnsi="Calibri" w:cs="Calibri"/>
                <w:color w:val="000000"/>
                <w:lang w:val="en-US"/>
              </w:rPr>
              <w:t xml:space="preserve"> 0.0240</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0.001</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252"/>
              <w:rPr>
                <w:b w:val="0"/>
                <w:lang w:val="en-US"/>
              </w:rPr>
            </w:pPr>
            <w:r w:rsidRPr="00812E8B">
              <w:rPr>
                <w:b w:val="0"/>
                <w:lang w:val="en-US"/>
              </w:rPr>
              <w:t>Effective tax rate</w:t>
            </w:r>
          </w:p>
        </w:tc>
        <w:tc>
          <w:tcPr>
            <w:tcW w:w="1196" w:type="dxa"/>
            <w:shd w:val="clear" w:color="auto" w:fill="auto"/>
            <w:vAlign w:val="bottom"/>
          </w:tcPr>
          <w:p w:rsidR="0074508B" w:rsidRPr="00812E8B" w:rsidRDefault="0074508B" w:rsidP="00B46A9C">
            <w:pPr>
              <w:ind w:left="143" w:hanging="143"/>
              <w:cnfStyle w:val="000000000000"/>
              <w:rPr>
                <w:rFonts w:ascii="Calibri" w:hAnsi="Calibri" w:cs="Calibri"/>
                <w:color w:val="000000"/>
                <w:vertAlign w:val="superscript"/>
                <w:lang w:val="en-US"/>
              </w:rPr>
            </w:pPr>
            <w:r w:rsidRPr="00812E8B">
              <w:rPr>
                <w:rFonts w:ascii="Calibri" w:hAnsi="Calibri" w:cs="Calibri"/>
                <w:color w:val="000000"/>
                <w:lang w:val="en-US"/>
              </w:rPr>
              <w:t>-0.0004</w:t>
            </w:r>
            <w:r w:rsidRPr="00812E8B">
              <w:rPr>
                <w:rFonts w:ascii="Calibri" w:hAnsi="Calibri" w:cs="Calibri"/>
                <w:color w:val="000000"/>
                <w:vertAlign w:val="superscript"/>
                <w:lang w:val="en-US"/>
              </w:rPr>
              <w:t>*</w:t>
            </w:r>
          </w:p>
        </w:tc>
        <w:tc>
          <w:tcPr>
            <w:tcW w:w="755"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0.088</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-0.0002</w:t>
            </w:r>
          </w:p>
        </w:tc>
        <w:tc>
          <w:tcPr>
            <w:tcW w:w="997" w:type="dxa"/>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0.341</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70"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-0.0001</w:t>
            </w:r>
          </w:p>
        </w:tc>
        <w:tc>
          <w:tcPr>
            <w:tcW w:w="100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0.751</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039" w:type="dxa"/>
            <w:gridSpan w:val="2"/>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-0.0011</w:t>
            </w:r>
            <w:r w:rsidRPr="00812E8B">
              <w:rPr>
                <w:rFonts w:ascii="Calibri" w:hAnsi="Calibri" w:cs="Calibri"/>
                <w:color w:val="000000"/>
                <w:vertAlign w:val="superscript"/>
                <w:lang w:val="en-US"/>
              </w:rPr>
              <w:t>**</w:t>
            </w:r>
          </w:p>
        </w:tc>
        <w:tc>
          <w:tcPr>
            <w:tcW w:w="795" w:type="dxa"/>
            <w:gridSpan w:val="2"/>
            <w:shd w:val="clear" w:color="auto" w:fill="auto"/>
            <w:vAlign w:val="bottom"/>
          </w:tcPr>
          <w:p w:rsidR="0074508B" w:rsidRPr="00812E8B" w:rsidRDefault="0074508B" w:rsidP="00B46A9C">
            <w:pPr>
              <w:jc w:val="right"/>
              <w:cnfStyle w:val="000000000000"/>
              <w:rPr>
                <w:rFonts w:ascii="Calibri" w:hAnsi="Calibri" w:cs="Calibri"/>
                <w:color w:val="000000"/>
                <w:lang w:val="en-US"/>
              </w:rPr>
            </w:pPr>
            <w:r w:rsidRPr="00812E8B">
              <w:rPr>
                <w:rFonts w:ascii="Calibri" w:hAnsi="Calibri" w:cs="Calibri"/>
                <w:color w:val="000000"/>
                <w:lang w:val="en-US"/>
              </w:rPr>
              <w:t>0.035</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000000"/>
              <w:rPr>
                <w:b/>
                <w:lang w:val="en-US"/>
              </w:rPr>
            </w:pPr>
          </w:p>
        </w:tc>
        <w:tc>
          <w:tcPr>
            <w:tcW w:w="1144" w:type="dxa"/>
            <w:shd w:val="clear" w:color="auto" w:fill="auto"/>
            <w:vAlign w:val="bottom"/>
          </w:tcPr>
          <w:p w:rsidR="0074508B" w:rsidRPr="00812E8B" w:rsidRDefault="0074508B" w:rsidP="00B46A9C">
            <w:pPr>
              <w:cnfStyle w:val="000000000000"/>
              <w:rPr>
                <w:rFonts w:ascii="Calibri" w:hAnsi="Calibri" w:cs="Calibri"/>
                <w:color w:val="000000"/>
                <w:lang w:val="en-US"/>
              </w:rPr>
            </w:pPr>
            <w:r w:rsidRPr="00812E8B">
              <w:rPr>
                <w:rFonts w:ascii="Calibri" w:hAnsi="Calibri" w:cs="Calibri"/>
                <w:color w:val="000000"/>
                <w:lang w:val="en-US"/>
              </w:rPr>
              <w:t>-0.0004</w:t>
            </w:r>
          </w:p>
        </w:tc>
        <w:tc>
          <w:tcPr>
            <w:tcW w:w="844" w:type="dxa"/>
            <w:gridSpan w:val="2"/>
            <w:shd w:val="clear" w:color="auto" w:fill="auto"/>
            <w:vAlign w:val="bottom"/>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0.111</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252"/>
              <w:jc w:val="both"/>
              <w:rPr>
                <w:b w:val="0"/>
                <w:lang w:val="en-US"/>
              </w:rPr>
            </w:pPr>
            <w:r w:rsidRPr="00812E8B">
              <w:rPr>
                <w:b w:val="0"/>
                <w:lang w:val="en-US"/>
              </w:rPr>
              <w:t>Term structure interest</w:t>
            </w:r>
          </w:p>
        </w:tc>
        <w:tc>
          <w:tcPr>
            <w:tcW w:w="1196" w:type="dxa"/>
            <w:shd w:val="clear" w:color="auto" w:fill="auto"/>
            <w:vAlign w:val="bottom"/>
          </w:tcPr>
          <w:p w:rsidR="0074508B" w:rsidRPr="00812E8B" w:rsidRDefault="0074508B" w:rsidP="00B46A9C">
            <w:pPr>
              <w:ind w:left="143" w:hanging="143"/>
              <w:cnfStyle w:val="000000100000"/>
              <w:rPr>
                <w:rFonts w:ascii="Calibri" w:hAnsi="Calibri" w:cs="Calibri"/>
                <w:color w:val="000000"/>
                <w:lang w:val="en-US"/>
              </w:rPr>
            </w:pPr>
            <w:r w:rsidRPr="00812E8B">
              <w:rPr>
                <w:rFonts w:ascii="Calibri" w:hAnsi="Calibri" w:cs="Calibri"/>
                <w:color w:val="000000"/>
                <w:lang w:val="en-US"/>
              </w:rPr>
              <w:t>-0.0217</w:t>
            </w:r>
          </w:p>
        </w:tc>
        <w:tc>
          <w:tcPr>
            <w:tcW w:w="755"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0.158</w:t>
            </w:r>
          </w:p>
        </w:tc>
        <w:tc>
          <w:tcPr>
            <w:tcW w:w="42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-0.0099</w:t>
            </w:r>
          </w:p>
        </w:tc>
        <w:tc>
          <w:tcPr>
            <w:tcW w:w="997" w:type="dxa"/>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0.534</w:t>
            </w:r>
          </w:p>
        </w:tc>
        <w:tc>
          <w:tcPr>
            <w:tcW w:w="426"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70"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-0.0036</w:t>
            </w:r>
          </w:p>
        </w:tc>
        <w:tc>
          <w:tcPr>
            <w:tcW w:w="100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0.832</w:t>
            </w:r>
          </w:p>
        </w:tc>
        <w:tc>
          <w:tcPr>
            <w:tcW w:w="467" w:type="dxa"/>
            <w:gridSpan w:val="2"/>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039" w:type="dxa"/>
            <w:gridSpan w:val="2"/>
            <w:shd w:val="clear" w:color="auto" w:fill="auto"/>
            <w:vAlign w:val="bottom"/>
          </w:tcPr>
          <w:p w:rsidR="0074508B" w:rsidRPr="00812E8B" w:rsidRDefault="0074508B" w:rsidP="00B46A9C">
            <w:pPr>
              <w:cnfStyle w:val="000000100000"/>
              <w:rPr>
                <w:rFonts w:ascii="Calibri" w:hAnsi="Calibri" w:cs="Calibri"/>
                <w:color w:val="000000"/>
                <w:lang w:val="en-US"/>
              </w:rPr>
            </w:pPr>
            <w:r w:rsidRPr="00812E8B">
              <w:rPr>
                <w:rFonts w:ascii="Calibri" w:hAnsi="Calibri" w:cs="Calibri"/>
                <w:color w:val="000000"/>
                <w:lang w:val="en-US"/>
              </w:rPr>
              <w:t>-0.0073</w:t>
            </w:r>
          </w:p>
        </w:tc>
        <w:tc>
          <w:tcPr>
            <w:tcW w:w="795" w:type="dxa"/>
            <w:gridSpan w:val="2"/>
            <w:shd w:val="clear" w:color="auto" w:fill="auto"/>
            <w:vAlign w:val="bottom"/>
          </w:tcPr>
          <w:p w:rsidR="0074508B" w:rsidRPr="00812E8B" w:rsidRDefault="0074508B" w:rsidP="00B46A9C">
            <w:pPr>
              <w:jc w:val="right"/>
              <w:cnfStyle w:val="000000100000"/>
              <w:rPr>
                <w:rFonts w:ascii="Calibri" w:hAnsi="Calibri" w:cs="Calibri"/>
                <w:color w:val="000000"/>
                <w:lang w:val="en-US"/>
              </w:rPr>
            </w:pPr>
            <w:r w:rsidRPr="00812E8B">
              <w:rPr>
                <w:rFonts w:ascii="Calibri" w:hAnsi="Calibri" w:cs="Calibri"/>
                <w:color w:val="000000"/>
                <w:lang w:val="en-US"/>
              </w:rPr>
              <w:t>0.605</w:t>
            </w:r>
          </w:p>
        </w:tc>
        <w:tc>
          <w:tcPr>
            <w:tcW w:w="236"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252"/>
              <w:jc w:val="center"/>
              <w:cnfStyle w:val="000000100000"/>
              <w:rPr>
                <w:b/>
                <w:lang w:val="en-US"/>
              </w:rPr>
            </w:pPr>
          </w:p>
        </w:tc>
        <w:tc>
          <w:tcPr>
            <w:tcW w:w="1144" w:type="dxa"/>
            <w:shd w:val="clear" w:color="auto" w:fill="auto"/>
            <w:vAlign w:val="bottom"/>
          </w:tcPr>
          <w:p w:rsidR="0074508B" w:rsidRPr="00812E8B" w:rsidRDefault="0074508B" w:rsidP="00B46A9C">
            <w:pPr>
              <w:cnfStyle w:val="000000100000"/>
              <w:rPr>
                <w:rFonts w:ascii="Calibri" w:hAnsi="Calibri" w:cs="Calibri"/>
                <w:color w:val="000000"/>
                <w:vertAlign w:val="superscript"/>
                <w:lang w:val="en-US"/>
              </w:rPr>
            </w:pPr>
            <w:r w:rsidRPr="00812E8B">
              <w:rPr>
                <w:rFonts w:ascii="Calibri" w:hAnsi="Calibri" w:cs="Calibri"/>
                <w:color w:val="000000"/>
                <w:lang w:val="en-US"/>
              </w:rPr>
              <w:t xml:space="preserve"> 0.0274</w:t>
            </w:r>
            <w:r w:rsidRPr="00812E8B">
              <w:rPr>
                <w:rFonts w:ascii="Calibri" w:hAnsi="Calibri" w:cs="Calibri"/>
                <w:color w:val="000000"/>
                <w:vertAlign w:val="superscript"/>
                <w:lang w:val="en-US"/>
              </w:rPr>
              <w:t>**</w:t>
            </w:r>
          </w:p>
        </w:tc>
        <w:tc>
          <w:tcPr>
            <w:tcW w:w="844" w:type="dxa"/>
            <w:gridSpan w:val="2"/>
            <w:shd w:val="clear" w:color="auto" w:fill="auto"/>
            <w:vAlign w:val="bottom"/>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0.032</w:t>
            </w:r>
          </w:p>
        </w:tc>
        <w:tc>
          <w:tcPr>
            <w:tcW w:w="291" w:type="dxa"/>
            <w:gridSpan w:val="3"/>
            <w:shd w:val="clear" w:color="auto" w:fill="auto"/>
          </w:tcPr>
          <w:p w:rsidR="0074508B" w:rsidRPr="00812E8B" w:rsidRDefault="0074508B" w:rsidP="00B46A9C">
            <w:pPr>
              <w:pStyle w:val="NoSpacing"/>
              <w:spacing w:line="276" w:lineRule="auto"/>
              <w:ind w:left="25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lang w:val="en-US"/>
              </w:rPr>
            </w:pPr>
            <w:r w:rsidRPr="00812E8B">
              <w:rPr>
                <w:b w:val="0"/>
                <w:lang w:val="en-US"/>
              </w:rPr>
              <w:t>Observations</w:t>
            </w:r>
          </w:p>
        </w:tc>
        <w:tc>
          <w:tcPr>
            <w:tcW w:w="1951" w:type="dxa"/>
            <w:gridSpan w:val="3"/>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1572</w:t>
            </w:r>
          </w:p>
        </w:tc>
        <w:tc>
          <w:tcPr>
            <w:tcW w:w="42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2036" w:type="dxa"/>
            <w:gridSpan w:val="2"/>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1572</w:t>
            </w:r>
          </w:p>
        </w:tc>
        <w:tc>
          <w:tcPr>
            <w:tcW w:w="426" w:type="dxa"/>
            <w:gridSpan w:val="2"/>
            <w:shd w:val="clear" w:color="auto" w:fill="auto"/>
          </w:tcPr>
          <w:p w:rsidR="0074508B" w:rsidRPr="00812E8B" w:rsidRDefault="0074508B" w:rsidP="00B46A9C">
            <w:pPr>
              <w:pStyle w:val="NoSpacing"/>
              <w:spacing w:line="276" w:lineRule="auto"/>
              <w:ind w:left="72"/>
              <w:jc w:val="center"/>
              <w:cnfStyle w:val="000000000000"/>
              <w:rPr>
                <w:lang w:val="en-US"/>
              </w:rPr>
            </w:pPr>
          </w:p>
        </w:tc>
        <w:tc>
          <w:tcPr>
            <w:tcW w:w="2174" w:type="dxa"/>
            <w:gridSpan w:val="4"/>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1339</w:t>
            </w:r>
          </w:p>
        </w:tc>
        <w:tc>
          <w:tcPr>
            <w:tcW w:w="467"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834" w:type="dxa"/>
            <w:gridSpan w:val="4"/>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1120</w:t>
            </w:r>
          </w:p>
        </w:tc>
        <w:tc>
          <w:tcPr>
            <w:tcW w:w="23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988"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r w:rsidRPr="00812E8B">
              <w:rPr>
                <w:lang w:val="en-US"/>
              </w:rPr>
              <w:t>1886</w:t>
            </w:r>
          </w:p>
        </w:tc>
        <w:tc>
          <w:tcPr>
            <w:tcW w:w="291"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r>
      <w:tr w:rsidR="0074508B" w:rsidRPr="00812E8B" w:rsidTr="00B46A9C">
        <w:trPr>
          <w:gridAfter w:val="2"/>
          <w:cnfStyle w:val="000000100000"/>
          <w:wAfter w:w="45"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lang w:val="en-US"/>
              </w:rPr>
            </w:pPr>
            <w:r w:rsidRPr="00812E8B">
              <w:rPr>
                <w:b w:val="0"/>
                <w:lang w:val="en-US"/>
              </w:rPr>
              <w:t>Number of banks</w:t>
            </w:r>
          </w:p>
        </w:tc>
        <w:tc>
          <w:tcPr>
            <w:tcW w:w="1951" w:type="dxa"/>
            <w:gridSpan w:val="3"/>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280</w:t>
            </w:r>
          </w:p>
        </w:tc>
        <w:tc>
          <w:tcPr>
            <w:tcW w:w="426"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2036" w:type="dxa"/>
            <w:gridSpan w:val="2"/>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280</w:t>
            </w:r>
          </w:p>
        </w:tc>
        <w:tc>
          <w:tcPr>
            <w:tcW w:w="426"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2174" w:type="dxa"/>
            <w:gridSpan w:val="4"/>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261</w:t>
            </w:r>
          </w:p>
        </w:tc>
        <w:tc>
          <w:tcPr>
            <w:tcW w:w="467"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834" w:type="dxa"/>
            <w:gridSpan w:val="4"/>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246</w:t>
            </w:r>
          </w:p>
        </w:tc>
        <w:tc>
          <w:tcPr>
            <w:tcW w:w="236"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344" w:type="dxa"/>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988" w:type="dxa"/>
            <w:gridSpan w:val="3"/>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346</w:t>
            </w:r>
          </w:p>
        </w:tc>
        <w:tc>
          <w:tcPr>
            <w:tcW w:w="291"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lang w:val="en-US"/>
              </w:rPr>
            </w:pPr>
            <w:r w:rsidRPr="00812E8B">
              <w:rPr>
                <w:b w:val="0"/>
                <w:lang w:val="en-US"/>
              </w:rPr>
              <w:t>Number of instruments</w:t>
            </w:r>
          </w:p>
        </w:tc>
        <w:tc>
          <w:tcPr>
            <w:tcW w:w="1951" w:type="dxa"/>
            <w:gridSpan w:val="3"/>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w:t>
            </w:r>
          </w:p>
        </w:tc>
        <w:tc>
          <w:tcPr>
            <w:tcW w:w="42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2036" w:type="dxa"/>
            <w:gridSpan w:val="2"/>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w:t>
            </w:r>
          </w:p>
        </w:tc>
        <w:tc>
          <w:tcPr>
            <w:tcW w:w="426"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2174" w:type="dxa"/>
            <w:gridSpan w:val="4"/>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580</w:t>
            </w:r>
          </w:p>
        </w:tc>
        <w:tc>
          <w:tcPr>
            <w:tcW w:w="467"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834" w:type="dxa"/>
            <w:gridSpan w:val="4"/>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256</w:t>
            </w:r>
          </w:p>
        </w:tc>
        <w:tc>
          <w:tcPr>
            <w:tcW w:w="23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988" w:type="dxa"/>
            <w:gridSpan w:val="3"/>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254</w:t>
            </w:r>
          </w:p>
        </w:tc>
        <w:tc>
          <w:tcPr>
            <w:tcW w:w="291"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r>
      <w:tr w:rsidR="0074508B" w:rsidRPr="00812E8B" w:rsidTr="00B46A9C">
        <w:trPr>
          <w:gridAfter w:val="1"/>
          <w:cnfStyle w:val="000000100000"/>
          <w:wAfter w:w="38"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lang w:val="en-US"/>
              </w:rPr>
            </w:pPr>
            <w:r w:rsidRPr="00812E8B">
              <w:rPr>
                <w:b w:val="0"/>
                <w:lang w:val="en-US"/>
              </w:rPr>
              <w:t>R-squared</w:t>
            </w:r>
          </w:p>
        </w:tc>
        <w:tc>
          <w:tcPr>
            <w:tcW w:w="2377" w:type="dxa"/>
            <w:gridSpan w:val="6"/>
            <w:shd w:val="clear" w:color="auto" w:fill="auto"/>
          </w:tcPr>
          <w:p w:rsidR="0074508B" w:rsidRPr="00812E8B" w:rsidRDefault="0074508B" w:rsidP="00B46A9C">
            <w:pPr>
              <w:pStyle w:val="NoSpacing"/>
              <w:spacing w:line="276" w:lineRule="auto"/>
              <w:ind w:left="72" w:right="459"/>
              <w:jc w:val="center"/>
              <w:cnfStyle w:val="000000100000"/>
              <w:rPr>
                <w:lang w:val="en-US"/>
              </w:rPr>
            </w:pPr>
            <w:r w:rsidRPr="00812E8B">
              <w:rPr>
                <w:lang w:val="en-US"/>
              </w:rPr>
              <w:t>0.477</w:t>
            </w:r>
          </w:p>
        </w:tc>
        <w:tc>
          <w:tcPr>
            <w:tcW w:w="2462" w:type="dxa"/>
            <w:gridSpan w:val="4"/>
            <w:shd w:val="clear" w:color="auto" w:fill="auto"/>
          </w:tcPr>
          <w:p w:rsidR="0074508B" w:rsidRPr="00812E8B" w:rsidRDefault="0074508B" w:rsidP="00B46A9C">
            <w:pPr>
              <w:pStyle w:val="NoSpacing"/>
              <w:spacing w:line="276" w:lineRule="auto"/>
              <w:ind w:left="72" w:right="512"/>
              <w:jc w:val="center"/>
              <w:cnfStyle w:val="000000100000"/>
              <w:rPr>
                <w:b/>
                <w:lang w:val="en-US"/>
              </w:rPr>
            </w:pPr>
            <w:r w:rsidRPr="00812E8B">
              <w:rPr>
                <w:lang w:val="en-US"/>
              </w:rPr>
              <w:t>0.439</w:t>
            </w:r>
          </w:p>
        </w:tc>
        <w:tc>
          <w:tcPr>
            <w:tcW w:w="2174" w:type="dxa"/>
            <w:gridSpan w:val="4"/>
            <w:shd w:val="clear" w:color="auto" w:fill="auto"/>
          </w:tcPr>
          <w:p w:rsidR="0074508B" w:rsidRPr="00812E8B" w:rsidRDefault="0074508B" w:rsidP="00B46A9C">
            <w:pPr>
              <w:pStyle w:val="NoSpacing"/>
              <w:spacing w:line="276" w:lineRule="auto"/>
              <w:ind w:right="-43"/>
              <w:jc w:val="center"/>
              <w:cnfStyle w:val="000000100000"/>
              <w:rPr>
                <w:lang w:val="en-US"/>
              </w:rPr>
            </w:pPr>
            <w:r w:rsidRPr="00812E8B">
              <w:rPr>
                <w:lang w:val="en-US"/>
              </w:rPr>
              <w:t>-</w:t>
            </w:r>
          </w:p>
        </w:tc>
        <w:tc>
          <w:tcPr>
            <w:tcW w:w="2537" w:type="dxa"/>
            <w:gridSpan w:val="9"/>
            <w:shd w:val="clear" w:color="auto" w:fill="auto"/>
          </w:tcPr>
          <w:p w:rsidR="0074508B" w:rsidRPr="00812E8B" w:rsidRDefault="0074508B" w:rsidP="00B46A9C">
            <w:pPr>
              <w:pStyle w:val="NoSpacing"/>
              <w:spacing w:line="276" w:lineRule="auto"/>
              <w:ind w:left="72"/>
              <w:jc w:val="center"/>
              <w:cnfStyle w:val="000000100000"/>
              <w:rPr>
                <w:b/>
                <w:lang w:val="en-US"/>
              </w:rPr>
            </w:pPr>
            <w:r w:rsidRPr="00812E8B">
              <w:rPr>
                <w:lang w:val="en-US"/>
              </w:rPr>
              <w:t>-</w:t>
            </w:r>
          </w:p>
        </w:tc>
        <w:tc>
          <w:tcPr>
            <w:tcW w:w="2630" w:type="dxa"/>
            <w:gridSpan w:val="8"/>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w:t>
            </w:r>
          </w:p>
        </w:tc>
      </w:tr>
      <w:tr w:rsidR="0074508B" w:rsidRPr="00812E8B" w:rsidTr="00B46A9C">
        <w:trPr>
          <w:gridAfter w:val="1"/>
          <w:wAfter w:w="38"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color w:val="FF0000"/>
                <w:lang w:val="en-US"/>
              </w:rPr>
            </w:pPr>
            <w:r w:rsidRPr="00812E8B">
              <w:rPr>
                <w:b w:val="0"/>
                <w:color w:val="auto"/>
                <w:lang w:val="en-US"/>
              </w:rPr>
              <w:t>F-test</w:t>
            </w:r>
          </w:p>
        </w:tc>
        <w:tc>
          <w:tcPr>
            <w:tcW w:w="2377" w:type="dxa"/>
            <w:gridSpan w:val="6"/>
            <w:shd w:val="clear" w:color="auto" w:fill="auto"/>
          </w:tcPr>
          <w:p w:rsidR="0074508B" w:rsidRPr="00812E8B" w:rsidRDefault="0074508B" w:rsidP="00B46A9C">
            <w:pPr>
              <w:pStyle w:val="NoSpacing"/>
              <w:spacing w:line="276" w:lineRule="auto"/>
              <w:ind w:left="-141"/>
              <w:jc w:val="center"/>
              <w:cnfStyle w:val="000000000000"/>
              <w:rPr>
                <w:color w:val="FF0000"/>
                <w:lang w:val="en-US"/>
              </w:rPr>
            </w:pPr>
            <w:r w:rsidRPr="00812E8B">
              <w:rPr>
                <w:sz w:val="20"/>
                <w:szCs w:val="20"/>
                <w:lang w:val="en-US"/>
              </w:rPr>
              <w:t>F(15,1556)=62.80</w:t>
            </w:r>
            <w:r w:rsidRPr="00812E8B">
              <w:rPr>
                <w:sz w:val="20"/>
                <w:szCs w:val="20"/>
                <w:vertAlign w:val="superscript"/>
                <w:lang w:val="en-US"/>
              </w:rPr>
              <w:t>***</w:t>
            </w:r>
            <w:r w:rsidRPr="00812E8B">
              <w:rPr>
                <w:lang w:val="en-US"/>
              </w:rPr>
              <w:t xml:space="preserve">  0.000</w:t>
            </w:r>
          </w:p>
        </w:tc>
        <w:tc>
          <w:tcPr>
            <w:tcW w:w="2462" w:type="dxa"/>
            <w:gridSpan w:val="4"/>
            <w:shd w:val="clear" w:color="auto" w:fill="auto"/>
          </w:tcPr>
          <w:p w:rsidR="0074508B" w:rsidRPr="00812E8B" w:rsidRDefault="0074508B" w:rsidP="00B46A9C">
            <w:pPr>
              <w:pStyle w:val="NoSpacing"/>
              <w:spacing w:line="276" w:lineRule="auto"/>
              <w:ind w:left="-108" w:right="228"/>
              <w:jc w:val="center"/>
              <w:cnfStyle w:val="000000000000"/>
              <w:rPr>
                <w:color w:val="FF0000"/>
                <w:lang w:val="en-US"/>
              </w:rPr>
            </w:pPr>
            <w:r w:rsidRPr="00812E8B">
              <w:rPr>
                <w:sz w:val="20"/>
                <w:szCs w:val="20"/>
                <w:lang w:val="en-US"/>
              </w:rPr>
              <w:t>F(15,1277)=9.92</w:t>
            </w:r>
            <w:r w:rsidRPr="00812E8B">
              <w:rPr>
                <w:sz w:val="20"/>
                <w:szCs w:val="20"/>
                <w:vertAlign w:val="superscript"/>
                <w:lang w:val="en-US"/>
              </w:rPr>
              <w:t>***</w:t>
            </w:r>
            <w:r w:rsidRPr="00812E8B">
              <w:rPr>
                <w:lang w:val="en-US"/>
              </w:rPr>
              <w:t xml:space="preserve">  0.000</w:t>
            </w:r>
          </w:p>
        </w:tc>
        <w:tc>
          <w:tcPr>
            <w:tcW w:w="2174" w:type="dxa"/>
            <w:gridSpan w:val="4"/>
            <w:shd w:val="clear" w:color="auto" w:fill="auto"/>
          </w:tcPr>
          <w:p w:rsidR="0074508B" w:rsidRPr="00812E8B" w:rsidRDefault="0074508B" w:rsidP="00B46A9C">
            <w:pPr>
              <w:pStyle w:val="NoSpacing"/>
              <w:spacing w:line="276" w:lineRule="auto"/>
              <w:ind w:left="-302" w:right="-291"/>
              <w:jc w:val="center"/>
              <w:cnfStyle w:val="000000000000"/>
              <w:rPr>
                <w:color w:val="FF0000"/>
                <w:lang w:val="en-US"/>
              </w:rPr>
            </w:pPr>
            <w:r w:rsidRPr="00812E8B">
              <w:rPr>
                <w:sz w:val="20"/>
                <w:szCs w:val="20"/>
                <w:lang w:val="en-US"/>
              </w:rPr>
              <w:t>F(16,260)=32.12</w:t>
            </w:r>
            <w:r w:rsidRPr="00812E8B">
              <w:rPr>
                <w:sz w:val="20"/>
                <w:szCs w:val="20"/>
                <w:vertAlign w:val="superscript"/>
                <w:lang w:val="en-US"/>
              </w:rPr>
              <w:t>***</w:t>
            </w:r>
            <w:r w:rsidRPr="00812E8B">
              <w:rPr>
                <w:lang w:val="en-US"/>
              </w:rPr>
              <w:t xml:space="preserve">  0.000</w:t>
            </w:r>
          </w:p>
        </w:tc>
        <w:tc>
          <w:tcPr>
            <w:tcW w:w="2301" w:type="dxa"/>
            <w:gridSpan w:val="6"/>
            <w:shd w:val="clear" w:color="auto" w:fill="auto"/>
          </w:tcPr>
          <w:p w:rsidR="0074508B" w:rsidRPr="00812E8B" w:rsidRDefault="0074508B" w:rsidP="00B46A9C">
            <w:pPr>
              <w:pStyle w:val="NoSpacing"/>
              <w:spacing w:line="276" w:lineRule="auto"/>
              <w:ind w:left="-67" w:right="-258"/>
              <w:jc w:val="center"/>
              <w:cnfStyle w:val="000000000000"/>
              <w:rPr>
                <w:color w:val="FF0000"/>
                <w:lang w:val="en-US"/>
              </w:rPr>
            </w:pPr>
            <w:r w:rsidRPr="00812E8B">
              <w:rPr>
                <w:sz w:val="20"/>
                <w:szCs w:val="20"/>
                <w:lang w:val="en-US"/>
              </w:rPr>
              <w:t>F(16,245)=37.44</w:t>
            </w:r>
            <w:r w:rsidRPr="00812E8B">
              <w:rPr>
                <w:sz w:val="20"/>
                <w:szCs w:val="20"/>
                <w:vertAlign w:val="superscript"/>
                <w:lang w:val="en-US"/>
              </w:rPr>
              <w:t>***</w:t>
            </w:r>
            <w:r w:rsidRPr="00812E8B">
              <w:rPr>
                <w:lang w:val="en-US"/>
              </w:rPr>
              <w:t xml:space="preserve">  0.000</w:t>
            </w:r>
          </w:p>
        </w:tc>
        <w:tc>
          <w:tcPr>
            <w:tcW w:w="236" w:type="dxa"/>
            <w:gridSpan w:val="3"/>
            <w:shd w:val="clear" w:color="auto" w:fill="auto"/>
          </w:tcPr>
          <w:p w:rsidR="0074508B" w:rsidRPr="00812E8B" w:rsidRDefault="0074508B" w:rsidP="00B46A9C">
            <w:pPr>
              <w:pStyle w:val="NoSpacing"/>
              <w:spacing w:line="276" w:lineRule="auto"/>
              <w:ind w:left="72"/>
              <w:jc w:val="center"/>
              <w:cnfStyle w:val="000000000000"/>
              <w:rPr>
                <w:b/>
                <w:color w:val="FF0000"/>
                <w:lang w:val="en-US"/>
              </w:rPr>
            </w:pPr>
          </w:p>
        </w:tc>
        <w:tc>
          <w:tcPr>
            <w:tcW w:w="2339" w:type="dxa"/>
            <w:gridSpan w:val="5"/>
            <w:shd w:val="clear" w:color="auto" w:fill="auto"/>
          </w:tcPr>
          <w:p w:rsidR="0074508B" w:rsidRPr="00812E8B" w:rsidRDefault="0074508B" w:rsidP="00B46A9C">
            <w:pPr>
              <w:pStyle w:val="NoSpacing"/>
              <w:spacing w:line="276" w:lineRule="auto"/>
              <w:ind w:left="72" w:right="-97"/>
              <w:jc w:val="center"/>
              <w:cnfStyle w:val="000000000000"/>
              <w:rPr>
                <w:color w:val="FF0000"/>
                <w:lang w:val="en-US"/>
              </w:rPr>
            </w:pPr>
            <w:r w:rsidRPr="00812E8B">
              <w:rPr>
                <w:sz w:val="20"/>
                <w:szCs w:val="20"/>
                <w:lang w:val="en-US"/>
              </w:rPr>
              <w:t>F(14,345)=32.61</w:t>
            </w:r>
            <w:r w:rsidRPr="00812E8B">
              <w:rPr>
                <w:sz w:val="20"/>
                <w:szCs w:val="20"/>
                <w:vertAlign w:val="superscript"/>
                <w:lang w:val="en-US"/>
              </w:rPr>
              <w:t>***</w:t>
            </w:r>
            <w:r w:rsidRPr="00812E8B">
              <w:rPr>
                <w:lang w:val="en-US"/>
              </w:rPr>
              <w:t xml:space="preserve">  0.000</w:t>
            </w:r>
          </w:p>
        </w:tc>
        <w:tc>
          <w:tcPr>
            <w:tcW w:w="291"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r>
      <w:tr w:rsidR="0074508B" w:rsidRPr="00812E8B" w:rsidTr="00B46A9C">
        <w:trPr>
          <w:gridAfter w:val="1"/>
          <w:cnfStyle w:val="000000100000"/>
          <w:wAfter w:w="38"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vertAlign w:val="superscript"/>
                <w:lang w:val="en-US"/>
              </w:rPr>
            </w:pPr>
            <w:r w:rsidRPr="00812E8B">
              <w:rPr>
                <w:b w:val="0"/>
                <w:lang w:val="en-US"/>
              </w:rPr>
              <w:t>Arrelano-Bond test for AR(1)</w:t>
            </w:r>
            <w:r w:rsidRPr="00812E8B">
              <w:rPr>
                <w:b w:val="0"/>
                <w:vertAlign w:val="superscript"/>
                <w:lang w:val="en-US"/>
              </w:rPr>
              <w:t>a</w:t>
            </w:r>
          </w:p>
        </w:tc>
        <w:tc>
          <w:tcPr>
            <w:tcW w:w="1247" w:type="dxa"/>
            <w:gridSpan w:val="2"/>
            <w:shd w:val="clear" w:color="auto" w:fill="auto"/>
          </w:tcPr>
          <w:p w:rsidR="0074508B" w:rsidRPr="00812E8B" w:rsidRDefault="0074508B" w:rsidP="00B46A9C">
            <w:pPr>
              <w:pStyle w:val="NoSpacing"/>
              <w:tabs>
                <w:tab w:val="left" w:pos="-278"/>
              </w:tabs>
              <w:spacing w:line="276" w:lineRule="auto"/>
              <w:ind w:right="-39"/>
              <w:jc w:val="center"/>
              <w:cnfStyle w:val="000000100000"/>
              <w:rPr>
                <w:b/>
                <w:lang w:val="en-US"/>
              </w:rPr>
            </w:pPr>
            <w:r w:rsidRPr="00812E8B">
              <w:rPr>
                <w:lang w:val="en-US"/>
              </w:rPr>
              <w:t>Z = 6.53</w:t>
            </w:r>
            <w:r w:rsidRPr="00812E8B">
              <w:rPr>
                <w:vertAlign w:val="superscript"/>
                <w:lang w:val="en-US"/>
              </w:rPr>
              <w:t>***</w:t>
            </w:r>
          </w:p>
        </w:tc>
        <w:tc>
          <w:tcPr>
            <w:tcW w:w="887" w:type="dxa"/>
            <w:gridSpan w:val="2"/>
            <w:shd w:val="clear" w:color="auto" w:fill="auto"/>
          </w:tcPr>
          <w:p w:rsidR="0074508B" w:rsidRPr="00812E8B" w:rsidRDefault="0074508B" w:rsidP="00B46A9C">
            <w:pPr>
              <w:pStyle w:val="NoSpacing"/>
              <w:tabs>
                <w:tab w:val="left" w:pos="285"/>
              </w:tabs>
              <w:spacing w:line="276" w:lineRule="auto"/>
              <w:jc w:val="both"/>
              <w:cnfStyle w:val="000000100000"/>
              <w:rPr>
                <w:lang w:val="en-US"/>
              </w:rPr>
            </w:pPr>
            <w:r w:rsidRPr="00812E8B">
              <w:rPr>
                <w:lang w:val="en-US"/>
              </w:rPr>
              <w:t>0.000</w:t>
            </w:r>
          </w:p>
        </w:tc>
        <w:tc>
          <w:tcPr>
            <w:tcW w:w="236" w:type="dxa"/>
            <w:shd w:val="clear" w:color="auto" w:fill="auto"/>
          </w:tcPr>
          <w:p w:rsidR="0074508B" w:rsidRPr="00812E8B" w:rsidRDefault="0074508B" w:rsidP="00B46A9C">
            <w:pPr>
              <w:pStyle w:val="NoSpacing"/>
              <w:tabs>
                <w:tab w:val="left" w:pos="285"/>
              </w:tabs>
              <w:spacing w:line="276" w:lineRule="auto"/>
              <w:ind w:left="106" w:right="176"/>
              <w:jc w:val="center"/>
              <w:cnfStyle w:val="000000100000"/>
              <w:rPr>
                <w:b/>
                <w:lang w:val="en-US"/>
              </w:rPr>
            </w:pPr>
          </w:p>
        </w:tc>
        <w:tc>
          <w:tcPr>
            <w:tcW w:w="2462" w:type="dxa"/>
            <w:gridSpan w:val="4"/>
            <w:shd w:val="clear" w:color="auto" w:fill="auto"/>
          </w:tcPr>
          <w:p w:rsidR="0074508B" w:rsidRPr="00812E8B" w:rsidRDefault="0074508B" w:rsidP="00B46A9C">
            <w:pPr>
              <w:pStyle w:val="NoSpacing"/>
              <w:spacing w:line="276" w:lineRule="auto"/>
              <w:ind w:left="-534" w:right="-235"/>
              <w:jc w:val="center"/>
              <w:cnfStyle w:val="000000100000"/>
              <w:rPr>
                <w:b/>
                <w:lang w:val="en-US"/>
              </w:rPr>
            </w:pPr>
            <w:r w:rsidRPr="00812E8B">
              <w:rPr>
                <w:sz w:val="20"/>
                <w:szCs w:val="20"/>
                <w:lang w:val="en-US"/>
              </w:rPr>
              <w:t>F(1,209)=5.69</w:t>
            </w:r>
            <w:r w:rsidRPr="00812E8B">
              <w:rPr>
                <w:sz w:val="20"/>
                <w:szCs w:val="20"/>
                <w:vertAlign w:val="superscript"/>
                <w:lang w:val="en-US"/>
              </w:rPr>
              <w:t>**</w:t>
            </w:r>
            <w:r w:rsidRPr="00812E8B">
              <w:rPr>
                <w:lang w:val="en-US"/>
              </w:rPr>
              <w:t xml:space="preserve">  0.018</w:t>
            </w:r>
          </w:p>
        </w:tc>
        <w:tc>
          <w:tcPr>
            <w:tcW w:w="1170" w:type="dxa"/>
            <w:gridSpan w:val="2"/>
            <w:shd w:val="clear" w:color="auto" w:fill="auto"/>
          </w:tcPr>
          <w:p w:rsidR="0074508B" w:rsidRPr="00812E8B" w:rsidRDefault="0074508B" w:rsidP="00B46A9C">
            <w:pPr>
              <w:pStyle w:val="NoSpacing"/>
              <w:spacing w:line="276" w:lineRule="auto"/>
              <w:ind w:left="-86" w:right="-43"/>
              <w:jc w:val="center"/>
              <w:cnfStyle w:val="000000100000"/>
              <w:rPr>
                <w:vertAlign w:val="superscript"/>
                <w:lang w:val="en-US"/>
              </w:rPr>
            </w:pPr>
            <w:r w:rsidRPr="00812E8B">
              <w:rPr>
                <w:lang w:val="en-US"/>
              </w:rPr>
              <w:t>Z = -3.18</w:t>
            </w:r>
            <w:r w:rsidRPr="00812E8B">
              <w:rPr>
                <w:vertAlign w:val="superscript"/>
                <w:lang w:val="en-US"/>
              </w:rPr>
              <w:t>***</w:t>
            </w:r>
          </w:p>
        </w:tc>
        <w:tc>
          <w:tcPr>
            <w:tcW w:w="1004" w:type="dxa"/>
            <w:gridSpan w:val="2"/>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0.001</w:t>
            </w:r>
          </w:p>
        </w:tc>
        <w:tc>
          <w:tcPr>
            <w:tcW w:w="467"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039" w:type="dxa"/>
            <w:gridSpan w:val="2"/>
            <w:shd w:val="clear" w:color="auto" w:fill="auto"/>
          </w:tcPr>
          <w:p w:rsidR="0074508B" w:rsidRPr="00812E8B" w:rsidRDefault="0074508B" w:rsidP="00B46A9C">
            <w:pPr>
              <w:pStyle w:val="NoSpacing"/>
              <w:spacing w:line="276" w:lineRule="auto"/>
              <w:ind w:left="-186" w:right="-139"/>
              <w:jc w:val="center"/>
              <w:cnfStyle w:val="000000100000"/>
              <w:rPr>
                <w:b/>
                <w:lang w:val="en-US"/>
              </w:rPr>
            </w:pPr>
            <w:r w:rsidRPr="00812E8B">
              <w:rPr>
                <w:lang w:val="en-US"/>
              </w:rPr>
              <w:t>Z = -2.75</w:t>
            </w:r>
            <w:r w:rsidRPr="00812E8B">
              <w:rPr>
                <w:vertAlign w:val="superscript"/>
                <w:lang w:val="en-US"/>
              </w:rPr>
              <w:t>***</w:t>
            </w:r>
          </w:p>
        </w:tc>
        <w:tc>
          <w:tcPr>
            <w:tcW w:w="795" w:type="dxa"/>
            <w:gridSpan w:val="2"/>
            <w:shd w:val="clear" w:color="auto" w:fill="auto"/>
          </w:tcPr>
          <w:p w:rsidR="0074508B" w:rsidRPr="00812E8B" w:rsidRDefault="0074508B" w:rsidP="00B46A9C">
            <w:pPr>
              <w:jc w:val="center"/>
              <w:cnfStyle w:val="000000100000"/>
              <w:rPr>
                <w:rFonts w:ascii="Calibri" w:hAnsi="Calibri" w:cs="Calibri"/>
                <w:color w:val="000000"/>
                <w:lang w:val="en-US"/>
              </w:rPr>
            </w:pPr>
            <w:r w:rsidRPr="00812E8B">
              <w:rPr>
                <w:rFonts w:ascii="Calibri" w:hAnsi="Calibri" w:cs="Calibri"/>
                <w:color w:val="000000"/>
                <w:lang w:val="en-US"/>
              </w:rPr>
              <w:t>0.006</w:t>
            </w:r>
          </w:p>
        </w:tc>
        <w:tc>
          <w:tcPr>
            <w:tcW w:w="236"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351"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144" w:type="dxa"/>
            <w:shd w:val="clear" w:color="auto" w:fill="auto"/>
          </w:tcPr>
          <w:p w:rsidR="0074508B" w:rsidRPr="00812E8B" w:rsidRDefault="0074508B" w:rsidP="00B46A9C">
            <w:pPr>
              <w:pStyle w:val="NoSpacing"/>
              <w:spacing w:line="276" w:lineRule="auto"/>
              <w:ind w:left="72" w:right="-142"/>
              <w:jc w:val="center"/>
              <w:cnfStyle w:val="000000100000"/>
              <w:rPr>
                <w:b/>
                <w:lang w:val="en-US"/>
              </w:rPr>
            </w:pPr>
            <w:r w:rsidRPr="00812E8B">
              <w:rPr>
                <w:lang w:val="en-US"/>
              </w:rPr>
              <w:t>Z = -3.77</w:t>
            </w:r>
            <w:r w:rsidRPr="00812E8B">
              <w:rPr>
                <w:vertAlign w:val="superscript"/>
                <w:lang w:val="en-US"/>
              </w:rPr>
              <w:t>***</w:t>
            </w:r>
          </w:p>
        </w:tc>
        <w:tc>
          <w:tcPr>
            <w:tcW w:w="844" w:type="dxa"/>
            <w:gridSpan w:val="2"/>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0.000</w:t>
            </w:r>
          </w:p>
        </w:tc>
        <w:tc>
          <w:tcPr>
            <w:tcW w:w="298" w:type="dxa"/>
            <w:gridSpan w:val="4"/>
            <w:shd w:val="clear" w:color="auto" w:fill="auto"/>
          </w:tcPr>
          <w:p w:rsidR="0074508B" w:rsidRPr="00812E8B" w:rsidRDefault="0074508B" w:rsidP="00B46A9C">
            <w:pPr>
              <w:pStyle w:val="NoSpacing"/>
              <w:spacing w:line="276" w:lineRule="auto"/>
              <w:ind w:left="72"/>
              <w:jc w:val="center"/>
              <w:cnfStyle w:val="000000100000"/>
              <w:rPr>
                <w:b/>
                <w:lang w:val="en-US"/>
              </w:rPr>
            </w:pPr>
          </w:p>
        </w:tc>
      </w:tr>
      <w:tr w:rsidR="0074508B" w:rsidRPr="00812E8B" w:rsidTr="00B46A9C">
        <w:trPr>
          <w:gridAfter w:val="2"/>
          <w:wAfter w:w="45"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lang w:val="en-US"/>
              </w:rPr>
            </w:pPr>
            <w:r w:rsidRPr="00812E8B">
              <w:rPr>
                <w:b w:val="0"/>
                <w:lang w:val="en-US"/>
              </w:rPr>
              <w:t>Arrelano-Bond test for AR(2)</w:t>
            </w:r>
          </w:p>
        </w:tc>
        <w:tc>
          <w:tcPr>
            <w:tcW w:w="1951"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r w:rsidRPr="00812E8B">
              <w:rPr>
                <w:lang w:val="en-US"/>
              </w:rPr>
              <w:t>-</w:t>
            </w:r>
          </w:p>
        </w:tc>
        <w:tc>
          <w:tcPr>
            <w:tcW w:w="42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2036"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r w:rsidRPr="00812E8B">
              <w:rPr>
                <w:lang w:val="en-US"/>
              </w:rPr>
              <w:t>-</w:t>
            </w:r>
          </w:p>
        </w:tc>
        <w:tc>
          <w:tcPr>
            <w:tcW w:w="426"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170" w:type="dxa"/>
            <w:gridSpan w:val="2"/>
            <w:shd w:val="clear" w:color="auto" w:fill="auto"/>
          </w:tcPr>
          <w:p w:rsidR="0074508B" w:rsidRPr="00812E8B" w:rsidRDefault="0074508B" w:rsidP="00B46A9C">
            <w:pPr>
              <w:pStyle w:val="NoSpacing"/>
              <w:spacing w:line="276" w:lineRule="auto"/>
              <w:ind w:left="-86" w:right="-43"/>
              <w:cnfStyle w:val="000000000000"/>
              <w:rPr>
                <w:lang w:val="en-US"/>
              </w:rPr>
            </w:pPr>
            <w:r w:rsidRPr="00812E8B">
              <w:rPr>
                <w:lang w:val="en-US"/>
              </w:rPr>
              <w:t>Z = -0. 39</w:t>
            </w:r>
          </w:p>
        </w:tc>
        <w:tc>
          <w:tcPr>
            <w:tcW w:w="1004" w:type="dxa"/>
            <w:gridSpan w:val="2"/>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0.693</w:t>
            </w:r>
          </w:p>
        </w:tc>
        <w:tc>
          <w:tcPr>
            <w:tcW w:w="467" w:type="dxa"/>
            <w:gridSpan w:val="2"/>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039" w:type="dxa"/>
            <w:gridSpan w:val="2"/>
            <w:shd w:val="clear" w:color="auto" w:fill="auto"/>
          </w:tcPr>
          <w:p w:rsidR="0074508B" w:rsidRPr="00812E8B" w:rsidRDefault="0074508B" w:rsidP="00B46A9C">
            <w:pPr>
              <w:pStyle w:val="NoSpacing"/>
              <w:spacing w:line="276" w:lineRule="auto"/>
              <w:ind w:left="-327" w:right="-139"/>
              <w:jc w:val="center"/>
              <w:cnfStyle w:val="000000000000"/>
              <w:rPr>
                <w:b/>
                <w:lang w:val="en-US"/>
              </w:rPr>
            </w:pPr>
            <w:r w:rsidRPr="00812E8B">
              <w:rPr>
                <w:lang w:val="en-US"/>
              </w:rPr>
              <w:t>Z = 1. 36</w:t>
            </w:r>
          </w:p>
        </w:tc>
        <w:tc>
          <w:tcPr>
            <w:tcW w:w="795" w:type="dxa"/>
            <w:gridSpan w:val="2"/>
            <w:shd w:val="clear" w:color="auto" w:fill="auto"/>
          </w:tcPr>
          <w:p w:rsidR="0074508B" w:rsidRPr="00812E8B" w:rsidRDefault="0074508B" w:rsidP="00B46A9C">
            <w:pPr>
              <w:jc w:val="center"/>
              <w:cnfStyle w:val="000000000000"/>
              <w:rPr>
                <w:rFonts w:ascii="Calibri" w:hAnsi="Calibri" w:cs="Calibri"/>
                <w:color w:val="000000"/>
                <w:lang w:val="en-US"/>
              </w:rPr>
            </w:pPr>
            <w:r w:rsidRPr="00812E8B">
              <w:rPr>
                <w:rFonts w:ascii="Calibri" w:hAnsi="Calibri" w:cs="Calibri"/>
                <w:color w:val="000000"/>
                <w:lang w:val="en-US"/>
              </w:rPr>
              <w:t>0.174</w:t>
            </w:r>
          </w:p>
        </w:tc>
        <w:tc>
          <w:tcPr>
            <w:tcW w:w="236"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344" w:type="dxa"/>
            <w:shd w:val="clear" w:color="auto" w:fill="auto"/>
          </w:tcPr>
          <w:p w:rsidR="0074508B" w:rsidRPr="00812E8B" w:rsidRDefault="0074508B" w:rsidP="00B46A9C">
            <w:pPr>
              <w:pStyle w:val="NoSpacing"/>
              <w:spacing w:line="276" w:lineRule="auto"/>
              <w:ind w:left="72"/>
              <w:jc w:val="center"/>
              <w:cnfStyle w:val="000000000000"/>
              <w:rPr>
                <w:b/>
                <w:lang w:val="en-US"/>
              </w:rPr>
            </w:pPr>
          </w:p>
        </w:tc>
        <w:tc>
          <w:tcPr>
            <w:tcW w:w="1144" w:type="dxa"/>
            <w:shd w:val="clear" w:color="auto" w:fill="auto"/>
          </w:tcPr>
          <w:p w:rsidR="0074508B" w:rsidRPr="00812E8B" w:rsidRDefault="0074508B" w:rsidP="00B46A9C">
            <w:pPr>
              <w:pStyle w:val="NoSpacing"/>
              <w:spacing w:line="276" w:lineRule="auto"/>
              <w:ind w:left="72" w:right="-142"/>
              <w:jc w:val="center"/>
              <w:cnfStyle w:val="000000000000"/>
              <w:rPr>
                <w:b/>
                <w:lang w:val="en-US"/>
              </w:rPr>
            </w:pPr>
            <w:r w:rsidRPr="00812E8B">
              <w:rPr>
                <w:lang w:val="en-US"/>
              </w:rPr>
              <w:t>Z = 0.32</w:t>
            </w:r>
          </w:p>
        </w:tc>
        <w:tc>
          <w:tcPr>
            <w:tcW w:w="844" w:type="dxa"/>
            <w:gridSpan w:val="2"/>
            <w:shd w:val="clear" w:color="auto" w:fill="auto"/>
          </w:tcPr>
          <w:p w:rsidR="0074508B" w:rsidRPr="00812E8B" w:rsidRDefault="0074508B" w:rsidP="00B46A9C">
            <w:pPr>
              <w:pStyle w:val="NoSpacing"/>
              <w:spacing w:line="276" w:lineRule="auto"/>
              <w:ind w:left="72"/>
              <w:jc w:val="center"/>
              <w:cnfStyle w:val="000000000000"/>
              <w:rPr>
                <w:lang w:val="en-US"/>
              </w:rPr>
            </w:pPr>
            <w:r w:rsidRPr="00812E8B">
              <w:rPr>
                <w:lang w:val="en-US"/>
              </w:rPr>
              <w:t>0.749</w:t>
            </w:r>
          </w:p>
        </w:tc>
        <w:tc>
          <w:tcPr>
            <w:tcW w:w="291" w:type="dxa"/>
            <w:gridSpan w:val="3"/>
            <w:shd w:val="clear" w:color="auto" w:fill="auto"/>
          </w:tcPr>
          <w:p w:rsidR="0074508B" w:rsidRPr="00812E8B" w:rsidRDefault="0074508B" w:rsidP="00B46A9C">
            <w:pPr>
              <w:pStyle w:val="NoSpacing"/>
              <w:spacing w:line="276" w:lineRule="auto"/>
              <w:ind w:left="72"/>
              <w:jc w:val="center"/>
              <w:cnfStyle w:val="000000000000"/>
              <w:rPr>
                <w:b/>
                <w:lang w:val="en-US"/>
              </w:rPr>
            </w:pPr>
          </w:p>
        </w:tc>
      </w:tr>
      <w:tr w:rsidR="0074508B" w:rsidRPr="00812E8B" w:rsidTr="00B46A9C">
        <w:trPr>
          <w:gridAfter w:val="3"/>
          <w:cnfStyle w:val="000000100000"/>
          <w:wAfter w:w="291" w:type="dxa"/>
        </w:trPr>
        <w:tc>
          <w:tcPr>
            <w:cnfStyle w:val="001000000000"/>
            <w:tcW w:w="3539" w:type="dxa"/>
            <w:shd w:val="clear" w:color="auto" w:fill="auto"/>
          </w:tcPr>
          <w:p w:rsidR="0074508B" w:rsidRPr="00812E8B" w:rsidRDefault="0074508B" w:rsidP="00B46A9C">
            <w:pPr>
              <w:pStyle w:val="NoSpacing"/>
              <w:spacing w:line="276" w:lineRule="auto"/>
              <w:ind w:left="72"/>
              <w:jc w:val="both"/>
              <w:rPr>
                <w:b w:val="0"/>
                <w:lang w:val="en-US"/>
              </w:rPr>
            </w:pPr>
            <w:r w:rsidRPr="00812E8B">
              <w:rPr>
                <w:b w:val="0"/>
                <w:lang w:val="en-US"/>
              </w:rPr>
              <w:t>Hansen-test over identification</w:t>
            </w:r>
          </w:p>
        </w:tc>
        <w:tc>
          <w:tcPr>
            <w:tcW w:w="1951"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r w:rsidRPr="00812E8B">
              <w:rPr>
                <w:lang w:val="en-US"/>
              </w:rPr>
              <w:t>-</w:t>
            </w:r>
          </w:p>
        </w:tc>
        <w:tc>
          <w:tcPr>
            <w:tcW w:w="426"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2036" w:type="dxa"/>
            <w:gridSpan w:val="2"/>
            <w:shd w:val="clear" w:color="auto" w:fill="auto"/>
          </w:tcPr>
          <w:p w:rsidR="0074508B" w:rsidRPr="00812E8B" w:rsidRDefault="0074508B" w:rsidP="00B46A9C">
            <w:pPr>
              <w:pStyle w:val="NoSpacing"/>
              <w:spacing w:line="276" w:lineRule="auto"/>
              <w:ind w:left="72"/>
              <w:jc w:val="center"/>
              <w:cnfStyle w:val="000000100000"/>
              <w:rPr>
                <w:b/>
                <w:lang w:val="en-US"/>
              </w:rPr>
            </w:pPr>
            <w:r w:rsidRPr="00812E8B">
              <w:rPr>
                <w:lang w:val="en-US"/>
              </w:rPr>
              <w:t>-</w:t>
            </w:r>
          </w:p>
        </w:tc>
        <w:tc>
          <w:tcPr>
            <w:tcW w:w="1596" w:type="dxa"/>
            <w:gridSpan w:val="4"/>
            <w:shd w:val="clear" w:color="auto" w:fill="auto"/>
          </w:tcPr>
          <w:p w:rsidR="0074508B" w:rsidRPr="00812E8B" w:rsidRDefault="0074508B" w:rsidP="00B46A9C">
            <w:pPr>
              <w:pStyle w:val="NoSpacing"/>
              <w:spacing w:line="276" w:lineRule="auto"/>
              <w:ind w:left="-164" w:right="-204"/>
              <w:jc w:val="center"/>
              <w:cnfStyle w:val="000000100000"/>
              <w:rPr>
                <w:sz w:val="19"/>
                <w:szCs w:val="19"/>
                <w:lang w:val="en-US"/>
              </w:rPr>
            </w:pPr>
            <w:r w:rsidRPr="00812E8B">
              <w:rPr>
                <w:sz w:val="19"/>
                <w:szCs w:val="19"/>
                <w:lang w:val="en-US"/>
              </w:rPr>
              <w:t>Χ</w:t>
            </w:r>
            <w:r w:rsidRPr="00812E8B">
              <w:rPr>
                <w:sz w:val="19"/>
                <w:szCs w:val="19"/>
                <w:vertAlign w:val="superscript"/>
                <w:lang w:val="en-US"/>
              </w:rPr>
              <w:t>2</w:t>
            </w:r>
            <w:r w:rsidRPr="00812E8B">
              <w:rPr>
                <w:sz w:val="19"/>
                <w:szCs w:val="19"/>
                <w:lang w:val="en-US"/>
              </w:rPr>
              <w:t>(563) = 235.12</w:t>
            </w:r>
          </w:p>
        </w:tc>
        <w:tc>
          <w:tcPr>
            <w:tcW w:w="1004" w:type="dxa"/>
            <w:gridSpan w:val="2"/>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1.000</w:t>
            </w:r>
          </w:p>
        </w:tc>
        <w:tc>
          <w:tcPr>
            <w:tcW w:w="1506" w:type="dxa"/>
            <w:gridSpan w:val="4"/>
            <w:shd w:val="clear" w:color="auto" w:fill="auto"/>
          </w:tcPr>
          <w:p w:rsidR="0074508B" w:rsidRPr="00812E8B" w:rsidRDefault="0074508B" w:rsidP="00B46A9C">
            <w:pPr>
              <w:pStyle w:val="NoSpacing"/>
              <w:spacing w:line="276" w:lineRule="auto"/>
              <w:ind w:left="-128" w:right="-230" w:hanging="1"/>
              <w:jc w:val="center"/>
              <w:cnfStyle w:val="000000100000"/>
              <w:rPr>
                <w:b/>
                <w:sz w:val="19"/>
                <w:szCs w:val="19"/>
                <w:lang w:val="en-US"/>
              </w:rPr>
            </w:pPr>
            <w:r w:rsidRPr="00812E8B">
              <w:rPr>
                <w:sz w:val="19"/>
                <w:szCs w:val="19"/>
                <w:lang w:val="en-US"/>
              </w:rPr>
              <w:t>Χ</w:t>
            </w:r>
            <w:r w:rsidRPr="00812E8B">
              <w:rPr>
                <w:sz w:val="19"/>
                <w:szCs w:val="19"/>
                <w:vertAlign w:val="superscript"/>
                <w:lang w:val="en-US"/>
              </w:rPr>
              <w:t>2</w:t>
            </w:r>
            <w:r w:rsidRPr="00812E8B">
              <w:rPr>
                <w:sz w:val="19"/>
                <w:szCs w:val="19"/>
                <w:lang w:val="en-US"/>
              </w:rPr>
              <w:t>(239) = 220.54</w:t>
            </w:r>
          </w:p>
        </w:tc>
        <w:tc>
          <w:tcPr>
            <w:tcW w:w="795" w:type="dxa"/>
            <w:gridSpan w:val="2"/>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0.799</w:t>
            </w:r>
          </w:p>
        </w:tc>
        <w:tc>
          <w:tcPr>
            <w:tcW w:w="236" w:type="dxa"/>
            <w:gridSpan w:val="3"/>
            <w:shd w:val="clear" w:color="auto" w:fill="auto"/>
          </w:tcPr>
          <w:p w:rsidR="0074508B" w:rsidRPr="00812E8B" w:rsidRDefault="0074508B" w:rsidP="00B46A9C">
            <w:pPr>
              <w:pStyle w:val="NoSpacing"/>
              <w:spacing w:line="276" w:lineRule="auto"/>
              <w:ind w:left="72"/>
              <w:jc w:val="center"/>
              <w:cnfStyle w:val="000000100000"/>
              <w:rPr>
                <w:b/>
                <w:lang w:val="en-US"/>
              </w:rPr>
            </w:pPr>
          </w:p>
        </w:tc>
        <w:tc>
          <w:tcPr>
            <w:tcW w:w="1533" w:type="dxa"/>
            <w:gridSpan w:val="3"/>
            <w:shd w:val="clear" w:color="auto" w:fill="auto"/>
          </w:tcPr>
          <w:p w:rsidR="0074508B" w:rsidRPr="00812E8B" w:rsidRDefault="0074508B" w:rsidP="00B46A9C">
            <w:pPr>
              <w:pStyle w:val="NoSpacing"/>
              <w:spacing w:line="276" w:lineRule="auto"/>
              <w:ind w:left="-23" w:right="-88"/>
              <w:jc w:val="center"/>
              <w:cnfStyle w:val="000000100000"/>
              <w:rPr>
                <w:b/>
                <w:sz w:val="19"/>
                <w:szCs w:val="19"/>
                <w:lang w:val="en-US"/>
              </w:rPr>
            </w:pPr>
            <w:r w:rsidRPr="00812E8B">
              <w:rPr>
                <w:sz w:val="19"/>
                <w:szCs w:val="19"/>
                <w:lang w:val="en-US"/>
              </w:rPr>
              <w:t>Χ</w:t>
            </w:r>
            <w:r w:rsidRPr="00812E8B">
              <w:rPr>
                <w:sz w:val="19"/>
                <w:szCs w:val="19"/>
                <w:vertAlign w:val="superscript"/>
                <w:lang w:val="en-US"/>
              </w:rPr>
              <w:t>2</w:t>
            </w:r>
            <w:r w:rsidRPr="00812E8B">
              <w:rPr>
                <w:sz w:val="19"/>
                <w:szCs w:val="19"/>
                <w:lang w:val="en-US"/>
              </w:rPr>
              <w:t>(239) = 259.30</w:t>
            </w:r>
          </w:p>
        </w:tc>
        <w:tc>
          <w:tcPr>
            <w:tcW w:w="844" w:type="dxa"/>
            <w:gridSpan w:val="3"/>
            <w:shd w:val="clear" w:color="auto" w:fill="auto"/>
          </w:tcPr>
          <w:p w:rsidR="0074508B" w:rsidRPr="00812E8B" w:rsidRDefault="0074508B" w:rsidP="00B46A9C">
            <w:pPr>
              <w:pStyle w:val="NoSpacing"/>
              <w:spacing w:line="276" w:lineRule="auto"/>
              <w:ind w:left="72"/>
              <w:jc w:val="center"/>
              <w:cnfStyle w:val="000000100000"/>
              <w:rPr>
                <w:lang w:val="en-US"/>
              </w:rPr>
            </w:pPr>
            <w:r w:rsidRPr="00812E8B">
              <w:rPr>
                <w:lang w:val="en-US"/>
              </w:rPr>
              <w:t>0.175</w:t>
            </w:r>
          </w:p>
        </w:tc>
      </w:tr>
    </w:tbl>
    <w:p w:rsidR="009102CB" w:rsidRPr="00812E8B" w:rsidRDefault="00BF1D79" w:rsidP="009102CB">
      <w:pPr>
        <w:pStyle w:val="Caption"/>
        <w:rPr>
          <w:b w:val="0"/>
          <w:color w:val="auto"/>
          <w:lang w:val="en-US"/>
        </w:rPr>
      </w:pPr>
      <w:r w:rsidRPr="00812E8B">
        <w:rPr>
          <w:lang w:val="en-US"/>
        </w:rPr>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7</w:t>
      </w:r>
      <w:r w:rsidR="00D46A7F" w:rsidRPr="00812E8B">
        <w:rPr>
          <w:lang w:val="en-US"/>
        </w:rPr>
        <w:fldChar w:fldCharType="end"/>
      </w:r>
      <w:r w:rsidR="00C66A6D" w:rsidRPr="00812E8B">
        <w:rPr>
          <w:lang w:val="en-US"/>
        </w:rPr>
        <w:t xml:space="preserve"> </w:t>
      </w:r>
      <w:r w:rsidR="00C66A6D" w:rsidRPr="00812E8B">
        <w:rPr>
          <w:lang w:val="en-US"/>
        </w:rPr>
        <w:br/>
      </w:r>
      <w:r w:rsidR="00C66A6D" w:rsidRPr="00812E8B">
        <w:rPr>
          <w:b w:val="0"/>
          <w:color w:val="auto"/>
          <w:lang w:val="en-US"/>
        </w:rPr>
        <w:t>Robustness check</w:t>
      </w:r>
      <w:bookmarkEnd w:id="41"/>
      <w:r w:rsidR="009102CB" w:rsidRPr="00812E8B">
        <w:rPr>
          <w:b w:val="0"/>
          <w:color w:val="auto"/>
          <w:lang w:val="en-US"/>
        </w:rPr>
        <w:t>s</w:t>
      </w:r>
    </w:p>
    <w:p w:rsidR="003828BD" w:rsidRPr="00812E8B" w:rsidRDefault="009102CB" w:rsidP="00B46A9C">
      <w:pPr>
        <w:pStyle w:val="NoSpacing"/>
        <w:ind w:right="-739"/>
        <w:jc w:val="both"/>
        <w:rPr>
          <w:sz w:val="20"/>
          <w:szCs w:val="20"/>
          <w:lang w:val="en-US"/>
        </w:rPr>
      </w:pPr>
      <w:r w:rsidRPr="00812E8B">
        <w:rPr>
          <w:sz w:val="18"/>
          <w:szCs w:val="18"/>
          <w:vertAlign w:val="superscript"/>
          <w:lang w:val="en-US"/>
        </w:rPr>
        <w:t>a</w:t>
      </w:r>
      <w:r w:rsidRPr="00812E8B">
        <w:rPr>
          <w:sz w:val="18"/>
          <w:szCs w:val="18"/>
          <w:lang w:val="en-US"/>
        </w:rPr>
        <w:t xml:space="preserve"> </w:t>
      </w:r>
      <w:r w:rsidRPr="00812E8B">
        <w:rPr>
          <w:sz w:val="20"/>
          <w:szCs w:val="20"/>
          <w:lang w:val="en-US"/>
        </w:rPr>
        <w:t xml:space="preserve">Woolridge test of autocorrelation is performed </w:t>
      </w:r>
      <w:r w:rsidR="00EC607C" w:rsidRPr="00812E8B">
        <w:rPr>
          <w:sz w:val="20"/>
          <w:szCs w:val="20"/>
          <w:lang w:val="en-US"/>
        </w:rPr>
        <w:t>under</w:t>
      </w:r>
      <w:r w:rsidRPr="00812E8B">
        <w:rPr>
          <w:sz w:val="20"/>
          <w:szCs w:val="20"/>
          <w:lang w:val="en-US"/>
        </w:rPr>
        <w:t xml:space="preserve"> fixed-effects model</w:t>
      </w:r>
      <w:r w:rsidR="00EC607C" w:rsidRPr="00812E8B">
        <w:rPr>
          <w:sz w:val="20"/>
          <w:szCs w:val="20"/>
          <w:lang w:val="en-US"/>
        </w:rPr>
        <w:t xml:space="preserve"> since the Arrelano-Bond test</w:t>
      </w:r>
      <w:r w:rsidR="0074508B" w:rsidRPr="00812E8B">
        <w:rPr>
          <w:sz w:val="20"/>
          <w:szCs w:val="20"/>
          <w:lang w:val="en-US"/>
        </w:rPr>
        <w:t xml:space="preserve"> of first order autocorrelation </w:t>
      </w:r>
      <w:r w:rsidR="00EC607C" w:rsidRPr="00812E8B">
        <w:rPr>
          <w:sz w:val="20"/>
          <w:szCs w:val="20"/>
          <w:lang w:val="en-US"/>
        </w:rPr>
        <w:t xml:space="preserve">is not </w:t>
      </w:r>
      <w:r w:rsidR="00970ECD" w:rsidRPr="00812E8B">
        <w:rPr>
          <w:sz w:val="20"/>
          <w:szCs w:val="20"/>
          <w:lang w:val="en-US"/>
        </w:rPr>
        <w:t>robust to</w:t>
      </w:r>
      <w:r w:rsidR="0074508B" w:rsidRPr="00812E8B">
        <w:rPr>
          <w:sz w:val="20"/>
          <w:szCs w:val="20"/>
          <w:lang w:val="en-US"/>
        </w:rPr>
        <w:t xml:space="preserve"> the</w:t>
      </w:r>
      <w:r w:rsidR="00970ECD" w:rsidRPr="00812E8B">
        <w:rPr>
          <w:sz w:val="20"/>
          <w:szCs w:val="20"/>
          <w:lang w:val="en-US"/>
        </w:rPr>
        <w:t xml:space="preserve"> fixed effects </w:t>
      </w:r>
      <w:r w:rsidR="0074508B" w:rsidRPr="00812E8B">
        <w:rPr>
          <w:sz w:val="20"/>
          <w:szCs w:val="20"/>
          <w:lang w:val="en-US"/>
        </w:rPr>
        <w:t>using Stata. The standard errors under the OLS and fixed effects model are robust making the rejection area more conservative. Furthermore, the standard errors under the GMM models are consistent to heteroscedasticity; potential biases arising from the two-step estimator are corrected using the Windmeijer correction. The significant parameters are indicated with *, ** or *** for confidence levels of respectively 90%, 95% and 99%.</w:t>
      </w:r>
    </w:p>
    <w:p w:rsidR="003828BD" w:rsidRPr="00812E8B" w:rsidRDefault="003828BD" w:rsidP="003828BD">
      <w:pPr>
        <w:pStyle w:val="NoSpacing"/>
        <w:ind w:right="-314"/>
        <w:jc w:val="both"/>
        <w:rPr>
          <w:sz w:val="18"/>
          <w:szCs w:val="18"/>
          <w:lang w:val="en-US"/>
        </w:rPr>
        <w:sectPr w:rsidR="003828BD" w:rsidRPr="00812E8B" w:rsidSect="0074508B">
          <w:headerReference w:type="first" r:id="rId33"/>
          <w:endnotePr>
            <w:numFmt w:val="decimal"/>
          </w:endnotePr>
          <w:pgSz w:w="16838" w:h="11906" w:orient="landscape"/>
          <w:pgMar w:top="-284" w:right="1417" w:bottom="142" w:left="567" w:header="168" w:footer="708" w:gutter="0"/>
          <w:cols w:space="708"/>
          <w:titlePg/>
          <w:docGrid w:linePitch="360"/>
        </w:sectPr>
      </w:pPr>
    </w:p>
    <w:p w:rsidR="00991044" w:rsidRPr="00812E8B" w:rsidRDefault="00746D5F" w:rsidP="00991044">
      <w:pPr>
        <w:pStyle w:val="NoSpacing"/>
        <w:spacing w:line="276" w:lineRule="auto"/>
        <w:jc w:val="both"/>
        <w:rPr>
          <w:lang w:val="en-US"/>
        </w:rPr>
      </w:pPr>
      <w:r w:rsidRPr="00812E8B">
        <w:rPr>
          <w:lang w:val="en-US"/>
        </w:rPr>
        <w:lastRenderedPageBreak/>
        <w:t>over-</w:t>
      </w:r>
      <w:r w:rsidR="00991044" w:rsidRPr="00812E8B">
        <w:rPr>
          <w:lang w:val="en-US"/>
        </w:rPr>
        <w:t xml:space="preserve">identification but as mentioned before instrument proliferation could still be present. The results, as reported in table 7, indicate that all variables retain their significant results compared to the main model. For the variables the coefficient estimations differs but not the sign of the coefficients (with the exception of the effective tax rate). As already discussed, instrument proliferation could severely bias the estimated coefficients of the variables that are instrumented. Therefore, the main model is thought to be more reliable . </w:t>
      </w:r>
    </w:p>
    <w:p w:rsidR="00991044" w:rsidRPr="00443E2C" w:rsidRDefault="00991044" w:rsidP="00443E2C">
      <w:pPr>
        <w:pStyle w:val="NoSpacing"/>
      </w:pPr>
    </w:p>
    <w:p w:rsidR="00443E2C" w:rsidRDefault="00991044" w:rsidP="00443E2C">
      <w:pPr>
        <w:pStyle w:val="NoSpacing"/>
        <w:spacing w:line="276" w:lineRule="auto"/>
        <w:jc w:val="both"/>
        <w:rPr>
          <w:lang w:val="en-US"/>
        </w:rPr>
      </w:pPr>
      <w:r w:rsidRPr="00812E8B">
        <w:rPr>
          <w:lang w:val="en-US"/>
        </w:rPr>
        <w:t>Furthermore, robustness checks are performed for the choices regarding the sample construction and deletion of outliers. First there is a model applied in which the outliers are deleted for observations that fall within the 1</w:t>
      </w:r>
      <w:r w:rsidRPr="00812E8B">
        <w:rPr>
          <w:vertAlign w:val="superscript"/>
          <w:lang w:val="en-US"/>
        </w:rPr>
        <w:t>th</w:t>
      </w:r>
      <w:r w:rsidRPr="00812E8B">
        <w:rPr>
          <w:lang w:val="en-US"/>
        </w:rPr>
        <w:t xml:space="preserve"> and 99</w:t>
      </w:r>
      <w:r w:rsidRPr="00812E8B">
        <w:rPr>
          <w:vertAlign w:val="superscript"/>
          <w:lang w:val="en-US"/>
        </w:rPr>
        <w:t xml:space="preserve">th </w:t>
      </w:r>
      <w:r w:rsidRPr="00812E8B">
        <w:rPr>
          <w:lang w:val="en-US"/>
        </w:rPr>
        <w:t xml:space="preserve">quartile of the variables, except for GDP growth, interest and the dummy variables that have only a few observations available. There are also no observations deleted based on the quartile range of size, since this variable is already transformed using lags. This method of outlier removal is similar to the technique used by </w:t>
      </w:r>
      <w:r w:rsidR="00304525" w:rsidRPr="00812E8B">
        <w:rPr>
          <w:color w:val="365F91" w:themeColor="accent1" w:themeShade="BF"/>
          <w:lang w:val="en-US"/>
        </w:rPr>
        <w:t>García-Herrero et al. (2009)</w:t>
      </w:r>
      <w:r w:rsidRPr="00812E8B">
        <w:rPr>
          <w:lang w:val="en-US"/>
        </w:rPr>
        <w:t xml:space="preserve">; in total 315 observations are deleted as outliers. The model is estimated </w:t>
      </w:r>
      <w:r w:rsidR="00D244A9" w:rsidRPr="00812E8B">
        <w:rPr>
          <w:lang w:val="en-US"/>
        </w:rPr>
        <w:t xml:space="preserve">using the same methodology as applied in the original model (two-step System GMM with a restrictive use of lags for the predetermined variables). Unsurprisingly, there are more significant results </w:t>
      </w:r>
      <w:r w:rsidRPr="00812E8B">
        <w:rPr>
          <w:lang w:val="en-US"/>
        </w:rPr>
        <w:t xml:space="preserve">since the regression is performed on more or less the average banks. </w:t>
      </w:r>
      <w:r w:rsidR="00D244A9" w:rsidRPr="00812E8B">
        <w:rPr>
          <w:lang w:val="en-US"/>
        </w:rPr>
        <w:t xml:space="preserve">Moreover, repeating the analysis, after deleting all outliers that are beyond the 1th and 99th, give very different coefficient estimates. In contrary to </w:t>
      </w:r>
      <w:r w:rsidRPr="00812E8B">
        <w:rPr>
          <w:lang w:val="en-US"/>
        </w:rPr>
        <w:t>the main model</w:t>
      </w:r>
      <w:r w:rsidR="00D244A9" w:rsidRPr="00812E8B">
        <w:rPr>
          <w:lang w:val="en-US"/>
        </w:rPr>
        <w:t xml:space="preserve">, interest expense on customer deposits </w:t>
      </w:r>
      <w:r w:rsidR="00871FE5" w:rsidRPr="00812E8B">
        <w:rPr>
          <w:lang w:val="en-US"/>
        </w:rPr>
        <w:t xml:space="preserve">and the effective tax rate seems to be </w:t>
      </w:r>
      <w:r w:rsidR="00D244A9" w:rsidRPr="00812E8B">
        <w:rPr>
          <w:lang w:val="en-US"/>
        </w:rPr>
        <w:t xml:space="preserve">a significant, and negative, </w:t>
      </w:r>
      <w:r w:rsidR="00871FE5" w:rsidRPr="00812E8B">
        <w:rPr>
          <w:lang w:val="en-US"/>
        </w:rPr>
        <w:t xml:space="preserve">determinant of </w:t>
      </w:r>
      <w:r w:rsidR="00D244A9" w:rsidRPr="00812E8B">
        <w:rPr>
          <w:lang w:val="en-US"/>
        </w:rPr>
        <w:t>return on average assets</w:t>
      </w:r>
      <w:r w:rsidR="00871FE5" w:rsidRPr="00812E8B">
        <w:rPr>
          <w:lang w:val="en-US"/>
        </w:rPr>
        <w:t xml:space="preserve"> (with parameters of -0.0246 and </w:t>
      </w:r>
      <w:r w:rsidR="00D91EEF">
        <w:rPr>
          <w:lang w:val="en-US"/>
        </w:rPr>
        <w:t xml:space="preserve">    </w:t>
      </w:r>
      <w:r w:rsidR="00871FE5" w:rsidRPr="00812E8B">
        <w:rPr>
          <w:lang w:val="en-US"/>
        </w:rPr>
        <w:t>-0.0011)</w:t>
      </w:r>
      <w:r w:rsidR="00D244A9" w:rsidRPr="00812E8B">
        <w:rPr>
          <w:lang w:val="en-US"/>
        </w:rPr>
        <w:t>.</w:t>
      </w:r>
      <w:r w:rsidR="00A22E6B" w:rsidRPr="00812E8B">
        <w:rPr>
          <w:lang w:val="en-US"/>
        </w:rPr>
        <w:t xml:space="preserve"> Furthermore, there is more evidence for profit persistence in the banking sector, the coefficient is substantially higher and relatively more significant compared to the main model (</w:t>
      </w:r>
      <w:r w:rsidR="001111B4" w:rsidRPr="00812E8B">
        <w:rPr>
          <w:lang w:val="en-US"/>
        </w:rPr>
        <w:t xml:space="preserve">0.2860 against 0.1262). Profit persistence also retain its significance in both subsamples when model 4 is applied. </w:t>
      </w:r>
      <w:r w:rsidR="00D244A9" w:rsidRPr="00812E8B">
        <w:rPr>
          <w:lang w:val="en-US"/>
        </w:rPr>
        <w:t xml:space="preserve">Deleting </w:t>
      </w:r>
      <w:r w:rsidR="00D91EEF">
        <w:rPr>
          <w:lang w:val="en-US"/>
        </w:rPr>
        <w:t xml:space="preserve">unusual </w:t>
      </w:r>
      <w:r w:rsidR="00D244A9" w:rsidRPr="00812E8B">
        <w:rPr>
          <w:lang w:val="en-US"/>
        </w:rPr>
        <w:t>observations does significantly alter GMM estimators of the variables and report lower standard errors. Nevertheless, there is no reason to believe that those observations are coding errors or falsely specified. Therefore, a regression on which the extremer observations are deleted is not preferred</w:t>
      </w:r>
      <w:r w:rsidR="00D244A9" w:rsidRPr="00812E8B">
        <w:rPr>
          <w:color w:val="FF0000"/>
          <w:lang w:val="en-US"/>
        </w:rPr>
        <w:t xml:space="preserve">. </w:t>
      </w:r>
    </w:p>
    <w:p w:rsidR="00D244A9" w:rsidRPr="00443E2C" w:rsidRDefault="00D244A9" w:rsidP="00443E2C">
      <w:pPr>
        <w:pStyle w:val="NoSpacing"/>
        <w:rPr>
          <w:lang w:val="en-US"/>
        </w:rPr>
      </w:pPr>
      <w:r w:rsidRPr="00443E2C">
        <w:rPr>
          <w:lang w:val="en-US"/>
        </w:rPr>
        <w:tab/>
      </w:r>
    </w:p>
    <w:p w:rsidR="00A25DA7" w:rsidRPr="00812E8B" w:rsidRDefault="00FE4EDC" w:rsidP="00D244A9">
      <w:pPr>
        <w:pStyle w:val="NoSpacing"/>
        <w:spacing w:line="276" w:lineRule="auto"/>
        <w:jc w:val="both"/>
        <w:rPr>
          <w:lang w:val="en-US"/>
        </w:rPr>
      </w:pPr>
      <w:r w:rsidRPr="00812E8B">
        <w:rPr>
          <w:lang w:val="en-US"/>
        </w:rPr>
        <w:t xml:space="preserve">The </w:t>
      </w:r>
      <w:r w:rsidR="004C4D8A" w:rsidRPr="00812E8B">
        <w:rPr>
          <w:lang w:val="en-US"/>
        </w:rPr>
        <w:t xml:space="preserve">last </w:t>
      </w:r>
      <w:r w:rsidRPr="00812E8B">
        <w:rPr>
          <w:lang w:val="en-US"/>
        </w:rPr>
        <w:t xml:space="preserve">robustness check </w:t>
      </w:r>
      <w:r w:rsidR="00BA59AB" w:rsidRPr="00812E8B">
        <w:rPr>
          <w:lang w:val="en-US"/>
        </w:rPr>
        <w:t xml:space="preserve">changes </w:t>
      </w:r>
      <w:r w:rsidRPr="00812E8B">
        <w:rPr>
          <w:lang w:val="en-US"/>
        </w:rPr>
        <w:t>the sample of the European banks. There is a p</w:t>
      </w:r>
      <w:r w:rsidR="003A7B12" w:rsidRPr="00812E8B">
        <w:rPr>
          <w:lang w:val="en-US"/>
        </w:rPr>
        <w:t>otential sample bias by not incorporating the consolidated accounts</w:t>
      </w:r>
      <w:r w:rsidR="004C4D8A" w:rsidRPr="00812E8B">
        <w:rPr>
          <w:lang w:val="en-US"/>
        </w:rPr>
        <w:t>. One could</w:t>
      </w:r>
      <w:r w:rsidR="00BA59AB" w:rsidRPr="00812E8B">
        <w:rPr>
          <w:lang w:val="en-US"/>
        </w:rPr>
        <w:t xml:space="preserve"> argue that banking profitability, balance sheet ratios, P&amp;L ratios and the ownership structure is </w:t>
      </w:r>
      <w:r w:rsidR="00A46AF2" w:rsidRPr="00812E8B">
        <w:rPr>
          <w:lang w:val="en-US"/>
        </w:rPr>
        <w:t xml:space="preserve">managed </w:t>
      </w:r>
      <w:r w:rsidR="00BA59AB" w:rsidRPr="00812E8B">
        <w:rPr>
          <w:lang w:val="en-US"/>
        </w:rPr>
        <w:t xml:space="preserve">on </w:t>
      </w:r>
      <w:r w:rsidR="00A46AF2" w:rsidRPr="00812E8B">
        <w:rPr>
          <w:lang w:val="en-US"/>
        </w:rPr>
        <w:t>a consolidated</w:t>
      </w:r>
      <w:r w:rsidR="00BA59AB" w:rsidRPr="00812E8B">
        <w:rPr>
          <w:lang w:val="en-US"/>
        </w:rPr>
        <w:t xml:space="preserve"> level. </w:t>
      </w:r>
      <w:r w:rsidR="00A46AF2" w:rsidRPr="00812E8B">
        <w:rPr>
          <w:lang w:val="en-US"/>
        </w:rPr>
        <w:t>Therefore, this thesis present</w:t>
      </w:r>
      <w:r w:rsidR="00443E2C">
        <w:rPr>
          <w:lang w:val="en-US"/>
        </w:rPr>
        <w:t>s</w:t>
      </w:r>
      <w:r w:rsidR="00BA59AB" w:rsidRPr="00812E8B">
        <w:rPr>
          <w:lang w:val="en-US"/>
        </w:rPr>
        <w:t xml:space="preserve"> </w:t>
      </w:r>
      <w:r w:rsidR="00A46AF2" w:rsidRPr="00812E8B">
        <w:rPr>
          <w:lang w:val="en-US"/>
        </w:rPr>
        <w:t>a robustness check in which the model is estimated</w:t>
      </w:r>
      <w:r w:rsidR="00BA59AB" w:rsidRPr="00812E8B">
        <w:rPr>
          <w:lang w:val="en-US"/>
        </w:rPr>
        <w:t xml:space="preserve"> using all European banks with unconsolidated </w:t>
      </w:r>
      <w:r w:rsidR="00A46AF2" w:rsidRPr="00812E8B">
        <w:rPr>
          <w:lang w:val="en-US"/>
        </w:rPr>
        <w:t xml:space="preserve">financial </w:t>
      </w:r>
      <w:r w:rsidR="00BA59AB" w:rsidRPr="00812E8B">
        <w:rPr>
          <w:lang w:val="en-US"/>
        </w:rPr>
        <w:t xml:space="preserve">statements </w:t>
      </w:r>
      <w:r w:rsidR="00A46AF2" w:rsidRPr="00812E8B">
        <w:rPr>
          <w:lang w:val="en-US"/>
        </w:rPr>
        <w:t xml:space="preserve">or consolidated statements when available. </w:t>
      </w:r>
      <w:r w:rsidR="00BA59AB" w:rsidRPr="00812E8B">
        <w:rPr>
          <w:lang w:val="en-US"/>
        </w:rPr>
        <w:t xml:space="preserve">Note that for this </w:t>
      </w:r>
      <w:r w:rsidR="00A46AF2" w:rsidRPr="00812E8B">
        <w:rPr>
          <w:lang w:val="en-US"/>
        </w:rPr>
        <w:t>sample,</w:t>
      </w:r>
      <w:r w:rsidR="00BA59AB" w:rsidRPr="00812E8B">
        <w:rPr>
          <w:lang w:val="en-US"/>
        </w:rPr>
        <w:t xml:space="preserve"> there is no information available for the ownership structure</w:t>
      </w:r>
      <w:r w:rsidR="00A46AF2" w:rsidRPr="00812E8B">
        <w:rPr>
          <w:lang w:val="en-US"/>
        </w:rPr>
        <w:t xml:space="preserve">. Furthermore, the sample consist not only the holding companies of banks but also its direct subsidiaries. Hence, a bank </w:t>
      </w:r>
      <w:r w:rsidR="001111B4" w:rsidRPr="00812E8B">
        <w:rPr>
          <w:lang w:val="en-US"/>
        </w:rPr>
        <w:t xml:space="preserve">could be </w:t>
      </w:r>
      <w:r w:rsidR="00A46AF2" w:rsidRPr="00812E8B">
        <w:rPr>
          <w:lang w:val="en-US"/>
        </w:rPr>
        <w:t xml:space="preserve">multiple counted. Removal of these banks is very time </w:t>
      </w:r>
      <w:r w:rsidR="001111B4" w:rsidRPr="00812E8B">
        <w:rPr>
          <w:lang w:val="en-US"/>
        </w:rPr>
        <w:t>consuming; requiring an in-depth knowledge of the ultimate owners of banks and subsidiaries. The removal of these double banks is not performed here</w:t>
      </w:r>
      <w:r w:rsidR="00A46AF2" w:rsidRPr="00812E8B">
        <w:rPr>
          <w:lang w:val="en-US"/>
        </w:rPr>
        <w:t>. The results using the larger sample give practically the same results, only the variables customer deposit to total funding</w:t>
      </w:r>
      <w:r w:rsidR="001111B4" w:rsidRPr="00812E8B">
        <w:rPr>
          <w:lang w:val="en-US"/>
        </w:rPr>
        <w:t xml:space="preserve">, size </w:t>
      </w:r>
      <w:r w:rsidR="00A46AF2" w:rsidRPr="00812E8B">
        <w:rPr>
          <w:lang w:val="en-US"/>
        </w:rPr>
        <w:t xml:space="preserve">and term structure of interest rates are significant.  </w:t>
      </w:r>
    </w:p>
    <w:p w:rsidR="00A46AF2" w:rsidRPr="00443E2C" w:rsidRDefault="00A46AF2" w:rsidP="00443E2C">
      <w:pPr>
        <w:pStyle w:val="NoSpacing"/>
      </w:pPr>
    </w:p>
    <w:p w:rsidR="00791124" w:rsidRPr="00812E8B" w:rsidRDefault="00791124" w:rsidP="00791124">
      <w:pPr>
        <w:pStyle w:val="Heading2"/>
        <w:rPr>
          <w:color w:val="auto"/>
          <w:lang w:val="en-US"/>
        </w:rPr>
      </w:pPr>
      <w:bookmarkStart w:id="42" w:name="_Toc306359656"/>
      <w:r w:rsidRPr="00812E8B">
        <w:rPr>
          <w:color w:val="auto"/>
          <w:lang w:val="en-US"/>
        </w:rPr>
        <w:t>6.</w:t>
      </w:r>
      <w:r w:rsidR="009F71E8" w:rsidRPr="00812E8B">
        <w:rPr>
          <w:color w:val="auto"/>
          <w:lang w:val="en-US"/>
        </w:rPr>
        <w:t>3</w:t>
      </w:r>
      <w:r w:rsidRPr="00812E8B">
        <w:rPr>
          <w:color w:val="auto"/>
          <w:lang w:val="en-US"/>
        </w:rPr>
        <w:t xml:space="preserve"> S</w:t>
      </w:r>
      <w:r w:rsidR="00937B13" w:rsidRPr="00812E8B">
        <w:rPr>
          <w:color w:val="auto"/>
          <w:sz w:val="20"/>
          <w:szCs w:val="20"/>
          <w:lang w:val="en-US"/>
        </w:rPr>
        <w:t>UMMARY</w:t>
      </w:r>
      <w:bookmarkEnd w:id="42"/>
    </w:p>
    <w:p w:rsidR="003B7CC2" w:rsidRPr="00812E8B" w:rsidRDefault="00EF5662" w:rsidP="003B7CC2">
      <w:pPr>
        <w:pStyle w:val="NoSpacing"/>
        <w:spacing w:line="276" w:lineRule="auto"/>
        <w:jc w:val="both"/>
        <w:rPr>
          <w:lang w:val="en-US"/>
        </w:rPr>
      </w:pPr>
      <w:r w:rsidRPr="00812E8B">
        <w:rPr>
          <w:lang w:val="en-US"/>
        </w:rPr>
        <w:t xml:space="preserve">This chapter has presented the empirical results for the different slope coefficients as estimated by equation (i). The significant </w:t>
      </w:r>
      <w:r w:rsidR="00734786" w:rsidRPr="00812E8B">
        <w:rPr>
          <w:lang w:val="en-US"/>
        </w:rPr>
        <w:t xml:space="preserve">delta of the lagged dependent variable justifies the use of the dynamic model and gives evidence for profit persistence in the European banking sector. The lagged dependent variable has the most explanatory power of the model, indicated by the largest slope </w:t>
      </w:r>
      <w:r w:rsidR="00734786" w:rsidRPr="00812E8B">
        <w:rPr>
          <w:lang w:val="en-US"/>
        </w:rPr>
        <w:lastRenderedPageBreak/>
        <w:t xml:space="preserve">coefficient. </w:t>
      </w:r>
      <w:r w:rsidR="001D6687" w:rsidRPr="00812E8B">
        <w:rPr>
          <w:lang w:val="en-US"/>
        </w:rPr>
        <w:t xml:space="preserve">The slope </w:t>
      </w:r>
      <w:r w:rsidR="00734786" w:rsidRPr="00812E8B">
        <w:rPr>
          <w:lang w:val="en-US"/>
        </w:rPr>
        <w:t xml:space="preserve">parameter is modest compared to the parameters found by </w:t>
      </w:r>
      <w:r w:rsidR="006567A6" w:rsidRPr="00812E8B">
        <w:rPr>
          <w:color w:val="365F91" w:themeColor="accent1" w:themeShade="BF"/>
          <w:lang w:val="en-US"/>
        </w:rPr>
        <w:t xml:space="preserve">Athanasoglou et al. (2008) </w:t>
      </w:r>
      <w:r w:rsidR="006567A6" w:rsidRPr="00812E8B">
        <w:rPr>
          <w:lang w:val="en-US"/>
        </w:rPr>
        <w:t>and</w:t>
      </w:r>
      <w:r w:rsidR="00AE700C" w:rsidRPr="00812E8B">
        <w:rPr>
          <w:color w:val="365F91" w:themeColor="accent1" w:themeShade="BF"/>
          <w:lang w:val="en-US"/>
        </w:rPr>
        <w:t xml:space="preserve"> Goddard et al. (2004) </w:t>
      </w:r>
      <w:r w:rsidR="001D6687" w:rsidRPr="00812E8B">
        <w:rPr>
          <w:lang w:val="en-US"/>
        </w:rPr>
        <w:t>indicating that profit persistence is less visible in the sample.</w:t>
      </w:r>
      <w:r w:rsidR="00734786" w:rsidRPr="00812E8B">
        <w:rPr>
          <w:lang w:val="en-US"/>
        </w:rPr>
        <w:t xml:space="preserve"> Furthermore, the equity-to-asset ratio is positive in both subsamples as in the total samples; quite the opposite of the negative coefficient found by </w:t>
      </w:r>
      <w:r w:rsidR="00746D5F" w:rsidRPr="00812E8B">
        <w:rPr>
          <w:color w:val="365F91" w:themeColor="accent1" w:themeShade="BF"/>
          <w:lang w:val="en-US"/>
        </w:rPr>
        <w:t>Dietrich and Wanzenried (2011)</w:t>
      </w:r>
      <w:r w:rsidR="00734786" w:rsidRPr="00812E8B">
        <w:rPr>
          <w:lang w:val="en-US"/>
        </w:rPr>
        <w:t xml:space="preserve">. The estimated coefficient is higher during the crisis than in the pre-crisis sample suggesting that the signaling and bankruptcy cost hypothesis plays indeed an important role. </w:t>
      </w:r>
    </w:p>
    <w:p w:rsidR="003B7CC2" w:rsidRPr="00443E2C" w:rsidRDefault="003B7CC2" w:rsidP="00443E2C">
      <w:pPr>
        <w:pStyle w:val="NoSpacing"/>
        <w:rPr>
          <w:sz w:val="18"/>
          <w:szCs w:val="18"/>
        </w:rPr>
      </w:pPr>
    </w:p>
    <w:p w:rsidR="003B7CC2" w:rsidRPr="00812E8B" w:rsidRDefault="003B7CC2" w:rsidP="001C51CC">
      <w:pPr>
        <w:pStyle w:val="NoSpacing"/>
        <w:spacing w:line="276" w:lineRule="auto"/>
        <w:jc w:val="both"/>
        <w:rPr>
          <w:color w:val="FF0000"/>
          <w:sz w:val="18"/>
          <w:szCs w:val="18"/>
          <w:lang w:val="en-US"/>
        </w:rPr>
      </w:pPr>
      <w:r w:rsidRPr="00812E8B">
        <w:rPr>
          <w:lang w:val="en-US"/>
        </w:rPr>
        <w:t>Of particular interest of this thesis is the ownership, funding and liquidity structure</w:t>
      </w:r>
      <w:r w:rsidR="001C51CC" w:rsidRPr="00812E8B">
        <w:rPr>
          <w:lang w:val="en-US"/>
        </w:rPr>
        <w:t>. Findings suggest that both the funding as the liquidity structure are no</w:t>
      </w:r>
      <w:r w:rsidR="00443E2C">
        <w:rPr>
          <w:lang w:val="en-US"/>
        </w:rPr>
        <w:t>t a</w:t>
      </w:r>
      <w:r w:rsidR="001C51CC" w:rsidRPr="00812E8B">
        <w:rPr>
          <w:lang w:val="en-US"/>
        </w:rPr>
        <w:t xml:space="preserve"> determinant of banks’ profitability. Both parameters are insignificant in the total sample as well as in both subsamples. Thereby there is only little evidence found for the agency theory of </w:t>
      </w:r>
      <w:r w:rsidR="001C51CC" w:rsidRPr="00812E8B">
        <w:rPr>
          <w:color w:val="365F91" w:themeColor="accent1" w:themeShade="BF"/>
          <w:lang w:val="en-US"/>
        </w:rPr>
        <w:t>Jensen and Meckling (1976)</w:t>
      </w:r>
      <w:r w:rsidR="001C51CC" w:rsidRPr="00812E8B">
        <w:rPr>
          <w:lang w:val="en-US"/>
        </w:rPr>
        <w:t>.</w:t>
      </w:r>
      <w:r w:rsidR="001C51CC" w:rsidRPr="00812E8B">
        <w:rPr>
          <w:color w:val="365F91" w:themeColor="accent1" w:themeShade="BF"/>
          <w:lang w:val="en-US"/>
        </w:rPr>
        <w:t xml:space="preserve"> </w:t>
      </w:r>
      <w:r w:rsidR="001C51CC" w:rsidRPr="00812E8B">
        <w:rPr>
          <w:lang w:val="en-US"/>
        </w:rPr>
        <w:t xml:space="preserve">Only government-owned banks performs weaker than their shareholder-owned counterparts whilst stakeholder-owned banks does not. The </w:t>
      </w:r>
      <w:r w:rsidR="00AF4B5A" w:rsidRPr="00812E8B">
        <w:rPr>
          <w:lang w:val="en-US"/>
        </w:rPr>
        <w:t>parameter</w:t>
      </w:r>
      <w:r w:rsidR="001C51CC" w:rsidRPr="00812E8B">
        <w:rPr>
          <w:lang w:val="en-US"/>
        </w:rPr>
        <w:t xml:space="preserve"> of government-owned banks is only negative and significant on a 10% in the total sample. In both subsamples the significance disappear and accordingly no support is found  </w:t>
      </w:r>
      <w:r w:rsidR="00113A13" w:rsidRPr="00812E8B">
        <w:rPr>
          <w:lang w:val="en-US"/>
        </w:rPr>
        <w:t>for the agency th</w:t>
      </w:r>
      <w:r w:rsidR="001C51CC" w:rsidRPr="00812E8B">
        <w:rPr>
          <w:lang w:val="en-US"/>
        </w:rPr>
        <w:t xml:space="preserve">eory. </w:t>
      </w:r>
    </w:p>
    <w:p w:rsidR="001D6687" w:rsidRPr="00443E2C" w:rsidRDefault="001D6687" w:rsidP="00443E2C">
      <w:pPr>
        <w:pStyle w:val="NoSpacing"/>
        <w:rPr>
          <w:sz w:val="18"/>
          <w:szCs w:val="18"/>
        </w:rPr>
      </w:pPr>
    </w:p>
    <w:p w:rsidR="003B7CC2" w:rsidRPr="00812E8B" w:rsidRDefault="00443E2C" w:rsidP="003B7CC2">
      <w:pPr>
        <w:pStyle w:val="NoSpacing"/>
        <w:spacing w:line="276" w:lineRule="auto"/>
        <w:jc w:val="both"/>
        <w:rPr>
          <w:lang w:val="en-US"/>
        </w:rPr>
      </w:pPr>
      <w:r>
        <w:rPr>
          <w:lang w:val="en-US"/>
        </w:rPr>
        <w:t>Ano</w:t>
      </w:r>
      <w:r w:rsidR="001D6687" w:rsidRPr="00812E8B">
        <w:rPr>
          <w:lang w:val="en-US"/>
        </w:rPr>
        <w:t xml:space="preserve">ther interesting </w:t>
      </w:r>
      <w:r>
        <w:rPr>
          <w:lang w:val="en-US"/>
        </w:rPr>
        <w:t>finding is</w:t>
      </w:r>
      <w:r w:rsidR="001D6687" w:rsidRPr="00812E8B">
        <w:rPr>
          <w:lang w:val="en-US"/>
        </w:rPr>
        <w:t xml:space="preserve"> that </w:t>
      </w:r>
      <w:r w:rsidR="00734786" w:rsidRPr="00812E8B">
        <w:rPr>
          <w:lang w:val="en-US"/>
        </w:rPr>
        <w:t>there is no evidence found that the interest expense on customer deposits is a negative explan</w:t>
      </w:r>
      <w:r w:rsidR="001D6687" w:rsidRPr="00812E8B">
        <w:rPr>
          <w:lang w:val="en-US"/>
        </w:rPr>
        <w:t>ation for banks’ profitability. This result suggests</w:t>
      </w:r>
      <w:r w:rsidR="00734786" w:rsidRPr="00812E8B">
        <w:rPr>
          <w:lang w:val="en-US"/>
        </w:rPr>
        <w:t xml:space="preserve"> that banks are able to charge the costs of funding</w:t>
      </w:r>
      <w:r w:rsidR="001C51CC" w:rsidRPr="00812E8B">
        <w:rPr>
          <w:lang w:val="en-US"/>
        </w:rPr>
        <w:t xml:space="preserve"> on</w:t>
      </w:r>
      <w:r w:rsidR="00734786" w:rsidRPr="00812E8B">
        <w:rPr>
          <w:lang w:val="en-US"/>
        </w:rPr>
        <w:t xml:space="preserve"> to the</w:t>
      </w:r>
      <w:r w:rsidR="001D6687" w:rsidRPr="00812E8B">
        <w:rPr>
          <w:lang w:val="en-US"/>
        </w:rPr>
        <w:t>ir</w:t>
      </w:r>
      <w:r w:rsidR="00734786" w:rsidRPr="00812E8B">
        <w:rPr>
          <w:lang w:val="en-US"/>
        </w:rPr>
        <w:t xml:space="preserve"> borrowers. </w:t>
      </w:r>
      <w:r w:rsidR="001D6687" w:rsidRPr="00812E8B">
        <w:rPr>
          <w:lang w:val="en-US"/>
        </w:rPr>
        <w:t xml:space="preserve">The empirical part of this thesis also does not find economies of scale since the size variable is insignificant whilst many banks have expanded their businesses and have acquired many other banks </w:t>
      </w:r>
      <w:r>
        <w:rPr>
          <w:lang w:val="en-US"/>
        </w:rPr>
        <w:t>in order to</w:t>
      </w:r>
      <w:r w:rsidR="001D6687" w:rsidRPr="00812E8B">
        <w:rPr>
          <w:lang w:val="en-US"/>
        </w:rPr>
        <w:t xml:space="preserve"> grow. Besides there is only some evidence that concentration is a determinant for banks’ profitability (a significant coefficient is found in the pre-crisis sample).</w:t>
      </w:r>
      <w:r w:rsidR="003B7CC2" w:rsidRPr="00812E8B">
        <w:rPr>
          <w:lang w:val="en-US"/>
        </w:rPr>
        <w:t xml:space="preserve"> Finally, with the exception of a positive influence of the business cycle, no determinants of banks’ profitability are found within the macroeconomic variables. In contrary to</w:t>
      </w:r>
      <w:r w:rsidR="00746D5F" w:rsidRPr="00812E8B">
        <w:rPr>
          <w:color w:val="365F91" w:themeColor="accent1" w:themeShade="BF"/>
          <w:lang w:val="en-US"/>
        </w:rPr>
        <w:t xml:space="preserve"> Dietrich and Wanzenried (2011)</w:t>
      </w:r>
      <w:r w:rsidR="003B7CC2" w:rsidRPr="00812E8B">
        <w:rPr>
          <w:color w:val="365F91" w:themeColor="accent1" w:themeShade="BF"/>
          <w:lang w:val="en-US"/>
        </w:rPr>
        <w:t>,</w:t>
      </w:r>
      <w:r w:rsidR="003B7CC2" w:rsidRPr="00812E8B">
        <w:rPr>
          <w:lang w:val="en-US"/>
        </w:rPr>
        <w:t xml:space="preserve"> the term-structure of interest rate is insignificant as is the tax rate. This thesis propose that the level of the interest rate is probably more important than the slope of the yield curve since </w:t>
      </w:r>
      <w:r>
        <w:rPr>
          <w:lang w:val="en-US"/>
        </w:rPr>
        <w:t xml:space="preserve">the position with respect to the yield curve is simply manageable using derivatives while banks could particularly </w:t>
      </w:r>
      <w:r w:rsidR="003B7CC2" w:rsidRPr="00812E8B">
        <w:rPr>
          <w:lang w:val="en-US"/>
        </w:rPr>
        <w:t>benefit from a higher interest rate</w:t>
      </w:r>
      <w:r>
        <w:rPr>
          <w:lang w:val="en-US"/>
        </w:rPr>
        <w:t xml:space="preserve">. A higher interest rate increase </w:t>
      </w:r>
      <w:r w:rsidR="003B7CC2" w:rsidRPr="00812E8B">
        <w:rPr>
          <w:lang w:val="en-US"/>
        </w:rPr>
        <w:t xml:space="preserve">the </w:t>
      </w:r>
      <w:r>
        <w:rPr>
          <w:lang w:val="en-US"/>
        </w:rPr>
        <w:t xml:space="preserve">spread </w:t>
      </w:r>
      <w:r w:rsidR="003B7CC2" w:rsidRPr="00812E8B">
        <w:rPr>
          <w:lang w:val="en-US"/>
        </w:rPr>
        <w:t xml:space="preserve">between </w:t>
      </w:r>
      <w:r>
        <w:rPr>
          <w:lang w:val="en-US"/>
        </w:rPr>
        <w:t xml:space="preserve">the non-interest bearing funding instruments like </w:t>
      </w:r>
      <w:r w:rsidR="003B7CC2" w:rsidRPr="00812E8B">
        <w:rPr>
          <w:lang w:val="en-US"/>
        </w:rPr>
        <w:t xml:space="preserve">equity and current accounts </w:t>
      </w:r>
      <w:r>
        <w:rPr>
          <w:lang w:val="en-US"/>
        </w:rPr>
        <w:t>and the interest generating assets</w:t>
      </w:r>
      <w:r w:rsidR="003B7CC2" w:rsidRPr="00812E8B">
        <w:rPr>
          <w:lang w:val="en-US"/>
        </w:rPr>
        <w:t xml:space="preserve">. Furthermore, large observations in the two tails of the distribution could distort the variable effective tax rate. Robustness checks indicate </w:t>
      </w:r>
      <w:r>
        <w:rPr>
          <w:lang w:val="en-US"/>
        </w:rPr>
        <w:t xml:space="preserve">that removing the outliers gives </w:t>
      </w:r>
      <w:r w:rsidR="003B7CC2" w:rsidRPr="00812E8B">
        <w:rPr>
          <w:lang w:val="en-US"/>
        </w:rPr>
        <w:t xml:space="preserve">significant and negative results.  </w:t>
      </w:r>
    </w:p>
    <w:p w:rsidR="00734786" w:rsidRPr="00443E2C" w:rsidRDefault="00734786" w:rsidP="001D6687">
      <w:pPr>
        <w:pStyle w:val="NoSpacing"/>
        <w:spacing w:line="276" w:lineRule="auto"/>
        <w:jc w:val="both"/>
        <w:rPr>
          <w:sz w:val="18"/>
          <w:szCs w:val="18"/>
          <w:lang w:val="en-US"/>
        </w:rPr>
      </w:pPr>
    </w:p>
    <w:p w:rsidR="00B960CD" w:rsidRPr="00812E8B" w:rsidRDefault="00282A3B" w:rsidP="003B7CC2">
      <w:pPr>
        <w:pStyle w:val="NoSpacing"/>
        <w:spacing w:line="276" w:lineRule="auto"/>
        <w:jc w:val="both"/>
        <w:rPr>
          <w:lang w:val="en-US"/>
        </w:rPr>
      </w:pPr>
      <w:r w:rsidRPr="00812E8B">
        <w:rPr>
          <w:lang w:val="en-US"/>
        </w:rPr>
        <w:t xml:space="preserve">Furthermore, the robustness checks indicate that the results presented earlier in this chapter are to some extent sensitive to relaxations of several assumptions or changes in regression models. The significance of the variables is very sensitive to pooled OLS </w:t>
      </w:r>
      <w:r w:rsidR="003B7CC2" w:rsidRPr="00812E8B">
        <w:rPr>
          <w:lang w:val="en-US"/>
        </w:rPr>
        <w:t xml:space="preserve">(but note that </w:t>
      </w:r>
      <w:r w:rsidRPr="00812E8B">
        <w:rPr>
          <w:lang w:val="en-US"/>
        </w:rPr>
        <w:t xml:space="preserve">the standard errors </w:t>
      </w:r>
      <w:r w:rsidR="003B7CC2" w:rsidRPr="00812E8B">
        <w:rPr>
          <w:lang w:val="en-US"/>
        </w:rPr>
        <w:t xml:space="preserve">and rejection areas </w:t>
      </w:r>
      <w:r w:rsidRPr="00812E8B">
        <w:rPr>
          <w:lang w:val="en-US"/>
        </w:rPr>
        <w:t>are biased due to presence of he</w:t>
      </w:r>
      <w:r w:rsidR="003B7CC2" w:rsidRPr="00812E8B">
        <w:rPr>
          <w:lang w:val="en-US"/>
        </w:rPr>
        <w:t xml:space="preserve">teroscedasticity, non-normality and </w:t>
      </w:r>
      <w:r w:rsidRPr="00812E8B">
        <w:rPr>
          <w:lang w:val="en-US"/>
        </w:rPr>
        <w:t>serial correlation</w:t>
      </w:r>
      <w:r w:rsidR="003B7CC2" w:rsidRPr="00812E8B">
        <w:rPr>
          <w:lang w:val="en-US"/>
        </w:rPr>
        <w:t>)</w:t>
      </w:r>
      <w:r w:rsidR="00443E2C">
        <w:rPr>
          <w:lang w:val="en-US"/>
        </w:rPr>
        <w:t>.</w:t>
      </w:r>
      <w:r w:rsidRPr="00812E8B">
        <w:rPr>
          <w:lang w:val="en-US"/>
        </w:rPr>
        <w:t xml:space="preserve"> Overall, customer deposits to total funding and the effective tax rate gain a significant coefficient, respectively positive and negative, under Model 1, 3, 4 and 5. The estimated parameters are sensitive to Model 3, 4 and 5 but not to model 1 and 2. Interesting is that the models give rise for a higher degree of profit persistence indicating by the higher delta parameter of 0.1790, 0.1786 and 0.2860 respectively. Though, there is major believe that the results from the two-step system GMM technique with modest removal of outliers and using fewer instruments compared </w:t>
      </w:r>
      <w:r w:rsidR="00746D5F" w:rsidRPr="00812E8B">
        <w:rPr>
          <w:lang w:val="en-US"/>
        </w:rPr>
        <w:t xml:space="preserve">to </w:t>
      </w:r>
      <w:r w:rsidR="00746D5F" w:rsidRPr="00812E8B">
        <w:rPr>
          <w:color w:val="365F91" w:themeColor="accent1" w:themeShade="BF"/>
          <w:lang w:val="en-US"/>
        </w:rPr>
        <w:t xml:space="preserve">Dietrich and Wanzenried (2011) </w:t>
      </w:r>
      <w:r w:rsidR="00746D5F" w:rsidRPr="00812E8B">
        <w:rPr>
          <w:lang w:val="en-US"/>
        </w:rPr>
        <w:t>and</w:t>
      </w:r>
      <w:r w:rsidR="00AF4B5A">
        <w:rPr>
          <w:lang w:val="en-US"/>
        </w:rPr>
        <w:t xml:space="preserve"> </w:t>
      </w:r>
      <w:r w:rsidR="00304525" w:rsidRPr="00812E8B">
        <w:rPr>
          <w:color w:val="365F91" w:themeColor="accent1" w:themeShade="BF"/>
          <w:lang w:val="en-US"/>
        </w:rPr>
        <w:t>(García-Herrero et al. (2009)</w:t>
      </w:r>
      <w:r w:rsidRPr="00812E8B">
        <w:rPr>
          <w:color w:val="365F91" w:themeColor="accent1" w:themeShade="BF"/>
          <w:lang w:val="en-US"/>
        </w:rPr>
        <w:t>,</w:t>
      </w:r>
      <w:r w:rsidRPr="00812E8B">
        <w:rPr>
          <w:color w:val="FF0000"/>
          <w:lang w:val="en-US"/>
        </w:rPr>
        <w:t xml:space="preserve"> </w:t>
      </w:r>
      <w:r w:rsidRPr="00812E8B">
        <w:rPr>
          <w:lang w:val="en-US"/>
        </w:rPr>
        <w:t>are valid and consistent.</w:t>
      </w:r>
    </w:p>
    <w:p w:rsidR="003B7CC2" w:rsidRPr="00812E8B" w:rsidRDefault="003B7CC2" w:rsidP="003B7CC2">
      <w:pPr>
        <w:pStyle w:val="NoSpacing"/>
        <w:spacing w:line="276" w:lineRule="auto"/>
        <w:jc w:val="both"/>
        <w:rPr>
          <w:sz w:val="18"/>
          <w:szCs w:val="18"/>
          <w:lang w:val="en-US"/>
        </w:rPr>
        <w:sectPr w:rsidR="003B7CC2" w:rsidRPr="00812E8B" w:rsidSect="00D911B8">
          <w:headerReference w:type="first" r:id="rId34"/>
          <w:endnotePr>
            <w:numFmt w:val="decimal"/>
          </w:endnotePr>
          <w:pgSz w:w="11906" w:h="16838"/>
          <w:pgMar w:top="1417" w:right="1417" w:bottom="1417" w:left="1417" w:header="708" w:footer="708" w:gutter="0"/>
          <w:cols w:space="708"/>
          <w:titlePg/>
          <w:docGrid w:linePitch="360"/>
        </w:sectPr>
      </w:pPr>
    </w:p>
    <w:p w:rsidR="0021233D" w:rsidRPr="00812E8B" w:rsidRDefault="00487CB4" w:rsidP="00C468F1">
      <w:pPr>
        <w:pStyle w:val="Heading1"/>
        <w:jc w:val="left"/>
        <w:rPr>
          <w:color w:val="auto"/>
          <w:lang w:val="en-US"/>
        </w:rPr>
      </w:pPr>
      <w:bookmarkStart w:id="43" w:name="_Toc306359657"/>
      <w:r w:rsidRPr="00812E8B">
        <w:rPr>
          <w:color w:val="auto"/>
          <w:lang w:val="en-US"/>
        </w:rPr>
        <w:lastRenderedPageBreak/>
        <w:t>7</w:t>
      </w:r>
      <w:r w:rsidR="00645F89" w:rsidRPr="00812E8B">
        <w:rPr>
          <w:color w:val="auto"/>
          <w:lang w:val="en-US"/>
        </w:rPr>
        <w:t xml:space="preserve">. </w:t>
      </w:r>
      <w:r w:rsidR="001D3D8D" w:rsidRPr="00812E8B">
        <w:rPr>
          <w:color w:val="auto"/>
          <w:lang w:val="en-US"/>
        </w:rPr>
        <w:t>S</w:t>
      </w:r>
      <w:r w:rsidR="004C6A5F" w:rsidRPr="00812E8B">
        <w:rPr>
          <w:color w:val="auto"/>
          <w:sz w:val="30"/>
          <w:szCs w:val="30"/>
          <w:lang w:val="en-US"/>
        </w:rPr>
        <w:t>UMMARY AND CONCLUSIONS</w:t>
      </w:r>
      <w:bookmarkEnd w:id="43"/>
    </w:p>
    <w:p w:rsidR="00F83A76" w:rsidRPr="00812E8B" w:rsidRDefault="00F83A76" w:rsidP="002870AA">
      <w:pPr>
        <w:pStyle w:val="NoSpacing"/>
        <w:rPr>
          <w:lang w:val="en-US"/>
        </w:rPr>
      </w:pPr>
    </w:p>
    <w:p w:rsidR="008A01E3" w:rsidRPr="00812E8B" w:rsidRDefault="00514714" w:rsidP="008A01E3">
      <w:pPr>
        <w:pStyle w:val="NoSpacing"/>
        <w:spacing w:line="276" w:lineRule="auto"/>
        <w:jc w:val="both"/>
        <w:rPr>
          <w:lang w:val="en-US"/>
        </w:rPr>
      </w:pPr>
      <w:r w:rsidRPr="00812E8B">
        <w:rPr>
          <w:lang w:val="en-US"/>
        </w:rPr>
        <w:t xml:space="preserve">The aftermath of the financial crisis and the current euro-crisis (Greek debt crisis) has brought the stability of the banking sector back on the agenda of </w:t>
      </w:r>
      <w:r w:rsidR="00B4321F" w:rsidRPr="00812E8B">
        <w:rPr>
          <w:lang w:val="en-US"/>
        </w:rPr>
        <w:t xml:space="preserve">supervisors, central banking authorities and </w:t>
      </w:r>
      <w:r w:rsidRPr="00812E8B">
        <w:rPr>
          <w:lang w:val="en-US"/>
        </w:rPr>
        <w:t>policymakers</w:t>
      </w:r>
      <w:r w:rsidR="00B4321F" w:rsidRPr="00812E8B">
        <w:rPr>
          <w:lang w:val="en-US"/>
        </w:rPr>
        <w:t xml:space="preserve">. </w:t>
      </w:r>
      <w:r w:rsidRPr="00812E8B">
        <w:rPr>
          <w:lang w:val="en-US"/>
        </w:rPr>
        <w:t>The altering social opinion towards the prof</w:t>
      </w:r>
      <w:r w:rsidR="009D3128" w:rsidRPr="00812E8B">
        <w:rPr>
          <w:lang w:val="en-US"/>
        </w:rPr>
        <w:t xml:space="preserve">itability of the banking sector, due to for instance </w:t>
      </w:r>
      <w:r w:rsidRPr="00812E8B">
        <w:rPr>
          <w:lang w:val="en-US"/>
        </w:rPr>
        <w:t>the received government support</w:t>
      </w:r>
      <w:r w:rsidR="009D3128" w:rsidRPr="00812E8B">
        <w:rPr>
          <w:lang w:val="en-US"/>
        </w:rPr>
        <w:t xml:space="preserve">, </w:t>
      </w:r>
      <w:r w:rsidRPr="00812E8B">
        <w:rPr>
          <w:lang w:val="en-US"/>
        </w:rPr>
        <w:t xml:space="preserve">will likely influence </w:t>
      </w:r>
      <w:r w:rsidR="009F4287" w:rsidRPr="00812E8B">
        <w:rPr>
          <w:lang w:val="en-US"/>
        </w:rPr>
        <w:t>future profits and activities</w:t>
      </w:r>
      <w:r w:rsidRPr="00812E8B">
        <w:rPr>
          <w:lang w:val="en-US"/>
        </w:rPr>
        <w:t xml:space="preserve">. Besides, the implementation of the new Basel III framework will put new liquidity and funding constraints that could affect future profitability. </w:t>
      </w:r>
      <w:r w:rsidR="00F94757" w:rsidRPr="00812E8B">
        <w:rPr>
          <w:lang w:val="en-US"/>
        </w:rPr>
        <w:t xml:space="preserve">Against this background, </w:t>
      </w:r>
      <w:r w:rsidR="009D3128" w:rsidRPr="00812E8B">
        <w:rPr>
          <w:lang w:val="en-US"/>
        </w:rPr>
        <w:t xml:space="preserve">the purpose of this </w:t>
      </w:r>
      <w:r w:rsidR="00F94757" w:rsidRPr="00812E8B">
        <w:rPr>
          <w:lang w:val="en-US"/>
        </w:rPr>
        <w:t xml:space="preserve">thesis </w:t>
      </w:r>
      <w:r w:rsidR="009D3128" w:rsidRPr="00812E8B">
        <w:rPr>
          <w:lang w:val="en-US"/>
        </w:rPr>
        <w:t>is to empirically examine</w:t>
      </w:r>
      <w:r w:rsidR="00F94757" w:rsidRPr="00812E8B">
        <w:rPr>
          <w:lang w:val="en-US"/>
        </w:rPr>
        <w:t xml:space="preserve"> the determinants of banks’ profitability and more specifically investigates whether the </w:t>
      </w:r>
      <w:r w:rsidR="00895F76" w:rsidRPr="00812E8B">
        <w:rPr>
          <w:lang w:val="en-US"/>
        </w:rPr>
        <w:t>funding and liquidity structure</w:t>
      </w:r>
      <w:r w:rsidR="002870AA" w:rsidRPr="00812E8B">
        <w:rPr>
          <w:lang w:val="en-US"/>
        </w:rPr>
        <w:t xml:space="preserve"> explain the profitability.</w:t>
      </w:r>
      <w:r w:rsidR="00FD66DE" w:rsidRPr="00812E8B">
        <w:rPr>
          <w:lang w:val="en-US"/>
        </w:rPr>
        <w:t xml:space="preserve"> Leading to </w:t>
      </w:r>
      <w:r w:rsidR="009F4287" w:rsidRPr="00812E8B">
        <w:rPr>
          <w:lang w:val="en-US"/>
        </w:rPr>
        <w:t xml:space="preserve">the following research question: </w:t>
      </w:r>
      <w:r w:rsidR="009F4287" w:rsidRPr="00812E8B">
        <w:rPr>
          <w:i/>
          <w:lang w:val="en-US"/>
        </w:rPr>
        <w:t xml:space="preserve">What are the determinants of banks’ profitability and how do regulation, ownership structure and the balance sheet structure influence the profitability? </w:t>
      </w:r>
      <w:r w:rsidR="00174F7D" w:rsidRPr="00812E8B">
        <w:rPr>
          <w:lang w:val="en-US"/>
        </w:rPr>
        <w:t xml:space="preserve">Moreover, by incorporating the financial crisis in the sample one could look at the determinants of profitability during the crisis and </w:t>
      </w:r>
      <w:r w:rsidR="002870AA" w:rsidRPr="00812E8B">
        <w:rPr>
          <w:lang w:val="en-US"/>
        </w:rPr>
        <w:t xml:space="preserve">test </w:t>
      </w:r>
      <w:r w:rsidR="00174F7D" w:rsidRPr="00812E8B">
        <w:rPr>
          <w:lang w:val="en-US"/>
        </w:rPr>
        <w:t xml:space="preserve">whether </w:t>
      </w:r>
      <w:r w:rsidR="002870AA" w:rsidRPr="00812E8B">
        <w:rPr>
          <w:lang w:val="en-US"/>
        </w:rPr>
        <w:t>coefficients have</w:t>
      </w:r>
      <w:r w:rsidR="00174F7D" w:rsidRPr="00812E8B">
        <w:rPr>
          <w:lang w:val="en-US"/>
        </w:rPr>
        <w:t xml:space="preserve"> </w:t>
      </w:r>
      <w:r w:rsidR="002870AA" w:rsidRPr="00812E8B">
        <w:rPr>
          <w:lang w:val="en-US"/>
        </w:rPr>
        <w:t>altered</w:t>
      </w:r>
      <w:r w:rsidR="00174F7D" w:rsidRPr="00812E8B">
        <w:rPr>
          <w:lang w:val="en-US"/>
        </w:rPr>
        <w:t xml:space="preserve"> during this period. </w:t>
      </w:r>
      <w:r w:rsidR="008A01E3" w:rsidRPr="00812E8B">
        <w:rPr>
          <w:lang w:val="en-US"/>
        </w:rPr>
        <w:t xml:space="preserve"> </w:t>
      </w:r>
    </w:p>
    <w:p w:rsidR="008A01E3" w:rsidRPr="00812E8B" w:rsidRDefault="008A01E3" w:rsidP="008A01E3">
      <w:pPr>
        <w:pStyle w:val="NoSpacing"/>
        <w:spacing w:line="276" w:lineRule="auto"/>
        <w:jc w:val="both"/>
        <w:rPr>
          <w:lang w:val="en-US"/>
        </w:rPr>
      </w:pPr>
    </w:p>
    <w:p w:rsidR="00FD66DE" w:rsidRPr="00812E8B" w:rsidRDefault="00FD66DE" w:rsidP="00FD66DE">
      <w:pPr>
        <w:pStyle w:val="NoSpacing"/>
        <w:spacing w:line="276" w:lineRule="auto"/>
        <w:jc w:val="both"/>
        <w:rPr>
          <w:color w:val="FF0000"/>
          <w:lang w:val="en-US"/>
        </w:rPr>
      </w:pPr>
      <w:r w:rsidRPr="00812E8B">
        <w:rPr>
          <w:lang w:val="en-US"/>
        </w:rPr>
        <w:t xml:space="preserve">In the theoretical section of this thesis it is shown that banks have two major functions; </w:t>
      </w:r>
      <w:r w:rsidR="00443E2C" w:rsidRPr="00812E8B">
        <w:rPr>
          <w:lang w:val="en-US"/>
        </w:rPr>
        <w:t>the role of maturity transformation</w:t>
      </w:r>
      <w:r w:rsidR="00443E2C">
        <w:rPr>
          <w:lang w:val="en-US"/>
        </w:rPr>
        <w:t xml:space="preserve"> and</w:t>
      </w:r>
      <w:r w:rsidR="00443E2C" w:rsidRPr="00812E8B">
        <w:rPr>
          <w:lang w:val="en-US"/>
        </w:rPr>
        <w:t xml:space="preserve"> </w:t>
      </w:r>
      <w:r w:rsidRPr="00812E8B">
        <w:rPr>
          <w:lang w:val="en-US"/>
        </w:rPr>
        <w:t xml:space="preserve">acting as financial intermediary by reducing the transaction-, monitoring- and information asymmetry costs in imperfect markets. From a social perspective, the stability of the banking sector is required to </w:t>
      </w:r>
      <w:r w:rsidR="009F4287" w:rsidRPr="00812E8B">
        <w:rPr>
          <w:lang w:val="en-US"/>
        </w:rPr>
        <w:t>prevent</w:t>
      </w:r>
      <w:r w:rsidRPr="00812E8B">
        <w:rPr>
          <w:lang w:val="en-US"/>
        </w:rPr>
        <w:t xml:space="preserve"> the economy</w:t>
      </w:r>
      <w:r w:rsidR="009F4287" w:rsidRPr="00812E8B">
        <w:rPr>
          <w:lang w:val="en-US"/>
        </w:rPr>
        <w:t xml:space="preserve"> from a potential system breakdown of the banking sector</w:t>
      </w:r>
      <w:r w:rsidRPr="00812E8B">
        <w:rPr>
          <w:lang w:val="en-US"/>
        </w:rPr>
        <w:t xml:space="preserve">. </w:t>
      </w:r>
      <w:r w:rsidR="009F4287" w:rsidRPr="00812E8B">
        <w:rPr>
          <w:lang w:val="en-US"/>
        </w:rPr>
        <w:t>S</w:t>
      </w:r>
      <w:r w:rsidRPr="00812E8B">
        <w:rPr>
          <w:lang w:val="en-US"/>
        </w:rPr>
        <w:t xml:space="preserve">upervision and regulation </w:t>
      </w:r>
      <w:r w:rsidR="009F4287" w:rsidRPr="00812E8B">
        <w:rPr>
          <w:lang w:val="en-US"/>
        </w:rPr>
        <w:t xml:space="preserve">are introduced to safeguard a stable bank sector, among other reasons, and </w:t>
      </w:r>
      <w:r w:rsidRPr="00812E8B">
        <w:rPr>
          <w:lang w:val="en-US"/>
        </w:rPr>
        <w:t xml:space="preserve">to restrain the moral hazard problem. In this context, regulation and supervision could influence the determinants of banking profitability </w:t>
      </w:r>
      <w:r w:rsidR="009D3128" w:rsidRPr="00812E8B">
        <w:rPr>
          <w:lang w:val="en-US"/>
        </w:rPr>
        <w:t>by</w:t>
      </w:r>
      <w:r w:rsidRPr="00812E8B">
        <w:rPr>
          <w:lang w:val="en-US"/>
        </w:rPr>
        <w:t xml:space="preserve"> setting requirements and constraints on some bank-specific variables (equity-to-asset ratio or </w:t>
      </w:r>
      <w:r w:rsidR="00E0763F" w:rsidRPr="00812E8B">
        <w:rPr>
          <w:lang w:val="en-US"/>
        </w:rPr>
        <w:t xml:space="preserve">funding and liquidity proxies). </w:t>
      </w:r>
      <w:r w:rsidR="00AE457C" w:rsidRPr="00812E8B">
        <w:rPr>
          <w:lang w:val="en-US"/>
        </w:rPr>
        <w:t xml:space="preserve">Throughout the theoretical review, this thesis </w:t>
      </w:r>
      <w:r w:rsidR="009F4287" w:rsidRPr="00812E8B">
        <w:rPr>
          <w:lang w:val="en-US"/>
        </w:rPr>
        <w:t xml:space="preserve">did a literature study towards </w:t>
      </w:r>
      <w:r w:rsidR="00AE457C" w:rsidRPr="00812E8B">
        <w:rPr>
          <w:lang w:val="en-US"/>
        </w:rPr>
        <w:t xml:space="preserve">academic research </w:t>
      </w:r>
      <w:r w:rsidR="009F4287" w:rsidRPr="00812E8B">
        <w:rPr>
          <w:lang w:val="en-US"/>
        </w:rPr>
        <w:t xml:space="preserve">regarding </w:t>
      </w:r>
      <w:r w:rsidR="00AE457C" w:rsidRPr="00812E8B">
        <w:rPr>
          <w:lang w:val="en-US"/>
        </w:rPr>
        <w:t xml:space="preserve">the banking sector. </w:t>
      </w:r>
      <w:r w:rsidR="009F4287" w:rsidRPr="00812E8B">
        <w:rPr>
          <w:lang w:val="en-US"/>
        </w:rPr>
        <w:t xml:space="preserve">It is mentioned that this </w:t>
      </w:r>
      <w:r w:rsidR="00AE457C" w:rsidRPr="00812E8B">
        <w:rPr>
          <w:lang w:val="en-US"/>
        </w:rPr>
        <w:t>study aim</w:t>
      </w:r>
      <w:r w:rsidR="0033077B" w:rsidRPr="00812E8B">
        <w:rPr>
          <w:lang w:val="en-US"/>
        </w:rPr>
        <w:t>s</w:t>
      </w:r>
      <w:r w:rsidR="00AE457C" w:rsidRPr="00812E8B">
        <w:rPr>
          <w:lang w:val="en-US"/>
        </w:rPr>
        <w:t xml:space="preserve"> to generalize findings from </w:t>
      </w:r>
      <w:r w:rsidR="00746D5F" w:rsidRPr="00812E8B">
        <w:rPr>
          <w:color w:val="365F91" w:themeColor="accent1" w:themeShade="BF"/>
          <w:lang w:val="en-US"/>
        </w:rPr>
        <w:t xml:space="preserve">Dietrich and Wanzenried (2011) </w:t>
      </w:r>
      <w:r w:rsidR="009F4287" w:rsidRPr="00812E8B">
        <w:rPr>
          <w:lang w:val="en-US"/>
        </w:rPr>
        <w:t>to the European banking sector. The mentioned study examine the Swiss banking sector over the last decade, testing several bank-specific, industry-specific and macroeconomic variables. Furthermore, the literature study indicated that</w:t>
      </w:r>
      <w:r w:rsidR="00AE457C" w:rsidRPr="00812E8B">
        <w:rPr>
          <w:lang w:val="en-US"/>
        </w:rPr>
        <w:t xml:space="preserve"> there is no literature </w:t>
      </w:r>
      <w:r w:rsidR="009F4287" w:rsidRPr="00812E8B">
        <w:rPr>
          <w:lang w:val="en-US"/>
        </w:rPr>
        <w:t xml:space="preserve">available regarding the </w:t>
      </w:r>
      <w:r w:rsidR="00AE457C" w:rsidRPr="00812E8B">
        <w:rPr>
          <w:lang w:val="en-US"/>
        </w:rPr>
        <w:t xml:space="preserve">profitability </w:t>
      </w:r>
      <w:r w:rsidR="009F4287" w:rsidRPr="00812E8B">
        <w:rPr>
          <w:lang w:val="en-US"/>
        </w:rPr>
        <w:t>in</w:t>
      </w:r>
      <w:r w:rsidR="00AE457C" w:rsidRPr="00812E8B">
        <w:rPr>
          <w:lang w:val="en-US"/>
        </w:rPr>
        <w:t xml:space="preserve"> the European banking sector</w:t>
      </w:r>
      <w:r w:rsidR="009F4287" w:rsidRPr="00812E8B">
        <w:rPr>
          <w:lang w:val="en-US"/>
        </w:rPr>
        <w:t>,</w:t>
      </w:r>
      <w:r w:rsidR="00AE457C" w:rsidRPr="00812E8B">
        <w:rPr>
          <w:lang w:val="en-US"/>
        </w:rPr>
        <w:t xml:space="preserve"> </w:t>
      </w:r>
      <w:r w:rsidR="009F4287" w:rsidRPr="00812E8B">
        <w:rPr>
          <w:lang w:val="en-US"/>
        </w:rPr>
        <w:t>using</w:t>
      </w:r>
      <w:r w:rsidR="00AE457C" w:rsidRPr="00812E8B">
        <w:rPr>
          <w:lang w:val="en-US"/>
        </w:rPr>
        <w:t xml:space="preserve"> data between 2000 and 20</w:t>
      </w:r>
      <w:r w:rsidR="0033077B" w:rsidRPr="00812E8B">
        <w:rPr>
          <w:lang w:val="en-US"/>
        </w:rPr>
        <w:t>09</w:t>
      </w:r>
      <w:r w:rsidR="00AE457C" w:rsidRPr="00812E8B">
        <w:rPr>
          <w:lang w:val="en-US"/>
        </w:rPr>
        <w:t xml:space="preserve">. Prior academic </w:t>
      </w:r>
      <w:r w:rsidR="00C66A6D" w:rsidRPr="00812E8B">
        <w:rPr>
          <w:lang w:val="en-US"/>
        </w:rPr>
        <w:t>research focuses</w:t>
      </w:r>
      <w:r w:rsidR="00AE457C" w:rsidRPr="00812E8B">
        <w:rPr>
          <w:lang w:val="en-US"/>
        </w:rPr>
        <w:t xml:space="preserve"> on individual countries and mostly used data from the 20</w:t>
      </w:r>
      <w:r w:rsidR="00AE457C" w:rsidRPr="00812E8B">
        <w:rPr>
          <w:vertAlign w:val="superscript"/>
          <w:lang w:val="en-US"/>
        </w:rPr>
        <w:t>th</w:t>
      </w:r>
      <w:r w:rsidR="00AE457C" w:rsidRPr="00812E8B">
        <w:rPr>
          <w:lang w:val="en-US"/>
        </w:rPr>
        <w:t xml:space="preserve"> century</w:t>
      </w:r>
      <w:r w:rsidR="00C66A6D" w:rsidRPr="00812E8B">
        <w:rPr>
          <w:lang w:val="en-US"/>
        </w:rPr>
        <w:t xml:space="preserve"> while international converg</w:t>
      </w:r>
      <w:r w:rsidR="00304525" w:rsidRPr="00812E8B">
        <w:rPr>
          <w:lang w:val="en-US"/>
        </w:rPr>
        <w:t xml:space="preserve">ence </w:t>
      </w:r>
      <w:r w:rsidR="00C66A6D" w:rsidRPr="00812E8B">
        <w:rPr>
          <w:lang w:val="en-US"/>
        </w:rPr>
        <w:t xml:space="preserve">in accounting standards and harmonization of regulation created a more  homogenous European banking sector. </w:t>
      </w:r>
      <w:r w:rsidR="003E2A75" w:rsidRPr="00812E8B">
        <w:rPr>
          <w:lang w:val="en-US"/>
        </w:rPr>
        <w:t>In addition,</w:t>
      </w:r>
      <w:r w:rsidR="00C66A6D" w:rsidRPr="00812E8B">
        <w:rPr>
          <w:lang w:val="en-US"/>
        </w:rPr>
        <w:t xml:space="preserve"> consolidation and increased competition leaded to better comparison</w:t>
      </w:r>
      <w:r w:rsidR="00AE457C" w:rsidRPr="00812E8B">
        <w:rPr>
          <w:lang w:val="en-US"/>
        </w:rPr>
        <w:t>.</w:t>
      </w:r>
      <w:r w:rsidR="00E0763F" w:rsidRPr="00812E8B">
        <w:rPr>
          <w:lang w:val="en-US"/>
        </w:rPr>
        <w:t xml:space="preserve"> </w:t>
      </w:r>
      <w:r w:rsidR="00AE457C" w:rsidRPr="00812E8B">
        <w:rPr>
          <w:lang w:val="en-US"/>
        </w:rPr>
        <w:t xml:space="preserve"> </w:t>
      </w:r>
      <w:r w:rsidR="00E0763F" w:rsidRPr="00812E8B">
        <w:rPr>
          <w:lang w:val="en-US"/>
        </w:rPr>
        <w:t xml:space="preserve">Moreover, several theoretical concepts were discussed that form the basis of hypotheses </w:t>
      </w:r>
      <w:r w:rsidR="00C16353" w:rsidRPr="00812E8B">
        <w:rPr>
          <w:lang w:val="en-US"/>
        </w:rPr>
        <w:t>for the relationship between the variables and profitability.</w:t>
      </w:r>
    </w:p>
    <w:p w:rsidR="00E0763F" w:rsidRPr="00812E8B" w:rsidRDefault="00E0763F" w:rsidP="00FD66DE">
      <w:pPr>
        <w:pStyle w:val="NoSpacing"/>
        <w:spacing w:line="276" w:lineRule="auto"/>
        <w:jc w:val="both"/>
        <w:rPr>
          <w:color w:val="FF0000"/>
          <w:lang w:val="en-US"/>
        </w:rPr>
      </w:pPr>
    </w:p>
    <w:p w:rsidR="003E2A75" w:rsidRDefault="00E0763F" w:rsidP="007568E4">
      <w:pPr>
        <w:pStyle w:val="NoSpacing"/>
        <w:spacing w:line="276" w:lineRule="auto"/>
        <w:jc w:val="both"/>
        <w:rPr>
          <w:lang w:val="en-US"/>
        </w:rPr>
      </w:pPr>
      <w:r w:rsidRPr="00812E8B">
        <w:rPr>
          <w:lang w:val="en-US"/>
        </w:rPr>
        <w:t xml:space="preserve">Another major part of this thesis consists of an empirical research in which </w:t>
      </w:r>
      <w:r w:rsidR="00443E2C">
        <w:rPr>
          <w:lang w:val="en-US"/>
        </w:rPr>
        <w:t>numerous</w:t>
      </w:r>
      <w:r w:rsidRPr="00812E8B">
        <w:rPr>
          <w:lang w:val="en-US"/>
        </w:rPr>
        <w:t xml:space="preserve"> variables are empirically tested. The sample that is used incorporates 354 banks between 2000 and 2009 giving</w:t>
      </w:r>
      <w:r w:rsidR="009F4287" w:rsidRPr="00812E8B">
        <w:rPr>
          <w:lang w:val="en-US"/>
        </w:rPr>
        <w:t xml:space="preserve"> a total of 2,226 observations</w:t>
      </w:r>
      <w:r w:rsidRPr="00812E8B">
        <w:rPr>
          <w:lang w:val="en-US"/>
        </w:rPr>
        <w:t xml:space="preserve">. The sample is an unbalanced panel to avoid a selection bias by not incorporating closed or merged banks. The regression that is ultimately performed uses the state-of-the-art two-step system GMM technique to overcome potential endogeneity, non-normality and dynamic panel bias. </w:t>
      </w:r>
      <w:r w:rsidR="009D3128" w:rsidRPr="00812E8B">
        <w:rPr>
          <w:lang w:val="en-US"/>
        </w:rPr>
        <w:t>F</w:t>
      </w:r>
      <w:r w:rsidR="00514714" w:rsidRPr="00812E8B">
        <w:rPr>
          <w:lang w:val="en-US"/>
        </w:rPr>
        <w:t xml:space="preserve">indings suggest that </w:t>
      </w:r>
      <w:r w:rsidRPr="00812E8B">
        <w:rPr>
          <w:lang w:val="en-US"/>
        </w:rPr>
        <w:t xml:space="preserve">profit persistence is only observed in the total sample but not in the two subsamples. There is thus less evidence for persistence of profits in the banking sector compared to research of </w:t>
      </w:r>
      <w:r w:rsidR="00AE700C" w:rsidRPr="00812E8B">
        <w:rPr>
          <w:color w:val="365F91" w:themeColor="accent1" w:themeShade="BF"/>
          <w:lang w:val="en-US"/>
        </w:rPr>
        <w:t xml:space="preserve">Goddard et al. (2004) </w:t>
      </w:r>
      <w:r w:rsidR="006567A6" w:rsidRPr="00812E8B">
        <w:rPr>
          <w:lang w:val="en-US"/>
        </w:rPr>
        <w:t>and</w:t>
      </w:r>
      <w:r w:rsidR="006567A6" w:rsidRPr="00812E8B">
        <w:rPr>
          <w:color w:val="365F91" w:themeColor="accent1" w:themeShade="BF"/>
          <w:lang w:val="en-US"/>
        </w:rPr>
        <w:t xml:space="preserve"> Athanasoglou et al. (2008)</w:t>
      </w:r>
      <w:r w:rsidRPr="00812E8B">
        <w:rPr>
          <w:lang w:val="en-US"/>
        </w:rPr>
        <w:t xml:space="preserve">. Moreover, the </w:t>
      </w:r>
      <w:r w:rsidRPr="00812E8B">
        <w:rPr>
          <w:lang w:val="en-US"/>
        </w:rPr>
        <w:lastRenderedPageBreak/>
        <w:t>parameter for the lagged profitability i</w:t>
      </w:r>
      <w:r w:rsidR="009F4287" w:rsidRPr="00812E8B">
        <w:rPr>
          <w:lang w:val="en-US"/>
        </w:rPr>
        <w:t xml:space="preserve">n this thesis is </w:t>
      </w:r>
      <w:r w:rsidRPr="00812E8B">
        <w:rPr>
          <w:lang w:val="en-US"/>
        </w:rPr>
        <w:t xml:space="preserve">also substantially below those find by </w:t>
      </w:r>
      <w:r w:rsidR="009F4287" w:rsidRPr="00812E8B">
        <w:rPr>
          <w:lang w:val="en-US"/>
        </w:rPr>
        <w:t xml:space="preserve">other </w:t>
      </w:r>
      <w:r w:rsidRPr="00812E8B">
        <w:rPr>
          <w:lang w:val="en-US"/>
        </w:rPr>
        <w:t xml:space="preserve">studies. There are also some other interesting findings to mention. The empirical analysis </w:t>
      </w:r>
      <w:r w:rsidR="009F4287" w:rsidRPr="00812E8B">
        <w:rPr>
          <w:lang w:val="en-US"/>
        </w:rPr>
        <w:t xml:space="preserve">give evidence </w:t>
      </w:r>
      <w:r w:rsidRPr="00812E8B">
        <w:rPr>
          <w:lang w:val="en-US"/>
        </w:rPr>
        <w:t xml:space="preserve">that the equity-to-asset ratio is a positive determinant of banks’ profitability supporting the signaling- or bankruptcy cost hypothesis. Thereby, </w:t>
      </w:r>
      <w:r w:rsidR="009F4287" w:rsidRPr="00812E8B">
        <w:rPr>
          <w:lang w:val="en-US"/>
        </w:rPr>
        <w:t xml:space="preserve">this thesis finds a insignificant coefficient for </w:t>
      </w:r>
      <w:r w:rsidRPr="00812E8B">
        <w:rPr>
          <w:lang w:val="en-US"/>
        </w:rPr>
        <w:t>funding cost</w:t>
      </w:r>
      <w:r w:rsidR="009F4287" w:rsidRPr="00812E8B">
        <w:rPr>
          <w:lang w:val="en-US"/>
        </w:rPr>
        <w:t>s. There is no evidence that funding costs is</w:t>
      </w:r>
      <w:r w:rsidRPr="00812E8B">
        <w:rPr>
          <w:lang w:val="en-US"/>
        </w:rPr>
        <w:t xml:space="preserve"> a determinant of banks’ profitability probably because the funding costs are charged to customers via banks’ assets. It is also shown that non-interest income is a positive determinant of banks’ profitability </w:t>
      </w:r>
      <w:r w:rsidR="0095616D" w:rsidRPr="00812E8B">
        <w:rPr>
          <w:lang w:val="en-US"/>
        </w:rPr>
        <w:t>indicating that either non-interest activities have a higher margin or</w:t>
      </w:r>
      <w:r w:rsidRPr="00812E8B">
        <w:rPr>
          <w:lang w:val="en-US"/>
        </w:rPr>
        <w:t xml:space="preserve"> </w:t>
      </w:r>
      <w:r w:rsidR="0095616D" w:rsidRPr="00812E8B">
        <w:rPr>
          <w:lang w:val="en-US"/>
        </w:rPr>
        <w:t>that incom</w:t>
      </w:r>
      <w:r w:rsidR="00C16353" w:rsidRPr="00812E8B">
        <w:rPr>
          <w:lang w:val="en-US"/>
        </w:rPr>
        <w:t>e diversification</w:t>
      </w:r>
      <w:r w:rsidR="009F4287" w:rsidRPr="00812E8B">
        <w:rPr>
          <w:lang w:val="en-US"/>
        </w:rPr>
        <w:t xml:space="preserve"> positively contributes to profits. Despite the developments in the banking sector, as discussed in chapter two, there is no evidence found that concentration and the size are determinants of bank performance. </w:t>
      </w:r>
      <w:r w:rsidR="00812E8B" w:rsidRPr="00812E8B">
        <w:rPr>
          <w:lang w:val="en-US"/>
        </w:rPr>
        <w:t xml:space="preserve">Over the past decade, several banks were active in mergers and acquisitions and a large consolidation wave was observable. From empirical results this thesis found no evidence that support these developments. Finally, this thesis show that from the macroeconomic variables only the business cycle is a determinant of banks’ profitability. The growth of real GDP is positively associated with profits in the banking sector. For the two other variables within the macroeconomic factors, the effective tax rate and term structure of interest rates, there is no evidence found that these are determinants of profitability. Robustness checks indicate that probably a stricter removal of outliers leads to a negative relationship between the effective tax rate and after-tax return on average assets, similar to the proposed sign in chapter four. Furthermore, the steepness of the yield curve is </w:t>
      </w:r>
      <w:r w:rsidR="00ED4C6D">
        <w:rPr>
          <w:lang w:val="en-US"/>
        </w:rPr>
        <w:t xml:space="preserve">in this research not a </w:t>
      </w:r>
      <w:r w:rsidR="00812E8B" w:rsidRPr="00812E8B">
        <w:rPr>
          <w:lang w:val="en-US"/>
        </w:rPr>
        <w:t>determinant for profitability</w:t>
      </w:r>
      <w:r w:rsidR="00ED4C6D">
        <w:rPr>
          <w:lang w:val="en-US"/>
        </w:rPr>
        <w:t xml:space="preserve"> in contrary to findings of </w:t>
      </w:r>
      <w:r w:rsidR="00ED4C6D">
        <w:rPr>
          <w:color w:val="365F91" w:themeColor="accent1" w:themeShade="BF"/>
          <w:lang w:val="en-US"/>
        </w:rPr>
        <w:t>Dietrich and Wanzenried (2011)</w:t>
      </w:r>
      <w:r w:rsidR="00ED4C6D" w:rsidRPr="00ED4C6D">
        <w:rPr>
          <w:lang w:val="en-US"/>
        </w:rPr>
        <w:t xml:space="preserve">. In the </w:t>
      </w:r>
      <w:r w:rsidR="00ED4C6D">
        <w:rPr>
          <w:lang w:val="en-US"/>
        </w:rPr>
        <w:t>section recommendations for future research this relationship is more extensively described.</w:t>
      </w:r>
    </w:p>
    <w:p w:rsidR="00812E8B" w:rsidRPr="00812E8B" w:rsidRDefault="00812E8B" w:rsidP="007568E4">
      <w:pPr>
        <w:pStyle w:val="NoSpacing"/>
        <w:spacing w:line="276" w:lineRule="auto"/>
        <w:jc w:val="both"/>
        <w:rPr>
          <w:lang w:val="en-US"/>
        </w:rPr>
      </w:pPr>
    </w:p>
    <w:p w:rsidR="0048382D" w:rsidRPr="00812E8B" w:rsidRDefault="003E2A75" w:rsidP="003E2A75">
      <w:pPr>
        <w:pStyle w:val="NoSpacing"/>
        <w:spacing w:line="276" w:lineRule="auto"/>
        <w:jc w:val="both"/>
        <w:rPr>
          <w:lang w:val="en-US"/>
        </w:rPr>
      </w:pPr>
      <w:r w:rsidRPr="00812E8B">
        <w:rPr>
          <w:lang w:val="en-US"/>
        </w:rPr>
        <w:t xml:space="preserve">Two rather interesting issues </w:t>
      </w:r>
      <w:r w:rsidR="00E37578">
        <w:rPr>
          <w:lang w:val="en-US"/>
        </w:rPr>
        <w:t>that are incorporated by t</w:t>
      </w:r>
      <w:r w:rsidRPr="00812E8B">
        <w:rPr>
          <w:lang w:val="en-US"/>
        </w:rPr>
        <w:t>his thesis</w:t>
      </w:r>
      <w:r w:rsidR="00E37578">
        <w:rPr>
          <w:lang w:val="en-US"/>
        </w:rPr>
        <w:t xml:space="preserve"> are</w:t>
      </w:r>
      <w:r w:rsidRPr="00812E8B">
        <w:rPr>
          <w:lang w:val="en-US"/>
        </w:rPr>
        <w:t xml:space="preserve"> whether the ownership structure and the funding- or </w:t>
      </w:r>
      <w:r w:rsidR="00514714" w:rsidRPr="00812E8B">
        <w:rPr>
          <w:lang w:val="en-US"/>
        </w:rPr>
        <w:t>liquidity structure</w:t>
      </w:r>
      <w:r w:rsidR="00E37578">
        <w:rPr>
          <w:lang w:val="en-US"/>
        </w:rPr>
        <w:t xml:space="preserve"> (future regulation issues)</w:t>
      </w:r>
      <w:r w:rsidRPr="00812E8B">
        <w:rPr>
          <w:lang w:val="en-US"/>
        </w:rPr>
        <w:t xml:space="preserve"> influence profitability. Little evidence is found for the agency theory of </w:t>
      </w:r>
      <w:r w:rsidR="00026D7B" w:rsidRPr="00812E8B">
        <w:rPr>
          <w:color w:val="365F91" w:themeColor="accent1" w:themeShade="BF"/>
          <w:lang w:val="en-US"/>
        </w:rPr>
        <w:t xml:space="preserve">Jensen and Meckling (1976) </w:t>
      </w:r>
      <w:r w:rsidRPr="00812E8B">
        <w:rPr>
          <w:lang w:val="en-US"/>
        </w:rPr>
        <w:t>that proposes that stockholder-owned banks generate higher profits. Only in the total sample some weak evidence is found</w:t>
      </w:r>
      <w:r w:rsidR="00E37578">
        <w:rPr>
          <w:lang w:val="en-US"/>
        </w:rPr>
        <w:t xml:space="preserve">; in this sample </w:t>
      </w:r>
      <w:r w:rsidRPr="00812E8B">
        <w:rPr>
          <w:lang w:val="en-US"/>
        </w:rPr>
        <w:t xml:space="preserve">the parameter of governmental-owned banks is negative but only </w:t>
      </w:r>
      <w:r w:rsidR="00E37578" w:rsidRPr="00812E8B">
        <w:rPr>
          <w:lang w:val="en-US"/>
        </w:rPr>
        <w:t xml:space="preserve">significant </w:t>
      </w:r>
      <w:r w:rsidRPr="00812E8B">
        <w:rPr>
          <w:lang w:val="en-US"/>
        </w:rPr>
        <w:t xml:space="preserve">at a 10% level. </w:t>
      </w:r>
      <w:r w:rsidR="00E37578">
        <w:rPr>
          <w:lang w:val="en-US"/>
        </w:rPr>
        <w:t>Hence, even wi</w:t>
      </w:r>
      <w:r w:rsidR="00E37578" w:rsidRPr="00812E8B">
        <w:rPr>
          <w:lang w:val="en-US"/>
        </w:rPr>
        <w:t>thin</w:t>
      </w:r>
      <w:r w:rsidRPr="00812E8B">
        <w:rPr>
          <w:lang w:val="en-US"/>
        </w:rPr>
        <w:t xml:space="preserve"> this thesis there is mixed</w:t>
      </w:r>
      <w:r w:rsidR="00E37578">
        <w:rPr>
          <w:lang w:val="en-US"/>
        </w:rPr>
        <w:t xml:space="preserve"> evidence for the agency theory, which is </w:t>
      </w:r>
      <w:r w:rsidRPr="00812E8B">
        <w:rPr>
          <w:lang w:val="en-US"/>
        </w:rPr>
        <w:t xml:space="preserve">in line with the mixed evidence </w:t>
      </w:r>
      <w:r w:rsidR="00E37578">
        <w:rPr>
          <w:lang w:val="en-US"/>
        </w:rPr>
        <w:t>from</w:t>
      </w:r>
      <w:r w:rsidRPr="00812E8B">
        <w:rPr>
          <w:lang w:val="en-US"/>
        </w:rPr>
        <w:t xml:space="preserve"> different empirical papers. Besides, there is no evidence found for a relationship between the funding and liquidity-structure of a bank. In contrary to </w:t>
      </w:r>
      <w:r w:rsidR="00746D5F" w:rsidRPr="00812E8B">
        <w:rPr>
          <w:color w:val="365F91" w:themeColor="accent1" w:themeShade="BF"/>
          <w:lang w:val="en-US"/>
        </w:rPr>
        <w:t>Dietrich and Wanzenried (2011)</w:t>
      </w:r>
      <w:r w:rsidR="00E0763F" w:rsidRPr="00812E8B">
        <w:rPr>
          <w:lang w:val="en-US"/>
        </w:rPr>
        <w:t>, the ratio of customer deposits to total funding is insignificant in all samples.</w:t>
      </w:r>
      <w:r w:rsidR="00E37578">
        <w:rPr>
          <w:lang w:val="en-US"/>
        </w:rPr>
        <w:t xml:space="preserve"> Besides, there is also no evidence that the extra determinant for the liquidity of a bank (liquid assets to short term funding) explains the profits of a bank.  </w:t>
      </w:r>
      <w:r w:rsidR="00E0763F" w:rsidRPr="00812E8B">
        <w:rPr>
          <w:lang w:val="en-US"/>
        </w:rPr>
        <w:t xml:space="preserve"> </w:t>
      </w:r>
    </w:p>
    <w:p w:rsidR="0048382D" w:rsidRPr="005F4A48" w:rsidRDefault="0048382D" w:rsidP="00E37578">
      <w:pPr>
        <w:pStyle w:val="NoSpacing"/>
        <w:rPr>
          <w:lang w:val="en-US"/>
        </w:rPr>
      </w:pPr>
    </w:p>
    <w:p w:rsidR="0048382D" w:rsidRPr="00812E8B" w:rsidRDefault="0048382D" w:rsidP="0048382D">
      <w:pPr>
        <w:pStyle w:val="Heading2"/>
        <w:rPr>
          <w:color w:val="auto"/>
          <w:lang w:val="en-US"/>
        </w:rPr>
      </w:pPr>
      <w:bookmarkStart w:id="44" w:name="_Toc306359658"/>
      <w:r w:rsidRPr="00812E8B">
        <w:rPr>
          <w:color w:val="auto"/>
          <w:lang w:val="en-US"/>
        </w:rPr>
        <w:t>7.1 L</w:t>
      </w:r>
      <w:r w:rsidR="00937B13" w:rsidRPr="00812E8B">
        <w:rPr>
          <w:color w:val="auto"/>
          <w:sz w:val="20"/>
          <w:szCs w:val="20"/>
          <w:lang w:val="en-US"/>
        </w:rPr>
        <w:t>IMITATIONS</w:t>
      </w:r>
      <w:bookmarkEnd w:id="44"/>
    </w:p>
    <w:p w:rsidR="003E2A75" w:rsidRDefault="00E37578" w:rsidP="0048382D">
      <w:pPr>
        <w:pStyle w:val="NoSpacing"/>
        <w:spacing w:line="276" w:lineRule="auto"/>
        <w:jc w:val="both"/>
        <w:rPr>
          <w:lang w:val="en-US"/>
        </w:rPr>
      </w:pPr>
      <w:r>
        <w:rPr>
          <w:lang w:val="en-US"/>
        </w:rPr>
        <w:t xml:space="preserve">Although </w:t>
      </w:r>
      <w:r w:rsidR="00AB30B2">
        <w:rPr>
          <w:lang w:val="en-US"/>
        </w:rPr>
        <w:t>this thesis finds</w:t>
      </w:r>
      <w:r>
        <w:rPr>
          <w:lang w:val="en-US"/>
        </w:rPr>
        <w:t xml:space="preserve"> some interesting relationships between several factors and banks’ profitability, there are some limitations. These limitations should one bear in mind when generalizing and interpreting the results. </w:t>
      </w:r>
    </w:p>
    <w:p w:rsidR="00ED4C6D" w:rsidRPr="00812E8B" w:rsidRDefault="00ED4C6D" w:rsidP="0048382D">
      <w:pPr>
        <w:pStyle w:val="NoSpacing"/>
        <w:spacing w:line="276" w:lineRule="auto"/>
        <w:jc w:val="both"/>
        <w:rPr>
          <w:lang w:val="en-US"/>
        </w:rPr>
      </w:pPr>
    </w:p>
    <w:p w:rsidR="00E37578" w:rsidRDefault="00AF4B5A" w:rsidP="00E37578">
      <w:pPr>
        <w:pStyle w:val="NoSpacing"/>
        <w:spacing w:line="276" w:lineRule="auto"/>
        <w:jc w:val="both"/>
        <w:rPr>
          <w:lang w:val="en-US"/>
        </w:rPr>
      </w:pPr>
      <w:r>
        <w:rPr>
          <w:lang w:val="en-US"/>
        </w:rPr>
        <w:t>First of all, f</w:t>
      </w:r>
      <w:r w:rsidR="00E37578" w:rsidRPr="00812E8B">
        <w:rPr>
          <w:lang w:val="en-US"/>
        </w:rPr>
        <w:t xml:space="preserve">ollowing a study of the </w:t>
      </w:r>
      <w:r w:rsidR="00E37578" w:rsidRPr="00812E8B">
        <w:rPr>
          <w:color w:val="365F91" w:themeColor="accent1" w:themeShade="BF"/>
          <w:lang w:val="en-US"/>
        </w:rPr>
        <w:t xml:space="preserve">European Central Bank (2010) </w:t>
      </w:r>
      <w:r w:rsidR="00E37578" w:rsidRPr="00812E8B">
        <w:rPr>
          <w:lang w:val="en-US"/>
        </w:rPr>
        <w:t xml:space="preserve">an important driver of profitability is the risk-taking of a bank. Besides the incorporation of proxies for funding and liquidity risk, an important extension of current research on banking profitability is to capture market risks and price risks. Until now, few studies have attempted to incorporate the market risk of a bank whilst for many </w:t>
      </w:r>
      <w:r w:rsidR="00E37578" w:rsidRPr="00812E8B">
        <w:rPr>
          <w:lang w:val="en-US"/>
        </w:rPr>
        <w:lastRenderedPageBreak/>
        <w:t xml:space="preserve">large banks the trading activities, in which market risks is an important factor, are an important part of the activities. Due to the unavailability of a good proxy </w:t>
      </w:r>
      <w:r w:rsidR="00E37578">
        <w:rPr>
          <w:lang w:val="en-US"/>
        </w:rPr>
        <w:t>for</w:t>
      </w:r>
      <w:r w:rsidR="00E37578" w:rsidRPr="00812E8B">
        <w:rPr>
          <w:lang w:val="en-US"/>
        </w:rPr>
        <w:t xml:space="preserve"> market</w:t>
      </w:r>
      <w:r w:rsidR="00443E2C">
        <w:rPr>
          <w:lang w:val="en-US"/>
        </w:rPr>
        <w:t xml:space="preserve"> risk</w:t>
      </w:r>
      <w:r w:rsidR="00E37578" w:rsidRPr="00812E8B">
        <w:rPr>
          <w:lang w:val="en-US"/>
        </w:rPr>
        <w:t xml:space="preserve"> and little empirical evidence on how to measure this risk, the variable is not incorporated in the model. Hence, this could give rise to a potential omitted variable bias.</w:t>
      </w:r>
      <w:r w:rsidR="00E37578">
        <w:rPr>
          <w:lang w:val="en-US"/>
        </w:rPr>
        <w:t xml:space="preserve"> Future studies could use other databases that have available a good proxy of the market risk of a bank to incorporate the effect of market risks. </w:t>
      </w:r>
      <w:r w:rsidR="00E37578" w:rsidRPr="00812E8B">
        <w:rPr>
          <w:lang w:val="en-US"/>
        </w:rPr>
        <w:t xml:space="preserve"> </w:t>
      </w:r>
    </w:p>
    <w:p w:rsidR="00E37578" w:rsidRPr="00812E8B" w:rsidRDefault="00E37578" w:rsidP="00E37578">
      <w:pPr>
        <w:pStyle w:val="NoSpacing"/>
        <w:spacing w:line="276" w:lineRule="auto"/>
        <w:jc w:val="both"/>
        <w:rPr>
          <w:lang w:val="en-US"/>
        </w:rPr>
      </w:pPr>
    </w:p>
    <w:p w:rsidR="00AE457C" w:rsidRPr="00812E8B" w:rsidRDefault="009D3128" w:rsidP="0048382D">
      <w:pPr>
        <w:pStyle w:val="NoSpacing"/>
        <w:spacing w:line="276" w:lineRule="auto"/>
        <w:jc w:val="both"/>
        <w:rPr>
          <w:lang w:val="en-US"/>
        </w:rPr>
      </w:pPr>
      <w:r w:rsidRPr="00812E8B">
        <w:rPr>
          <w:lang w:val="en-US"/>
        </w:rPr>
        <w:t xml:space="preserve">Thereby this thesis </w:t>
      </w:r>
      <w:r w:rsidR="00371ED9" w:rsidRPr="00812E8B">
        <w:rPr>
          <w:lang w:val="en-US"/>
        </w:rPr>
        <w:t>use</w:t>
      </w:r>
      <w:r w:rsidRPr="00812E8B">
        <w:rPr>
          <w:lang w:val="en-US"/>
        </w:rPr>
        <w:t>s</w:t>
      </w:r>
      <w:r w:rsidR="00371ED9" w:rsidRPr="00812E8B">
        <w:rPr>
          <w:lang w:val="en-US"/>
        </w:rPr>
        <w:t xml:space="preserve"> </w:t>
      </w:r>
      <w:r w:rsidRPr="00812E8B">
        <w:rPr>
          <w:lang w:val="en-US"/>
        </w:rPr>
        <w:t>only the un</w:t>
      </w:r>
      <w:r w:rsidR="00371ED9" w:rsidRPr="00812E8B">
        <w:rPr>
          <w:lang w:val="en-US"/>
        </w:rPr>
        <w:t>consolidated statements</w:t>
      </w:r>
      <w:r w:rsidR="00E37578">
        <w:rPr>
          <w:lang w:val="en-US"/>
        </w:rPr>
        <w:t xml:space="preserve"> of banks and dr</w:t>
      </w:r>
      <w:r w:rsidR="009C2F41">
        <w:rPr>
          <w:lang w:val="en-US"/>
        </w:rPr>
        <w:t xml:space="preserve">ops the consolidated statements. This selection procedure is justified </w:t>
      </w:r>
      <w:r w:rsidRPr="00812E8B">
        <w:rPr>
          <w:lang w:val="en-US"/>
        </w:rPr>
        <w:t>to avoid the problem of double counting of subsidiaries with unconsolidated statements that are also incorporated under the consolidated statements of the parent companies. However, one could argue that banks manage their prof</w:t>
      </w:r>
      <w:r w:rsidR="00B4321F" w:rsidRPr="00812E8B">
        <w:rPr>
          <w:lang w:val="en-US"/>
        </w:rPr>
        <w:t xml:space="preserve">itability, ownership structure and balance sheet structure on a consolidated level. Besides, banks have often to comply </w:t>
      </w:r>
      <w:r w:rsidR="009C2F41" w:rsidRPr="00812E8B">
        <w:rPr>
          <w:lang w:val="en-US"/>
        </w:rPr>
        <w:t>with</w:t>
      </w:r>
      <w:r w:rsidR="00B4321F" w:rsidRPr="00812E8B">
        <w:rPr>
          <w:lang w:val="en-US"/>
        </w:rPr>
        <w:t xml:space="preserve"> regulation on</w:t>
      </w:r>
      <w:r w:rsidR="009C2F41">
        <w:rPr>
          <w:lang w:val="en-US"/>
        </w:rPr>
        <w:t>ly on a consolidated level</w:t>
      </w:r>
      <w:r w:rsidR="00B4321F" w:rsidRPr="00812E8B">
        <w:rPr>
          <w:lang w:val="en-US"/>
        </w:rPr>
        <w:t>.</w:t>
      </w:r>
      <w:r w:rsidR="009C2F41">
        <w:rPr>
          <w:lang w:val="en-US"/>
        </w:rPr>
        <w:t xml:space="preserve"> </w:t>
      </w:r>
      <w:r w:rsidR="00AB30B2">
        <w:rPr>
          <w:lang w:val="en-US"/>
        </w:rPr>
        <w:t xml:space="preserve">Using the consolidated statements is a process in which ideally researchers should identify every single group structure for each year to drop the data for the consolidated subsidiaries within each group. Since this is a time-consuming process often the unconsolidated statements are taken into account.  </w:t>
      </w:r>
      <w:r w:rsidR="00B4321F" w:rsidRPr="00812E8B">
        <w:rPr>
          <w:lang w:val="en-US"/>
        </w:rPr>
        <w:t xml:space="preserve"> </w:t>
      </w:r>
    </w:p>
    <w:p w:rsidR="00B4321F" w:rsidRPr="00812E8B" w:rsidRDefault="00B4321F" w:rsidP="0048382D">
      <w:pPr>
        <w:pStyle w:val="NoSpacing"/>
        <w:spacing w:line="276" w:lineRule="auto"/>
        <w:jc w:val="both"/>
        <w:rPr>
          <w:lang w:val="en-US"/>
        </w:rPr>
      </w:pPr>
    </w:p>
    <w:p w:rsidR="00AB30B2" w:rsidRDefault="00AB30B2" w:rsidP="00AB30B2">
      <w:pPr>
        <w:pStyle w:val="NoSpacing"/>
        <w:spacing w:line="276" w:lineRule="auto"/>
        <w:jc w:val="both"/>
        <w:rPr>
          <w:lang w:val="en-US"/>
        </w:rPr>
      </w:pPr>
      <w:r>
        <w:rPr>
          <w:lang w:val="en-US"/>
        </w:rPr>
        <w:t>Finally, the last limitation of this study is that the c</w:t>
      </w:r>
      <w:r w:rsidR="00AE457C" w:rsidRPr="00812E8B">
        <w:rPr>
          <w:lang w:val="en-US"/>
        </w:rPr>
        <w:t xml:space="preserve">oding </w:t>
      </w:r>
      <w:r>
        <w:rPr>
          <w:lang w:val="en-US"/>
        </w:rPr>
        <w:t xml:space="preserve">of the ownership variable is to some extent arbitrary. There are several studies that code a bank into a ownership category using a threshold of 20%, when a particular investor hold more than 20% (e.g. the government) </w:t>
      </w:r>
      <w:r w:rsidR="00E93192">
        <w:rPr>
          <w:lang w:val="en-US"/>
        </w:rPr>
        <w:t>a</w:t>
      </w:r>
      <w:r>
        <w:rPr>
          <w:lang w:val="en-US"/>
        </w:rPr>
        <w:t xml:space="preserve"> bank is classified into the accompanying category. Note that this thesis only classify a bank into a category when a</w:t>
      </w:r>
      <w:r w:rsidR="00AE457C" w:rsidRPr="00812E8B">
        <w:rPr>
          <w:lang w:val="en-US"/>
        </w:rPr>
        <w:t xml:space="preserve"> majority of owners was present, otherwise the bank was categorized into </w:t>
      </w:r>
      <w:r>
        <w:rPr>
          <w:lang w:val="en-US"/>
        </w:rPr>
        <w:t xml:space="preserve">a </w:t>
      </w:r>
      <w:r w:rsidR="00AE457C" w:rsidRPr="00812E8B">
        <w:rPr>
          <w:lang w:val="en-US"/>
        </w:rPr>
        <w:t>stakeholder</w:t>
      </w:r>
      <w:r>
        <w:rPr>
          <w:lang w:val="en-US"/>
        </w:rPr>
        <w:t>-owned</w:t>
      </w:r>
      <w:r w:rsidR="00AE457C" w:rsidRPr="00812E8B">
        <w:rPr>
          <w:lang w:val="en-US"/>
        </w:rPr>
        <w:t xml:space="preserve"> bank. Furthermore, banks that received government support in the financial crisis </w:t>
      </w:r>
      <w:r w:rsidR="00B4321F" w:rsidRPr="00812E8B">
        <w:rPr>
          <w:lang w:val="en-US"/>
        </w:rPr>
        <w:t xml:space="preserve">in forms of </w:t>
      </w:r>
      <w:r w:rsidR="00AE457C" w:rsidRPr="00812E8B">
        <w:rPr>
          <w:lang w:val="en-US"/>
        </w:rPr>
        <w:t xml:space="preserve">equity </w:t>
      </w:r>
      <w:r w:rsidR="00B4321F" w:rsidRPr="00812E8B">
        <w:rPr>
          <w:lang w:val="en-US"/>
        </w:rPr>
        <w:t>w</w:t>
      </w:r>
      <w:r w:rsidR="00AE457C" w:rsidRPr="00812E8B">
        <w:rPr>
          <w:lang w:val="en-US"/>
        </w:rPr>
        <w:t xml:space="preserve">ere coded following their original ownership </w:t>
      </w:r>
      <w:r w:rsidR="00E93192">
        <w:rPr>
          <w:lang w:val="en-US"/>
        </w:rPr>
        <w:t xml:space="preserve">category </w:t>
      </w:r>
      <w:r w:rsidR="00AE457C" w:rsidRPr="00812E8B">
        <w:rPr>
          <w:lang w:val="en-US"/>
        </w:rPr>
        <w:t xml:space="preserve">in the year of </w:t>
      </w:r>
      <w:r w:rsidR="00B4321F" w:rsidRPr="00812E8B">
        <w:rPr>
          <w:lang w:val="en-US"/>
        </w:rPr>
        <w:t>the received support</w:t>
      </w:r>
      <w:r w:rsidR="009D3128" w:rsidRPr="00812E8B">
        <w:rPr>
          <w:lang w:val="en-US"/>
        </w:rPr>
        <w:t>. These coding procedures are arbitrary and could influence the dummy variables on the ownership variables.</w:t>
      </w:r>
      <w:r w:rsidR="00B4321F" w:rsidRPr="00812E8B">
        <w:rPr>
          <w:lang w:val="en-US"/>
        </w:rPr>
        <w:t xml:space="preserve"> </w:t>
      </w:r>
      <w:r>
        <w:rPr>
          <w:lang w:val="en-US"/>
        </w:rPr>
        <w:t>T</w:t>
      </w:r>
      <w:r w:rsidR="00E93192">
        <w:rPr>
          <w:lang w:val="en-US"/>
        </w:rPr>
        <w:t xml:space="preserve">he latter coding procedure </w:t>
      </w:r>
      <w:r>
        <w:rPr>
          <w:lang w:val="en-US"/>
        </w:rPr>
        <w:t xml:space="preserve">is justified because several banks did not receive equity funds from their governments but received support in the form of guarantees on their assets or liabilities. </w:t>
      </w:r>
      <w:r w:rsidR="00E93192">
        <w:rPr>
          <w:lang w:val="en-US"/>
        </w:rPr>
        <w:t xml:space="preserve">By only coding the banks that received support in terms of equity would bias the estimates. </w:t>
      </w:r>
    </w:p>
    <w:p w:rsidR="00AB30B2" w:rsidRPr="00812E8B" w:rsidRDefault="00AB30B2" w:rsidP="00AB30B2">
      <w:pPr>
        <w:pStyle w:val="NoSpacing"/>
        <w:spacing w:line="276" w:lineRule="auto"/>
        <w:jc w:val="both"/>
        <w:rPr>
          <w:lang w:val="en-US"/>
        </w:rPr>
      </w:pPr>
      <w:r>
        <w:rPr>
          <w:lang w:val="en-US"/>
        </w:rPr>
        <w:t xml:space="preserve"> </w:t>
      </w:r>
    </w:p>
    <w:p w:rsidR="008A01E3" w:rsidRPr="00812E8B" w:rsidRDefault="008A01E3" w:rsidP="008A01E3">
      <w:pPr>
        <w:pStyle w:val="Heading2"/>
        <w:rPr>
          <w:color w:val="auto"/>
          <w:lang w:val="en-US"/>
        </w:rPr>
      </w:pPr>
      <w:bookmarkStart w:id="45" w:name="_Toc306359659"/>
      <w:r w:rsidRPr="00812E8B">
        <w:rPr>
          <w:color w:val="auto"/>
          <w:lang w:val="en-US"/>
        </w:rPr>
        <w:t>7.2 R</w:t>
      </w:r>
      <w:r w:rsidR="00937B13" w:rsidRPr="00812E8B">
        <w:rPr>
          <w:color w:val="auto"/>
          <w:sz w:val="20"/>
          <w:szCs w:val="20"/>
          <w:lang w:val="en-US"/>
        </w:rPr>
        <w:t>ECOMMENDATIONS FOR FUTURE RESEARCH</w:t>
      </w:r>
      <w:bookmarkEnd w:id="45"/>
    </w:p>
    <w:p w:rsidR="001C51CC" w:rsidRPr="00812E8B" w:rsidRDefault="00AB30B2" w:rsidP="00ED4C6D">
      <w:pPr>
        <w:pStyle w:val="NoSpacing"/>
        <w:spacing w:line="276" w:lineRule="auto"/>
        <w:jc w:val="both"/>
        <w:rPr>
          <w:lang w:val="en-US"/>
        </w:rPr>
      </w:pPr>
      <w:r>
        <w:rPr>
          <w:lang w:val="en-US"/>
        </w:rPr>
        <w:t>Future research should consider the limitations of this thesis when replicating the empirical analysis. Besides, there are several other recommendations for future researc</w:t>
      </w:r>
      <w:r w:rsidR="00ED4C6D">
        <w:rPr>
          <w:lang w:val="en-US"/>
        </w:rPr>
        <w:t xml:space="preserve">h to </w:t>
      </w:r>
      <w:r w:rsidR="00E93192">
        <w:rPr>
          <w:lang w:val="en-US"/>
        </w:rPr>
        <w:t>mention</w:t>
      </w:r>
      <w:r w:rsidR="00ED4C6D">
        <w:rPr>
          <w:lang w:val="en-US"/>
        </w:rPr>
        <w:t xml:space="preserve">. </w:t>
      </w:r>
      <w:r>
        <w:rPr>
          <w:lang w:val="en-US"/>
        </w:rPr>
        <w:t>This thesis</w:t>
      </w:r>
      <w:r w:rsidR="00ED4C6D">
        <w:rPr>
          <w:lang w:val="en-US"/>
        </w:rPr>
        <w:t xml:space="preserve"> is one </w:t>
      </w:r>
      <w:r w:rsidR="00B4321F" w:rsidRPr="00812E8B">
        <w:rPr>
          <w:lang w:val="en-US"/>
        </w:rPr>
        <w:t xml:space="preserve">of the first attempts to empirically examine </w:t>
      </w:r>
      <w:r w:rsidR="00E93192">
        <w:rPr>
          <w:lang w:val="en-US"/>
        </w:rPr>
        <w:t xml:space="preserve">both </w:t>
      </w:r>
      <w:r w:rsidR="00B4321F" w:rsidRPr="00812E8B">
        <w:rPr>
          <w:lang w:val="en-US"/>
        </w:rPr>
        <w:t>the funding</w:t>
      </w:r>
      <w:r>
        <w:rPr>
          <w:lang w:val="en-US"/>
        </w:rPr>
        <w:t>-</w:t>
      </w:r>
      <w:r w:rsidR="00B4321F" w:rsidRPr="00812E8B">
        <w:rPr>
          <w:lang w:val="en-US"/>
        </w:rPr>
        <w:t xml:space="preserve"> and liquidity </w:t>
      </w:r>
      <w:r w:rsidRPr="00812E8B">
        <w:rPr>
          <w:lang w:val="en-US"/>
        </w:rPr>
        <w:t xml:space="preserve">structure </w:t>
      </w:r>
      <w:r w:rsidR="00B4321F" w:rsidRPr="00812E8B">
        <w:rPr>
          <w:lang w:val="en-US"/>
        </w:rPr>
        <w:t xml:space="preserve">of a bank and its relationship with profitability. Both proxies are from a theoretical perspective justifiable, however, in practice </w:t>
      </w:r>
      <w:r w:rsidR="00ED4C6D">
        <w:rPr>
          <w:lang w:val="en-US"/>
        </w:rPr>
        <w:t xml:space="preserve">the </w:t>
      </w:r>
      <w:r w:rsidR="00B4321F" w:rsidRPr="00812E8B">
        <w:rPr>
          <w:lang w:val="en-US"/>
        </w:rPr>
        <w:t xml:space="preserve">liquidity of a bank is not only determined by the amount of liquid assets over the customer deposits and other short term funding. The LCR and NSFR ratios under Basel III, does require a more prudent calculation of liquidity and funding needs based on different classes in which the assets are categorized. Due to database issues, the </w:t>
      </w:r>
      <w:r w:rsidR="00B4321F" w:rsidRPr="00812E8B">
        <w:rPr>
          <w:rStyle w:val="NoSpacingChar"/>
          <w:lang w:val="en-US"/>
        </w:rPr>
        <w:t>used parameters were to some extent exploratory, based on some old-fashioned ratios, and could be a weaker proxy</w:t>
      </w:r>
      <w:r w:rsidR="00ED4C6D">
        <w:rPr>
          <w:rStyle w:val="NoSpacingChar"/>
          <w:lang w:val="en-US"/>
        </w:rPr>
        <w:t xml:space="preserve"> of the true liquidity and funding</w:t>
      </w:r>
      <w:r w:rsidR="00B4321F" w:rsidRPr="00812E8B">
        <w:rPr>
          <w:rStyle w:val="NoSpacingChar"/>
          <w:lang w:val="en-US"/>
        </w:rPr>
        <w:t xml:space="preserve">. The insignificant parameters indicates that there is no evidence for influence of the funding- and liquidity structure but </w:t>
      </w:r>
      <w:r w:rsidR="00E93192">
        <w:rPr>
          <w:rStyle w:val="NoSpacingChar"/>
          <w:lang w:val="en-US"/>
        </w:rPr>
        <w:t xml:space="preserve">these relationships </w:t>
      </w:r>
      <w:r w:rsidR="00B4321F" w:rsidRPr="00812E8B">
        <w:rPr>
          <w:rStyle w:val="NoSpacingChar"/>
          <w:lang w:val="en-US"/>
        </w:rPr>
        <w:t xml:space="preserve">could change when other proxies are used. </w:t>
      </w:r>
      <w:r w:rsidR="00B4321F" w:rsidRPr="00812E8B">
        <w:rPr>
          <w:lang w:val="en-US"/>
        </w:rPr>
        <w:t>As from now on, banks should disclose their risk-weighted assets, net stable funding ratio and liquidity coverage ratio that could be used in future research to investigate the funding and liquidity structure of a bank.</w:t>
      </w:r>
      <w:r w:rsidR="00ED4C6D">
        <w:rPr>
          <w:lang w:val="en-US"/>
        </w:rPr>
        <w:t xml:space="preserve"> </w:t>
      </w:r>
      <w:r w:rsidR="00E93192">
        <w:rPr>
          <w:lang w:val="en-US"/>
        </w:rPr>
        <w:t xml:space="preserve">Based on the insignificant observed coefficients for the funding and liquidity structure one </w:t>
      </w:r>
      <w:r w:rsidR="00E93192">
        <w:rPr>
          <w:lang w:val="en-US"/>
        </w:rPr>
        <w:lastRenderedPageBreak/>
        <w:t xml:space="preserve">cannot state </w:t>
      </w:r>
      <w:r w:rsidR="00ED4C6D">
        <w:rPr>
          <w:lang w:val="en-US"/>
        </w:rPr>
        <w:t xml:space="preserve">that the insignificant parameters imply that </w:t>
      </w:r>
      <w:r w:rsidR="00E93192">
        <w:rPr>
          <w:lang w:val="en-US"/>
        </w:rPr>
        <w:t>future</w:t>
      </w:r>
      <w:r w:rsidR="00ED4C6D">
        <w:rPr>
          <w:lang w:val="en-US"/>
        </w:rPr>
        <w:t xml:space="preserve"> funding and liquidity</w:t>
      </w:r>
      <w:r w:rsidR="00E93192">
        <w:rPr>
          <w:lang w:val="en-US"/>
        </w:rPr>
        <w:t xml:space="preserve"> requirements</w:t>
      </w:r>
      <w:r w:rsidR="00ED4C6D">
        <w:rPr>
          <w:lang w:val="en-US"/>
        </w:rPr>
        <w:t xml:space="preserve"> of a bank does not influence profitability. Nowadays, one could observe some signs of a </w:t>
      </w:r>
      <w:r w:rsidR="00E93192">
        <w:rPr>
          <w:lang w:val="en-US"/>
        </w:rPr>
        <w:t>deposit war</w:t>
      </w:r>
      <w:r w:rsidR="00ED4C6D">
        <w:rPr>
          <w:lang w:val="en-US"/>
        </w:rPr>
        <w:t xml:space="preserve"> in which savings rates are gradually increased. </w:t>
      </w:r>
      <w:r w:rsidR="00B4321F" w:rsidRPr="00812E8B">
        <w:rPr>
          <w:lang w:val="en-US"/>
        </w:rPr>
        <w:t xml:space="preserve"> </w:t>
      </w:r>
      <w:r w:rsidR="00ED4C6D">
        <w:rPr>
          <w:lang w:val="en-US"/>
        </w:rPr>
        <w:t xml:space="preserve">When there is a shortage of liquidity or stable funding in the market this could severally hurt the activities of a bank </w:t>
      </w:r>
      <w:r w:rsidR="00E93192">
        <w:rPr>
          <w:lang w:val="en-US"/>
        </w:rPr>
        <w:t>and</w:t>
      </w:r>
      <w:r w:rsidR="00ED4C6D">
        <w:rPr>
          <w:lang w:val="en-US"/>
        </w:rPr>
        <w:t xml:space="preserve"> the profitability </w:t>
      </w:r>
      <w:r w:rsidR="00E93192">
        <w:rPr>
          <w:lang w:val="en-US"/>
        </w:rPr>
        <w:t>within</w:t>
      </w:r>
      <w:r w:rsidR="00ED4C6D">
        <w:rPr>
          <w:lang w:val="en-US"/>
        </w:rPr>
        <w:t xml:space="preserve"> the entire sector. </w:t>
      </w:r>
    </w:p>
    <w:p w:rsidR="00B4321F" w:rsidRPr="00812E8B" w:rsidRDefault="00B4321F" w:rsidP="009D3128">
      <w:pPr>
        <w:pStyle w:val="NoSpacing"/>
        <w:spacing w:line="276" w:lineRule="auto"/>
        <w:jc w:val="both"/>
        <w:rPr>
          <w:lang w:val="en-US"/>
        </w:rPr>
      </w:pPr>
    </w:p>
    <w:p w:rsidR="006119D0" w:rsidRPr="00ED4C6D" w:rsidRDefault="002D6F77" w:rsidP="00ED4C6D">
      <w:pPr>
        <w:pStyle w:val="NoSpacing"/>
        <w:spacing w:line="276" w:lineRule="auto"/>
        <w:jc w:val="both"/>
        <w:rPr>
          <w:color w:val="365F91" w:themeColor="accent1" w:themeShade="BF"/>
          <w:lang w:val="en-US"/>
        </w:rPr>
      </w:pPr>
      <w:r w:rsidRPr="00812E8B">
        <w:rPr>
          <w:lang w:val="en-US"/>
        </w:rPr>
        <w:t>Furthermore</w:t>
      </w:r>
      <w:r w:rsidR="00746D5F" w:rsidRPr="00812E8B">
        <w:rPr>
          <w:lang w:val="en-US"/>
        </w:rPr>
        <w:t xml:space="preserve">, </w:t>
      </w:r>
      <w:r w:rsidR="00746D5F" w:rsidRPr="00812E8B">
        <w:rPr>
          <w:color w:val="365F91" w:themeColor="accent1" w:themeShade="BF"/>
          <w:lang w:val="en-US"/>
        </w:rPr>
        <w:t>Dietrich and Wanzenried (2011)</w:t>
      </w:r>
      <w:r w:rsidRPr="00812E8B">
        <w:rPr>
          <w:lang w:val="en-US"/>
        </w:rPr>
        <w:t xml:space="preserve"> were the first that examine the term structure of the interest rates in a comprehensive framework of determinants of banks’ profitability. Findings suggest that the term structure was positively associated with the profitability. However, their proxy of the interest rate on treasury bills is questionable</w:t>
      </w:r>
      <w:r w:rsidR="00ED4C6D">
        <w:rPr>
          <w:lang w:val="en-US"/>
        </w:rPr>
        <w:t xml:space="preserve">. By using a proxy that is more a reference for the banking sector (difference between 10-years IRS en 3-months EURIBOR), this </w:t>
      </w:r>
      <w:r w:rsidRPr="00812E8B">
        <w:rPr>
          <w:lang w:val="en-US"/>
        </w:rPr>
        <w:t>thesis does not find similar relat</w:t>
      </w:r>
      <w:r w:rsidR="00ED4C6D">
        <w:rPr>
          <w:lang w:val="en-US"/>
        </w:rPr>
        <w:t>ionships. Chapter six propose</w:t>
      </w:r>
      <w:r w:rsidR="00E93192">
        <w:rPr>
          <w:lang w:val="en-US"/>
        </w:rPr>
        <w:t>s</w:t>
      </w:r>
      <w:r w:rsidRPr="00812E8B">
        <w:rPr>
          <w:lang w:val="en-US"/>
        </w:rPr>
        <w:t xml:space="preserve"> that the level of the interest rates is probably more important than the term structure. Namely, most banks are able to obtain a position in which it benefits from a steeper yield curve by entering in derivative contracts and hedges. For most banks </w:t>
      </w:r>
      <w:r w:rsidR="00E93192" w:rsidRPr="00812E8B">
        <w:rPr>
          <w:lang w:val="en-US"/>
        </w:rPr>
        <w:t xml:space="preserve">the absolute level of the interest rate </w:t>
      </w:r>
      <w:r w:rsidRPr="00812E8B">
        <w:rPr>
          <w:lang w:val="en-US"/>
        </w:rPr>
        <w:t>is more important because</w:t>
      </w:r>
      <w:r w:rsidR="00E93192">
        <w:rPr>
          <w:lang w:val="en-US"/>
        </w:rPr>
        <w:t xml:space="preserve"> a bank do not have to pay interest on </w:t>
      </w:r>
      <w:r w:rsidRPr="00812E8B">
        <w:rPr>
          <w:lang w:val="en-US"/>
        </w:rPr>
        <w:t>two major components of the funding or liability structure. The equity</w:t>
      </w:r>
      <w:r w:rsidR="00E93192">
        <w:rPr>
          <w:lang w:val="en-US"/>
        </w:rPr>
        <w:t xml:space="preserve"> </w:t>
      </w:r>
      <w:r w:rsidRPr="00812E8B">
        <w:rPr>
          <w:lang w:val="en-US"/>
        </w:rPr>
        <w:t xml:space="preserve">and current accounts within the customer deposits have implicitly no interest costs. A higher interest rate increase the margins earned on the non-interest bearing funds. Hence, more research is needed to look at the effects of either the steepness of the yield curve and the absolute level of the interest rate to incorporate changes in the interest rate dynamics, which could heavily influence profitability. </w:t>
      </w:r>
    </w:p>
    <w:p w:rsidR="0021233D" w:rsidRPr="00812E8B" w:rsidRDefault="0021233D">
      <w:pPr>
        <w:rPr>
          <w:lang w:val="en-US"/>
        </w:rPr>
      </w:pPr>
    </w:p>
    <w:p w:rsidR="0021233D" w:rsidRPr="00812E8B" w:rsidRDefault="0021233D">
      <w:pPr>
        <w:rPr>
          <w:lang w:val="en-US"/>
        </w:rPr>
      </w:pPr>
    </w:p>
    <w:p w:rsidR="0021233D" w:rsidRPr="00812E8B" w:rsidRDefault="0021233D">
      <w:pPr>
        <w:rPr>
          <w:lang w:val="en-US"/>
        </w:rPr>
      </w:pPr>
    </w:p>
    <w:p w:rsidR="0021233D" w:rsidRPr="00812E8B" w:rsidRDefault="0021233D">
      <w:pPr>
        <w:rPr>
          <w:lang w:val="en-US"/>
        </w:rPr>
        <w:sectPr w:rsidR="0021233D" w:rsidRPr="00812E8B" w:rsidSect="00D911B8">
          <w:headerReference w:type="default" r:id="rId35"/>
          <w:headerReference w:type="first" r:id="rId36"/>
          <w:endnotePr>
            <w:numFmt w:val="decimal"/>
          </w:endnotePr>
          <w:pgSz w:w="11906" w:h="16838"/>
          <w:pgMar w:top="1417" w:right="1417" w:bottom="1417" w:left="1417" w:header="708" w:footer="708" w:gutter="0"/>
          <w:cols w:space="708"/>
          <w:titlePg/>
          <w:docGrid w:linePitch="360"/>
        </w:sectPr>
      </w:pPr>
    </w:p>
    <w:p w:rsidR="0093004C" w:rsidRPr="00812E8B" w:rsidRDefault="0093004C" w:rsidP="00C468F1">
      <w:pPr>
        <w:pStyle w:val="Heading1"/>
        <w:jc w:val="left"/>
        <w:rPr>
          <w:color w:val="auto"/>
          <w:sz w:val="30"/>
          <w:szCs w:val="30"/>
          <w:lang w:val="en-US"/>
        </w:rPr>
      </w:pPr>
      <w:bookmarkStart w:id="46" w:name="_Toc306359660"/>
      <w:r w:rsidRPr="00812E8B">
        <w:rPr>
          <w:color w:val="auto"/>
          <w:lang w:val="en-US"/>
        </w:rPr>
        <w:lastRenderedPageBreak/>
        <w:t>R</w:t>
      </w:r>
      <w:r w:rsidR="004C6A5F" w:rsidRPr="00812E8B">
        <w:rPr>
          <w:color w:val="auto"/>
          <w:sz w:val="30"/>
          <w:szCs w:val="30"/>
          <w:lang w:val="en-US"/>
        </w:rPr>
        <w:t>EFERENCES</w:t>
      </w:r>
      <w:bookmarkEnd w:id="46"/>
    </w:p>
    <w:p w:rsidR="0093004C" w:rsidRPr="00812E8B" w:rsidRDefault="0093004C" w:rsidP="0093004C">
      <w:pPr>
        <w:pStyle w:val="NoSpacing"/>
        <w:rPr>
          <w:lang w:val="en-US"/>
        </w:rPr>
      </w:pPr>
    </w:p>
    <w:p w:rsidR="00EB2873" w:rsidRPr="00812E8B" w:rsidRDefault="00EB2873" w:rsidP="0093004C">
      <w:pPr>
        <w:pStyle w:val="NoSpacing"/>
        <w:rPr>
          <w:lang w:val="en-US"/>
        </w:rPr>
      </w:pPr>
    </w:p>
    <w:p w:rsidR="00CB6D88" w:rsidRPr="00812E8B" w:rsidRDefault="00D46A7F" w:rsidP="00CB6D88">
      <w:pPr>
        <w:pStyle w:val="Bibliography"/>
        <w:ind w:left="720" w:hanging="720"/>
        <w:rPr>
          <w:lang w:val="en-US"/>
        </w:rPr>
      </w:pPr>
      <w:r w:rsidRPr="00812E8B">
        <w:rPr>
          <w:lang w:val="en-US"/>
        </w:rPr>
        <w:fldChar w:fldCharType="begin"/>
      </w:r>
      <w:r w:rsidR="00BD5C9C" w:rsidRPr="00812E8B">
        <w:rPr>
          <w:lang w:val="en-US"/>
        </w:rPr>
        <w:instrText xml:space="preserve"> BIBLIOGRAPHY  \l 1043 </w:instrText>
      </w:r>
      <w:r w:rsidRPr="00812E8B">
        <w:rPr>
          <w:lang w:val="en-US"/>
        </w:rPr>
        <w:fldChar w:fldCharType="separate"/>
      </w:r>
      <w:r w:rsidR="00CB6D88" w:rsidRPr="00812E8B">
        <w:rPr>
          <w:lang w:val="en-US"/>
        </w:rPr>
        <w:t xml:space="preserve">Allen, W., Chan, K. K., Milne, A., &amp; Thomas, S. (2010, September 30). </w:t>
      </w:r>
      <w:r w:rsidR="00CB6D88" w:rsidRPr="00812E8B">
        <w:rPr>
          <w:i/>
          <w:iCs/>
          <w:lang w:val="en-US"/>
        </w:rPr>
        <w:t>Basel III: Is the Cure Worse Than the Disease.</w:t>
      </w:r>
      <w:r w:rsidR="00CB6D88" w:rsidRPr="00812E8B">
        <w:rPr>
          <w:lang w:val="en-US"/>
        </w:rPr>
        <w:t xml:space="preserve"> Retrieved from http://ssrn.com/abstract=1688594</w:t>
      </w:r>
    </w:p>
    <w:p w:rsidR="00CB6D88" w:rsidRPr="00812E8B" w:rsidRDefault="00CB6D88" w:rsidP="00CB6D88">
      <w:pPr>
        <w:pStyle w:val="Bibliography"/>
        <w:ind w:left="720" w:hanging="720"/>
        <w:rPr>
          <w:lang w:val="en-US"/>
        </w:rPr>
      </w:pPr>
      <w:r w:rsidRPr="00812E8B">
        <w:rPr>
          <w:lang w:val="en-US"/>
        </w:rPr>
        <w:t xml:space="preserve">Allison, P. D. (2001). </w:t>
      </w:r>
      <w:r w:rsidRPr="00812E8B">
        <w:rPr>
          <w:i/>
          <w:iCs/>
          <w:lang w:val="en-US"/>
        </w:rPr>
        <w:t>Missing data (Sage University Paper Series on Quantitative Applications in the Social Sciences series no. 07-136).</w:t>
      </w:r>
      <w:r w:rsidRPr="00812E8B">
        <w:rPr>
          <w:lang w:val="en-US"/>
        </w:rPr>
        <w:t xml:space="preserve"> Thousand Oaks, CA: Sage.</w:t>
      </w:r>
    </w:p>
    <w:p w:rsidR="00CB6D88" w:rsidRPr="00812E8B" w:rsidRDefault="00CB6D88" w:rsidP="00CB6D88">
      <w:pPr>
        <w:pStyle w:val="Bibliography"/>
        <w:ind w:left="720" w:hanging="720"/>
        <w:rPr>
          <w:lang w:val="en-US"/>
        </w:rPr>
      </w:pPr>
      <w:r w:rsidRPr="00812E8B">
        <w:rPr>
          <w:lang w:val="en-US"/>
        </w:rPr>
        <w:t xml:space="preserve">Altunbas, Y., Evans, L., &amp; Molyneux, P. (2001). Bank Ownership and Efficiency. </w:t>
      </w:r>
      <w:r w:rsidRPr="00812E8B">
        <w:rPr>
          <w:i/>
          <w:iCs/>
          <w:lang w:val="en-US"/>
        </w:rPr>
        <w:t>Journal of Money, Credit and Banking, 33</w:t>
      </w:r>
      <w:r w:rsidRPr="00812E8B">
        <w:rPr>
          <w:lang w:val="en-US"/>
        </w:rPr>
        <w:t>(4), 926-954.</w:t>
      </w:r>
    </w:p>
    <w:p w:rsidR="00CB6D88" w:rsidRPr="00812E8B" w:rsidRDefault="00CB6D88" w:rsidP="00CB6D88">
      <w:pPr>
        <w:pStyle w:val="Bibliography"/>
        <w:ind w:left="720" w:hanging="720"/>
        <w:rPr>
          <w:lang w:val="en-US"/>
        </w:rPr>
      </w:pPr>
      <w:r w:rsidRPr="00812E8B">
        <w:rPr>
          <w:lang w:val="en-US"/>
        </w:rPr>
        <w:t xml:space="preserve">Arellano, M., &amp; Bond, S. (1991). Some Tests of Specification for Panel Data: Monte Carlo Evidence and an Application to Employment Equations. </w:t>
      </w:r>
      <w:r w:rsidRPr="00812E8B">
        <w:rPr>
          <w:i/>
          <w:iCs/>
          <w:lang w:val="en-US"/>
        </w:rPr>
        <w:t>The Review of Economic Studies, 58</w:t>
      </w:r>
      <w:r w:rsidRPr="00812E8B">
        <w:rPr>
          <w:lang w:val="en-US"/>
        </w:rPr>
        <w:t>(2), 277-297.</w:t>
      </w:r>
    </w:p>
    <w:p w:rsidR="00CB6D88" w:rsidRPr="00812E8B" w:rsidRDefault="00CB6D88" w:rsidP="00CB6D88">
      <w:pPr>
        <w:pStyle w:val="Bibliography"/>
        <w:ind w:left="720" w:hanging="720"/>
        <w:rPr>
          <w:lang w:val="en-US"/>
        </w:rPr>
      </w:pPr>
      <w:r w:rsidRPr="00812E8B">
        <w:rPr>
          <w:lang w:val="en-US"/>
        </w:rPr>
        <w:t xml:space="preserve">Arellano, M., &amp; Bover, O. (1995). Another look at the instrumental variable estimation of error-components models. </w:t>
      </w:r>
      <w:r w:rsidRPr="00812E8B">
        <w:rPr>
          <w:i/>
          <w:iCs/>
          <w:lang w:val="en-US"/>
        </w:rPr>
        <w:t>Journal of Econometrics, 68</w:t>
      </w:r>
      <w:r w:rsidRPr="00812E8B">
        <w:rPr>
          <w:lang w:val="en-US"/>
        </w:rPr>
        <w:t>(1), 29-51.</w:t>
      </w:r>
    </w:p>
    <w:p w:rsidR="00CB6D88" w:rsidRPr="00812E8B" w:rsidRDefault="00CB6D88" w:rsidP="00CB6D88">
      <w:pPr>
        <w:pStyle w:val="Bibliography"/>
        <w:ind w:left="720" w:hanging="720"/>
        <w:rPr>
          <w:lang w:val="en-US"/>
        </w:rPr>
      </w:pPr>
      <w:r w:rsidRPr="00812E8B">
        <w:rPr>
          <w:lang w:val="en-US"/>
        </w:rPr>
        <w:t xml:space="preserve">Athanasoglou, P. P., Sophocles, N. B., &amp; Delis, M. D. (2008). Bank-specific, industry-specific and macroeconomic determinants of bank profitability. </w:t>
      </w:r>
      <w:r w:rsidRPr="00812E8B">
        <w:rPr>
          <w:i/>
          <w:iCs/>
          <w:lang w:val="en-US"/>
        </w:rPr>
        <w:t>International Financial Markets, Institutions and Money, 18</w:t>
      </w:r>
      <w:r w:rsidRPr="00812E8B">
        <w:rPr>
          <w:lang w:val="en-US"/>
        </w:rPr>
        <w:t>(2), 121-136.</w:t>
      </w:r>
    </w:p>
    <w:p w:rsidR="00CB6D88" w:rsidRPr="00812E8B" w:rsidRDefault="00CB6D88" w:rsidP="00CB6D88">
      <w:pPr>
        <w:pStyle w:val="Bibliography"/>
        <w:ind w:left="720" w:hanging="720"/>
        <w:rPr>
          <w:lang w:val="en-US"/>
        </w:rPr>
      </w:pPr>
      <w:r w:rsidRPr="00812E8B">
        <w:rPr>
          <w:lang w:val="en-US"/>
        </w:rPr>
        <w:t xml:space="preserve">Ayadi, R., Llewellyn, D. T., Schmidt, R. H., Arbak, E., &amp; De Groen, W. P. (2010). </w:t>
      </w:r>
      <w:r w:rsidRPr="00812E8B">
        <w:rPr>
          <w:i/>
          <w:iCs/>
          <w:lang w:val="en-US"/>
        </w:rPr>
        <w:t>Investigating Diversity in the Banking Sector in Europe: Key Developments, Performance and Role of Cooperative Banks.</w:t>
      </w:r>
      <w:r w:rsidRPr="00812E8B">
        <w:rPr>
          <w:lang w:val="en-US"/>
        </w:rPr>
        <w:t xml:space="preserve"> Brussels: Centre for European Policy Studies.</w:t>
      </w:r>
    </w:p>
    <w:p w:rsidR="00CB6D88" w:rsidRPr="00812E8B" w:rsidRDefault="00CB6D88" w:rsidP="00CB6D88">
      <w:pPr>
        <w:pStyle w:val="Bibliography"/>
        <w:ind w:left="720" w:hanging="720"/>
        <w:rPr>
          <w:lang w:val="en-US"/>
        </w:rPr>
      </w:pPr>
      <w:r w:rsidRPr="00812E8B">
        <w:rPr>
          <w:lang w:val="en-US"/>
        </w:rPr>
        <w:t xml:space="preserve">Baltagi, B. (2005). </w:t>
      </w:r>
      <w:r w:rsidRPr="00812E8B">
        <w:rPr>
          <w:i/>
          <w:iCs/>
          <w:lang w:val="en-US"/>
        </w:rPr>
        <w:t>Econometric Analysis of Panel Data</w:t>
      </w:r>
      <w:r w:rsidRPr="00812E8B">
        <w:rPr>
          <w:lang w:val="en-US"/>
        </w:rPr>
        <w:t xml:space="preserve"> (3th ed.). West Sussex: John Wiley &amp; Sons Ltd.</w:t>
      </w:r>
    </w:p>
    <w:p w:rsidR="00CB6D88" w:rsidRPr="00812E8B" w:rsidRDefault="00CB6D88" w:rsidP="00CB6D88">
      <w:pPr>
        <w:pStyle w:val="Bibliography"/>
        <w:ind w:left="720" w:hanging="720"/>
        <w:rPr>
          <w:lang w:val="en-US"/>
        </w:rPr>
      </w:pPr>
      <w:r w:rsidRPr="00812E8B">
        <w:rPr>
          <w:lang w:val="en-US"/>
        </w:rPr>
        <w:t xml:space="preserve">Baltagi, B. H. (2008). </w:t>
      </w:r>
      <w:r w:rsidRPr="00812E8B">
        <w:rPr>
          <w:i/>
          <w:iCs/>
          <w:lang w:val="en-US"/>
        </w:rPr>
        <w:t>Econometrics</w:t>
      </w:r>
      <w:r w:rsidRPr="00812E8B">
        <w:rPr>
          <w:lang w:val="en-US"/>
        </w:rPr>
        <w:t xml:space="preserve"> (4th ed.). London: Springer.</w:t>
      </w:r>
    </w:p>
    <w:p w:rsidR="00CB6D88" w:rsidRPr="00812E8B" w:rsidRDefault="00CB6D88" w:rsidP="00CB6D88">
      <w:pPr>
        <w:pStyle w:val="Bibliography"/>
        <w:ind w:left="720" w:hanging="720"/>
        <w:rPr>
          <w:lang w:val="en-US"/>
        </w:rPr>
      </w:pPr>
      <w:r w:rsidRPr="00812E8B">
        <w:rPr>
          <w:lang w:val="en-US"/>
        </w:rPr>
        <w:t xml:space="preserve">Barry, T. A., Lepetit, L., &amp; Tarazi, A. (2011). Ownership structure and risk in publicly held and privately owned banks. </w:t>
      </w:r>
      <w:r w:rsidRPr="00812E8B">
        <w:rPr>
          <w:i/>
          <w:iCs/>
          <w:lang w:val="en-US"/>
        </w:rPr>
        <w:t>Journal of Banking &amp; Finance, 35</w:t>
      </w:r>
      <w:r w:rsidRPr="00812E8B">
        <w:rPr>
          <w:lang w:val="en-US"/>
        </w:rPr>
        <w:t>(5), 1327-1340.</w:t>
      </w:r>
    </w:p>
    <w:p w:rsidR="00CB6D88" w:rsidRPr="00812E8B" w:rsidRDefault="00CB6D88" w:rsidP="00CB6D88">
      <w:pPr>
        <w:pStyle w:val="Bibliography"/>
        <w:ind w:left="720" w:hanging="720"/>
        <w:rPr>
          <w:lang w:val="en-US"/>
        </w:rPr>
      </w:pPr>
      <w:r w:rsidRPr="00812E8B">
        <w:rPr>
          <w:lang w:val="en-US"/>
        </w:rPr>
        <w:t xml:space="preserve">Barth, J. R., Caprio Jr., G., &amp; Levine, R. (2004). Bank regulation and supervision: what works best? </w:t>
      </w:r>
      <w:r w:rsidRPr="00812E8B">
        <w:rPr>
          <w:i/>
          <w:iCs/>
          <w:lang w:val="en-US"/>
        </w:rPr>
        <w:t>Journal of Financial Intermediation, 13</w:t>
      </w:r>
      <w:r w:rsidRPr="00812E8B">
        <w:rPr>
          <w:lang w:val="en-US"/>
        </w:rPr>
        <w:t>(2), 205-248.</w:t>
      </w:r>
    </w:p>
    <w:p w:rsidR="00CB6D88" w:rsidRPr="00812E8B" w:rsidRDefault="00CB6D88" w:rsidP="00CB6D88">
      <w:pPr>
        <w:pStyle w:val="Bibliography"/>
        <w:ind w:left="720" w:hanging="720"/>
        <w:rPr>
          <w:lang w:val="en-US"/>
        </w:rPr>
      </w:pPr>
      <w:r w:rsidRPr="00812E8B">
        <w:rPr>
          <w:lang w:val="en-US"/>
        </w:rPr>
        <w:t xml:space="preserve">Barth, J. R., Nolle, D. E., &amp; Rice, T. N. (1997). Commercial Banking Structure, Regulation and Performance: An International Comparison. </w:t>
      </w:r>
      <w:r w:rsidRPr="00812E8B">
        <w:rPr>
          <w:i/>
          <w:iCs/>
          <w:lang w:val="en-US"/>
        </w:rPr>
        <w:t>Managerial Finance, 23</w:t>
      </w:r>
      <w:r w:rsidRPr="00812E8B">
        <w:rPr>
          <w:lang w:val="en-US"/>
        </w:rPr>
        <w:t>(11), 1-39.</w:t>
      </w:r>
    </w:p>
    <w:p w:rsidR="00CB6D88" w:rsidRPr="00812E8B" w:rsidRDefault="00CB6D88" w:rsidP="00CB6D88">
      <w:pPr>
        <w:pStyle w:val="Bibliography"/>
        <w:ind w:left="720" w:hanging="720"/>
        <w:rPr>
          <w:lang w:val="en-US"/>
        </w:rPr>
      </w:pPr>
      <w:r w:rsidRPr="00812E8B">
        <w:rPr>
          <w:lang w:val="en-US"/>
        </w:rPr>
        <w:t xml:space="preserve">Basel Committee. (1988). </w:t>
      </w:r>
      <w:r w:rsidRPr="00812E8B">
        <w:rPr>
          <w:i/>
          <w:iCs/>
          <w:lang w:val="en-US"/>
        </w:rPr>
        <w:t>International convergence of capital measurement and capital standards.</w:t>
      </w:r>
      <w:r w:rsidRPr="00812E8B">
        <w:rPr>
          <w:lang w:val="en-US"/>
        </w:rPr>
        <w:t xml:space="preserve"> Basel: Bank for International Settlements.</w:t>
      </w:r>
    </w:p>
    <w:p w:rsidR="00CB6D88" w:rsidRPr="00812E8B" w:rsidRDefault="00CB6D88" w:rsidP="00CB6D88">
      <w:pPr>
        <w:pStyle w:val="Bibliography"/>
        <w:ind w:left="720" w:hanging="720"/>
        <w:rPr>
          <w:lang w:val="en-US"/>
        </w:rPr>
      </w:pPr>
      <w:r w:rsidRPr="00812E8B">
        <w:rPr>
          <w:lang w:val="en-US"/>
        </w:rPr>
        <w:t xml:space="preserve">Basel Committee on Banking Supervision. (1997). </w:t>
      </w:r>
      <w:r w:rsidRPr="00812E8B">
        <w:rPr>
          <w:i/>
          <w:iCs/>
          <w:lang w:val="en-US"/>
        </w:rPr>
        <w:t>Amendment to the Capital Accord to incorporate market risks.</w:t>
      </w:r>
      <w:r w:rsidRPr="00812E8B">
        <w:rPr>
          <w:lang w:val="en-US"/>
        </w:rPr>
        <w:t xml:space="preserve"> Basel: Bank for International Settlements.</w:t>
      </w:r>
    </w:p>
    <w:p w:rsidR="00CB6D88" w:rsidRPr="00812E8B" w:rsidRDefault="00CB6D88" w:rsidP="00CB6D88">
      <w:pPr>
        <w:pStyle w:val="Bibliography"/>
        <w:ind w:left="720" w:hanging="720"/>
        <w:rPr>
          <w:lang w:val="en-US"/>
        </w:rPr>
      </w:pPr>
      <w:r w:rsidRPr="00812E8B">
        <w:rPr>
          <w:lang w:val="en-US"/>
        </w:rPr>
        <w:t xml:space="preserve">Basel Committee on Banking Supervision. (2004). </w:t>
      </w:r>
      <w:r w:rsidRPr="00812E8B">
        <w:rPr>
          <w:i/>
          <w:iCs/>
          <w:lang w:val="en-US"/>
        </w:rPr>
        <w:t>International Convergence of Capital Measurement and Capital Standards; a Revised Framework.</w:t>
      </w:r>
      <w:r w:rsidRPr="00812E8B">
        <w:rPr>
          <w:lang w:val="en-US"/>
        </w:rPr>
        <w:t xml:space="preserve"> Basel: Bank for International Settlements.</w:t>
      </w:r>
    </w:p>
    <w:p w:rsidR="00CB6D88" w:rsidRPr="00812E8B" w:rsidRDefault="00CB6D88" w:rsidP="00CB6D88">
      <w:pPr>
        <w:pStyle w:val="Bibliography"/>
        <w:ind w:left="720" w:hanging="720"/>
        <w:rPr>
          <w:lang w:val="en-US"/>
        </w:rPr>
      </w:pPr>
      <w:r w:rsidRPr="00812E8B">
        <w:rPr>
          <w:lang w:val="en-US"/>
        </w:rPr>
        <w:lastRenderedPageBreak/>
        <w:t xml:space="preserve">Basel Committee on Banking Supervision. (2010). </w:t>
      </w:r>
      <w:r w:rsidRPr="00812E8B">
        <w:rPr>
          <w:i/>
          <w:iCs/>
          <w:lang w:val="en-US"/>
        </w:rPr>
        <w:t>Basel III: A Global regulatory framework for more resilient banks and banking systems.</w:t>
      </w:r>
      <w:r w:rsidRPr="00812E8B">
        <w:rPr>
          <w:lang w:val="en-US"/>
        </w:rPr>
        <w:t xml:space="preserve"> Basel: Bank for Internation Settlements.</w:t>
      </w:r>
    </w:p>
    <w:p w:rsidR="00CB6D88" w:rsidRPr="00812E8B" w:rsidRDefault="00CB6D88" w:rsidP="00CB6D88">
      <w:pPr>
        <w:pStyle w:val="Bibliography"/>
        <w:ind w:left="720" w:hanging="720"/>
        <w:rPr>
          <w:lang w:val="en-US"/>
        </w:rPr>
      </w:pPr>
      <w:r w:rsidRPr="00812E8B">
        <w:rPr>
          <w:lang w:val="en-US"/>
        </w:rPr>
        <w:t xml:space="preserve">Berger, A. N. (1995). The Relationship between Capital and Earnings in Banking. </w:t>
      </w:r>
      <w:r w:rsidRPr="00812E8B">
        <w:rPr>
          <w:i/>
          <w:iCs/>
          <w:lang w:val="en-US"/>
        </w:rPr>
        <w:t>Journal of Money, Credit and Banking, 27</w:t>
      </w:r>
      <w:r w:rsidRPr="00812E8B">
        <w:rPr>
          <w:lang w:val="en-US"/>
        </w:rPr>
        <w:t>(2), 432-456.</w:t>
      </w:r>
    </w:p>
    <w:p w:rsidR="00CB6D88" w:rsidRPr="00812E8B" w:rsidRDefault="00CB6D88" w:rsidP="00CB6D88">
      <w:pPr>
        <w:pStyle w:val="Bibliography"/>
        <w:ind w:left="720" w:hanging="720"/>
        <w:rPr>
          <w:lang w:val="en-US"/>
        </w:rPr>
      </w:pPr>
      <w:r w:rsidRPr="00812E8B">
        <w:rPr>
          <w:lang w:val="en-US"/>
        </w:rPr>
        <w:t xml:space="preserve">Berger, A. N., Clarke, G. R., Cull, R., Klapper, L., &amp; Udell, G. F. (2005). Corporate governance and bank performance: A joint analysis of the static, selection, and dynamic effects of domestic, foreign, and state ownership. </w:t>
      </w:r>
      <w:r w:rsidRPr="00812E8B">
        <w:rPr>
          <w:i/>
          <w:iCs/>
          <w:lang w:val="en-US"/>
        </w:rPr>
        <w:t>Journal of Banking &amp; Finance, 29</w:t>
      </w:r>
      <w:r w:rsidRPr="00812E8B">
        <w:rPr>
          <w:lang w:val="en-US"/>
        </w:rPr>
        <w:t>(8-9), 2179-2221.</w:t>
      </w:r>
    </w:p>
    <w:p w:rsidR="00CB6D88" w:rsidRPr="00812E8B" w:rsidRDefault="00CB6D88" w:rsidP="00CB6D88">
      <w:pPr>
        <w:pStyle w:val="Bibliography"/>
        <w:ind w:left="720" w:hanging="720"/>
        <w:rPr>
          <w:lang w:val="en-US"/>
        </w:rPr>
      </w:pPr>
      <w:r w:rsidRPr="00812E8B">
        <w:rPr>
          <w:lang w:val="en-US"/>
        </w:rPr>
        <w:t xml:space="preserve">Blum, J. M. (2008). Why 'Basel II' may need a leverage ratio restriction. </w:t>
      </w:r>
      <w:r w:rsidRPr="00812E8B">
        <w:rPr>
          <w:i/>
          <w:iCs/>
          <w:lang w:val="en-US"/>
        </w:rPr>
        <w:t>Journal of Banking &amp; Finance, 32</w:t>
      </w:r>
      <w:r w:rsidRPr="00812E8B">
        <w:rPr>
          <w:lang w:val="en-US"/>
        </w:rPr>
        <w:t>(8), 1699-1707.</w:t>
      </w:r>
    </w:p>
    <w:p w:rsidR="00CB6D88" w:rsidRPr="00812E8B" w:rsidRDefault="00CB6D88" w:rsidP="00CB6D88">
      <w:pPr>
        <w:pStyle w:val="Bibliography"/>
        <w:ind w:left="720" w:hanging="720"/>
        <w:rPr>
          <w:lang w:val="en-US"/>
        </w:rPr>
      </w:pPr>
      <w:r w:rsidRPr="00812E8B">
        <w:rPr>
          <w:lang w:val="en-US"/>
        </w:rPr>
        <w:t xml:space="preserve">Bourke, P. (1989). Concentration and other determinants of bank profitability in Europe, North America and Australia. </w:t>
      </w:r>
      <w:r w:rsidRPr="00812E8B">
        <w:rPr>
          <w:i/>
          <w:iCs/>
          <w:lang w:val="en-US"/>
        </w:rPr>
        <w:t>Journal of Banking and Finance, 13</w:t>
      </w:r>
      <w:r w:rsidRPr="00812E8B">
        <w:rPr>
          <w:lang w:val="en-US"/>
        </w:rPr>
        <w:t>(1), 65-79.</w:t>
      </w:r>
    </w:p>
    <w:p w:rsidR="00CB6D88" w:rsidRPr="00812E8B" w:rsidRDefault="00CB6D88" w:rsidP="00CB6D88">
      <w:pPr>
        <w:pStyle w:val="Bibliography"/>
        <w:ind w:left="720" w:hanging="720"/>
        <w:rPr>
          <w:lang w:val="en-US"/>
        </w:rPr>
      </w:pPr>
      <w:r w:rsidRPr="00812E8B">
        <w:rPr>
          <w:lang w:val="en-US"/>
        </w:rPr>
        <w:t xml:space="preserve">Brooks, C. (2008). </w:t>
      </w:r>
      <w:r w:rsidRPr="00812E8B">
        <w:rPr>
          <w:i/>
          <w:iCs/>
          <w:lang w:val="en-US"/>
        </w:rPr>
        <w:t>Introductory Econometrics for Finance</w:t>
      </w:r>
      <w:r w:rsidRPr="00812E8B">
        <w:rPr>
          <w:lang w:val="en-US"/>
        </w:rPr>
        <w:t xml:space="preserve"> (2nd ed.). New York: Cambridge University Press.</w:t>
      </w:r>
    </w:p>
    <w:p w:rsidR="00CB6D88" w:rsidRPr="00812E8B" w:rsidRDefault="00CB6D88" w:rsidP="00CB6D88">
      <w:pPr>
        <w:pStyle w:val="Bibliography"/>
        <w:ind w:left="720" w:hanging="720"/>
        <w:rPr>
          <w:lang w:val="en-US"/>
        </w:rPr>
      </w:pPr>
      <w:r w:rsidRPr="00812E8B">
        <w:rPr>
          <w:lang w:val="en-US"/>
        </w:rPr>
        <w:t xml:space="preserve">Demirgüç-Kunt, A., &amp; Huizinga, H. (1999). Determinants of Commercial Bank Interest Margins and Profitability: Some International Evidence. </w:t>
      </w:r>
      <w:r w:rsidRPr="00812E8B">
        <w:rPr>
          <w:i/>
          <w:iCs/>
          <w:lang w:val="en-US"/>
        </w:rPr>
        <w:t>The World Bank Economic Review, 13</w:t>
      </w:r>
      <w:r w:rsidRPr="00812E8B">
        <w:rPr>
          <w:lang w:val="en-US"/>
        </w:rPr>
        <w:t>(2), 379-408.</w:t>
      </w:r>
    </w:p>
    <w:p w:rsidR="00CB6D88" w:rsidRPr="00812E8B" w:rsidRDefault="00CB6D88" w:rsidP="00CB6D88">
      <w:pPr>
        <w:pStyle w:val="Bibliography"/>
        <w:ind w:left="720" w:hanging="720"/>
        <w:rPr>
          <w:lang w:val="en-US"/>
        </w:rPr>
      </w:pPr>
      <w:r w:rsidRPr="00812E8B">
        <w:rPr>
          <w:lang w:val="en-US"/>
        </w:rPr>
        <w:t xml:space="preserve">Demsetz, H., &amp; Villalonga, B. (2001). Ownership structure and corporate performance. </w:t>
      </w:r>
      <w:r w:rsidRPr="00812E8B">
        <w:rPr>
          <w:i/>
          <w:iCs/>
          <w:lang w:val="en-US"/>
        </w:rPr>
        <w:t>Journal of Corporate Finance, 7</w:t>
      </w:r>
      <w:r w:rsidRPr="00812E8B">
        <w:rPr>
          <w:lang w:val="en-US"/>
        </w:rPr>
        <w:t>(3), 209-233.</w:t>
      </w:r>
    </w:p>
    <w:p w:rsidR="00CB6D88" w:rsidRPr="00812E8B" w:rsidRDefault="00CB6D88" w:rsidP="00CB6D88">
      <w:pPr>
        <w:pStyle w:val="Bibliography"/>
        <w:ind w:left="720" w:hanging="720"/>
        <w:rPr>
          <w:lang w:val="en-US"/>
        </w:rPr>
      </w:pPr>
      <w:r w:rsidRPr="00812E8B">
        <w:rPr>
          <w:lang w:val="en-US"/>
        </w:rPr>
        <w:t xml:space="preserve">Dietrich, A., &amp; Wanzenried, G. (2011). Determinants of bank profitability before and during the crisis: Evidence from Switzerland. </w:t>
      </w:r>
      <w:r w:rsidRPr="00812E8B">
        <w:rPr>
          <w:i/>
          <w:iCs/>
          <w:lang w:val="en-US"/>
        </w:rPr>
        <w:t>Journal of International Financial Markets, Institutions and Money, 21</w:t>
      </w:r>
      <w:r w:rsidRPr="00812E8B">
        <w:rPr>
          <w:lang w:val="en-US"/>
        </w:rPr>
        <w:t>(3), 307-327.</w:t>
      </w:r>
    </w:p>
    <w:p w:rsidR="00CB6D88" w:rsidRPr="00812E8B" w:rsidRDefault="00CB6D88" w:rsidP="00CB6D88">
      <w:pPr>
        <w:pStyle w:val="Bibliography"/>
        <w:ind w:left="720" w:hanging="720"/>
        <w:rPr>
          <w:lang w:val="en-US"/>
        </w:rPr>
      </w:pPr>
      <w:r w:rsidRPr="00812E8B">
        <w:rPr>
          <w:lang w:val="en-US"/>
        </w:rPr>
        <w:t xml:space="preserve">European Central Bank. (2010). </w:t>
      </w:r>
      <w:r w:rsidRPr="00812E8B">
        <w:rPr>
          <w:i/>
          <w:iCs/>
          <w:lang w:val="en-US"/>
        </w:rPr>
        <w:t>Beyond ROE - How to measure bank performance: Appendix to the report on EU banking structures.</w:t>
      </w:r>
      <w:r w:rsidRPr="00812E8B">
        <w:rPr>
          <w:lang w:val="en-US"/>
        </w:rPr>
        <w:t xml:space="preserve"> Frankfurt am Main: ECB.</w:t>
      </w:r>
    </w:p>
    <w:p w:rsidR="00CB6D88" w:rsidRPr="00812E8B" w:rsidRDefault="00CB6D88" w:rsidP="00CB6D88">
      <w:pPr>
        <w:pStyle w:val="Bibliography"/>
        <w:ind w:left="720" w:hanging="720"/>
        <w:rPr>
          <w:lang w:val="en-US"/>
        </w:rPr>
      </w:pPr>
      <w:r w:rsidRPr="00812E8B">
        <w:rPr>
          <w:lang w:val="en-US"/>
        </w:rPr>
        <w:t xml:space="preserve">García-Herrero, A., Gavilá, S., &amp; Santabárbara, D. (2009). What explains the low profitability of Chinese banks? </w:t>
      </w:r>
      <w:r w:rsidRPr="00812E8B">
        <w:rPr>
          <w:i/>
          <w:iCs/>
          <w:lang w:val="en-US"/>
        </w:rPr>
        <w:t>Journal of Banking &amp; Finance, 33</w:t>
      </w:r>
      <w:r w:rsidRPr="00812E8B">
        <w:rPr>
          <w:lang w:val="en-US"/>
        </w:rPr>
        <w:t>(11), 2080-2092.</w:t>
      </w:r>
    </w:p>
    <w:p w:rsidR="00CB6D88" w:rsidRPr="00812E8B" w:rsidRDefault="00CB6D88" w:rsidP="00CB6D88">
      <w:pPr>
        <w:pStyle w:val="Bibliography"/>
        <w:ind w:left="720" w:hanging="720"/>
        <w:rPr>
          <w:lang w:val="en-US"/>
        </w:rPr>
      </w:pPr>
      <w:r w:rsidRPr="00812E8B">
        <w:rPr>
          <w:lang w:val="en-US"/>
        </w:rPr>
        <w:t xml:space="preserve">Gillan, S. L. (2006). Recent Developments in Corporate Governance: An Overview. </w:t>
      </w:r>
      <w:r w:rsidRPr="00812E8B">
        <w:rPr>
          <w:i/>
          <w:iCs/>
          <w:lang w:val="en-US"/>
        </w:rPr>
        <w:t>Journal of Corporate Finance, 12</w:t>
      </w:r>
      <w:r w:rsidRPr="00812E8B">
        <w:rPr>
          <w:lang w:val="en-US"/>
        </w:rPr>
        <w:t>(3), 381-402.</w:t>
      </w:r>
    </w:p>
    <w:p w:rsidR="00CB6D88" w:rsidRPr="00812E8B" w:rsidRDefault="00CB6D88" w:rsidP="00CB6D88">
      <w:pPr>
        <w:pStyle w:val="Bibliography"/>
        <w:ind w:left="720" w:hanging="720"/>
        <w:rPr>
          <w:lang w:val="en-US"/>
        </w:rPr>
      </w:pPr>
      <w:r w:rsidRPr="00812E8B">
        <w:rPr>
          <w:lang w:val="en-US"/>
        </w:rPr>
        <w:t xml:space="preserve">Goddard, J., Molyneux, P., &amp; Wilson, J. (2004). The profitability of European Banks: A cross-sectional and dynamic panel analysis. </w:t>
      </w:r>
      <w:r w:rsidRPr="00812E8B">
        <w:rPr>
          <w:i/>
          <w:iCs/>
          <w:lang w:val="en-US"/>
        </w:rPr>
        <w:t>The Manchester School, 72</w:t>
      </w:r>
      <w:r w:rsidRPr="00812E8B">
        <w:rPr>
          <w:lang w:val="en-US"/>
        </w:rPr>
        <w:t>(3), 363-381.</w:t>
      </w:r>
    </w:p>
    <w:p w:rsidR="00CB6D88" w:rsidRPr="00812E8B" w:rsidRDefault="00CB6D88" w:rsidP="00CB6D88">
      <w:pPr>
        <w:pStyle w:val="Bibliography"/>
        <w:ind w:left="720" w:hanging="720"/>
        <w:rPr>
          <w:lang w:val="en-US"/>
        </w:rPr>
      </w:pPr>
      <w:r w:rsidRPr="00812E8B">
        <w:rPr>
          <w:lang w:val="en-US"/>
        </w:rPr>
        <w:t xml:space="preserve">Goddard, J., Molyneux, P., Wilson, J. O., &amp; Tavakoli, M. (2007). European banking: An overview. </w:t>
      </w:r>
      <w:r w:rsidRPr="00812E8B">
        <w:rPr>
          <w:i/>
          <w:iCs/>
          <w:lang w:val="en-US"/>
        </w:rPr>
        <w:t>Journal of Banking &amp; Finance, 31</w:t>
      </w:r>
      <w:r w:rsidRPr="00812E8B">
        <w:rPr>
          <w:lang w:val="en-US"/>
        </w:rPr>
        <w:t>(7), 1911-1935.</w:t>
      </w:r>
    </w:p>
    <w:p w:rsidR="00CB6D88" w:rsidRPr="00812E8B" w:rsidRDefault="00CB6D88" w:rsidP="00CB6D88">
      <w:pPr>
        <w:pStyle w:val="Bibliography"/>
        <w:ind w:left="720" w:hanging="720"/>
        <w:rPr>
          <w:lang w:val="en-US"/>
        </w:rPr>
      </w:pPr>
      <w:r w:rsidRPr="00812E8B">
        <w:rPr>
          <w:lang w:val="en-US"/>
        </w:rPr>
        <w:t xml:space="preserve">Gompers, P., Ishi, J., &amp; Metrick, A. (2003). Corporate Governance and Equity Prices. </w:t>
      </w:r>
      <w:r w:rsidRPr="00812E8B">
        <w:rPr>
          <w:i/>
          <w:iCs/>
          <w:lang w:val="en-US"/>
        </w:rPr>
        <w:t>The Quaterly Journal of Economics, 118</w:t>
      </w:r>
      <w:r w:rsidRPr="00812E8B">
        <w:rPr>
          <w:lang w:val="en-US"/>
        </w:rPr>
        <w:t>(1), 107-155.</w:t>
      </w:r>
    </w:p>
    <w:p w:rsidR="00CB6D88" w:rsidRPr="00812E8B" w:rsidRDefault="00CB6D88" w:rsidP="00CB6D88">
      <w:pPr>
        <w:pStyle w:val="Bibliography"/>
        <w:ind w:left="720" w:hanging="720"/>
        <w:rPr>
          <w:lang w:val="en-US"/>
        </w:rPr>
      </w:pPr>
      <w:r w:rsidRPr="00812E8B">
        <w:rPr>
          <w:lang w:val="en-US"/>
        </w:rPr>
        <w:t xml:space="preserve">Heid, F., Porath, D., &amp; Stolz, S. (2004). </w:t>
      </w:r>
      <w:r w:rsidRPr="00812E8B">
        <w:rPr>
          <w:i/>
          <w:iCs/>
          <w:lang w:val="en-US"/>
        </w:rPr>
        <w:t>Does capital regulation matter for bank behaviour? Evidence for German savings banks.</w:t>
      </w:r>
      <w:r w:rsidRPr="00812E8B">
        <w:rPr>
          <w:lang w:val="en-US"/>
        </w:rPr>
        <w:t xml:space="preserve"> Frankfurt am Main: Deutsche Bundesbank.</w:t>
      </w:r>
    </w:p>
    <w:p w:rsidR="00CB6D88" w:rsidRPr="00812E8B" w:rsidRDefault="00CB6D88" w:rsidP="00CB6D88">
      <w:pPr>
        <w:pStyle w:val="Bibliography"/>
        <w:ind w:left="720" w:hanging="720"/>
        <w:rPr>
          <w:lang w:val="en-US"/>
        </w:rPr>
      </w:pPr>
      <w:r w:rsidRPr="00812E8B">
        <w:rPr>
          <w:lang w:val="en-US"/>
        </w:rPr>
        <w:lastRenderedPageBreak/>
        <w:t xml:space="preserve">Iannotta, G., Nocera, G., &amp; Sironi, A. (2007). Ownership structure, risk and performance in the European banking industry. </w:t>
      </w:r>
      <w:r w:rsidRPr="00812E8B">
        <w:rPr>
          <w:i/>
          <w:iCs/>
          <w:lang w:val="en-US"/>
        </w:rPr>
        <w:t>Journal of Banking &amp; Finance, 31</w:t>
      </w:r>
      <w:r w:rsidRPr="00812E8B">
        <w:rPr>
          <w:lang w:val="en-US"/>
        </w:rPr>
        <w:t>(7), 2127-2149.</w:t>
      </w:r>
    </w:p>
    <w:p w:rsidR="00CB6D88" w:rsidRPr="00812E8B" w:rsidRDefault="00CB6D88" w:rsidP="00CB6D88">
      <w:pPr>
        <w:pStyle w:val="Bibliography"/>
        <w:ind w:left="720" w:hanging="720"/>
        <w:rPr>
          <w:lang w:val="en-US"/>
        </w:rPr>
      </w:pPr>
      <w:r w:rsidRPr="00812E8B">
        <w:rPr>
          <w:lang w:val="en-US"/>
        </w:rPr>
        <w:t xml:space="preserve">Jensen, M. C., &amp; Meckling, W. H. (1976). Theory of the firm: managerial behavior, agency costs and ownership structure. </w:t>
      </w:r>
      <w:r w:rsidRPr="00812E8B">
        <w:rPr>
          <w:i/>
          <w:iCs/>
          <w:lang w:val="en-US"/>
        </w:rPr>
        <w:t>Journal of Financial Economics, 3</w:t>
      </w:r>
      <w:r w:rsidRPr="00812E8B">
        <w:rPr>
          <w:lang w:val="en-US"/>
        </w:rPr>
        <w:t>(4), 305-360.</w:t>
      </w:r>
    </w:p>
    <w:p w:rsidR="00CB6D88" w:rsidRPr="00812E8B" w:rsidRDefault="00CB6D88" w:rsidP="00CB6D88">
      <w:pPr>
        <w:pStyle w:val="Bibliography"/>
        <w:ind w:left="720" w:hanging="720"/>
        <w:rPr>
          <w:lang w:val="en-US"/>
        </w:rPr>
      </w:pPr>
      <w:r w:rsidRPr="00812E8B">
        <w:rPr>
          <w:lang w:val="en-US"/>
        </w:rPr>
        <w:t xml:space="preserve">Kimball, R. C. (1998). Economic Profit and Performance Measurement in Banking. </w:t>
      </w:r>
      <w:r w:rsidRPr="00812E8B">
        <w:rPr>
          <w:i/>
          <w:iCs/>
          <w:lang w:val="en-US"/>
        </w:rPr>
        <w:t>New England Economic Review, 9</w:t>
      </w:r>
      <w:r w:rsidRPr="00812E8B">
        <w:rPr>
          <w:lang w:val="en-US"/>
        </w:rPr>
        <w:t>(July/Augusts), 35-53.</w:t>
      </w:r>
    </w:p>
    <w:p w:rsidR="00CB6D88" w:rsidRPr="00812E8B" w:rsidRDefault="00CB6D88" w:rsidP="00CB6D88">
      <w:pPr>
        <w:pStyle w:val="Bibliography"/>
        <w:ind w:left="720" w:hanging="720"/>
        <w:rPr>
          <w:lang w:val="en-US"/>
        </w:rPr>
      </w:pPr>
      <w:r w:rsidRPr="00812E8B">
        <w:rPr>
          <w:lang w:val="en-US"/>
        </w:rPr>
        <w:t xml:space="preserve">Laeven, L., &amp; Levine, R. (2009). Bank governance, regulation and risk taking. </w:t>
      </w:r>
      <w:r w:rsidRPr="00812E8B">
        <w:rPr>
          <w:i/>
          <w:iCs/>
          <w:lang w:val="en-US"/>
        </w:rPr>
        <w:t>Journal of Financial Economics, 93</w:t>
      </w:r>
      <w:r w:rsidRPr="00812E8B">
        <w:rPr>
          <w:lang w:val="en-US"/>
        </w:rPr>
        <w:t>(2), 259-275.</w:t>
      </w:r>
    </w:p>
    <w:p w:rsidR="00CB6D88" w:rsidRPr="00812E8B" w:rsidRDefault="00CB6D88" w:rsidP="00CB6D88">
      <w:pPr>
        <w:pStyle w:val="Bibliography"/>
        <w:ind w:left="720" w:hanging="720"/>
        <w:rPr>
          <w:lang w:val="en-US"/>
        </w:rPr>
      </w:pPr>
      <w:r w:rsidRPr="00812E8B">
        <w:rPr>
          <w:lang w:val="en-US"/>
        </w:rPr>
        <w:t xml:space="preserve">Matthews, K., &amp; Thompson, J. (2008). </w:t>
      </w:r>
      <w:r w:rsidRPr="00812E8B">
        <w:rPr>
          <w:i/>
          <w:iCs/>
          <w:lang w:val="en-US"/>
        </w:rPr>
        <w:t>The Economics of Banking</w:t>
      </w:r>
      <w:r w:rsidRPr="00812E8B">
        <w:rPr>
          <w:lang w:val="en-US"/>
        </w:rPr>
        <w:t xml:space="preserve"> (2nd ed.). West Sussex: John Wiley &amp; Sons Ltd.</w:t>
      </w:r>
    </w:p>
    <w:p w:rsidR="00CB6D88" w:rsidRPr="00812E8B" w:rsidRDefault="00CB6D88" w:rsidP="00CB6D88">
      <w:pPr>
        <w:pStyle w:val="Bibliography"/>
        <w:ind w:left="720" w:hanging="720"/>
        <w:rPr>
          <w:lang w:val="en-US"/>
        </w:rPr>
      </w:pPr>
      <w:r w:rsidRPr="00812E8B">
        <w:rPr>
          <w:lang w:val="en-US"/>
        </w:rPr>
        <w:t xml:space="preserve">Micco, A., Panizza, U., &amp; Yaňez, M. (2007). Bank ownership and performance. Does politics matter? </w:t>
      </w:r>
      <w:r w:rsidRPr="00812E8B">
        <w:rPr>
          <w:i/>
          <w:iCs/>
          <w:lang w:val="en-US"/>
        </w:rPr>
        <w:t>Journal of Banking &amp; Finance, 31</w:t>
      </w:r>
      <w:r w:rsidRPr="00812E8B">
        <w:rPr>
          <w:lang w:val="en-US"/>
        </w:rPr>
        <w:t>(1), 219-241.</w:t>
      </w:r>
    </w:p>
    <w:p w:rsidR="00CB6D88" w:rsidRPr="00812E8B" w:rsidRDefault="00CB6D88" w:rsidP="00CB6D88">
      <w:pPr>
        <w:pStyle w:val="Bibliography"/>
        <w:ind w:left="720" w:hanging="720"/>
        <w:rPr>
          <w:lang w:val="en-US"/>
        </w:rPr>
      </w:pPr>
      <w:r w:rsidRPr="00812E8B">
        <w:rPr>
          <w:lang w:val="en-US"/>
        </w:rPr>
        <w:t xml:space="preserve">Milne, A., &amp; Whalley, A. E. (2001). </w:t>
      </w:r>
      <w:r w:rsidRPr="00812E8B">
        <w:rPr>
          <w:i/>
          <w:iCs/>
          <w:lang w:val="en-US"/>
        </w:rPr>
        <w:t>Bank Capital Regulation and Incentives for Risk-Taking.</w:t>
      </w:r>
      <w:r w:rsidRPr="00812E8B">
        <w:rPr>
          <w:lang w:val="en-US"/>
        </w:rPr>
        <w:t xml:space="preserve"> Retrieved from http://ssrn.com/abstract=299319</w:t>
      </w:r>
    </w:p>
    <w:p w:rsidR="00CB6D88" w:rsidRPr="00812E8B" w:rsidRDefault="00CB6D88" w:rsidP="00CB6D88">
      <w:pPr>
        <w:pStyle w:val="Bibliography"/>
        <w:ind w:left="720" w:hanging="720"/>
        <w:rPr>
          <w:lang w:val="en-US"/>
        </w:rPr>
      </w:pPr>
      <w:r w:rsidRPr="00812E8B">
        <w:rPr>
          <w:lang w:val="en-US"/>
        </w:rPr>
        <w:t xml:space="preserve">Modigliani, F., &amp; Miller, M. H. (1958). The Cost of Capital, Corporation Finance and the Theory of Investment. </w:t>
      </w:r>
      <w:r w:rsidRPr="00812E8B">
        <w:rPr>
          <w:i/>
          <w:iCs/>
          <w:lang w:val="en-US"/>
        </w:rPr>
        <w:t>The American Review, 48</w:t>
      </w:r>
      <w:r w:rsidRPr="00812E8B">
        <w:rPr>
          <w:lang w:val="en-US"/>
        </w:rPr>
        <w:t>(3), 261-297.</w:t>
      </w:r>
    </w:p>
    <w:p w:rsidR="00CB6D88" w:rsidRPr="00812E8B" w:rsidRDefault="00CB6D88" w:rsidP="00CB6D88">
      <w:pPr>
        <w:pStyle w:val="Bibliography"/>
        <w:ind w:left="720" w:hanging="720"/>
        <w:rPr>
          <w:lang w:val="en-US"/>
        </w:rPr>
      </w:pPr>
      <w:r w:rsidRPr="00812E8B">
        <w:rPr>
          <w:lang w:val="en-US"/>
        </w:rPr>
        <w:t xml:space="preserve">Molyneux, P., &amp; Thornton, J. (1992). Determinants of European bank profitability: A note. </w:t>
      </w:r>
      <w:r w:rsidRPr="00812E8B">
        <w:rPr>
          <w:i/>
          <w:iCs/>
          <w:lang w:val="en-US"/>
        </w:rPr>
        <w:t>Journal of Banking and Finance, 16</w:t>
      </w:r>
      <w:r w:rsidRPr="00812E8B">
        <w:rPr>
          <w:lang w:val="en-US"/>
        </w:rPr>
        <w:t>(6), 1173-1178.</w:t>
      </w:r>
    </w:p>
    <w:p w:rsidR="00CB6D88" w:rsidRPr="00812E8B" w:rsidRDefault="00CB6D88" w:rsidP="00CB6D88">
      <w:pPr>
        <w:pStyle w:val="Bibliography"/>
        <w:ind w:left="720" w:hanging="720"/>
        <w:rPr>
          <w:lang w:val="en-US"/>
        </w:rPr>
      </w:pPr>
      <w:r w:rsidRPr="00812E8B">
        <w:rPr>
          <w:lang w:val="en-US"/>
        </w:rPr>
        <w:t xml:space="preserve">Moore, D. S., McCabe, G. P., Duckworth, W. M., &amp; Sclove, S. L. (2003). </w:t>
      </w:r>
      <w:r w:rsidRPr="00812E8B">
        <w:rPr>
          <w:i/>
          <w:iCs/>
          <w:lang w:val="en-US"/>
        </w:rPr>
        <w:t>The Practice of Business Statistics.</w:t>
      </w:r>
      <w:r w:rsidRPr="00812E8B">
        <w:rPr>
          <w:lang w:val="en-US"/>
        </w:rPr>
        <w:t xml:space="preserve"> New York: W.H. Freeman and Company.</w:t>
      </w:r>
    </w:p>
    <w:p w:rsidR="00CB6D88" w:rsidRPr="00812E8B" w:rsidRDefault="00CB6D88" w:rsidP="00CB6D88">
      <w:pPr>
        <w:pStyle w:val="Bibliography"/>
        <w:ind w:left="720" w:hanging="720"/>
        <w:rPr>
          <w:lang w:val="en-US"/>
        </w:rPr>
      </w:pPr>
      <w:r w:rsidRPr="00812E8B">
        <w:rPr>
          <w:lang w:val="en-US"/>
        </w:rPr>
        <w:t xml:space="preserve">Oesterreichische Nationalbank (OeNB) Financial Market Authority (FMA). (2008). </w:t>
      </w:r>
      <w:r w:rsidRPr="00812E8B">
        <w:rPr>
          <w:i/>
          <w:iCs/>
          <w:lang w:val="en-US"/>
        </w:rPr>
        <w:t>Guidelines on: Managing Interest Rate Risk in the Banking Book.</w:t>
      </w:r>
      <w:r w:rsidRPr="00812E8B">
        <w:rPr>
          <w:lang w:val="en-US"/>
        </w:rPr>
        <w:t xml:space="preserve"> Vienna: OeNB Printing Office.</w:t>
      </w:r>
    </w:p>
    <w:p w:rsidR="00CB6D88" w:rsidRPr="00812E8B" w:rsidRDefault="00CB6D88" w:rsidP="00CB6D88">
      <w:pPr>
        <w:pStyle w:val="Bibliography"/>
        <w:ind w:left="720" w:hanging="720"/>
        <w:rPr>
          <w:lang w:val="en-US"/>
        </w:rPr>
      </w:pPr>
      <w:r w:rsidRPr="00812E8B">
        <w:rPr>
          <w:lang w:val="en-US"/>
        </w:rPr>
        <w:t xml:space="preserve">Pasiouras, F., &amp; Kosmidou, K. (2007). Factors influencing the profitability of domestic and foreign commercial banks in the European Union. </w:t>
      </w:r>
      <w:r w:rsidRPr="00812E8B">
        <w:rPr>
          <w:i/>
          <w:iCs/>
          <w:lang w:val="en-US"/>
        </w:rPr>
        <w:t>Research in International Business and Finance, 21</w:t>
      </w:r>
      <w:r w:rsidRPr="00812E8B">
        <w:rPr>
          <w:lang w:val="en-US"/>
        </w:rPr>
        <w:t>(2), 222-237.</w:t>
      </w:r>
    </w:p>
    <w:p w:rsidR="00CB6D88" w:rsidRPr="00812E8B" w:rsidRDefault="00CB6D88" w:rsidP="00CB6D88">
      <w:pPr>
        <w:pStyle w:val="Bibliography"/>
        <w:ind w:left="720" w:hanging="720"/>
        <w:rPr>
          <w:lang w:val="en-US"/>
        </w:rPr>
      </w:pPr>
      <w:r w:rsidRPr="00812E8B">
        <w:rPr>
          <w:lang w:val="en-US"/>
        </w:rPr>
        <w:t xml:space="preserve">Rime, B. (2001). Capital requirements and bank behaviour: Empirical evidence for Switzerland. </w:t>
      </w:r>
      <w:r w:rsidRPr="00812E8B">
        <w:rPr>
          <w:i/>
          <w:iCs/>
          <w:lang w:val="en-US"/>
        </w:rPr>
        <w:t>Journal of Banking &amp; Finance, 25</w:t>
      </w:r>
      <w:r w:rsidRPr="00812E8B">
        <w:rPr>
          <w:lang w:val="en-US"/>
        </w:rPr>
        <w:t>(4), 789-805.</w:t>
      </w:r>
    </w:p>
    <w:p w:rsidR="00CB6D88" w:rsidRPr="00812E8B" w:rsidRDefault="00CB6D88" w:rsidP="00CB6D88">
      <w:pPr>
        <w:pStyle w:val="Bibliography"/>
        <w:ind w:left="720" w:hanging="720"/>
        <w:rPr>
          <w:lang w:val="en-US"/>
        </w:rPr>
      </w:pPr>
      <w:r w:rsidRPr="00812E8B">
        <w:rPr>
          <w:lang w:val="en-US"/>
        </w:rPr>
        <w:t xml:space="preserve">Roodman, D. (2008). A Note on the Theme of Too Many Instruments. </w:t>
      </w:r>
      <w:r w:rsidRPr="00812E8B">
        <w:rPr>
          <w:i/>
          <w:iCs/>
          <w:lang w:val="en-US"/>
        </w:rPr>
        <w:t>Oxford Bulletin of Economics and Statistics, 71</w:t>
      </w:r>
      <w:r w:rsidRPr="00812E8B">
        <w:rPr>
          <w:lang w:val="en-US"/>
        </w:rPr>
        <w:t>(1), 135-158.</w:t>
      </w:r>
    </w:p>
    <w:p w:rsidR="00CB6D88" w:rsidRPr="00812E8B" w:rsidRDefault="00CB6D88" w:rsidP="00CB6D88">
      <w:pPr>
        <w:pStyle w:val="Bibliography"/>
        <w:ind w:left="720" w:hanging="720"/>
        <w:rPr>
          <w:lang w:val="en-US"/>
        </w:rPr>
      </w:pPr>
      <w:r w:rsidRPr="00812E8B">
        <w:rPr>
          <w:lang w:val="en-US"/>
        </w:rPr>
        <w:t xml:space="preserve">Roodman, D. (2009). How to do xtabond2: An introduction to difference and system GMM in Stata. </w:t>
      </w:r>
      <w:r w:rsidRPr="00812E8B">
        <w:rPr>
          <w:i/>
          <w:iCs/>
          <w:lang w:val="en-US"/>
        </w:rPr>
        <w:t>Stata Journal, 9</w:t>
      </w:r>
      <w:r w:rsidRPr="00812E8B">
        <w:rPr>
          <w:lang w:val="en-US"/>
        </w:rPr>
        <w:t>(1), 86-136.</w:t>
      </w:r>
    </w:p>
    <w:p w:rsidR="00CB6D88" w:rsidRPr="00812E8B" w:rsidRDefault="00CB6D88" w:rsidP="00CB6D88">
      <w:pPr>
        <w:pStyle w:val="Bibliography"/>
        <w:ind w:left="720" w:hanging="720"/>
        <w:rPr>
          <w:lang w:val="en-US"/>
        </w:rPr>
      </w:pPr>
      <w:r w:rsidRPr="00812E8B">
        <w:rPr>
          <w:lang w:val="en-US"/>
        </w:rPr>
        <w:t xml:space="preserve">Rosenthal, J. (2011, May 12). Chained but untamed. </w:t>
      </w:r>
      <w:r w:rsidRPr="00812E8B">
        <w:rPr>
          <w:i/>
          <w:iCs/>
          <w:lang w:val="en-US"/>
        </w:rPr>
        <w:t>The Economist</w:t>
      </w:r>
      <w:r w:rsidRPr="00812E8B">
        <w:rPr>
          <w:lang w:val="en-US"/>
        </w:rPr>
        <w:t>.</w:t>
      </w:r>
    </w:p>
    <w:p w:rsidR="00CB6D88" w:rsidRPr="00812E8B" w:rsidRDefault="00CB6D88" w:rsidP="00CB6D88">
      <w:pPr>
        <w:pStyle w:val="Bibliography"/>
        <w:ind w:left="720" w:hanging="720"/>
        <w:rPr>
          <w:lang w:val="en-US"/>
        </w:rPr>
      </w:pPr>
      <w:r w:rsidRPr="00812E8B">
        <w:rPr>
          <w:lang w:val="en-US"/>
        </w:rPr>
        <w:lastRenderedPageBreak/>
        <w:t xml:space="preserve">Ruxton, G. D. (2006). The unequal variance t-test is an underused alternative to Student's t-test and the Mann–Whitney U test. </w:t>
      </w:r>
      <w:r w:rsidRPr="00812E8B">
        <w:rPr>
          <w:i/>
          <w:iCs/>
          <w:lang w:val="en-US"/>
        </w:rPr>
        <w:t>Behavioral Ecology, 17</w:t>
      </w:r>
      <w:r w:rsidRPr="00812E8B">
        <w:rPr>
          <w:lang w:val="en-US"/>
        </w:rPr>
        <w:t>(4), 688-690.</w:t>
      </w:r>
    </w:p>
    <w:p w:rsidR="00CB6D88" w:rsidRPr="00812E8B" w:rsidRDefault="00CB6D88" w:rsidP="00CB6D88">
      <w:pPr>
        <w:pStyle w:val="Bibliography"/>
        <w:ind w:left="720" w:hanging="720"/>
        <w:rPr>
          <w:lang w:val="en-US"/>
        </w:rPr>
      </w:pPr>
      <w:r w:rsidRPr="00812E8B">
        <w:rPr>
          <w:lang w:val="en-US"/>
        </w:rPr>
        <w:t xml:space="preserve">Santos, J. A. (2001). Bank Capital Regulation in Contemporary Banking Theory: A Review of the Literature. </w:t>
      </w:r>
      <w:r w:rsidRPr="00812E8B">
        <w:rPr>
          <w:i/>
          <w:iCs/>
          <w:lang w:val="en-US"/>
        </w:rPr>
        <w:t>Financial Markets, Institutions &amp; Instruments, 10</w:t>
      </w:r>
      <w:r w:rsidRPr="00812E8B">
        <w:rPr>
          <w:lang w:val="en-US"/>
        </w:rPr>
        <w:t>(2), 41-84.</w:t>
      </w:r>
    </w:p>
    <w:p w:rsidR="00CB6D88" w:rsidRPr="00812E8B" w:rsidRDefault="00CB6D88" w:rsidP="00CB6D88">
      <w:pPr>
        <w:pStyle w:val="Bibliography"/>
        <w:ind w:left="720" w:hanging="720"/>
        <w:rPr>
          <w:lang w:val="en-US"/>
        </w:rPr>
      </w:pPr>
      <w:r w:rsidRPr="00812E8B">
        <w:rPr>
          <w:lang w:val="en-US"/>
        </w:rPr>
        <w:t xml:space="preserve">Saunders, A., &amp; Cornett, M. M. (2008). </w:t>
      </w:r>
      <w:r w:rsidRPr="00812E8B">
        <w:rPr>
          <w:i/>
          <w:iCs/>
          <w:lang w:val="en-US"/>
        </w:rPr>
        <w:t>Financial Institutions Management: A Risk Management Approach.</w:t>
      </w:r>
      <w:r w:rsidRPr="00812E8B">
        <w:rPr>
          <w:lang w:val="en-US"/>
        </w:rPr>
        <w:t xml:space="preserve"> New York: McGraw-Hill.</w:t>
      </w:r>
    </w:p>
    <w:p w:rsidR="00CB6D88" w:rsidRPr="00812E8B" w:rsidRDefault="00CB6D88" w:rsidP="00CB6D88">
      <w:pPr>
        <w:pStyle w:val="Bibliography"/>
        <w:ind w:left="720" w:hanging="720"/>
        <w:rPr>
          <w:lang w:val="en-US"/>
        </w:rPr>
      </w:pPr>
      <w:r w:rsidRPr="00812E8B">
        <w:rPr>
          <w:lang w:val="en-US"/>
        </w:rPr>
        <w:t xml:space="preserve">Saunders, A., Strock, E., &amp; Travlos, N. G. (1990). Ownership Structure, Deregulation, and Bank Risk Taking. </w:t>
      </w:r>
      <w:r w:rsidRPr="00812E8B">
        <w:rPr>
          <w:i/>
          <w:iCs/>
          <w:lang w:val="en-US"/>
        </w:rPr>
        <w:t>The Journal of Finance, 45</w:t>
      </w:r>
      <w:r w:rsidRPr="00812E8B">
        <w:rPr>
          <w:lang w:val="en-US"/>
        </w:rPr>
        <w:t>(2), 643-654.</w:t>
      </w:r>
    </w:p>
    <w:p w:rsidR="00CB6D88" w:rsidRPr="00812E8B" w:rsidRDefault="00CB6D88" w:rsidP="00CB6D88">
      <w:pPr>
        <w:pStyle w:val="Bibliography"/>
        <w:ind w:left="720" w:hanging="720"/>
        <w:rPr>
          <w:lang w:val="en-US"/>
        </w:rPr>
      </w:pPr>
      <w:r w:rsidRPr="00812E8B">
        <w:rPr>
          <w:lang w:val="en-US"/>
        </w:rPr>
        <w:t xml:space="preserve">Schildbach, J. (2011). </w:t>
      </w:r>
      <w:r w:rsidRPr="00812E8B">
        <w:rPr>
          <w:i/>
          <w:iCs/>
          <w:lang w:val="en-US"/>
        </w:rPr>
        <w:t>Home, sweet home? International banking after the crisis.</w:t>
      </w:r>
      <w:r w:rsidRPr="00812E8B">
        <w:rPr>
          <w:lang w:val="en-US"/>
        </w:rPr>
        <w:t xml:space="preserve"> Frankfurt am Main: Deutsche Bank Research.</w:t>
      </w:r>
    </w:p>
    <w:p w:rsidR="00CB6D88" w:rsidRPr="00812E8B" w:rsidRDefault="00CB6D88" w:rsidP="00CB6D88">
      <w:pPr>
        <w:pStyle w:val="Bibliography"/>
        <w:ind w:left="720" w:hanging="720"/>
        <w:rPr>
          <w:lang w:val="en-US"/>
        </w:rPr>
      </w:pPr>
      <w:r w:rsidRPr="00812E8B">
        <w:rPr>
          <w:lang w:val="en-US"/>
        </w:rPr>
        <w:t xml:space="preserve">Schooner, H. M., &amp; Talyor, M. W. (2010). Bank insolvency. In </w:t>
      </w:r>
      <w:r w:rsidRPr="00812E8B">
        <w:rPr>
          <w:i/>
          <w:iCs/>
          <w:lang w:val="en-US"/>
        </w:rPr>
        <w:t>Global Bank Regulation: Principles and Policies</w:t>
      </w:r>
      <w:r w:rsidRPr="00812E8B">
        <w:rPr>
          <w:lang w:val="en-US"/>
        </w:rPr>
        <w:t xml:space="preserve"> (pp. 241-258). San Diego: Academic Press.</w:t>
      </w:r>
    </w:p>
    <w:p w:rsidR="00CB6D88" w:rsidRPr="00812E8B" w:rsidRDefault="00CB6D88" w:rsidP="00CB6D88">
      <w:pPr>
        <w:pStyle w:val="Bibliography"/>
        <w:ind w:left="720" w:hanging="720"/>
        <w:rPr>
          <w:lang w:val="en-US"/>
        </w:rPr>
      </w:pPr>
      <w:r w:rsidRPr="00812E8B">
        <w:rPr>
          <w:lang w:val="en-US"/>
        </w:rPr>
        <w:t xml:space="preserve">Short, B. K. (1979). The relation between commercial bank profit rates and banking concentration in Canada, Western Europe, and Japan. </w:t>
      </w:r>
      <w:r w:rsidRPr="00812E8B">
        <w:rPr>
          <w:i/>
          <w:iCs/>
          <w:lang w:val="en-US"/>
        </w:rPr>
        <w:t>Journal of Banking and Finance, 3</w:t>
      </w:r>
      <w:r w:rsidRPr="00812E8B">
        <w:rPr>
          <w:lang w:val="en-US"/>
        </w:rPr>
        <w:t>(3), 209-219.</w:t>
      </w:r>
    </w:p>
    <w:p w:rsidR="00CB6D88" w:rsidRPr="00812E8B" w:rsidRDefault="00CB6D88" w:rsidP="00CB6D88">
      <w:pPr>
        <w:pStyle w:val="Bibliography"/>
        <w:ind w:left="720" w:hanging="720"/>
        <w:rPr>
          <w:lang w:val="en-US"/>
        </w:rPr>
      </w:pPr>
      <w:r w:rsidRPr="00812E8B">
        <w:rPr>
          <w:lang w:val="en-US"/>
        </w:rPr>
        <w:t xml:space="preserve">Stiroh, K. J. (2004). Diversification in Banking: Is Non-Interest Income the Answer? </w:t>
      </w:r>
      <w:r w:rsidRPr="00812E8B">
        <w:rPr>
          <w:i/>
          <w:iCs/>
          <w:lang w:val="en-US"/>
        </w:rPr>
        <w:t>Journal of Money, Credit, and Banking, 36</w:t>
      </w:r>
      <w:r w:rsidRPr="00812E8B">
        <w:rPr>
          <w:lang w:val="en-US"/>
        </w:rPr>
        <w:t>(5), 853-882.</w:t>
      </w:r>
    </w:p>
    <w:p w:rsidR="00CB6D88" w:rsidRPr="00812E8B" w:rsidRDefault="00CB6D88" w:rsidP="00CB6D88">
      <w:pPr>
        <w:pStyle w:val="Bibliography"/>
        <w:ind w:left="720" w:hanging="720"/>
        <w:rPr>
          <w:lang w:val="en-US"/>
        </w:rPr>
      </w:pPr>
      <w:r w:rsidRPr="00812E8B">
        <w:rPr>
          <w:lang w:val="en-US"/>
        </w:rPr>
        <w:t xml:space="preserve">The Banker. (2010). </w:t>
      </w:r>
      <w:r w:rsidRPr="00812E8B">
        <w:rPr>
          <w:i/>
          <w:iCs/>
          <w:lang w:val="en-US"/>
        </w:rPr>
        <w:t>Top 1000 World Banks 2010.</w:t>
      </w:r>
      <w:r w:rsidRPr="00812E8B">
        <w:rPr>
          <w:lang w:val="en-US"/>
        </w:rPr>
        <w:t xml:space="preserve"> London: Financial Times Ltd.</w:t>
      </w:r>
    </w:p>
    <w:p w:rsidR="00CB6D88" w:rsidRPr="00812E8B" w:rsidRDefault="00CB6D88" w:rsidP="00CB6D88">
      <w:pPr>
        <w:pStyle w:val="Bibliography"/>
        <w:ind w:left="720" w:hanging="720"/>
        <w:rPr>
          <w:lang w:val="en-US"/>
        </w:rPr>
      </w:pPr>
      <w:r w:rsidRPr="00812E8B">
        <w:rPr>
          <w:lang w:val="en-US"/>
        </w:rPr>
        <w:t xml:space="preserve">Trujillo-Ponce, A. (2011). European Financial Management Association 2011 Annual Conference. </w:t>
      </w:r>
      <w:r w:rsidRPr="00812E8B">
        <w:rPr>
          <w:i/>
          <w:iCs/>
          <w:lang w:val="en-US"/>
        </w:rPr>
        <w:t>Why are (or were) Spanish banks so profitable</w:t>
      </w:r>
      <w:r w:rsidRPr="00812E8B">
        <w:rPr>
          <w:lang w:val="en-US"/>
        </w:rPr>
        <w:t xml:space="preserve"> (pp. 1-33). Sevilla: Pablo de Olavide University.</w:t>
      </w:r>
    </w:p>
    <w:p w:rsidR="00CB6D88" w:rsidRPr="00812E8B" w:rsidRDefault="00CB6D88" w:rsidP="00CB6D88">
      <w:pPr>
        <w:pStyle w:val="Bibliography"/>
        <w:ind w:left="720" w:hanging="720"/>
        <w:rPr>
          <w:lang w:val="en-US"/>
        </w:rPr>
      </w:pPr>
      <w:r w:rsidRPr="00812E8B">
        <w:rPr>
          <w:lang w:val="en-US"/>
        </w:rPr>
        <w:t xml:space="preserve">Valverde, S., &amp; Fernández, F. (2007). The determinants of bank margins in European banking. </w:t>
      </w:r>
      <w:r w:rsidRPr="00812E8B">
        <w:rPr>
          <w:i/>
          <w:iCs/>
          <w:lang w:val="en-US"/>
        </w:rPr>
        <w:t>Journal of Banking &amp; Finance, 31</w:t>
      </w:r>
      <w:r w:rsidRPr="00812E8B">
        <w:rPr>
          <w:lang w:val="en-US"/>
        </w:rPr>
        <w:t>(7), 2043-2063.</w:t>
      </w:r>
    </w:p>
    <w:p w:rsidR="00CB6D88" w:rsidRPr="00812E8B" w:rsidRDefault="00CB6D88" w:rsidP="00CB6D88">
      <w:pPr>
        <w:pStyle w:val="Bibliography"/>
        <w:ind w:left="720" w:hanging="720"/>
        <w:rPr>
          <w:lang w:val="en-US"/>
        </w:rPr>
      </w:pPr>
      <w:r w:rsidRPr="00812E8B">
        <w:rPr>
          <w:lang w:val="en-US"/>
        </w:rPr>
        <w:t xml:space="preserve">van Greuning, H., &amp; Bratanovic, S. B. (2009). </w:t>
      </w:r>
      <w:r w:rsidRPr="00812E8B">
        <w:rPr>
          <w:i/>
          <w:iCs/>
          <w:lang w:val="en-US"/>
        </w:rPr>
        <w:t>Analyzing Banking Risk: A Framework for Assessing Corporate Governance and Risk Management</w:t>
      </w:r>
      <w:r w:rsidRPr="00812E8B">
        <w:rPr>
          <w:lang w:val="en-US"/>
        </w:rPr>
        <w:t xml:space="preserve"> (3th ed.). Washington, D.C.: The World Bank.</w:t>
      </w:r>
    </w:p>
    <w:p w:rsidR="00CB6D88" w:rsidRPr="00812E8B" w:rsidRDefault="00CB6D88" w:rsidP="00CB6D88">
      <w:pPr>
        <w:pStyle w:val="Bibliography"/>
        <w:ind w:left="720" w:hanging="720"/>
        <w:rPr>
          <w:lang w:val="en-US"/>
        </w:rPr>
      </w:pPr>
      <w:r w:rsidRPr="00812E8B">
        <w:rPr>
          <w:lang w:val="en-US"/>
        </w:rPr>
        <w:t xml:space="preserve">Windmeijer, F. (2005). A finite sample correction for the variance of linear efficient two-step GMM estimators. </w:t>
      </w:r>
      <w:r w:rsidRPr="00812E8B">
        <w:rPr>
          <w:i/>
          <w:iCs/>
          <w:lang w:val="en-US"/>
        </w:rPr>
        <w:t>Journal of Econometrics, 126</w:t>
      </w:r>
      <w:r w:rsidRPr="00812E8B">
        <w:rPr>
          <w:lang w:val="en-US"/>
        </w:rPr>
        <w:t>(1), 25-51.</w:t>
      </w:r>
    </w:p>
    <w:p w:rsidR="0051754B" w:rsidRPr="00812E8B" w:rsidRDefault="00D46A7F" w:rsidP="00CB6D88">
      <w:pPr>
        <w:pStyle w:val="NoSpacing"/>
        <w:spacing w:line="276" w:lineRule="auto"/>
        <w:jc w:val="both"/>
        <w:rPr>
          <w:lang w:val="en-US"/>
        </w:rPr>
      </w:pPr>
      <w:r w:rsidRPr="00812E8B">
        <w:rPr>
          <w:lang w:val="en-US"/>
        </w:rPr>
        <w:fldChar w:fldCharType="end"/>
      </w:r>
    </w:p>
    <w:p w:rsidR="00D06E3C" w:rsidRPr="00812E8B" w:rsidRDefault="00D06E3C" w:rsidP="00CA68DA">
      <w:pPr>
        <w:pStyle w:val="NoSpacing"/>
        <w:jc w:val="both"/>
        <w:rPr>
          <w:lang w:val="en-US"/>
        </w:rPr>
      </w:pPr>
    </w:p>
    <w:p w:rsidR="00897A51" w:rsidRPr="00812E8B" w:rsidRDefault="00897A51" w:rsidP="00897A51">
      <w:pPr>
        <w:pStyle w:val="NoSpacing"/>
        <w:rPr>
          <w:lang w:val="en-US"/>
        </w:rPr>
      </w:pPr>
    </w:p>
    <w:p w:rsidR="00222499" w:rsidRPr="00812E8B" w:rsidRDefault="00222499">
      <w:pPr>
        <w:rPr>
          <w:lang w:val="en-US"/>
        </w:rPr>
      </w:pPr>
    </w:p>
    <w:p w:rsidR="00222499" w:rsidRPr="00812E8B" w:rsidRDefault="00222499">
      <w:pPr>
        <w:rPr>
          <w:lang w:val="en-US"/>
        </w:rPr>
        <w:sectPr w:rsidR="00222499" w:rsidRPr="00812E8B" w:rsidSect="00D911B8">
          <w:headerReference w:type="default" r:id="rId37"/>
          <w:headerReference w:type="first" r:id="rId38"/>
          <w:endnotePr>
            <w:numFmt w:val="decimal"/>
          </w:endnotePr>
          <w:pgSz w:w="11906" w:h="16838"/>
          <w:pgMar w:top="1417" w:right="1417" w:bottom="1417" w:left="1417" w:header="708" w:footer="708" w:gutter="0"/>
          <w:cols w:space="708"/>
          <w:titlePg/>
          <w:docGrid w:linePitch="360"/>
        </w:sectPr>
      </w:pPr>
    </w:p>
    <w:p w:rsidR="00DD0AF4" w:rsidRPr="00812E8B" w:rsidRDefault="005B2B6F" w:rsidP="00C468F1">
      <w:pPr>
        <w:pStyle w:val="Heading1"/>
        <w:jc w:val="left"/>
        <w:rPr>
          <w:lang w:val="en-US"/>
        </w:rPr>
      </w:pPr>
      <w:bookmarkStart w:id="47" w:name="_Toc306359661"/>
      <w:r w:rsidRPr="00812E8B">
        <w:rPr>
          <w:color w:val="auto"/>
          <w:lang w:val="en-US"/>
        </w:rPr>
        <w:lastRenderedPageBreak/>
        <w:t>A</w:t>
      </w:r>
      <w:r w:rsidR="004C6A5F" w:rsidRPr="00812E8B">
        <w:rPr>
          <w:color w:val="auto"/>
          <w:sz w:val="30"/>
          <w:szCs w:val="30"/>
          <w:lang w:val="en-US"/>
        </w:rPr>
        <w:t>PPENDICES</w:t>
      </w:r>
      <w:bookmarkEnd w:id="47"/>
    </w:p>
    <w:p w:rsidR="00D24E12" w:rsidRPr="00812E8B" w:rsidRDefault="00D24E12" w:rsidP="00D24E12">
      <w:pPr>
        <w:pStyle w:val="NoSpacing"/>
        <w:rPr>
          <w:lang w:val="en-US"/>
        </w:rPr>
      </w:pPr>
      <w:bookmarkStart w:id="48" w:name="_Ref295729643"/>
    </w:p>
    <w:p w:rsidR="00751F57" w:rsidRPr="00812E8B" w:rsidRDefault="00751F57" w:rsidP="00CE1B03">
      <w:pPr>
        <w:pStyle w:val="Heading2"/>
        <w:jc w:val="both"/>
        <w:rPr>
          <w:color w:val="auto"/>
          <w:lang w:val="en-US"/>
        </w:rPr>
      </w:pPr>
      <w:bookmarkStart w:id="49" w:name="_Toc306359662"/>
      <w:r w:rsidRPr="00812E8B">
        <w:rPr>
          <w:color w:val="auto"/>
          <w:lang w:val="en-US"/>
        </w:rPr>
        <w:t>I</w:t>
      </w:r>
      <w:r w:rsidR="00413EC5" w:rsidRPr="00812E8B">
        <w:rPr>
          <w:color w:val="auto"/>
          <w:lang w:val="en-US"/>
        </w:rPr>
        <w:t>.</w:t>
      </w:r>
      <w:r w:rsidRPr="00812E8B">
        <w:rPr>
          <w:color w:val="auto"/>
          <w:lang w:val="en-US"/>
        </w:rPr>
        <w:t xml:space="preserve"> R</w:t>
      </w:r>
      <w:r w:rsidR="00937B13" w:rsidRPr="00812E8B">
        <w:rPr>
          <w:color w:val="auto"/>
          <w:sz w:val="20"/>
          <w:szCs w:val="20"/>
          <w:lang w:val="en-US"/>
        </w:rPr>
        <w:t>ABOBANK</w:t>
      </w:r>
      <w:bookmarkEnd w:id="48"/>
      <w:r w:rsidR="00937B13" w:rsidRPr="00812E8B">
        <w:rPr>
          <w:color w:val="auto"/>
          <w:sz w:val="20"/>
          <w:szCs w:val="20"/>
          <w:lang w:val="en-US"/>
        </w:rPr>
        <w:t xml:space="preserve"> </w:t>
      </w:r>
      <w:r w:rsidR="00937B13" w:rsidRPr="00812E8B">
        <w:rPr>
          <w:color w:val="auto"/>
          <w:szCs w:val="24"/>
          <w:lang w:val="en-US"/>
        </w:rPr>
        <w:t>G</w:t>
      </w:r>
      <w:r w:rsidR="00937B13" w:rsidRPr="00812E8B">
        <w:rPr>
          <w:color w:val="auto"/>
          <w:sz w:val="20"/>
          <w:szCs w:val="20"/>
          <w:lang w:val="en-US"/>
        </w:rPr>
        <w:t>ROUP</w:t>
      </w:r>
      <w:bookmarkEnd w:id="49"/>
    </w:p>
    <w:p w:rsidR="00B4115A" w:rsidRPr="00812E8B" w:rsidRDefault="00A32783" w:rsidP="00CE1B03">
      <w:pPr>
        <w:pStyle w:val="NoSpacing"/>
        <w:spacing w:line="276" w:lineRule="auto"/>
        <w:jc w:val="both"/>
        <w:rPr>
          <w:lang w:val="en-US"/>
        </w:rPr>
      </w:pPr>
      <w:r w:rsidRPr="00812E8B">
        <w:rPr>
          <w:lang w:val="en-US"/>
        </w:rPr>
        <w:t>This thesis is the external and academic part of my internship at Rabobank Nederland,</w:t>
      </w:r>
      <w:r w:rsidR="000861D2" w:rsidRPr="00812E8B">
        <w:rPr>
          <w:lang w:val="en-US"/>
        </w:rPr>
        <w:t xml:space="preserve"> therefore</w:t>
      </w:r>
      <w:r w:rsidR="00B4115A" w:rsidRPr="00812E8B">
        <w:rPr>
          <w:lang w:val="en-US"/>
        </w:rPr>
        <w:t xml:space="preserve"> this organization is briefly described. Several findings from a study during this internship helped in explaining relationships found in the empirical part of this research. </w:t>
      </w:r>
    </w:p>
    <w:p w:rsidR="00B4115A" w:rsidRPr="00812E8B" w:rsidRDefault="00B4115A" w:rsidP="00CE1B03">
      <w:pPr>
        <w:pStyle w:val="NoSpacing"/>
        <w:spacing w:line="276" w:lineRule="auto"/>
        <w:jc w:val="both"/>
        <w:rPr>
          <w:lang w:val="en-US"/>
        </w:rPr>
      </w:pPr>
    </w:p>
    <w:p w:rsidR="00A32783" w:rsidRPr="00812E8B" w:rsidRDefault="00A32783" w:rsidP="00CE1B03">
      <w:pPr>
        <w:pStyle w:val="NoSpacing"/>
        <w:spacing w:line="276" w:lineRule="auto"/>
        <w:jc w:val="both"/>
        <w:rPr>
          <w:lang w:val="en-US"/>
        </w:rPr>
      </w:pPr>
      <w:r w:rsidRPr="00812E8B">
        <w:rPr>
          <w:lang w:val="en-US"/>
        </w:rPr>
        <w:t xml:space="preserve">Rabobank Group is a </w:t>
      </w:r>
      <w:r w:rsidR="000B5991" w:rsidRPr="00812E8B">
        <w:rPr>
          <w:lang w:val="en-US"/>
        </w:rPr>
        <w:t>co-operative international fi</w:t>
      </w:r>
      <w:r w:rsidRPr="00812E8B">
        <w:rPr>
          <w:lang w:val="en-US"/>
        </w:rPr>
        <w:t>nancial service provider and the largest bank with a Triple-AAA rating.</w:t>
      </w:r>
      <w:r w:rsidR="00477FA1" w:rsidRPr="00812E8B">
        <w:rPr>
          <w:lang w:val="en-US"/>
        </w:rPr>
        <w:t xml:space="preserve"> Thereby the group belongs to the thirty largest international banks according to </w:t>
      </w:r>
      <w:r w:rsidR="00304525" w:rsidRPr="00812E8B">
        <w:rPr>
          <w:color w:val="365F91" w:themeColor="accent1" w:themeShade="BF"/>
          <w:lang w:val="en-US"/>
        </w:rPr>
        <w:t>The Banker (2010)</w:t>
      </w:r>
      <w:r w:rsidR="00477FA1" w:rsidRPr="00812E8B">
        <w:rPr>
          <w:lang w:val="en-US"/>
        </w:rPr>
        <w:t>, with respect to regulatory tier capital. Rabobank Group offers a broad range of activities such as retail banking, wholesale banking, asset management, leasing and real estate</w:t>
      </w:r>
      <w:r w:rsidR="00B4115A" w:rsidRPr="00812E8B">
        <w:rPr>
          <w:lang w:val="en-US"/>
        </w:rPr>
        <w:t xml:space="preserve">. Moreover, the focus of the Rabobank Group traditionally focuses on </w:t>
      </w:r>
      <w:r w:rsidRPr="00812E8B">
        <w:rPr>
          <w:lang w:val="en-US"/>
        </w:rPr>
        <w:t xml:space="preserve">the food &amp; agribusiness, especially on the Dutch market. </w:t>
      </w:r>
    </w:p>
    <w:p w:rsidR="006B3340" w:rsidRPr="00812E8B" w:rsidRDefault="006B3340" w:rsidP="00CE1B03">
      <w:pPr>
        <w:pStyle w:val="NoSpacing"/>
        <w:spacing w:line="276" w:lineRule="auto"/>
        <w:jc w:val="both"/>
        <w:rPr>
          <w:lang w:val="en-US"/>
        </w:rPr>
      </w:pPr>
    </w:p>
    <w:p w:rsidR="00A32783" w:rsidRPr="00812E8B" w:rsidRDefault="00413EC5" w:rsidP="00920C27">
      <w:pPr>
        <w:pStyle w:val="Caption"/>
        <w:rPr>
          <w:lang w:val="en-US"/>
        </w:rPr>
      </w:pPr>
      <w:bookmarkStart w:id="50" w:name="_Toc305410563"/>
      <w:bookmarkStart w:id="51" w:name="_Ref295477244"/>
      <w:r w:rsidRPr="00812E8B">
        <w:rPr>
          <w:noProof/>
          <w:lang w:val="en-US" w:eastAsia="en-US"/>
        </w:rPr>
        <w:drawing>
          <wp:anchor distT="0" distB="0" distL="114300" distR="114300" simplePos="0" relativeHeight="251655168" behindDoc="1" locked="0" layoutInCell="1" allowOverlap="1">
            <wp:simplePos x="0" y="0"/>
            <wp:positionH relativeFrom="column">
              <wp:posOffset>157108</wp:posOffset>
            </wp:positionH>
            <wp:positionV relativeFrom="paragraph">
              <wp:posOffset>323462</wp:posOffset>
            </wp:positionV>
            <wp:extent cx="5640779" cy="3855073"/>
            <wp:effectExtent l="19050" t="0" r="0" b="0"/>
            <wp:wrapNone/>
            <wp:docPr id="407" name="Afbeelding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9" cstate="print">
                      <a:grayscl/>
                    </a:blip>
                    <a:srcRect/>
                    <a:stretch>
                      <a:fillRect/>
                    </a:stretch>
                  </pic:blipFill>
                  <pic:spPr bwMode="auto">
                    <a:xfrm>
                      <a:off x="0" y="0"/>
                      <a:ext cx="5640779" cy="3855073"/>
                    </a:xfrm>
                    <a:prstGeom prst="rect">
                      <a:avLst/>
                    </a:prstGeom>
                    <a:noFill/>
                    <a:ln w="9525">
                      <a:noFill/>
                      <a:miter lim="800000"/>
                      <a:headEnd/>
                      <a:tailEnd/>
                    </a:ln>
                  </pic:spPr>
                </pic:pic>
              </a:graphicData>
            </a:graphic>
          </wp:anchor>
        </w:drawing>
      </w:r>
      <w:r w:rsidR="00A32783" w:rsidRPr="00812E8B">
        <w:rPr>
          <w:lang w:val="en-US"/>
        </w:rPr>
        <w:t xml:space="preserve">Figure </w:t>
      </w:r>
      <w:r w:rsidR="00D46A7F" w:rsidRPr="00812E8B">
        <w:rPr>
          <w:lang w:val="en-US"/>
        </w:rPr>
        <w:fldChar w:fldCharType="begin"/>
      </w:r>
      <w:r w:rsidR="00A32783" w:rsidRPr="00812E8B">
        <w:rPr>
          <w:lang w:val="en-US"/>
        </w:rPr>
        <w:instrText xml:space="preserve"> SEQ Figure \* ARABIC </w:instrText>
      </w:r>
      <w:r w:rsidR="00D46A7F" w:rsidRPr="00812E8B">
        <w:rPr>
          <w:lang w:val="en-US"/>
        </w:rPr>
        <w:fldChar w:fldCharType="separate"/>
      </w:r>
      <w:r w:rsidR="00DD7D45">
        <w:rPr>
          <w:noProof/>
          <w:lang w:val="en-US"/>
        </w:rPr>
        <w:t>1</w:t>
      </w:r>
      <w:r w:rsidR="00D46A7F" w:rsidRPr="00812E8B">
        <w:rPr>
          <w:lang w:val="en-US"/>
        </w:rPr>
        <w:fldChar w:fldCharType="end"/>
      </w:r>
      <w:r w:rsidR="00A32783" w:rsidRPr="00812E8B">
        <w:rPr>
          <w:lang w:val="en-US"/>
        </w:rPr>
        <w:t xml:space="preserve"> </w:t>
      </w:r>
      <w:r w:rsidR="006B3340" w:rsidRPr="00812E8B">
        <w:rPr>
          <w:lang w:val="en-US"/>
        </w:rPr>
        <w:br/>
      </w:r>
      <w:r w:rsidR="006B3340" w:rsidRPr="00812E8B">
        <w:rPr>
          <w:b w:val="0"/>
          <w:color w:val="auto"/>
          <w:lang w:val="en-US"/>
        </w:rPr>
        <w:t>Organizational structure Rabobank Group</w:t>
      </w:r>
      <w:bookmarkEnd w:id="50"/>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920C27" w:rsidRPr="00812E8B" w:rsidRDefault="00920C27" w:rsidP="00920C27">
      <w:pPr>
        <w:pStyle w:val="NoSpacing"/>
        <w:rPr>
          <w:lang w:val="en-US"/>
        </w:rPr>
      </w:pPr>
    </w:p>
    <w:p w:rsidR="006B3340" w:rsidRPr="00812E8B" w:rsidRDefault="006B3340" w:rsidP="00AB0DBB">
      <w:pPr>
        <w:pStyle w:val="NoSpacing"/>
        <w:spacing w:line="276" w:lineRule="auto"/>
        <w:rPr>
          <w:sz w:val="18"/>
          <w:szCs w:val="18"/>
          <w:lang w:val="en-US"/>
        </w:rPr>
      </w:pPr>
    </w:p>
    <w:p w:rsidR="006B3340" w:rsidRPr="00812E8B" w:rsidRDefault="006B3340" w:rsidP="00AB0DBB">
      <w:pPr>
        <w:pStyle w:val="NoSpacing"/>
        <w:spacing w:line="276" w:lineRule="auto"/>
        <w:rPr>
          <w:sz w:val="18"/>
          <w:szCs w:val="18"/>
          <w:lang w:val="en-US"/>
        </w:rPr>
      </w:pPr>
    </w:p>
    <w:p w:rsidR="00413EC5" w:rsidRPr="00812E8B" w:rsidRDefault="00413EC5" w:rsidP="00AB0DBB">
      <w:pPr>
        <w:pStyle w:val="NoSpacing"/>
        <w:spacing w:line="276" w:lineRule="auto"/>
        <w:rPr>
          <w:sz w:val="8"/>
          <w:szCs w:val="8"/>
          <w:lang w:val="en-US"/>
        </w:rPr>
      </w:pPr>
    </w:p>
    <w:p w:rsidR="006B3340" w:rsidRPr="00812E8B" w:rsidRDefault="006B3340" w:rsidP="00AB0DBB">
      <w:pPr>
        <w:pStyle w:val="NoSpacing"/>
        <w:spacing w:line="276" w:lineRule="auto"/>
        <w:rPr>
          <w:sz w:val="18"/>
          <w:szCs w:val="18"/>
          <w:lang w:val="en-US"/>
        </w:rPr>
      </w:pPr>
      <w:r w:rsidRPr="00812E8B">
        <w:rPr>
          <w:sz w:val="18"/>
          <w:szCs w:val="18"/>
          <w:lang w:val="en-US"/>
        </w:rPr>
        <w:t xml:space="preserve">Source:  </w:t>
      </w:r>
      <w:r w:rsidR="00304525" w:rsidRPr="00812E8B">
        <w:rPr>
          <w:color w:val="365F91" w:themeColor="accent1" w:themeShade="BF"/>
          <w:sz w:val="18"/>
          <w:szCs w:val="18"/>
          <w:lang w:val="en-US"/>
        </w:rPr>
        <w:t xml:space="preserve">Rabboank Group </w:t>
      </w:r>
      <w:r w:rsidRPr="00812E8B">
        <w:rPr>
          <w:color w:val="365F91" w:themeColor="accent1" w:themeShade="BF"/>
          <w:sz w:val="18"/>
          <w:szCs w:val="18"/>
          <w:lang w:val="en-US"/>
        </w:rPr>
        <w:t>(Annual Report 2010)</w:t>
      </w:r>
    </w:p>
    <w:p w:rsidR="006B3340" w:rsidRPr="00812E8B" w:rsidRDefault="006B3340" w:rsidP="006B3340">
      <w:pPr>
        <w:pStyle w:val="NoSpacing"/>
        <w:spacing w:line="276" w:lineRule="auto"/>
        <w:rPr>
          <w:color w:val="365F91" w:themeColor="accent1" w:themeShade="BF"/>
          <w:sz w:val="18"/>
          <w:szCs w:val="18"/>
          <w:lang w:val="en-US"/>
        </w:rPr>
      </w:pPr>
      <w:r w:rsidRPr="00812E8B">
        <w:rPr>
          <w:sz w:val="18"/>
          <w:szCs w:val="18"/>
          <w:lang w:val="en-US"/>
        </w:rPr>
        <w:t xml:space="preserve">Note(s): The  upper part of the figure presents Rabobank Nederland and its owners (local banks and members), while the upper part present the subsidiaries of Rabobank Nederland. </w:t>
      </w:r>
    </w:p>
    <w:p w:rsidR="006B3340" w:rsidRPr="00812E8B" w:rsidRDefault="006B3340" w:rsidP="00D24E12">
      <w:pPr>
        <w:pStyle w:val="NoSpacing"/>
        <w:spacing w:line="276" w:lineRule="auto"/>
        <w:jc w:val="both"/>
        <w:rPr>
          <w:color w:val="365F91" w:themeColor="accent1" w:themeShade="BF"/>
          <w:lang w:val="en-US"/>
        </w:rPr>
      </w:pPr>
    </w:p>
    <w:p w:rsidR="00920C27" w:rsidRPr="00812E8B" w:rsidRDefault="006B3340" w:rsidP="006B3340">
      <w:pPr>
        <w:pStyle w:val="NoSpacing"/>
        <w:spacing w:line="276" w:lineRule="auto"/>
        <w:jc w:val="both"/>
        <w:rPr>
          <w:lang w:val="en-US"/>
        </w:rPr>
      </w:pPr>
      <w:r w:rsidRPr="00812E8B">
        <w:rPr>
          <w:lang w:val="en-US"/>
        </w:rPr>
        <w:t xml:space="preserve">The Rabobank Group consist of Rabobank Nederland and its subsidiaries (e.g. Robeco, Obvion, Eureko, de Lage Landen) as well as 143 local banks, which are both members and shareholders of Rabobank Nederland. Rabobank Nederland is the umbrella organization of the group; supporting and advising local banks. Furthermore, Rabobank Nederland ensures that the Group fulfills the solvency, </w:t>
      </w:r>
      <w:r w:rsidRPr="00812E8B">
        <w:rPr>
          <w:lang w:val="en-US"/>
        </w:rPr>
        <w:lastRenderedPageBreak/>
        <w:t xml:space="preserve">liquidity and other requirements from the international banking regulation as required by the Dutch central bank. The internship was followed at the Group Risk Management and more specifically in the Balance Sheet Risk team. This department monitors the solvency and liquidity of the banking group and directly reports to the Dutch central bank. The internship highlighted the importance of the balance sheet structure in current risk management and regulation. The aim of this thesis is to show the determinants of profitability but also look more closely on how balance sheet structure and ratios relate to the profitability.  </w:t>
      </w:r>
    </w:p>
    <w:p w:rsidR="006B3340" w:rsidRPr="00812E8B" w:rsidRDefault="006B3340" w:rsidP="00D24E12">
      <w:pPr>
        <w:pStyle w:val="NoSpacing"/>
        <w:spacing w:line="276" w:lineRule="auto"/>
        <w:jc w:val="both"/>
        <w:rPr>
          <w:lang w:val="en-US"/>
        </w:rPr>
      </w:pPr>
    </w:p>
    <w:p w:rsidR="008547DA" w:rsidRPr="00812E8B" w:rsidRDefault="00751F57" w:rsidP="00CE1B03">
      <w:pPr>
        <w:pStyle w:val="Heading2"/>
        <w:jc w:val="both"/>
        <w:rPr>
          <w:color w:val="auto"/>
          <w:lang w:val="en-US"/>
        </w:rPr>
      </w:pPr>
      <w:bookmarkStart w:id="52" w:name="_Ref296086362"/>
      <w:bookmarkStart w:id="53" w:name="_Toc306359663"/>
      <w:r w:rsidRPr="00812E8B">
        <w:rPr>
          <w:color w:val="auto"/>
          <w:lang w:val="en-US"/>
        </w:rPr>
        <w:t>II</w:t>
      </w:r>
      <w:r w:rsidR="00413EC5" w:rsidRPr="00812E8B">
        <w:rPr>
          <w:color w:val="auto"/>
          <w:lang w:val="en-US"/>
        </w:rPr>
        <w:t>.</w:t>
      </w:r>
      <w:r w:rsidRPr="00812E8B">
        <w:rPr>
          <w:color w:val="auto"/>
          <w:lang w:val="en-US"/>
        </w:rPr>
        <w:t xml:space="preserve"> B</w:t>
      </w:r>
      <w:r w:rsidR="00937B13" w:rsidRPr="00812E8B">
        <w:rPr>
          <w:color w:val="auto"/>
          <w:sz w:val="20"/>
          <w:szCs w:val="20"/>
          <w:lang w:val="en-US"/>
        </w:rPr>
        <w:t>ASEL REGULATION</w:t>
      </w:r>
      <w:bookmarkEnd w:id="51"/>
      <w:bookmarkEnd w:id="52"/>
      <w:bookmarkEnd w:id="53"/>
    </w:p>
    <w:p w:rsidR="004F3C24" w:rsidRPr="00812E8B" w:rsidRDefault="00CD484B" w:rsidP="00CE1B03">
      <w:pPr>
        <w:pStyle w:val="NoSpacing"/>
        <w:spacing w:line="276" w:lineRule="auto"/>
        <w:jc w:val="both"/>
        <w:rPr>
          <w:lang w:val="en-US"/>
        </w:rPr>
      </w:pPr>
      <w:r w:rsidRPr="00812E8B">
        <w:rPr>
          <w:lang w:val="en-US"/>
        </w:rPr>
        <w:t>Chapter two briefly discussed the international convergence of banking regulation and supervision. Moreover, this appendix will further explain concepts and definitions which are not presented in the main text.</w:t>
      </w:r>
      <w:r w:rsidR="004F3C24" w:rsidRPr="00812E8B">
        <w:rPr>
          <w:lang w:val="en-US"/>
        </w:rPr>
        <w:t xml:space="preserve"> This appendix starts with describing the different tiers on which the minimum capital requirements are based. Followed by an outline of the three-pill</w:t>
      </w:r>
      <w:r w:rsidR="00DB1B5C" w:rsidRPr="00812E8B">
        <w:rPr>
          <w:lang w:val="en-US"/>
        </w:rPr>
        <w:t>ar system on which the Basel framework relies.</w:t>
      </w:r>
      <w:r w:rsidR="004F3C24" w:rsidRPr="00812E8B">
        <w:rPr>
          <w:lang w:val="en-US"/>
        </w:rPr>
        <w:t xml:space="preserve"> </w:t>
      </w:r>
      <w:r w:rsidRPr="00812E8B">
        <w:rPr>
          <w:lang w:val="en-US"/>
        </w:rPr>
        <w:t xml:space="preserve"> </w:t>
      </w:r>
    </w:p>
    <w:p w:rsidR="004F3C24" w:rsidRPr="00812E8B" w:rsidRDefault="004F3C24" w:rsidP="00CE1B03">
      <w:pPr>
        <w:pStyle w:val="NoSpacing"/>
        <w:spacing w:line="276" w:lineRule="auto"/>
        <w:jc w:val="both"/>
        <w:rPr>
          <w:lang w:val="en-US"/>
        </w:rPr>
      </w:pPr>
    </w:p>
    <w:p w:rsidR="00CD484B" w:rsidRPr="00812E8B" w:rsidRDefault="00CD484B" w:rsidP="00CE1B03">
      <w:pPr>
        <w:pStyle w:val="NoSpacing"/>
        <w:spacing w:line="276" w:lineRule="auto"/>
        <w:jc w:val="both"/>
        <w:rPr>
          <w:lang w:val="en-US"/>
        </w:rPr>
      </w:pPr>
      <w:r w:rsidRPr="00812E8B">
        <w:rPr>
          <w:lang w:val="en-US"/>
        </w:rPr>
        <w:t xml:space="preserve">In 1988, the Basel Committee on Banking Supervision introduced the first Basel framework consisting of minimum capital requirements on credit risk. Capital adequacy in this way is prescribed as 8% of risk-weighted assets, of which capital </w:t>
      </w:r>
      <w:r w:rsidR="00DB1B5C" w:rsidRPr="00812E8B">
        <w:rPr>
          <w:lang w:val="en-US"/>
        </w:rPr>
        <w:t xml:space="preserve">base </w:t>
      </w:r>
      <w:r w:rsidRPr="00812E8B">
        <w:rPr>
          <w:lang w:val="en-US"/>
        </w:rPr>
        <w:t>is divided into different tiers. The first tier is the most reliable and consistent form of equity financing and common to all countries’ banking systems</w:t>
      </w:r>
      <w:r w:rsidR="00DB1B5C" w:rsidRPr="00812E8B">
        <w:rPr>
          <w:lang w:val="en-US"/>
        </w:rPr>
        <w:t xml:space="preserve"> </w:t>
      </w:r>
      <w:r w:rsidR="00304525" w:rsidRPr="00812E8B">
        <w:rPr>
          <w:color w:val="365F91" w:themeColor="accent1" w:themeShade="BF"/>
          <w:lang w:val="en-US"/>
        </w:rPr>
        <w:t>(Basel Committee, 1988)</w:t>
      </w:r>
      <w:r w:rsidRPr="00812E8B">
        <w:rPr>
          <w:lang w:val="en-US"/>
        </w:rPr>
        <w:t xml:space="preserve">. Tier 1 consists of issued share capital and retained earnings. The second tier is a supplementary form of equity financing and historically differs between countries. Undisclosed reserves, revaluation reserves and general loan-loss reserves and provisions form Tier 2 capital. Chapter two already pointed out that market risks were incorporated in Basel I as from 1997. With the introduction of market </w:t>
      </w:r>
      <w:r w:rsidR="004F3C24" w:rsidRPr="00812E8B">
        <w:rPr>
          <w:lang w:val="en-US"/>
        </w:rPr>
        <w:t>risks,</w:t>
      </w:r>
      <w:r w:rsidRPr="00812E8B">
        <w:rPr>
          <w:lang w:val="en-US"/>
        </w:rPr>
        <w:t xml:space="preserve"> the Basel Committee </w:t>
      </w:r>
      <w:r w:rsidR="004F3C24" w:rsidRPr="00812E8B">
        <w:rPr>
          <w:lang w:val="en-US"/>
        </w:rPr>
        <w:t>also designed a third tier. Tier 3 consists of short-term subordinated and is only applicable to market risks</w:t>
      </w:r>
      <w:r w:rsidR="005F6D22" w:rsidRPr="00812E8B">
        <w:rPr>
          <w:lang w:val="en-US"/>
        </w:rPr>
        <w:t xml:space="preserve"> </w:t>
      </w:r>
      <w:r w:rsidR="00304525" w:rsidRPr="00812E8B">
        <w:rPr>
          <w:color w:val="365F91" w:themeColor="accent1" w:themeShade="BF"/>
          <w:lang w:val="en-US"/>
        </w:rPr>
        <w:t>(Basel Committee on Banking Supervision, 1997)</w:t>
      </w:r>
      <w:r w:rsidR="004F3C24" w:rsidRPr="00812E8B">
        <w:rPr>
          <w:lang w:val="en-US"/>
        </w:rPr>
        <w:t xml:space="preserve">, with the introduction of Basel III this tier is deleted from the framework. </w:t>
      </w:r>
      <w:r w:rsidR="00180327" w:rsidRPr="00812E8B">
        <w:rPr>
          <w:lang w:val="en-US"/>
        </w:rPr>
        <w:t xml:space="preserve">Furthermore, Tier 2 is restricted to 100% of Tier 1, half of the capital requirement of 8% should contain of Tier 1 capital.    </w:t>
      </w:r>
    </w:p>
    <w:p w:rsidR="005F6D22" w:rsidRPr="00812E8B" w:rsidRDefault="005F6D22" w:rsidP="00CE1B03">
      <w:pPr>
        <w:pStyle w:val="NoSpacing"/>
        <w:spacing w:line="276" w:lineRule="auto"/>
        <w:jc w:val="both"/>
        <w:rPr>
          <w:lang w:val="en-US"/>
        </w:rPr>
      </w:pPr>
    </w:p>
    <w:p w:rsidR="005F6D22" w:rsidRPr="00812E8B" w:rsidRDefault="004F3C24" w:rsidP="00CE1B03">
      <w:pPr>
        <w:pStyle w:val="NoSpacing"/>
        <w:spacing w:line="276" w:lineRule="auto"/>
        <w:jc w:val="both"/>
        <w:rPr>
          <w:lang w:val="en-US"/>
        </w:rPr>
      </w:pPr>
      <w:r w:rsidRPr="00812E8B">
        <w:rPr>
          <w:lang w:val="en-US"/>
        </w:rPr>
        <w:t>Besides the inclusion of different equity forms into t</w:t>
      </w:r>
      <w:r w:rsidR="006B3340" w:rsidRPr="00812E8B">
        <w:rPr>
          <w:lang w:val="en-US"/>
        </w:rPr>
        <w:t>h</w:t>
      </w:r>
      <w:r w:rsidRPr="00812E8B">
        <w:rPr>
          <w:lang w:val="en-US"/>
        </w:rPr>
        <w:t xml:space="preserve">ree capital tiers, banks must also made some deductions from the capital base. From the first tier goodwill should be deducted and investments in </w:t>
      </w:r>
      <w:r w:rsidR="00180327" w:rsidRPr="00812E8B">
        <w:rPr>
          <w:lang w:val="en-US"/>
        </w:rPr>
        <w:t>subsidiaries, which are not consolidated in the banking statements,</w:t>
      </w:r>
      <w:r w:rsidRPr="00812E8B">
        <w:rPr>
          <w:lang w:val="en-US"/>
        </w:rPr>
        <w:t xml:space="preserve"> </w:t>
      </w:r>
      <w:r w:rsidR="00180327" w:rsidRPr="00812E8B">
        <w:rPr>
          <w:lang w:val="en-US"/>
        </w:rPr>
        <w:t>should</w:t>
      </w:r>
      <w:r w:rsidRPr="00812E8B">
        <w:rPr>
          <w:lang w:val="en-US"/>
        </w:rPr>
        <w:t xml:space="preserve"> be deducted from the capital base. </w:t>
      </w:r>
      <w:r w:rsidR="00180327" w:rsidRPr="00812E8B">
        <w:rPr>
          <w:lang w:val="en-US"/>
        </w:rPr>
        <w:t>Finally,</w:t>
      </w:r>
      <w:r w:rsidRPr="00812E8B">
        <w:rPr>
          <w:lang w:val="en-US"/>
        </w:rPr>
        <w:t xml:space="preserve"> as the capital base is determined, banks have to calculate the risk-weighted assets (RWA). In Basel I, RWA is </w:t>
      </w:r>
      <w:r w:rsidR="00180327" w:rsidRPr="00812E8B">
        <w:rPr>
          <w:lang w:val="en-US"/>
        </w:rPr>
        <w:t>calculated by distinguish</w:t>
      </w:r>
      <w:r w:rsidR="005F6D22" w:rsidRPr="00812E8B">
        <w:rPr>
          <w:lang w:val="en-US"/>
        </w:rPr>
        <w:t>ing</w:t>
      </w:r>
      <w:r w:rsidR="00180327" w:rsidRPr="00812E8B">
        <w:rPr>
          <w:lang w:val="en-US"/>
        </w:rPr>
        <w:t xml:space="preserve"> different types of asset classes weighted according to their relative riskiness </w:t>
      </w:r>
      <w:r w:rsidR="00304525" w:rsidRPr="00812E8B">
        <w:rPr>
          <w:color w:val="365F91" w:themeColor="accent1" w:themeShade="BF"/>
          <w:lang w:val="en-US"/>
        </w:rPr>
        <w:t>(Basel Committee, 1988)</w:t>
      </w:r>
      <w:r w:rsidR="00180327" w:rsidRPr="00812E8B">
        <w:rPr>
          <w:lang w:val="en-US"/>
        </w:rPr>
        <w:t>. Before the revisions of the original Basel accord in 1997, only risk weights</w:t>
      </w:r>
      <w:r w:rsidR="005F6D22" w:rsidRPr="00812E8B">
        <w:rPr>
          <w:lang w:val="en-US"/>
        </w:rPr>
        <w:t xml:space="preserve"> were</w:t>
      </w:r>
      <w:r w:rsidR="00180327" w:rsidRPr="00812E8B">
        <w:rPr>
          <w:lang w:val="en-US"/>
        </w:rPr>
        <w:t xml:space="preserve"> </w:t>
      </w:r>
      <w:r w:rsidR="005F6D22" w:rsidRPr="00812E8B">
        <w:rPr>
          <w:lang w:val="en-US"/>
        </w:rPr>
        <w:t xml:space="preserve">based </w:t>
      </w:r>
      <w:r w:rsidR="00180327" w:rsidRPr="00812E8B">
        <w:rPr>
          <w:lang w:val="en-US"/>
        </w:rPr>
        <w:t xml:space="preserve">on credit risk exposure, the risk that </w:t>
      </w:r>
      <w:r w:rsidR="005F6D22" w:rsidRPr="00812E8B">
        <w:rPr>
          <w:lang w:val="en-US"/>
        </w:rPr>
        <w:t>counterparty</w:t>
      </w:r>
      <w:r w:rsidR="00180327" w:rsidRPr="00812E8B">
        <w:rPr>
          <w:lang w:val="en-US"/>
        </w:rPr>
        <w:t xml:space="preserve"> does not meet its repayment obligations. From then on</w:t>
      </w:r>
      <w:r w:rsidR="005F6D22" w:rsidRPr="00812E8B">
        <w:rPr>
          <w:lang w:val="en-US"/>
        </w:rPr>
        <w:t>,</w:t>
      </w:r>
      <w:r w:rsidR="00180327" w:rsidRPr="00812E8B">
        <w:rPr>
          <w:lang w:val="en-US"/>
        </w:rPr>
        <w:t xml:space="preserve"> risk-weights for market risks</w:t>
      </w:r>
      <w:r w:rsidR="005F6D22" w:rsidRPr="00812E8B">
        <w:rPr>
          <w:lang w:val="en-US"/>
        </w:rPr>
        <w:t xml:space="preserve"> are incorporated</w:t>
      </w:r>
      <w:r w:rsidR="00180327" w:rsidRPr="00812E8B">
        <w:rPr>
          <w:lang w:val="en-US"/>
        </w:rPr>
        <w:t xml:space="preserve"> but </w:t>
      </w:r>
      <w:r w:rsidR="005F6D22" w:rsidRPr="00812E8B">
        <w:rPr>
          <w:lang w:val="en-US"/>
        </w:rPr>
        <w:t xml:space="preserve">were </w:t>
      </w:r>
      <w:r w:rsidR="00180327" w:rsidRPr="00812E8B">
        <w:rPr>
          <w:lang w:val="en-US"/>
        </w:rPr>
        <w:t>still based on calculation methods described in the accord. With the introduction of Basel II banks are also permitted to use internal calculation procedures to determine the risk weighted assets.</w:t>
      </w:r>
    </w:p>
    <w:p w:rsidR="00D24E12" w:rsidRPr="00812E8B" w:rsidRDefault="00D24E12" w:rsidP="00AB0DBB">
      <w:pPr>
        <w:pStyle w:val="NoSpacing"/>
        <w:jc w:val="both"/>
        <w:rPr>
          <w:lang w:val="en-US"/>
        </w:rPr>
      </w:pPr>
    </w:p>
    <w:p w:rsidR="00AB0DBB" w:rsidRPr="00812E8B" w:rsidRDefault="00AB0DBB" w:rsidP="00AB0DBB">
      <w:pPr>
        <w:pStyle w:val="NoSpacing"/>
        <w:spacing w:line="276" w:lineRule="auto"/>
        <w:jc w:val="both"/>
        <w:rPr>
          <w:lang w:val="en-US"/>
        </w:rPr>
      </w:pPr>
      <w:r w:rsidRPr="00812E8B">
        <w:rPr>
          <w:lang w:val="en-US"/>
        </w:rPr>
        <w:t xml:space="preserve">In 2004, the Basel Committee on Banking Supervision introduced a major revision to the original framework </w:t>
      </w:r>
      <w:r w:rsidR="00304525" w:rsidRPr="00812E8B">
        <w:rPr>
          <w:color w:val="365F91" w:themeColor="accent1" w:themeShade="BF"/>
          <w:lang w:val="en-US"/>
        </w:rPr>
        <w:t>(Basel Committee on Banking Supervision, 2004)</w:t>
      </w:r>
      <w:r w:rsidRPr="00812E8B">
        <w:rPr>
          <w:lang w:val="en-US"/>
        </w:rPr>
        <w:t xml:space="preserve">. Basel II introduced a three-pillar </w:t>
      </w:r>
      <w:r w:rsidRPr="00812E8B">
        <w:rPr>
          <w:lang w:val="en-US"/>
        </w:rPr>
        <w:lastRenderedPageBreak/>
        <w:t xml:space="preserve">system, which is </w:t>
      </w:r>
      <w:r w:rsidRPr="00E93192">
        <w:rPr>
          <w:lang w:val="en-US"/>
        </w:rPr>
        <w:t xml:space="preserve">presented </w:t>
      </w:r>
      <w:r w:rsidR="00E93192" w:rsidRPr="00E93192">
        <w:rPr>
          <w:lang w:val="en-US"/>
        </w:rPr>
        <w:t>in figure 2</w:t>
      </w:r>
      <w:r w:rsidRPr="00E93192">
        <w:rPr>
          <w:lang w:val="en-US"/>
        </w:rPr>
        <w:t xml:space="preserve">. Pillar </w:t>
      </w:r>
      <w:r w:rsidRPr="00812E8B">
        <w:rPr>
          <w:lang w:val="en-US"/>
        </w:rPr>
        <w:t xml:space="preserve">I is very similar to the minimum capital requirements as proposed by Basel I, those requirement are applicable to both credit as market risks. In addition to Basel I, pillar I includes also operational risks. Furthermore, the calculations for credit, market and operational risks are more based on banks’ own assessments of risk exposure and may use internal models to calculate the value of risk-weighted assets and the vulnerability to changes in market factors. The second pillar describes the principles for supervisory review and is to encourage banks to develop internal models to monitor and manage risks and to develop more advanced risk management techniques </w:t>
      </w:r>
      <w:r w:rsidR="00304525" w:rsidRPr="00812E8B">
        <w:rPr>
          <w:color w:val="365F91" w:themeColor="accent1" w:themeShade="BF"/>
          <w:lang w:val="en-US"/>
        </w:rPr>
        <w:t>(Basel Committee on Banking Supervision, 2004)</w:t>
      </w:r>
      <w:r w:rsidRPr="00812E8B">
        <w:rPr>
          <w:lang w:val="en-US"/>
        </w:rPr>
        <w:t xml:space="preserve">. The external part of pillar II describes how national supervisors should monitor the internal processes within a bank and also described which actions are required when banks does not meet regulation from Basel II. Supervisors should review the capital adequacy and risk position of a bank </w:t>
      </w:r>
      <w:r w:rsidR="00304525" w:rsidRPr="00812E8B">
        <w:rPr>
          <w:color w:val="365F91" w:themeColor="accent1" w:themeShade="BF"/>
          <w:lang w:val="en-US"/>
        </w:rPr>
        <w:t>(Basel Committee on Banking Supervision, 2004)</w:t>
      </w:r>
      <w:r w:rsidRPr="00812E8B">
        <w:rPr>
          <w:lang w:val="en-US"/>
        </w:rPr>
        <w:t xml:space="preserve">. Concluding, the second pillar assigns the responsibility for sound risk management to the banking sector. In this context, sound risk management incorporates treatment of interest rate-, credit and operational risk in the banking book. Finally, the third pillar complement the first and second pillar by requiring risk disclosures and in this way encoring market discipline over banks </w:t>
      </w:r>
      <w:r w:rsidR="00304525" w:rsidRPr="00812E8B">
        <w:rPr>
          <w:color w:val="365F91" w:themeColor="accent1" w:themeShade="BF"/>
          <w:lang w:val="en-US"/>
        </w:rPr>
        <w:t>(Basel Committee on Banking Supervision, 2004)</w:t>
      </w:r>
      <w:r w:rsidRPr="00812E8B">
        <w:rPr>
          <w:lang w:val="en-US"/>
        </w:rPr>
        <w:t xml:space="preserve">. Capital market participants could use the information of capital base, risk assessment processes and risk exposure. Risk disclosures are required on different Basel concepts and are both qualitative and quantitative. Disclosures are required on the capital structure (build up of tier 1 capital) capital requirements on credit risk, market risk, operational risk and capital ratios.    </w:t>
      </w:r>
    </w:p>
    <w:p w:rsidR="006A302E" w:rsidRPr="00812E8B" w:rsidRDefault="006A302E" w:rsidP="006F1FE5">
      <w:pPr>
        <w:pStyle w:val="NoSpacing"/>
        <w:rPr>
          <w:b/>
          <w:sz w:val="18"/>
          <w:szCs w:val="18"/>
          <w:lang w:val="en-US"/>
        </w:rPr>
      </w:pPr>
    </w:p>
    <w:p w:rsidR="006B3340" w:rsidRPr="00812E8B" w:rsidRDefault="006A302E" w:rsidP="006B3340">
      <w:pPr>
        <w:pStyle w:val="Caption"/>
        <w:rPr>
          <w:lang w:val="en-US"/>
        </w:rPr>
      </w:pPr>
      <w:bookmarkStart w:id="54" w:name="_Ref296419422"/>
      <w:bookmarkStart w:id="55" w:name="_Toc305410564"/>
      <w:r w:rsidRPr="00812E8B">
        <w:rPr>
          <w:noProof/>
          <w:lang w:val="en-US" w:eastAsia="en-US"/>
        </w:rPr>
        <w:drawing>
          <wp:anchor distT="0" distB="0" distL="114300" distR="114300" simplePos="0" relativeHeight="251656192" behindDoc="1" locked="0" layoutInCell="1" allowOverlap="1">
            <wp:simplePos x="0" y="0"/>
            <wp:positionH relativeFrom="column">
              <wp:posOffset>152408</wp:posOffset>
            </wp:positionH>
            <wp:positionV relativeFrom="paragraph">
              <wp:posOffset>280951</wp:posOffset>
            </wp:positionV>
            <wp:extent cx="5621729" cy="3740727"/>
            <wp:effectExtent l="19050" t="0" r="0" b="0"/>
            <wp:wrapNone/>
            <wp:docPr id="484" name="Afbeelding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40" cstate="print"/>
                    <a:srcRect/>
                    <a:stretch>
                      <a:fillRect/>
                    </a:stretch>
                  </pic:blipFill>
                  <pic:spPr bwMode="auto">
                    <a:xfrm>
                      <a:off x="0" y="0"/>
                      <a:ext cx="5621729" cy="3740727"/>
                    </a:xfrm>
                    <a:prstGeom prst="rect">
                      <a:avLst/>
                    </a:prstGeom>
                    <a:noFill/>
                    <a:ln w="9525">
                      <a:noFill/>
                      <a:miter lim="800000"/>
                      <a:headEnd/>
                      <a:tailEnd/>
                    </a:ln>
                  </pic:spPr>
                </pic:pic>
              </a:graphicData>
            </a:graphic>
          </wp:anchor>
        </w:drawing>
      </w:r>
      <w:r w:rsidRPr="00812E8B">
        <w:rPr>
          <w:lang w:val="en-US"/>
        </w:rPr>
        <w:t xml:space="preserve">Figure </w:t>
      </w:r>
      <w:r w:rsidR="00D46A7F" w:rsidRPr="00812E8B">
        <w:rPr>
          <w:lang w:val="en-US"/>
        </w:rPr>
        <w:fldChar w:fldCharType="begin"/>
      </w:r>
      <w:r w:rsidRPr="00812E8B">
        <w:rPr>
          <w:lang w:val="en-US"/>
        </w:rPr>
        <w:instrText xml:space="preserve"> SEQ Figure \* ARABIC </w:instrText>
      </w:r>
      <w:r w:rsidR="00D46A7F" w:rsidRPr="00812E8B">
        <w:rPr>
          <w:lang w:val="en-US"/>
        </w:rPr>
        <w:fldChar w:fldCharType="separate"/>
      </w:r>
      <w:r w:rsidR="00DD7D45">
        <w:rPr>
          <w:noProof/>
          <w:lang w:val="en-US"/>
        </w:rPr>
        <w:t>2</w:t>
      </w:r>
      <w:r w:rsidR="00D46A7F" w:rsidRPr="00812E8B">
        <w:rPr>
          <w:lang w:val="en-US"/>
        </w:rPr>
        <w:fldChar w:fldCharType="end"/>
      </w:r>
      <w:bookmarkEnd w:id="54"/>
      <w:r w:rsidR="006B3340" w:rsidRPr="00812E8B">
        <w:rPr>
          <w:lang w:val="en-US"/>
        </w:rPr>
        <w:br/>
      </w:r>
      <w:r w:rsidR="006B3340" w:rsidRPr="00812E8B">
        <w:rPr>
          <w:b w:val="0"/>
          <w:color w:val="auto"/>
          <w:lang w:val="en-US"/>
        </w:rPr>
        <w:t>Three pillar structure (Basel II and II)</w:t>
      </w:r>
      <w:bookmarkEnd w:id="55"/>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A302E" w:rsidP="006F1FE5">
      <w:pPr>
        <w:pStyle w:val="NoSpacing"/>
        <w:rPr>
          <w:b/>
          <w:sz w:val="18"/>
          <w:szCs w:val="18"/>
          <w:lang w:val="en-US"/>
        </w:rPr>
      </w:pPr>
    </w:p>
    <w:p w:rsidR="006A302E" w:rsidRPr="00812E8B" w:rsidRDefault="006B3340" w:rsidP="006F1FE5">
      <w:pPr>
        <w:pStyle w:val="NoSpacing"/>
        <w:rPr>
          <w:sz w:val="18"/>
          <w:szCs w:val="18"/>
          <w:lang w:val="en-US"/>
        </w:rPr>
      </w:pPr>
      <w:r w:rsidRPr="00812E8B">
        <w:rPr>
          <w:sz w:val="18"/>
          <w:szCs w:val="18"/>
          <w:lang w:val="en-US"/>
        </w:rPr>
        <w:t xml:space="preserve">Source: </w:t>
      </w:r>
      <w:r w:rsidR="00304525" w:rsidRPr="00812E8B">
        <w:rPr>
          <w:color w:val="365F91" w:themeColor="accent1" w:themeShade="BF"/>
          <w:sz w:val="18"/>
          <w:szCs w:val="18"/>
          <w:lang w:val="en-US"/>
        </w:rPr>
        <w:t>Basel Committee (1988 and Oesterreichische Nationalbank (OeNB) Financial Market Authority (FMA) (2008)</w:t>
      </w:r>
    </w:p>
    <w:p w:rsidR="006A302E" w:rsidRPr="00812E8B" w:rsidRDefault="006B3340" w:rsidP="006B3340">
      <w:pPr>
        <w:pStyle w:val="NoSpacing"/>
        <w:spacing w:line="276" w:lineRule="auto"/>
        <w:rPr>
          <w:sz w:val="18"/>
          <w:szCs w:val="18"/>
          <w:lang w:val="en-US"/>
        </w:rPr>
      </w:pPr>
      <w:r w:rsidRPr="00812E8B">
        <w:rPr>
          <w:sz w:val="18"/>
          <w:szCs w:val="18"/>
          <w:lang w:val="en-US"/>
        </w:rPr>
        <w:t xml:space="preserve">Notes: Tier 3 </w:t>
      </w:r>
      <w:r w:rsidR="00DB7333" w:rsidRPr="00812E8B">
        <w:rPr>
          <w:sz w:val="18"/>
          <w:szCs w:val="18"/>
          <w:lang w:val="en-US"/>
        </w:rPr>
        <w:t>consists</w:t>
      </w:r>
      <w:r w:rsidRPr="00812E8B">
        <w:rPr>
          <w:sz w:val="18"/>
          <w:szCs w:val="18"/>
          <w:lang w:val="en-US"/>
        </w:rPr>
        <w:t xml:space="preserve"> of </w:t>
      </w:r>
      <w:r w:rsidR="00DB7333" w:rsidRPr="00812E8B">
        <w:rPr>
          <w:sz w:val="18"/>
          <w:szCs w:val="18"/>
          <w:lang w:val="en-US"/>
        </w:rPr>
        <w:t xml:space="preserve">short-term subordinated debt (ST) </w:t>
      </w:r>
      <w:r w:rsidRPr="00812E8B">
        <w:rPr>
          <w:sz w:val="18"/>
          <w:szCs w:val="18"/>
          <w:lang w:val="en-US"/>
        </w:rPr>
        <w:t xml:space="preserve">and under the credit risk calculations the internal ratings based approach could be used.  </w:t>
      </w:r>
    </w:p>
    <w:p w:rsidR="00F62A12" w:rsidRPr="00812E8B" w:rsidRDefault="00502BB6" w:rsidP="00AB0DBB">
      <w:pPr>
        <w:pStyle w:val="NoSpacing"/>
        <w:spacing w:line="276" w:lineRule="auto"/>
        <w:jc w:val="both"/>
        <w:rPr>
          <w:lang w:val="en-US"/>
        </w:rPr>
      </w:pPr>
      <w:r w:rsidRPr="00812E8B">
        <w:rPr>
          <w:lang w:val="en-US"/>
        </w:rPr>
        <w:lastRenderedPageBreak/>
        <w:t xml:space="preserve">More </w:t>
      </w:r>
      <w:r w:rsidR="00A97CD5" w:rsidRPr="00812E8B">
        <w:rPr>
          <w:lang w:val="en-US"/>
        </w:rPr>
        <w:t>recently,</w:t>
      </w:r>
      <w:r w:rsidRPr="00812E8B">
        <w:rPr>
          <w:lang w:val="en-US"/>
        </w:rPr>
        <w:t xml:space="preserve"> Basel Committee </w:t>
      </w:r>
      <w:r w:rsidR="00A97CD5" w:rsidRPr="00812E8B">
        <w:rPr>
          <w:lang w:val="en-US"/>
        </w:rPr>
        <w:t>announced to introduce</w:t>
      </w:r>
      <w:r w:rsidRPr="00812E8B">
        <w:rPr>
          <w:lang w:val="en-US"/>
        </w:rPr>
        <w:t xml:space="preserve"> stricter minimum capital requirements and</w:t>
      </w:r>
      <w:r w:rsidR="00A97CD5" w:rsidRPr="00812E8B">
        <w:rPr>
          <w:lang w:val="en-US"/>
        </w:rPr>
        <w:t xml:space="preserve"> to</w:t>
      </w:r>
      <w:r w:rsidRPr="00812E8B">
        <w:rPr>
          <w:lang w:val="en-US"/>
        </w:rPr>
        <w:t xml:space="preserve"> </w:t>
      </w:r>
      <w:r w:rsidR="00A97CD5" w:rsidRPr="00812E8B">
        <w:rPr>
          <w:lang w:val="en-US"/>
        </w:rPr>
        <w:t>impose</w:t>
      </w:r>
      <w:r w:rsidRPr="00812E8B">
        <w:rPr>
          <w:lang w:val="en-US"/>
        </w:rPr>
        <w:t xml:space="preserve"> liquidity and funding requirements</w:t>
      </w:r>
      <w:r w:rsidR="005F6D22" w:rsidRPr="00812E8B">
        <w:rPr>
          <w:lang w:val="en-US"/>
        </w:rPr>
        <w:t>.</w:t>
      </w:r>
      <w:r w:rsidR="00A97CD5" w:rsidRPr="00812E8B">
        <w:rPr>
          <w:lang w:val="en-US"/>
        </w:rPr>
        <w:t xml:space="preserve"> The NSFR and LCR are already discussed in chapter two, calculation of the ratios are still under debate and not definitive yet. Fu</w:t>
      </w:r>
      <w:r w:rsidR="006F1FE5" w:rsidRPr="00812E8B">
        <w:rPr>
          <w:lang w:val="en-US"/>
        </w:rPr>
        <w:t>rthermore,</w:t>
      </w:r>
      <w:r w:rsidRPr="00812E8B">
        <w:rPr>
          <w:lang w:val="en-US"/>
        </w:rPr>
        <w:t xml:space="preserve"> the Basel Committee also</w:t>
      </w:r>
      <w:r w:rsidR="00A97CD5" w:rsidRPr="00812E8B">
        <w:rPr>
          <w:lang w:val="en-US"/>
        </w:rPr>
        <w:t xml:space="preserve"> will likely</w:t>
      </w:r>
      <w:r w:rsidRPr="00812E8B">
        <w:rPr>
          <w:lang w:val="en-US"/>
        </w:rPr>
        <w:t xml:space="preserve"> intr</w:t>
      </w:r>
      <w:r w:rsidR="00A97CD5" w:rsidRPr="00812E8B">
        <w:rPr>
          <w:lang w:val="en-US"/>
        </w:rPr>
        <w:t>oduce</w:t>
      </w:r>
      <w:r w:rsidRPr="00812E8B">
        <w:rPr>
          <w:lang w:val="en-US"/>
        </w:rPr>
        <w:t xml:space="preserve"> a simple leverage ratio, to avoid the </w:t>
      </w:r>
      <w:r w:rsidR="00A97CD5" w:rsidRPr="00812E8B">
        <w:rPr>
          <w:lang w:val="en-US"/>
        </w:rPr>
        <w:t>buildup</w:t>
      </w:r>
      <w:r w:rsidRPr="00812E8B">
        <w:rPr>
          <w:lang w:val="en-US"/>
        </w:rPr>
        <w:t xml:space="preserve"> of excessive risks. </w:t>
      </w:r>
      <w:r w:rsidR="00A97CD5" w:rsidRPr="00812E8B">
        <w:rPr>
          <w:lang w:val="en-US"/>
        </w:rPr>
        <w:t>Moreover, a l</w:t>
      </w:r>
      <w:r w:rsidRPr="00812E8B">
        <w:rPr>
          <w:lang w:val="en-US"/>
        </w:rPr>
        <w:t>everage ratio also induce</w:t>
      </w:r>
      <w:r w:rsidR="00A0095D" w:rsidRPr="00812E8B">
        <w:rPr>
          <w:lang w:val="en-US"/>
        </w:rPr>
        <w:t>s</w:t>
      </w:r>
      <w:r w:rsidRPr="00812E8B">
        <w:rPr>
          <w:lang w:val="en-US"/>
        </w:rPr>
        <w:t xml:space="preserve"> truthful disclosure of the risks</w:t>
      </w:r>
      <w:r w:rsidR="00A97CD5" w:rsidRPr="00812E8B">
        <w:rPr>
          <w:lang w:val="en-US"/>
        </w:rPr>
        <w:t xml:space="preserve"> as it p</w:t>
      </w:r>
      <w:r w:rsidRPr="00812E8B">
        <w:rPr>
          <w:lang w:val="en-US"/>
        </w:rPr>
        <w:t>uts a ceiling on the put option value of the lim</w:t>
      </w:r>
      <w:r w:rsidR="006F1FE5" w:rsidRPr="00812E8B">
        <w:rPr>
          <w:lang w:val="en-US"/>
        </w:rPr>
        <w:t>ited liability</w:t>
      </w:r>
      <w:r w:rsidR="00F62A12" w:rsidRPr="00812E8B">
        <w:rPr>
          <w:lang w:val="en-US"/>
        </w:rPr>
        <w:t xml:space="preserve"> </w:t>
      </w:r>
      <w:r w:rsidR="002E755D" w:rsidRPr="00812E8B">
        <w:rPr>
          <w:color w:val="365F91" w:themeColor="accent1" w:themeShade="BF"/>
          <w:lang w:val="en-US"/>
        </w:rPr>
        <w:t>(Blum, 2008)</w:t>
      </w:r>
      <w:r w:rsidR="006F1FE5" w:rsidRPr="00812E8B">
        <w:rPr>
          <w:lang w:val="en-US"/>
        </w:rPr>
        <w:t>.</w:t>
      </w:r>
    </w:p>
    <w:p w:rsidR="00F62A12" w:rsidRPr="00812E8B" w:rsidRDefault="00F62A12" w:rsidP="00D24E12">
      <w:pPr>
        <w:pStyle w:val="NoSpacing"/>
        <w:spacing w:line="276" w:lineRule="auto"/>
        <w:jc w:val="both"/>
        <w:rPr>
          <w:lang w:val="en-US"/>
        </w:rPr>
      </w:pPr>
    </w:p>
    <w:p w:rsidR="005C5585" w:rsidRPr="00812E8B" w:rsidRDefault="005C5585" w:rsidP="00A97CD5">
      <w:pPr>
        <w:pStyle w:val="NoSpacing"/>
        <w:jc w:val="both"/>
        <w:rPr>
          <w:lang w:val="en-US"/>
        </w:rPr>
        <w:sectPr w:rsidR="005C5585" w:rsidRPr="00812E8B" w:rsidSect="00D911B8">
          <w:headerReference w:type="default" r:id="rId41"/>
          <w:endnotePr>
            <w:numFmt w:val="decimal"/>
          </w:endnotePr>
          <w:pgSz w:w="11906" w:h="16838"/>
          <w:pgMar w:top="1417" w:right="1417" w:bottom="1417" w:left="1417" w:header="708" w:footer="708" w:gutter="0"/>
          <w:cols w:space="708"/>
          <w:titlePg/>
          <w:docGrid w:linePitch="360"/>
        </w:sectPr>
      </w:pPr>
    </w:p>
    <w:p w:rsidR="00F62A12" w:rsidRPr="00812E8B" w:rsidRDefault="00FB0A28" w:rsidP="00F62A12">
      <w:pPr>
        <w:pStyle w:val="Heading2"/>
        <w:rPr>
          <w:color w:val="auto"/>
          <w:lang w:val="en-US"/>
        </w:rPr>
      </w:pPr>
      <w:bookmarkStart w:id="56" w:name="_Ref295912755"/>
      <w:bookmarkStart w:id="57" w:name="_Toc306359664"/>
      <w:r w:rsidRPr="00812E8B">
        <w:rPr>
          <w:color w:val="auto"/>
          <w:lang w:val="en-US"/>
        </w:rPr>
        <w:lastRenderedPageBreak/>
        <w:t>III</w:t>
      </w:r>
      <w:r w:rsidR="00413EC5" w:rsidRPr="00812E8B">
        <w:rPr>
          <w:color w:val="auto"/>
          <w:lang w:val="en-US"/>
        </w:rPr>
        <w:t>.</w:t>
      </w:r>
      <w:r w:rsidR="00F62A12" w:rsidRPr="00812E8B">
        <w:rPr>
          <w:color w:val="auto"/>
          <w:lang w:val="en-US"/>
        </w:rPr>
        <w:t xml:space="preserve"> L</w:t>
      </w:r>
      <w:r w:rsidR="00937B13" w:rsidRPr="00812E8B">
        <w:rPr>
          <w:color w:val="auto"/>
          <w:sz w:val="20"/>
          <w:szCs w:val="20"/>
          <w:lang w:val="en-US"/>
        </w:rPr>
        <w:t>ITERATURE REVIEW</w:t>
      </w:r>
      <w:bookmarkEnd w:id="56"/>
      <w:bookmarkEnd w:id="57"/>
    </w:p>
    <w:p w:rsidR="00F62A12" w:rsidRPr="00812E8B" w:rsidRDefault="00413EC5" w:rsidP="00F62A12">
      <w:pPr>
        <w:pStyle w:val="Caption"/>
        <w:rPr>
          <w:lang w:val="en-US"/>
        </w:rPr>
      </w:pPr>
      <w:r w:rsidRPr="00812E8B">
        <w:rPr>
          <w:lang w:val="en-US"/>
        </w:rPr>
        <w:br/>
      </w:r>
      <w:bookmarkStart w:id="58" w:name="_Toc305410560"/>
      <w:r w:rsidR="00F62A12" w:rsidRPr="00812E8B">
        <w:rPr>
          <w:lang w:val="en-US"/>
        </w:rPr>
        <w:t xml:space="preserve">Table </w:t>
      </w:r>
      <w:r w:rsidR="00D46A7F" w:rsidRPr="00812E8B">
        <w:rPr>
          <w:lang w:val="en-US"/>
        </w:rPr>
        <w:fldChar w:fldCharType="begin"/>
      </w:r>
      <w:r w:rsidR="00F62A12" w:rsidRPr="00812E8B">
        <w:rPr>
          <w:lang w:val="en-US"/>
        </w:rPr>
        <w:instrText xml:space="preserve"> SEQ Table \* ARABIC </w:instrText>
      </w:r>
      <w:r w:rsidR="00D46A7F" w:rsidRPr="00812E8B">
        <w:rPr>
          <w:lang w:val="en-US"/>
        </w:rPr>
        <w:fldChar w:fldCharType="separate"/>
      </w:r>
      <w:r w:rsidR="00DD7D45">
        <w:rPr>
          <w:noProof/>
          <w:lang w:val="en-US"/>
        </w:rPr>
        <w:t>8</w:t>
      </w:r>
      <w:r w:rsidR="00D46A7F" w:rsidRPr="00812E8B">
        <w:rPr>
          <w:lang w:val="en-US"/>
        </w:rPr>
        <w:fldChar w:fldCharType="end"/>
      </w:r>
      <w:r w:rsidR="00F62A12" w:rsidRPr="00812E8B">
        <w:rPr>
          <w:lang w:val="en-US"/>
        </w:rPr>
        <w:t xml:space="preserve"> </w:t>
      </w:r>
      <w:r w:rsidRPr="00812E8B">
        <w:rPr>
          <w:lang w:val="en-US"/>
        </w:rPr>
        <w:br/>
      </w:r>
      <w:r w:rsidR="00F62A12" w:rsidRPr="00812E8B">
        <w:rPr>
          <w:b w:val="0"/>
          <w:color w:val="auto"/>
          <w:lang w:val="en-US"/>
        </w:rPr>
        <w:t>Summary of literature review of regulation and  banks’ profitability</w:t>
      </w:r>
      <w:bookmarkEnd w:id="58"/>
    </w:p>
    <w:tbl>
      <w:tblPr>
        <w:tblStyle w:val="TableGrid"/>
        <w:tblW w:w="15210" w:type="dxa"/>
        <w:tblInd w:w="-612" w:type="dxa"/>
        <w:tblLook w:val="04A0"/>
      </w:tblPr>
      <w:tblGrid>
        <w:gridCol w:w="1448"/>
        <w:gridCol w:w="2512"/>
        <w:gridCol w:w="2340"/>
        <w:gridCol w:w="2610"/>
        <w:gridCol w:w="3060"/>
        <w:gridCol w:w="3240"/>
      </w:tblGrid>
      <w:tr w:rsidR="00F62A12" w:rsidRPr="00812E8B" w:rsidTr="00866653">
        <w:trPr>
          <w:trHeight w:val="314"/>
        </w:trPr>
        <w:tc>
          <w:tcPr>
            <w:tcW w:w="1448" w:type="dxa"/>
          </w:tcPr>
          <w:p w:rsidR="00F62A12" w:rsidRPr="00812E8B" w:rsidRDefault="00F62A12" w:rsidP="00866653">
            <w:pPr>
              <w:rPr>
                <w:b/>
                <w:sz w:val="20"/>
                <w:szCs w:val="20"/>
                <w:lang w:val="en-US"/>
              </w:rPr>
            </w:pPr>
            <w:r w:rsidRPr="00812E8B">
              <w:rPr>
                <w:b/>
                <w:sz w:val="20"/>
                <w:szCs w:val="20"/>
                <w:lang w:val="en-US"/>
              </w:rPr>
              <w:t>Author(s)</w:t>
            </w:r>
          </w:p>
        </w:tc>
        <w:tc>
          <w:tcPr>
            <w:tcW w:w="2512" w:type="dxa"/>
          </w:tcPr>
          <w:p w:rsidR="00F62A12" w:rsidRPr="00812E8B" w:rsidRDefault="00F62A12" w:rsidP="00866653">
            <w:pPr>
              <w:rPr>
                <w:b/>
                <w:sz w:val="20"/>
                <w:szCs w:val="20"/>
                <w:lang w:val="en-US"/>
              </w:rPr>
            </w:pPr>
            <w:r w:rsidRPr="00812E8B">
              <w:rPr>
                <w:b/>
                <w:sz w:val="20"/>
                <w:szCs w:val="20"/>
                <w:lang w:val="en-US"/>
              </w:rPr>
              <w:t>Purpose of the study</w:t>
            </w:r>
          </w:p>
        </w:tc>
        <w:tc>
          <w:tcPr>
            <w:tcW w:w="2340" w:type="dxa"/>
          </w:tcPr>
          <w:p w:rsidR="00F62A12" w:rsidRPr="00812E8B" w:rsidRDefault="00F62A12" w:rsidP="00866653">
            <w:pPr>
              <w:rPr>
                <w:b/>
                <w:sz w:val="20"/>
                <w:szCs w:val="20"/>
                <w:lang w:val="en-US"/>
              </w:rPr>
            </w:pPr>
            <w:r w:rsidRPr="00812E8B">
              <w:rPr>
                <w:b/>
                <w:sz w:val="20"/>
                <w:szCs w:val="20"/>
                <w:lang w:val="en-US"/>
              </w:rPr>
              <w:t>Sample</w:t>
            </w:r>
          </w:p>
        </w:tc>
        <w:tc>
          <w:tcPr>
            <w:tcW w:w="2610" w:type="dxa"/>
          </w:tcPr>
          <w:p w:rsidR="00F62A12" w:rsidRPr="00812E8B" w:rsidRDefault="00F62A12" w:rsidP="00866653">
            <w:pPr>
              <w:rPr>
                <w:b/>
                <w:sz w:val="20"/>
                <w:szCs w:val="20"/>
                <w:lang w:val="en-US"/>
              </w:rPr>
            </w:pPr>
            <w:r w:rsidRPr="00812E8B">
              <w:rPr>
                <w:b/>
                <w:sz w:val="20"/>
                <w:szCs w:val="20"/>
                <w:lang w:val="en-US"/>
              </w:rPr>
              <w:t>Methodology</w:t>
            </w:r>
          </w:p>
        </w:tc>
        <w:tc>
          <w:tcPr>
            <w:tcW w:w="3060" w:type="dxa"/>
          </w:tcPr>
          <w:p w:rsidR="00F62A12" w:rsidRPr="00812E8B" w:rsidRDefault="00F62A12" w:rsidP="00866653">
            <w:pPr>
              <w:rPr>
                <w:b/>
                <w:sz w:val="20"/>
                <w:szCs w:val="20"/>
                <w:lang w:val="en-US"/>
              </w:rPr>
            </w:pPr>
            <w:r w:rsidRPr="00812E8B">
              <w:rPr>
                <w:b/>
                <w:sz w:val="20"/>
                <w:szCs w:val="20"/>
                <w:lang w:val="en-US"/>
              </w:rPr>
              <w:t>Results</w:t>
            </w:r>
          </w:p>
        </w:tc>
        <w:tc>
          <w:tcPr>
            <w:tcW w:w="3240" w:type="dxa"/>
          </w:tcPr>
          <w:p w:rsidR="00F62A12" w:rsidRPr="00812E8B" w:rsidRDefault="00F62A12" w:rsidP="00866653">
            <w:pPr>
              <w:rPr>
                <w:b/>
                <w:sz w:val="20"/>
                <w:szCs w:val="20"/>
                <w:lang w:val="en-US"/>
              </w:rPr>
            </w:pPr>
            <w:r w:rsidRPr="00812E8B">
              <w:rPr>
                <w:b/>
                <w:sz w:val="20"/>
                <w:szCs w:val="20"/>
                <w:lang w:val="en-US"/>
              </w:rPr>
              <w:t>Conclusion</w:t>
            </w:r>
          </w:p>
        </w:tc>
      </w:tr>
      <w:tr w:rsidR="00F62A12" w:rsidRPr="007D2EA6" w:rsidTr="00866653">
        <w:trPr>
          <w:trHeight w:val="1970"/>
        </w:trPr>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Barth et al. (1997)</w:t>
            </w:r>
          </w:p>
        </w:tc>
        <w:tc>
          <w:tcPr>
            <w:tcW w:w="2512" w:type="dxa"/>
          </w:tcPr>
          <w:p w:rsidR="00F62A12" w:rsidRPr="00812E8B" w:rsidRDefault="00DC162F" w:rsidP="00866653">
            <w:pPr>
              <w:rPr>
                <w:sz w:val="20"/>
                <w:szCs w:val="20"/>
                <w:lang w:val="en-US"/>
              </w:rPr>
            </w:pPr>
            <w:r>
              <w:rPr>
                <w:sz w:val="20"/>
                <w:szCs w:val="20"/>
                <w:lang w:val="en-US"/>
              </w:rPr>
              <w:t>They c</w:t>
            </w:r>
            <w:r w:rsidR="00F62A12" w:rsidRPr="00812E8B">
              <w:rPr>
                <w:sz w:val="20"/>
                <w:szCs w:val="20"/>
                <w:lang w:val="en-US"/>
              </w:rPr>
              <w:t>ompare</w:t>
            </w:r>
            <w:r>
              <w:rPr>
                <w:sz w:val="20"/>
                <w:szCs w:val="20"/>
                <w:lang w:val="en-US"/>
              </w:rPr>
              <w:t xml:space="preserve"> </w:t>
            </w:r>
            <w:r w:rsidR="00F62A12" w:rsidRPr="00812E8B">
              <w:rPr>
                <w:sz w:val="20"/>
                <w:szCs w:val="20"/>
                <w:lang w:val="en-US"/>
              </w:rPr>
              <w:t>regulation,</w:t>
            </w:r>
            <w:r>
              <w:rPr>
                <w:sz w:val="20"/>
                <w:szCs w:val="20"/>
                <w:lang w:val="en-US"/>
              </w:rPr>
              <w:t xml:space="preserve"> the </w:t>
            </w:r>
            <w:r w:rsidR="00F62A12" w:rsidRPr="00812E8B">
              <w:rPr>
                <w:sz w:val="20"/>
                <w:szCs w:val="20"/>
                <w:lang w:val="en-US"/>
              </w:rPr>
              <w:t>structure</w:t>
            </w:r>
            <w:r>
              <w:rPr>
                <w:sz w:val="20"/>
                <w:szCs w:val="20"/>
                <w:lang w:val="en-US"/>
              </w:rPr>
              <w:t xml:space="preserve"> in the banking sector </w:t>
            </w:r>
            <w:r w:rsidR="00F62A12" w:rsidRPr="00812E8B">
              <w:rPr>
                <w:sz w:val="20"/>
                <w:szCs w:val="20"/>
                <w:lang w:val="en-US"/>
              </w:rPr>
              <w:t xml:space="preserve">and profitability of banks. </w:t>
            </w:r>
          </w:p>
          <w:p w:rsidR="00F62A12" w:rsidRPr="00812E8B" w:rsidRDefault="00F62A12" w:rsidP="00866653">
            <w:pPr>
              <w:rPr>
                <w:sz w:val="20"/>
                <w:szCs w:val="20"/>
                <w:lang w:val="en-US"/>
              </w:rPr>
            </w:pPr>
            <w:r w:rsidRPr="00812E8B">
              <w:rPr>
                <w:sz w:val="20"/>
                <w:szCs w:val="20"/>
                <w:lang w:val="en-US"/>
              </w:rPr>
              <w:t>Exploratory empirical analysis of different regulatory regimes on banks’ profitability</w:t>
            </w:r>
          </w:p>
        </w:tc>
        <w:tc>
          <w:tcPr>
            <w:tcW w:w="2340" w:type="dxa"/>
          </w:tcPr>
          <w:p w:rsidR="00F62A12" w:rsidRPr="00812E8B" w:rsidRDefault="00F62A12" w:rsidP="00866653">
            <w:pPr>
              <w:rPr>
                <w:sz w:val="20"/>
                <w:szCs w:val="20"/>
                <w:lang w:val="en-US"/>
              </w:rPr>
            </w:pPr>
            <w:r w:rsidRPr="00812E8B">
              <w:rPr>
                <w:sz w:val="20"/>
                <w:szCs w:val="20"/>
                <w:lang w:val="en-US"/>
              </w:rPr>
              <w:t>Region: EU and G-10 countries (85% of total bank assets)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 xml:space="preserve">Sample: all banks in the </w:t>
            </w:r>
            <w:r w:rsidR="00DC162F">
              <w:rPr>
                <w:sz w:val="20"/>
                <w:szCs w:val="20"/>
                <w:lang w:val="en-US"/>
              </w:rPr>
              <w:t xml:space="preserve">relevant </w:t>
            </w:r>
            <w:r w:rsidRPr="00812E8B">
              <w:rPr>
                <w:sz w:val="20"/>
                <w:szCs w:val="20"/>
                <w:lang w:val="en-US"/>
              </w:rPr>
              <w:t xml:space="preserve">countries </w:t>
            </w:r>
            <w:r w:rsidR="00DC162F">
              <w:rPr>
                <w:sz w:val="20"/>
                <w:szCs w:val="20"/>
                <w:lang w:val="en-US"/>
              </w:rPr>
              <w:t xml:space="preserve">are </w:t>
            </w:r>
            <w:r w:rsidRPr="00812E8B">
              <w:rPr>
                <w:sz w:val="20"/>
                <w:szCs w:val="20"/>
                <w:lang w:val="en-US"/>
              </w:rPr>
              <w:t>selected</w:t>
            </w:r>
          </w:p>
          <w:p w:rsidR="00F62A12" w:rsidRPr="00812E8B" w:rsidRDefault="00F62A12" w:rsidP="00866653">
            <w:pPr>
              <w:rPr>
                <w:sz w:val="20"/>
                <w:szCs w:val="20"/>
                <w:lang w:val="en-US"/>
              </w:rPr>
            </w:pPr>
            <w:r w:rsidRPr="00812E8B">
              <w:rPr>
                <w:sz w:val="20"/>
                <w:szCs w:val="20"/>
                <w:lang w:val="en-US"/>
              </w:rPr>
              <w:t>Period: 1993</w:t>
            </w:r>
          </w:p>
        </w:tc>
        <w:tc>
          <w:tcPr>
            <w:tcW w:w="2610" w:type="dxa"/>
          </w:tcPr>
          <w:p w:rsidR="00F62A12" w:rsidRPr="00812E8B" w:rsidRDefault="00F62A12" w:rsidP="00866653">
            <w:pPr>
              <w:rPr>
                <w:sz w:val="20"/>
                <w:szCs w:val="20"/>
                <w:lang w:val="en-US"/>
              </w:rPr>
            </w:pPr>
            <w:r w:rsidRPr="00812E8B">
              <w:rPr>
                <w:sz w:val="20"/>
                <w:szCs w:val="20"/>
                <w:lang w:val="en-US"/>
              </w:rPr>
              <w:t>Regression model and  descriptive research</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ROE</w:t>
            </w:r>
          </w:p>
          <w:p w:rsidR="00F62A12" w:rsidRPr="00812E8B" w:rsidRDefault="00F62A12" w:rsidP="00866653">
            <w:pPr>
              <w:rPr>
                <w:sz w:val="20"/>
                <w:szCs w:val="20"/>
                <w:lang w:val="en-US"/>
              </w:rPr>
            </w:pPr>
            <w:r w:rsidRPr="00812E8B">
              <w:rPr>
                <w:sz w:val="20"/>
                <w:szCs w:val="20"/>
                <w:lang w:val="en-US"/>
              </w:rPr>
              <w:t xml:space="preserve">EXPL: bank-specific variables, country-specific, macro-economic variables and </w:t>
            </w:r>
          </w:p>
          <w:p w:rsidR="00F62A12" w:rsidRPr="00812E8B" w:rsidRDefault="00F62A12" w:rsidP="00866653">
            <w:pPr>
              <w:rPr>
                <w:sz w:val="20"/>
                <w:szCs w:val="20"/>
                <w:lang w:val="en-US"/>
              </w:rPr>
            </w:pPr>
            <w:r w:rsidRPr="00812E8B">
              <w:rPr>
                <w:sz w:val="20"/>
                <w:szCs w:val="20"/>
                <w:lang w:val="en-US"/>
              </w:rPr>
              <w:t>regulation-specific variables</w:t>
            </w:r>
          </w:p>
        </w:tc>
        <w:tc>
          <w:tcPr>
            <w:tcW w:w="3060" w:type="dxa"/>
          </w:tcPr>
          <w:p w:rsidR="00F62A12" w:rsidRPr="00812E8B" w:rsidRDefault="00F62A12" w:rsidP="00866653">
            <w:pPr>
              <w:rPr>
                <w:sz w:val="20"/>
                <w:szCs w:val="20"/>
                <w:lang w:val="en-US"/>
              </w:rPr>
            </w:pPr>
            <w:r w:rsidRPr="00812E8B">
              <w:rPr>
                <w:sz w:val="20"/>
                <w:szCs w:val="20"/>
                <w:lang w:val="en-US"/>
              </w:rPr>
              <w:t xml:space="preserve">Results </w:t>
            </w:r>
            <w:r w:rsidR="00CE0F95">
              <w:rPr>
                <w:sz w:val="20"/>
                <w:szCs w:val="20"/>
                <w:lang w:val="en-US"/>
              </w:rPr>
              <w:t xml:space="preserve">are </w:t>
            </w:r>
            <w:r w:rsidRPr="00812E8B">
              <w:rPr>
                <w:sz w:val="20"/>
                <w:szCs w:val="20"/>
                <w:lang w:val="en-US"/>
              </w:rPr>
              <w:t>exploratory and</w:t>
            </w:r>
            <w:r w:rsidR="00CE0F95">
              <w:rPr>
                <w:sz w:val="20"/>
                <w:szCs w:val="20"/>
                <w:lang w:val="en-US"/>
              </w:rPr>
              <w:t xml:space="preserve"> one should be </w:t>
            </w:r>
            <w:r w:rsidRPr="00812E8B">
              <w:rPr>
                <w:sz w:val="20"/>
                <w:szCs w:val="20"/>
                <w:lang w:val="en-US"/>
              </w:rPr>
              <w:t xml:space="preserve">cautious with generalizing results. </w:t>
            </w:r>
          </w:p>
          <w:p w:rsidR="00F62A12" w:rsidRPr="00812E8B" w:rsidRDefault="00CE0F95" w:rsidP="00CE0F95">
            <w:pPr>
              <w:rPr>
                <w:sz w:val="20"/>
                <w:szCs w:val="20"/>
                <w:lang w:val="en-US"/>
              </w:rPr>
            </w:pPr>
            <w:r>
              <w:rPr>
                <w:sz w:val="20"/>
                <w:szCs w:val="20"/>
                <w:lang w:val="en-US"/>
              </w:rPr>
              <w:t>There is significant variation in individual bank performance a</w:t>
            </w:r>
            <w:r w:rsidR="00F62A12" w:rsidRPr="00812E8B">
              <w:rPr>
                <w:sz w:val="20"/>
                <w:szCs w:val="20"/>
                <w:lang w:val="en-US"/>
              </w:rPr>
              <w:t xml:space="preserve">cross the EU and G-10 countries, </w:t>
            </w:r>
            <w:r>
              <w:rPr>
                <w:sz w:val="20"/>
                <w:szCs w:val="20"/>
                <w:lang w:val="en-US"/>
              </w:rPr>
              <w:t>that is partly explainable by differences in regulation.</w:t>
            </w:r>
          </w:p>
        </w:tc>
        <w:tc>
          <w:tcPr>
            <w:tcW w:w="3240" w:type="dxa"/>
          </w:tcPr>
          <w:p w:rsidR="00F62A12" w:rsidRPr="00812E8B" w:rsidRDefault="00CE0F95" w:rsidP="00CE0F95">
            <w:pPr>
              <w:rPr>
                <w:sz w:val="20"/>
                <w:szCs w:val="20"/>
                <w:lang w:val="en-US"/>
              </w:rPr>
            </w:pPr>
            <w:r>
              <w:rPr>
                <w:sz w:val="20"/>
                <w:szCs w:val="20"/>
                <w:lang w:val="en-US"/>
              </w:rPr>
              <w:t xml:space="preserve">Their theoretical research indicates that there is still significant variation in the </w:t>
            </w:r>
            <w:r w:rsidR="00F62A12" w:rsidRPr="00812E8B">
              <w:rPr>
                <w:sz w:val="20"/>
                <w:szCs w:val="20"/>
                <w:lang w:val="en-US"/>
              </w:rPr>
              <w:t>structure</w:t>
            </w:r>
            <w:r>
              <w:rPr>
                <w:sz w:val="20"/>
                <w:szCs w:val="20"/>
                <w:lang w:val="en-US"/>
              </w:rPr>
              <w:t>, regulation and profitability in</w:t>
            </w:r>
            <w:r w:rsidR="00F62A12" w:rsidRPr="00812E8B">
              <w:rPr>
                <w:sz w:val="20"/>
                <w:szCs w:val="20"/>
                <w:lang w:val="en-US"/>
              </w:rPr>
              <w:t xml:space="preserve"> EU and G-10 countries. There are differences </w:t>
            </w:r>
            <w:r>
              <w:rPr>
                <w:sz w:val="20"/>
                <w:szCs w:val="20"/>
                <w:lang w:val="en-US"/>
              </w:rPr>
              <w:t>between the countries which activities are allowed (s</w:t>
            </w:r>
            <w:r w:rsidR="00F62A12" w:rsidRPr="00812E8B">
              <w:rPr>
                <w:sz w:val="20"/>
                <w:szCs w:val="20"/>
                <w:lang w:val="en-US"/>
              </w:rPr>
              <w:t>ecurities, insurance and real estate activities</w:t>
            </w:r>
            <w:r>
              <w:rPr>
                <w:sz w:val="20"/>
                <w:szCs w:val="20"/>
                <w:lang w:val="en-US"/>
              </w:rPr>
              <w:t>)</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Rime (2001)</w:t>
            </w:r>
          </w:p>
        </w:tc>
        <w:tc>
          <w:tcPr>
            <w:tcW w:w="2512" w:type="dxa"/>
          </w:tcPr>
          <w:p w:rsidR="00F62A12" w:rsidRPr="00812E8B" w:rsidRDefault="00CE0F95" w:rsidP="004A3831">
            <w:pPr>
              <w:rPr>
                <w:sz w:val="20"/>
                <w:szCs w:val="20"/>
                <w:lang w:val="en-US"/>
              </w:rPr>
            </w:pPr>
            <w:r>
              <w:rPr>
                <w:sz w:val="20"/>
                <w:szCs w:val="20"/>
                <w:lang w:val="en-US"/>
              </w:rPr>
              <w:t>Study the behavior of Swiss banks when capital requirements are placed by regulation. Extent literature</w:t>
            </w:r>
            <w:r w:rsidR="004A3831">
              <w:rPr>
                <w:sz w:val="20"/>
                <w:szCs w:val="20"/>
                <w:lang w:val="en-US"/>
              </w:rPr>
              <w:t xml:space="preserve"> from</w:t>
            </w:r>
            <w:r>
              <w:rPr>
                <w:sz w:val="20"/>
                <w:szCs w:val="20"/>
                <w:lang w:val="en-US"/>
              </w:rPr>
              <w:t xml:space="preserve"> USA</w:t>
            </w:r>
            <w:r w:rsidR="004A3831">
              <w:rPr>
                <w:sz w:val="20"/>
                <w:szCs w:val="20"/>
                <w:lang w:val="en-US"/>
              </w:rPr>
              <w:t>,</w:t>
            </w:r>
            <w:r>
              <w:rPr>
                <w:sz w:val="20"/>
                <w:szCs w:val="20"/>
                <w:lang w:val="en-US"/>
              </w:rPr>
              <w:t xml:space="preserve"> </w:t>
            </w:r>
            <w:r w:rsidR="004A3831">
              <w:rPr>
                <w:sz w:val="20"/>
                <w:szCs w:val="20"/>
                <w:lang w:val="en-US"/>
              </w:rPr>
              <w:t>to</w:t>
            </w:r>
            <w:r>
              <w:rPr>
                <w:sz w:val="20"/>
                <w:szCs w:val="20"/>
                <w:lang w:val="en-US"/>
              </w:rPr>
              <w:t xml:space="preserve"> </w:t>
            </w:r>
            <w:r w:rsidR="00F62A12" w:rsidRPr="00812E8B">
              <w:rPr>
                <w:sz w:val="20"/>
                <w:szCs w:val="20"/>
                <w:lang w:val="en-US"/>
              </w:rPr>
              <w:t xml:space="preserve">market with stricter regulatory pressure. </w:t>
            </w:r>
          </w:p>
        </w:tc>
        <w:tc>
          <w:tcPr>
            <w:tcW w:w="2340" w:type="dxa"/>
          </w:tcPr>
          <w:p w:rsidR="00F62A12" w:rsidRPr="00812E8B" w:rsidRDefault="00F62A12" w:rsidP="00866653">
            <w:pPr>
              <w:rPr>
                <w:sz w:val="20"/>
                <w:szCs w:val="20"/>
                <w:lang w:val="en-US"/>
              </w:rPr>
            </w:pPr>
            <w:r w:rsidRPr="00812E8B">
              <w:rPr>
                <w:sz w:val="20"/>
                <w:szCs w:val="20"/>
                <w:lang w:val="en-US"/>
              </w:rPr>
              <w:t>Region: Switzerland</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154 banks, total 924 observations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1989-1995</w:t>
            </w: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capital and risk</w:t>
            </w:r>
          </w:p>
          <w:p w:rsidR="00F62A12" w:rsidRPr="00812E8B" w:rsidRDefault="00F62A12" w:rsidP="00866653">
            <w:pPr>
              <w:rPr>
                <w:sz w:val="20"/>
                <w:szCs w:val="20"/>
                <w:lang w:val="en-US"/>
              </w:rPr>
            </w:pPr>
            <w:r w:rsidRPr="00812E8B">
              <w:rPr>
                <w:sz w:val="20"/>
                <w:szCs w:val="20"/>
                <w:lang w:val="en-US"/>
              </w:rPr>
              <w:t>EXPL: Regulatory pressure, size, return on assets</w:t>
            </w:r>
          </w:p>
        </w:tc>
        <w:tc>
          <w:tcPr>
            <w:tcW w:w="3060" w:type="dxa"/>
          </w:tcPr>
          <w:p w:rsidR="00F62A12" w:rsidRPr="00812E8B" w:rsidRDefault="00CE0F95" w:rsidP="004A3831">
            <w:pPr>
              <w:rPr>
                <w:sz w:val="20"/>
                <w:szCs w:val="20"/>
                <w:lang w:val="en-US"/>
              </w:rPr>
            </w:pPr>
            <w:r>
              <w:rPr>
                <w:sz w:val="20"/>
                <w:szCs w:val="20"/>
                <w:lang w:val="en-US"/>
              </w:rPr>
              <w:t>Banks that are close to capital requirements tend to increase their Tier 1 and 2 capital in relation to the RWA. Hence, regulation h</w:t>
            </w:r>
            <w:r w:rsidR="00F62A12" w:rsidRPr="00812E8B">
              <w:rPr>
                <w:sz w:val="20"/>
                <w:szCs w:val="20"/>
                <w:lang w:val="en-US"/>
              </w:rPr>
              <w:t>as the desired impact on banks' behavior.</w:t>
            </w:r>
          </w:p>
        </w:tc>
        <w:tc>
          <w:tcPr>
            <w:tcW w:w="3240" w:type="dxa"/>
          </w:tcPr>
          <w:p w:rsidR="004A3831" w:rsidRDefault="004A3831" w:rsidP="00866653">
            <w:pPr>
              <w:rPr>
                <w:sz w:val="20"/>
                <w:szCs w:val="20"/>
                <w:lang w:val="en-US"/>
              </w:rPr>
            </w:pPr>
            <w:r>
              <w:rPr>
                <w:sz w:val="20"/>
                <w:szCs w:val="20"/>
                <w:lang w:val="en-US"/>
              </w:rPr>
              <w:t>Rime (2001) find that regulation will force banks to increase their capital when they are close to minimum requirements. Regulation does not affect the risk-taking of a bank.</w:t>
            </w:r>
          </w:p>
          <w:p w:rsidR="00F62A12" w:rsidRPr="00812E8B" w:rsidRDefault="00F62A12" w:rsidP="00866653">
            <w:pPr>
              <w:rPr>
                <w:sz w:val="20"/>
                <w:szCs w:val="20"/>
                <w:lang w:val="en-US"/>
              </w:rPr>
            </w:pP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Barth et al. (2004)</w:t>
            </w:r>
          </w:p>
        </w:tc>
        <w:tc>
          <w:tcPr>
            <w:tcW w:w="2512" w:type="dxa"/>
          </w:tcPr>
          <w:p w:rsidR="00F62A12" w:rsidRPr="00812E8B" w:rsidRDefault="00F62A12" w:rsidP="004A3831">
            <w:pPr>
              <w:rPr>
                <w:sz w:val="20"/>
                <w:szCs w:val="20"/>
                <w:lang w:val="en-US"/>
              </w:rPr>
            </w:pPr>
            <w:r w:rsidRPr="00812E8B">
              <w:rPr>
                <w:sz w:val="20"/>
                <w:szCs w:val="20"/>
                <w:lang w:val="en-US"/>
              </w:rPr>
              <w:t xml:space="preserve">Analyze the relationship between regulatory practices and </w:t>
            </w:r>
            <w:r w:rsidR="004A3831" w:rsidRPr="00812E8B">
              <w:rPr>
                <w:sz w:val="20"/>
                <w:szCs w:val="20"/>
                <w:lang w:val="en-US"/>
              </w:rPr>
              <w:t xml:space="preserve">development </w:t>
            </w:r>
            <w:r w:rsidR="004A3831">
              <w:rPr>
                <w:sz w:val="20"/>
                <w:szCs w:val="20"/>
                <w:lang w:val="en-US"/>
              </w:rPr>
              <w:t xml:space="preserve">in the banking </w:t>
            </w:r>
            <w:r w:rsidRPr="00812E8B">
              <w:rPr>
                <w:sz w:val="20"/>
                <w:szCs w:val="20"/>
                <w:lang w:val="en-US"/>
              </w:rPr>
              <w:t>sector, efficiency</w:t>
            </w:r>
            <w:r w:rsidR="004A3831">
              <w:rPr>
                <w:sz w:val="20"/>
                <w:szCs w:val="20"/>
                <w:lang w:val="en-US"/>
              </w:rPr>
              <w:t xml:space="preserve"> of banks</w:t>
            </w:r>
            <w:r w:rsidRPr="00812E8B">
              <w:rPr>
                <w:sz w:val="20"/>
                <w:szCs w:val="20"/>
                <w:lang w:val="en-US"/>
              </w:rPr>
              <w:t xml:space="preserve"> and </w:t>
            </w:r>
            <w:r w:rsidR="004A3831">
              <w:rPr>
                <w:sz w:val="20"/>
                <w:szCs w:val="20"/>
                <w:lang w:val="en-US"/>
              </w:rPr>
              <w:t>stability</w:t>
            </w:r>
            <w:r w:rsidRPr="00812E8B">
              <w:rPr>
                <w:sz w:val="20"/>
                <w:szCs w:val="20"/>
                <w:lang w:val="en-US"/>
              </w:rPr>
              <w:t>.</w:t>
            </w:r>
          </w:p>
        </w:tc>
        <w:tc>
          <w:tcPr>
            <w:tcW w:w="2340" w:type="dxa"/>
          </w:tcPr>
          <w:p w:rsidR="00F62A12" w:rsidRPr="00812E8B" w:rsidRDefault="00F62A12" w:rsidP="00866653">
            <w:pPr>
              <w:rPr>
                <w:sz w:val="20"/>
                <w:szCs w:val="20"/>
                <w:lang w:val="en-US"/>
              </w:rPr>
            </w:pPr>
            <w:r w:rsidRPr="00812E8B">
              <w:rPr>
                <w:sz w:val="20"/>
                <w:szCs w:val="20"/>
                <w:lang w:val="en-US"/>
              </w:rPr>
              <w:t>Region: world (107 countries)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unknown</w:t>
            </w:r>
          </w:p>
          <w:p w:rsidR="00F62A12" w:rsidRPr="00812E8B" w:rsidRDefault="00F62A12" w:rsidP="00866653">
            <w:pPr>
              <w:rPr>
                <w:sz w:val="20"/>
                <w:szCs w:val="20"/>
                <w:lang w:val="en-US"/>
              </w:rPr>
            </w:pPr>
          </w:p>
          <w:p w:rsidR="00F62A12" w:rsidRPr="00812E8B" w:rsidRDefault="004A3831" w:rsidP="00866653">
            <w:pPr>
              <w:rPr>
                <w:sz w:val="20"/>
                <w:szCs w:val="20"/>
                <w:lang w:val="en-US"/>
              </w:rPr>
            </w:pPr>
            <w:r>
              <w:rPr>
                <w:sz w:val="20"/>
                <w:szCs w:val="20"/>
                <w:lang w:val="en-US"/>
              </w:rPr>
              <w:t>Period:</w:t>
            </w:r>
            <w:r w:rsidR="00F62A12" w:rsidRPr="00812E8B">
              <w:rPr>
                <w:sz w:val="20"/>
                <w:szCs w:val="20"/>
                <w:lang w:val="en-US"/>
              </w:rPr>
              <w:t xml:space="preserve"> 1999</w:t>
            </w: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F62A12" w:rsidRPr="00812E8B" w:rsidRDefault="00F62A12" w:rsidP="00866653">
            <w:pPr>
              <w:rPr>
                <w:sz w:val="20"/>
                <w:szCs w:val="20"/>
                <w:lang w:val="en-US"/>
              </w:rPr>
            </w:pPr>
            <w:r w:rsidRPr="00812E8B">
              <w:rPr>
                <w:sz w:val="20"/>
                <w:szCs w:val="20"/>
                <w:lang w:val="en-US"/>
              </w:rPr>
              <w:t>DEPV: Bank development</w:t>
            </w:r>
            <w:r w:rsidR="004A3831">
              <w:rPr>
                <w:sz w:val="20"/>
                <w:szCs w:val="20"/>
                <w:lang w:val="en-US"/>
              </w:rPr>
              <w:t xml:space="preserve">, </w:t>
            </w:r>
            <w:r w:rsidRPr="00812E8B">
              <w:rPr>
                <w:sz w:val="20"/>
                <w:szCs w:val="20"/>
                <w:lang w:val="en-US"/>
              </w:rPr>
              <w:t>NIM, overhead costs and non-performing loans.</w:t>
            </w:r>
          </w:p>
          <w:p w:rsidR="00F62A12" w:rsidRPr="00812E8B" w:rsidRDefault="00F62A12" w:rsidP="00866653">
            <w:pPr>
              <w:rPr>
                <w:sz w:val="20"/>
                <w:szCs w:val="20"/>
                <w:lang w:val="en-US"/>
              </w:rPr>
            </w:pPr>
            <w:r w:rsidRPr="00812E8B">
              <w:rPr>
                <w:sz w:val="20"/>
                <w:szCs w:val="20"/>
                <w:lang w:val="en-US"/>
              </w:rPr>
              <w:t>EXPL: capital regulatory index, supervisory power, banking entry, government</w:t>
            </w:r>
          </w:p>
        </w:tc>
        <w:tc>
          <w:tcPr>
            <w:tcW w:w="3060" w:type="dxa"/>
          </w:tcPr>
          <w:p w:rsidR="00F62A12" w:rsidRPr="004A3831" w:rsidRDefault="00F62A12" w:rsidP="00866653">
            <w:pPr>
              <w:rPr>
                <w:color w:val="FF0000"/>
                <w:sz w:val="20"/>
                <w:szCs w:val="20"/>
                <w:lang w:val="en-US"/>
              </w:rPr>
            </w:pPr>
            <w:r w:rsidRPr="006464C1">
              <w:rPr>
                <w:sz w:val="20"/>
                <w:szCs w:val="20"/>
                <w:lang w:val="en-US"/>
              </w:rPr>
              <w:t>Restriction of bank activities negatively relate to development but not to NIM. No evidence of positive relation between bank entry and NIM and no relationship between capital restrictions and NIM or development</w:t>
            </w:r>
          </w:p>
        </w:tc>
        <w:tc>
          <w:tcPr>
            <w:tcW w:w="3240" w:type="dxa"/>
          </w:tcPr>
          <w:p w:rsidR="00F62A12" w:rsidRPr="004A3831" w:rsidRDefault="00F62A12" w:rsidP="00866653">
            <w:pPr>
              <w:rPr>
                <w:color w:val="FF0000"/>
                <w:sz w:val="20"/>
                <w:szCs w:val="20"/>
                <w:lang w:val="en-US"/>
              </w:rPr>
            </w:pPr>
            <w:r w:rsidRPr="006464C1">
              <w:rPr>
                <w:sz w:val="20"/>
                <w:szCs w:val="20"/>
                <w:lang w:val="en-US"/>
              </w:rPr>
              <w:t>Regulations and supervisory practices that force accurate information disclosure and empower corporate control of banks work best to promote bank development, performance and stability.</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Heid et al (2004)</w:t>
            </w:r>
          </w:p>
        </w:tc>
        <w:tc>
          <w:tcPr>
            <w:tcW w:w="2512" w:type="dxa"/>
          </w:tcPr>
          <w:p w:rsidR="00DC162F" w:rsidRDefault="00F62A12" w:rsidP="00DC162F">
            <w:pPr>
              <w:rPr>
                <w:sz w:val="20"/>
                <w:szCs w:val="20"/>
                <w:lang w:val="en-US"/>
              </w:rPr>
            </w:pPr>
            <w:r w:rsidRPr="00812E8B">
              <w:rPr>
                <w:sz w:val="20"/>
                <w:szCs w:val="20"/>
                <w:lang w:val="en-US"/>
              </w:rPr>
              <w:t xml:space="preserve">Asses how banks adjust </w:t>
            </w:r>
            <w:r w:rsidR="00DC162F">
              <w:rPr>
                <w:sz w:val="20"/>
                <w:szCs w:val="20"/>
                <w:lang w:val="en-US"/>
              </w:rPr>
              <w:t>their capital and risk-</w:t>
            </w:r>
            <w:r w:rsidRPr="00812E8B">
              <w:rPr>
                <w:sz w:val="20"/>
                <w:szCs w:val="20"/>
                <w:lang w:val="en-US"/>
              </w:rPr>
              <w:t xml:space="preserve">taking </w:t>
            </w:r>
            <w:r w:rsidR="00DC162F">
              <w:rPr>
                <w:sz w:val="20"/>
                <w:szCs w:val="20"/>
                <w:lang w:val="en-US"/>
              </w:rPr>
              <w:t xml:space="preserve">behavior under </w:t>
            </w:r>
            <w:r w:rsidRPr="00812E8B">
              <w:rPr>
                <w:sz w:val="20"/>
                <w:szCs w:val="20"/>
                <w:lang w:val="en-US"/>
              </w:rPr>
              <w:t xml:space="preserve">regulation. </w:t>
            </w:r>
          </w:p>
          <w:p w:rsidR="00DC162F" w:rsidRDefault="00DC162F" w:rsidP="00DC162F">
            <w:pPr>
              <w:rPr>
                <w:sz w:val="20"/>
                <w:szCs w:val="20"/>
                <w:lang w:val="en-US"/>
              </w:rPr>
            </w:pPr>
          </w:p>
          <w:p w:rsidR="00F62A12" w:rsidRPr="00812E8B" w:rsidRDefault="00DC162F" w:rsidP="00DC162F">
            <w:pPr>
              <w:rPr>
                <w:sz w:val="20"/>
                <w:szCs w:val="20"/>
                <w:lang w:val="en-US"/>
              </w:rPr>
            </w:pPr>
            <w:r>
              <w:rPr>
                <w:sz w:val="20"/>
                <w:szCs w:val="20"/>
                <w:lang w:val="en-US"/>
              </w:rPr>
              <w:t>They t</w:t>
            </w:r>
            <w:r w:rsidR="00F62A12" w:rsidRPr="00812E8B">
              <w:rPr>
                <w:sz w:val="20"/>
                <w:szCs w:val="20"/>
                <w:lang w:val="en-US"/>
              </w:rPr>
              <w:t xml:space="preserve">est </w:t>
            </w:r>
            <w:r>
              <w:rPr>
                <w:sz w:val="20"/>
                <w:szCs w:val="20"/>
                <w:lang w:val="en-US"/>
              </w:rPr>
              <w:t xml:space="preserve">the capital buffer theory and moral hazard by extending </w:t>
            </w:r>
            <w:r w:rsidR="00F62A12" w:rsidRPr="00812E8B">
              <w:rPr>
                <w:sz w:val="20"/>
                <w:szCs w:val="20"/>
                <w:lang w:val="en-US"/>
              </w:rPr>
              <w:t>literature</w:t>
            </w:r>
            <w:r>
              <w:rPr>
                <w:sz w:val="20"/>
                <w:szCs w:val="20"/>
                <w:lang w:val="en-US"/>
              </w:rPr>
              <w:t xml:space="preserve"> for</w:t>
            </w:r>
            <w:r w:rsidR="00F62A12" w:rsidRPr="00812E8B">
              <w:rPr>
                <w:sz w:val="20"/>
                <w:szCs w:val="20"/>
                <w:lang w:val="en-US"/>
              </w:rPr>
              <w:t xml:space="preserve"> non-US </w:t>
            </w:r>
            <w:r>
              <w:rPr>
                <w:sz w:val="20"/>
                <w:szCs w:val="20"/>
                <w:lang w:val="en-US"/>
              </w:rPr>
              <w:t>banks.</w:t>
            </w:r>
          </w:p>
        </w:tc>
        <w:tc>
          <w:tcPr>
            <w:tcW w:w="2340" w:type="dxa"/>
          </w:tcPr>
          <w:p w:rsidR="00F62A12" w:rsidRPr="00812E8B" w:rsidRDefault="00F62A12" w:rsidP="00866653">
            <w:pPr>
              <w:rPr>
                <w:sz w:val="20"/>
                <w:szCs w:val="20"/>
                <w:lang w:val="en-US"/>
              </w:rPr>
            </w:pPr>
            <w:r w:rsidRPr="00812E8B">
              <w:rPr>
                <w:sz w:val="20"/>
                <w:szCs w:val="20"/>
                <w:lang w:val="en-US"/>
              </w:rPr>
              <w:t>Region: Germany</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570 banks</w:t>
            </w:r>
            <w:r w:rsidR="00DC162F" w:rsidRPr="00812E8B">
              <w:rPr>
                <w:sz w:val="20"/>
                <w:szCs w:val="20"/>
                <w:lang w:val="en-US"/>
              </w:rPr>
              <w:t xml:space="preserve"> </w:t>
            </w:r>
            <w:r w:rsidR="00DC162F">
              <w:rPr>
                <w:sz w:val="20"/>
                <w:szCs w:val="20"/>
                <w:lang w:val="en-US"/>
              </w:rPr>
              <w:t xml:space="preserve">(using </w:t>
            </w:r>
            <w:r w:rsidR="00DC162F" w:rsidRPr="00812E8B">
              <w:rPr>
                <w:sz w:val="20"/>
                <w:szCs w:val="20"/>
                <w:lang w:val="en-US"/>
              </w:rPr>
              <w:t xml:space="preserve">a new dataset </w:t>
            </w:r>
            <w:r w:rsidR="00DC162F">
              <w:rPr>
                <w:sz w:val="20"/>
                <w:szCs w:val="20"/>
                <w:lang w:val="en-US"/>
              </w:rPr>
              <w:t xml:space="preserve">provided by </w:t>
            </w:r>
            <w:r w:rsidR="00DC162F" w:rsidRPr="00812E8B">
              <w:rPr>
                <w:sz w:val="20"/>
                <w:szCs w:val="20"/>
                <w:lang w:val="en-US"/>
              </w:rPr>
              <w:t>Deutsche Bank</w:t>
            </w:r>
            <w:r w:rsidR="00DC162F">
              <w:rPr>
                <w:sz w:val="20"/>
                <w:szCs w:val="20"/>
                <w:lang w:val="en-US"/>
              </w:rPr>
              <w:t>)</w:t>
            </w:r>
            <w:r w:rsidR="00DC162F" w:rsidRPr="00812E8B">
              <w:rPr>
                <w:sz w:val="20"/>
                <w:szCs w:val="20"/>
                <w:lang w:val="en-US"/>
              </w:rPr>
              <w:t>.</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1993 - 2000</w:t>
            </w:r>
          </w:p>
          <w:p w:rsidR="00F62A12" w:rsidRPr="00812E8B" w:rsidRDefault="00F62A12" w:rsidP="00866653">
            <w:pPr>
              <w:jc w:val="center"/>
              <w:rPr>
                <w:sz w:val="20"/>
                <w:szCs w:val="20"/>
                <w:lang w:val="en-US"/>
              </w:rPr>
            </w:pPr>
          </w:p>
        </w:tc>
        <w:tc>
          <w:tcPr>
            <w:tcW w:w="2610" w:type="dxa"/>
          </w:tcPr>
          <w:p w:rsidR="00F62A12" w:rsidRPr="00812E8B" w:rsidRDefault="00F62A12" w:rsidP="00866653">
            <w:pPr>
              <w:rPr>
                <w:sz w:val="20"/>
                <w:szCs w:val="20"/>
                <w:lang w:val="en-US"/>
              </w:rPr>
            </w:pPr>
            <w:r w:rsidRPr="00812E8B">
              <w:rPr>
                <w:sz w:val="20"/>
                <w:szCs w:val="20"/>
                <w:lang w:val="en-US"/>
              </w:rPr>
              <w:t xml:space="preserve">Regression model </w:t>
            </w:r>
            <w:r w:rsidR="00DC162F">
              <w:rPr>
                <w:sz w:val="20"/>
                <w:szCs w:val="20"/>
                <w:lang w:val="en-US"/>
              </w:rPr>
              <w:br/>
            </w:r>
            <w:r w:rsidRPr="00812E8B">
              <w:rPr>
                <w:sz w:val="20"/>
                <w:szCs w:val="20"/>
                <w:lang w:val="en-US"/>
              </w:rPr>
              <w:t>(dynamic panel data)</w:t>
            </w:r>
          </w:p>
          <w:p w:rsidR="00F62A12" w:rsidRPr="00812E8B" w:rsidRDefault="00F62A12" w:rsidP="00866653">
            <w:pPr>
              <w:rPr>
                <w:sz w:val="20"/>
                <w:szCs w:val="20"/>
                <w:lang w:val="en-US"/>
              </w:rPr>
            </w:pPr>
            <w:r w:rsidRPr="00812E8B">
              <w:rPr>
                <w:sz w:val="20"/>
                <w:szCs w:val="20"/>
                <w:lang w:val="en-US"/>
              </w:rPr>
              <w:t>DEPV: capital to total asset</w:t>
            </w:r>
            <w:r w:rsidR="00DC162F">
              <w:rPr>
                <w:sz w:val="20"/>
                <w:szCs w:val="20"/>
                <w:lang w:val="en-US"/>
              </w:rPr>
              <w:t>s</w:t>
            </w:r>
            <w:r w:rsidR="00CE0F95">
              <w:rPr>
                <w:sz w:val="20"/>
                <w:szCs w:val="20"/>
                <w:lang w:val="en-US"/>
              </w:rPr>
              <w:t xml:space="preserve"> and risk weighted assets </w:t>
            </w:r>
            <w:r w:rsidRPr="00812E8B">
              <w:rPr>
                <w:sz w:val="20"/>
                <w:szCs w:val="20"/>
                <w:lang w:val="en-US"/>
              </w:rPr>
              <w:t>to total assets)</w:t>
            </w:r>
          </w:p>
          <w:p w:rsidR="00F62A12" w:rsidRPr="00812E8B" w:rsidRDefault="00F62A12" w:rsidP="00866653">
            <w:pPr>
              <w:rPr>
                <w:sz w:val="20"/>
                <w:szCs w:val="20"/>
                <w:lang w:val="en-US"/>
              </w:rPr>
            </w:pPr>
            <w:r w:rsidRPr="00812E8B">
              <w:rPr>
                <w:sz w:val="20"/>
                <w:szCs w:val="20"/>
                <w:lang w:val="en-US"/>
              </w:rPr>
              <w:t>EXPL: Size, loan loss provision, capita</w:t>
            </w:r>
            <w:r w:rsidR="00CE0F95">
              <w:rPr>
                <w:sz w:val="20"/>
                <w:szCs w:val="20"/>
                <w:lang w:val="en-US"/>
              </w:rPr>
              <w:t xml:space="preserve">l buffer and </w:t>
            </w:r>
            <w:r w:rsidRPr="00812E8B">
              <w:rPr>
                <w:sz w:val="20"/>
                <w:szCs w:val="20"/>
                <w:lang w:val="en-US"/>
              </w:rPr>
              <w:t>insolvency.</w:t>
            </w:r>
          </w:p>
        </w:tc>
        <w:tc>
          <w:tcPr>
            <w:tcW w:w="3060" w:type="dxa"/>
          </w:tcPr>
          <w:p w:rsidR="00F62A12" w:rsidRPr="00812E8B" w:rsidRDefault="00F62A12" w:rsidP="004A3831">
            <w:pPr>
              <w:rPr>
                <w:sz w:val="20"/>
                <w:szCs w:val="20"/>
                <w:lang w:val="en-US"/>
              </w:rPr>
            </w:pPr>
            <w:r w:rsidRPr="00812E8B">
              <w:rPr>
                <w:sz w:val="20"/>
                <w:szCs w:val="20"/>
                <w:lang w:val="en-US"/>
              </w:rPr>
              <w:t>Banks with</w:t>
            </w:r>
            <w:r w:rsidR="00CE0F95">
              <w:rPr>
                <w:sz w:val="20"/>
                <w:szCs w:val="20"/>
                <w:lang w:val="en-US"/>
              </w:rPr>
              <w:t xml:space="preserve"> less capital buffers above minimum requirements try to increase the buffers when capital decreases (by extra risk-taking) whilst banks with higher capital buffers try rebuild their buffer when capital decreases by increasing risk taking. </w:t>
            </w:r>
          </w:p>
        </w:tc>
        <w:tc>
          <w:tcPr>
            <w:tcW w:w="3240" w:type="dxa"/>
          </w:tcPr>
          <w:p w:rsidR="00F62A12" w:rsidRPr="00812E8B" w:rsidRDefault="00CE0F95" w:rsidP="00CE0F95">
            <w:pPr>
              <w:rPr>
                <w:sz w:val="20"/>
                <w:szCs w:val="20"/>
                <w:lang w:val="en-US"/>
              </w:rPr>
            </w:pPr>
            <w:r>
              <w:rPr>
                <w:sz w:val="20"/>
                <w:szCs w:val="20"/>
                <w:lang w:val="en-US"/>
              </w:rPr>
              <w:t>They find that regulation w.r.t. capital has an impact on the risk and target capital adjustments. Moreover, capital is faster adjusted than risks. There is n</w:t>
            </w:r>
            <w:r w:rsidR="00F62A12" w:rsidRPr="00812E8B">
              <w:rPr>
                <w:sz w:val="20"/>
                <w:szCs w:val="20"/>
                <w:lang w:val="en-US"/>
              </w:rPr>
              <w:t xml:space="preserve">o evidence </w:t>
            </w:r>
            <w:r>
              <w:rPr>
                <w:sz w:val="20"/>
                <w:szCs w:val="20"/>
                <w:lang w:val="en-US"/>
              </w:rPr>
              <w:t xml:space="preserve">found </w:t>
            </w:r>
            <w:r w:rsidR="00F62A12" w:rsidRPr="00812E8B">
              <w:rPr>
                <w:sz w:val="20"/>
                <w:szCs w:val="20"/>
                <w:lang w:val="en-US"/>
              </w:rPr>
              <w:t>that</w:t>
            </w:r>
            <w:r>
              <w:rPr>
                <w:sz w:val="20"/>
                <w:szCs w:val="20"/>
                <w:lang w:val="en-US"/>
              </w:rPr>
              <w:t xml:space="preserve"> banks</w:t>
            </w:r>
            <w:r w:rsidR="00F62A12" w:rsidRPr="00812E8B">
              <w:rPr>
                <w:sz w:val="20"/>
                <w:szCs w:val="20"/>
                <w:lang w:val="en-US"/>
              </w:rPr>
              <w:t xml:space="preserve"> with low capital buffers adjust capital </w:t>
            </w:r>
            <w:r>
              <w:rPr>
                <w:sz w:val="20"/>
                <w:szCs w:val="20"/>
                <w:lang w:val="en-US"/>
              </w:rPr>
              <w:t xml:space="preserve">or risk </w:t>
            </w:r>
            <w:r w:rsidR="00F62A12" w:rsidRPr="00812E8B">
              <w:rPr>
                <w:sz w:val="20"/>
                <w:szCs w:val="20"/>
                <w:lang w:val="en-US"/>
              </w:rPr>
              <w:t>faster than banks with high capital buffers</w:t>
            </w:r>
          </w:p>
        </w:tc>
      </w:tr>
    </w:tbl>
    <w:p w:rsidR="00F62A12" w:rsidRPr="00812E8B" w:rsidRDefault="00F62A12" w:rsidP="00F62A12">
      <w:pPr>
        <w:pStyle w:val="NoSpacing"/>
        <w:jc w:val="both"/>
        <w:rPr>
          <w:sz w:val="20"/>
          <w:szCs w:val="20"/>
          <w:lang w:val="en-US"/>
        </w:rPr>
      </w:pPr>
    </w:p>
    <w:tbl>
      <w:tblPr>
        <w:tblStyle w:val="TableGrid"/>
        <w:tblW w:w="15210" w:type="dxa"/>
        <w:tblInd w:w="-612" w:type="dxa"/>
        <w:tblLook w:val="04A0"/>
      </w:tblPr>
      <w:tblGrid>
        <w:gridCol w:w="1448"/>
        <w:gridCol w:w="2512"/>
        <w:gridCol w:w="2340"/>
        <w:gridCol w:w="2610"/>
        <w:gridCol w:w="3060"/>
        <w:gridCol w:w="3240"/>
      </w:tblGrid>
      <w:tr w:rsidR="00F62A12" w:rsidRPr="00812E8B" w:rsidTr="00866653">
        <w:tc>
          <w:tcPr>
            <w:tcW w:w="1448" w:type="dxa"/>
          </w:tcPr>
          <w:p w:rsidR="00F62A12" w:rsidRPr="00812E8B" w:rsidRDefault="00F62A12" w:rsidP="00866653">
            <w:pPr>
              <w:rPr>
                <w:b/>
                <w:sz w:val="20"/>
                <w:szCs w:val="20"/>
                <w:lang w:val="en-US"/>
              </w:rPr>
            </w:pPr>
            <w:r w:rsidRPr="00812E8B">
              <w:rPr>
                <w:b/>
                <w:sz w:val="20"/>
                <w:szCs w:val="20"/>
                <w:lang w:val="en-US"/>
              </w:rPr>
              <w:lastRenderedPageBreak/>
              <w:t>Author(s)</w:t>
            </w:r>
          </w:p>
        </w:tc>
        <w:tc>
          <w:tcPr>
            <w:tcW w:w="2512" w:type="dxa"/>
          </w:tcPr>
          <w:p w:rsidR="00F62A12" w:rsidRPr="00812E8B" w:rsidRDefault="00F62A12" w:rsidP="00866653">
            <w:pPr>
              <w:rPr>
                <w:b/>
                <w:sz w:val="20"/>
                <w:szCs w:val="20"/>
                <w:lang w:val="en-US"/>
              </w:rPr>
            </w:pPr>
            <w:r w:rsidRPr="00812E8B">
              <w:rPr>
                <w:b/>
                <w:sz w:val="20"/>
                <w:szCs w:val="20"/>
                <w:lang w:val="en-US"/>
              </w:rPr>
              <w:t>Purpose of the study</w:t>
            </w:r>
          </w:p>
        </w:tc>
        <w:tc>
          <w:tcPr>
            <w:tcW w:w="2340" w:type="dxa"/>
          </w:tcPr>
          <w:p w:rsidR="00F62A12" w:rsidRPr="00812E8B" w:rsidRDefault="00F62A12" w:rsidP="00866653">
            <w:pPr>
              <w:rPr>
                <w:b/>
                <w:sz w:val="20"/>
                <w:szCs w:val="20"/>
                <w:lang w:val="en-US"/>
              </w:rPr>
            </w:pPr>
            <w:r w:rsidRPr="00812E8B">
              <w:rPr>
                <w:b/>
                <w:sz w:val="20"/>
                <w:szCs w:val="20"/>
                <w:lang w:val="en-US"/>
              </w:rPr>
              <w:t>Sample</w:t>
            </w:r>
          </w:p>
        </w:tc>
        <w:tc>
          <w:tcPr>
            <w:tcW w:w="2610" w:type="dxa"/>
          </w:tcPr>
          <w:p w:rsidR="00F62A12" w:rsidRPr="00812E8B" w:rsidRDefault="00F62A12" w:rsidP="00866653">
            <w:pPr>
              <w:rPr>
                <w:b/>
                <w:sz w:val="20"/>
                <w:szCs w:val="20"/>
                <w:lang w:val="en-US"/>
              </w:rPr>
            </w:pPr>
            <w:r w:rsidRPr="00812E8B">
              <w:rPr>
                <w:b/>
                <w:sz w:val="20"/>
                <w:szCs w:val="20"/>
                <w:lang w:val="en-US"/>
              </w:rPr>
              <w:t>Methodology</w:t>
            </w:r>
          </w:p>
        </w:tc>
        <w:tc>
          <w:tcPr>
            <w:tcW w:w="3060" w:type="dxa"/>
          </w:tcPr>
          <w:p w:rsidR="00F62A12" w:rsidRPr="00812E8B" w:rsidRDefault="00F62A12" w:rsidP="00866653">
            <w:pPr>
              <w:rPr>
                <w:b/>
                <w:sz w:val="20"/>
                <w:szCs w:val="20"/>
                <w:lang w:val="en-US"/>
              </w:rPr>
            </w:pPr>
            <w:r w:rsidRPr="00812E8B">
              <w:rPr>
                <w:b/>
                <w:sz w:val="20"/>
                <w:szCs w:val="20"/>
                <w:lang w:val="en-US"/>
              </w:rPr>
              <w:t>Results</w:t>
            </w:r>
          </w:p>
        </w:tc>
        <w:tc>
          <w:tcPr>
            <w:tcW w:w="3240" w:type="dxa"/>
          </w:tcPr>
          <w:p w:rsidR="00F62A12" w:rsidRPr="00812E8B" w:rsidRDefault="00F62A12" w:rsidP="00866653">
            <w:pPr>
              <w:rPr>
                <w:b/>
                <w:sz w:val="20"/>
                <w:szCs w:val="20"/>
                <w:lang w:val="en-US"/>
              </w:rPr>
            </w:pPr>
            <w:r w:rsidRPr="00812E8B">
              <w:rPr>
                <w:b/>
                <w:sz w:val="20"/>
                <w:szCs w:val="20"/>
                <w:lang w:val="en-US"/>
              </w:rPr>
              <w:t>Conclusion</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E27BDF" w:rsidP="00866653">
            <w:pPr>
              <w:rPr>
                <w:sz w:val="20"/>
                <w:szCs w:val="20"/>
                <w:lang w:val="en-US"/>
              </w:rPr>
            </w:pPr>
            <w:r w:rsidRPr="00812E8B">
              <w:rPr>
                <w:sz w:val="20"/>
                <w:szCs w:val="20"/>
                <w:lang w:val="en-US"/>
              </w:rPr>
              <w:t>Blum (2008</w:t>
            </w:r>
            <w:r w:rsidR="00F62A12" w:rsidRPr="00812E8B">
              <w:rPr>
                <w:sz w:val="20"/>
                <w:szCs w:val="20"/>
                <w:lang w:val="en-US"/>
              </w:rPr>
              <w:t>)</w:t>
            </w:r>
          </w:p>
        </w:tc>
        <w:tc>
          <w:tcPr>
            <w:tcW w:w="2512" w:type="dxa"/>
          </w:tcPr>
          <w:p w:rsidR="00F62A12" w:rsidRPr="00812E8B" w:rsidRDefault="004A3831" w:rsidP="004A3831">
            <w:pPr>
              <w:rPr>
                <w:sz w:val="20"/>
                <w:szCs w:val="20"/>
                <w:lang w:val="en-US"/>
              </w:rPr>
            </w:pPr>
            <w:r>
              <w:rPr>
                <w:sz w:val="20"/>
                <w:szCs w:val="20"/>
                <w:lang w:val="en-US"/>
              </w:rPr>
              <w:t>He theoretically examines why a leverage ratio restriction may be beneficial under current regulation (Basel II).</w:t>
            </w:r>
          </w:p>
        </w:tc>
        <w:tc>
          <w:tcPr>
            <w:tcW w:w="2340" w:type="dxa"/>
          </w:tcPr>
          <w:p w:rsidR="00F62A12" w:rsidRPr="00812E8B" w:rsidRDefault="00F62A12" w:rsidP="00866653">
            <w:pPr>
              <w:rPr>
                <w:sz w:val="20"/>
                <w:szCs w:val="20"/>
                <w:lang w:val="en-US"/>
              </w:rPr>
            </w:pPr>
            <w:r w:rsidRPr="00812E8B">
              <w:rPr>
                <w:sz w:val="20"/>
                <w:szCs w:val="20"/>
                <w:lang w:val="en-US"/>
              </w:rPr>
              <w:t>No empirical data</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Theoretical model</w:t>
            </w:r>
          </w:p>
        </w:tc>
        <w:tc>
          <w:tcPr>
            <w:tcW w:w="2610" w:type="dxa"/>
          </w:tcPr>
          <w:p w:rsidR="00F62A12" w:rsidRPr="00812E8B" w:rsidRDefault="004A3831" w:rsidP="004A3831">
            <w:pPr>
              <w:rPr>
                <w:sz w:val="20"/>
                <w:szCs w:val="20"/>
                <w:lang w:val="en-US"/>
              </w:rPr>
            </w:pPr>
            <w:r>
              <w:rPr>
                <w:sz w:val="20"/>
                <w:szCs w:val="20"/>
                <w:lang w:val="en-US"/>
              </w:rPr>
              <w:t>Different theoretical equations to examine the effect of a leverage ratio on the ability of supervisors to sanction dishonest banks.</w:t>
            </w:r>
          </w:p>
        </w:tc>
        <w:tc>
          <w:tcPr>
            <w:tcW w:w="3060" w:type="dxa"/>
          </w:tcPr>
          <w:p w:rsidR="00F62A12" w:rsidRPr="00812E8B" w:rsidRDefault="00F62A12" w:rsidP="004A3831">
            <w:pPr>
              <w:rPr>
                <w:sz w:val="20"/>
                <w:szCs w:val="20"/>
                <w:lang w:val="en-US"/>
              </w:rPr>
            </w:pPr>
            <w:r w:rsidRPr="00812E8B">
              <w:rPr>
                <w:sz w:val="20"/>
                <w:szCs w:val="20"/>
                <w:lang w:val="en-US"/>
              </w:rPr>
              <w:t xml:space="preserve">Imposing a leverage ratio </w:t>
            </w:r>
            <w:r w:rsidR="004A3831">
              <w:rPr>
                <w:sz w:val="20"/>
                <w:szCs w:val="20"/>
                <w:lang w:val="en-US"/>
              </w:rPr>
              <w:t xml:space="preserve">could </w:t>
            </w:r>
            <w:r w:rsidRPr="00812E8B">
              <w:rPr>
                <w:sz w:val="20"/>
                <w:szCs w:val="20"/>
                <w:lang w:val="en-US"/>
              </w:rPr>
              <w:t>improve the ability</w:t>
            </w:r>
            <w:r w:rsidR="004A3831">
              <w:rPr>
                <w:sz w:val="20"/>
                <w:szCs w:val="20"/>
                <w:lang w:val="en-US"/>
              </w:rPr>
              <w:t xml:space="preserve"> of supervisors</w:t>
            </w:r>
            <w:r w:rsidRPr="00812E8B">
              <w:rPr>
                <w:sz w:val="20"/>
                <w:szCs w:val="20"/>
                <w:lang w:val="en-US"/>
              </w:rPr>
              <w:t xml:space="preserve"> to sanction dishonest banks. </w:t>
            </w:r>
            <w:r w:rsidR="004A3831">
              <w:rPr>
                <w:sz w:val="20"/>
                <w:szCs w:val="20"/>
                <w:lang w:val="en-US"/>
              </w:rPr>
              <w:t>It introduce a m</w:t>
            </w:r>
            <w:r w:rsidRPr="00812E8B">
              <w:rPr>
                <w:sz w:val="20"/>
                <w:szCs w:val="20"/>
                <w:lang w:val="en-US"/>
              </w:rPr>
              <w:t xml:space="preserve">aximum </w:t>
            </w:r>
            <w:r w:rsidR="004A3831">
              <w:rPr>
                <w:sz w:val="20"/>
                <w:szCs w:val="20"/>
                <w:lang w:val="en-US"/>
              </w:rPr>
              <w:t>amount of the</w:t>
            </w:r>
            <w:r w:rsidRPr="00812E8B">
              <w:rPr>
                <w:sz w:val="20"/>
                <w:szCs w:val="20"/>
                <w:lang w:val="en-US"/>
              </w:rPr>
              <w:t xml:space="preserve"> put option value</w:t>
            </w:r>
            <w:r w:rsidR="004A3831">
              <w:rPr>
                <w:sz w:val="20"/>
                <w:szCs w:val="20"/>
                <w:lang w:val="en-US"/>
              </w:rPr>
              <w:t xml:space="preserve"> arising from the limited liability among other options.</w:t>
            </w:r>
            <w:r w:rsidRPr="00812E8B">
              <w:rPr>
                <w:sz w:val="20"/>
                <w:szCs w:val="20"/>
                <w:lang w:val="en-US"/>
              </w:rPr>
              <w:t xml:space="preserve"> </w:t>
            </w:r>
          </w:p>
        </w:tc>
        <w:tc>
          <w:tcPr>
            <w:tcW w:w="3240" w:type="dxa"/>
          </w:tcPr>
          <w:p w:rsidR="00F62A12" w:rsidRPr="00812E8B" w:rsidRDefault="004A3831" w:rsidP="00C04042">
            <w:pPr>
              <w:rPr>
                <w:sz w:val="20"/>
                <w:szCs w:val="20"/>
                <w:lang w:val="en-US"/>
              </w:rPr>
            </w:pPr>
            <w:r>
              <w:rPr>
                <w:sz w:val="20"/>
                <w:szCs w:val="20"/>
                <w:lang w:val="en-US"/>
              </w:rPr>
              <w:t xml:space="preserve">The </w:t>
            </w:r>
            <w:r w:rsidR="00F62A12" w:rsidRPr="00812E8B">
              <w:rPr>
                <w:sz w:val="20"/>
                <w:szCs w:val="20"/>
                <w:lang w:val="en-US"/>
              </w:rPr>
              <w:t>leverage ratio</w:t>
            </w:r>
            <w:r>
              <w:rPr>
                <w:sz w:val="20"/>
                <w:szCs w:val="20"/>
                <w:lang w:val="en-US"/>
              </w:rPr>
              <w:t xml:space="preserve">, which is risk-independent, </w:t>
            </w:r>
            <w:r w:rsidR="00F62A12" w:rsidRPr="00812E8B">
              <w:rPr>
                <w:sz w:val="20"/>
                <w:szCs w:val="20"/>
                <w:lang w:val="en-US"/>
              </w:rPr>
              <w:t xml:space="preserve">lead to </w:t>
            </w:r>
            <w:r>
              <w:rPr>
                <w:sz w:val="20"/>
                <w:szCs w:val="20"/>
                <w:lang w:val="en-US"/>
              </w:rPr>
              <w:t>unbiased and true</w:t>
            </w:r>
            <w:r w:rsidR="00F62A12" w:rsidRPr="00812E8B">
              <w:rPr>
                <w:sz w:val="20"/>
                <w:szCs w:val="20"/>
                <w:lang w:val="en-US"/>
              </w:rPr>
              <w:t xml:space="preserve"> risk reporting</w:t>
            </w:r>
            <w:r>
              <w:rPr>
                <w:sz w:val="20"/>
                <w:szCs w:val="20"/>
                <w:lang w:val="en-US"/>
              </w:rPr>
              <w:t xml:space="preserve"> by banks. Only when supervisors </w:t>
            </w:r>
            <w:r w:rsidR="00F62A12" w:rsidRPr="00812E8B">
              <w:rPr>
                <w:sz w:val="20"/>
                <w:szCs w:val="20"/>
                <w:lang w:val="en-US"/>
              </w:rPr>
              <w:t xml:space="preserve">are unable to </w:t>
            </w:r>
            <w:r w:rsidRPr="00812E8B">
              <w:rPr>
                <w:sz w:val="20"/>
                <w:szCs w:val="20"/>
                <w:lang w:val="en-US"/>
              </w:rPr>
              <w:t>identify</w:t>
            </w:r>
            <w:r w:rsidR="00F62A12" w:rsidRPr="00812E8B">
              <w:rPr>
                <w:sz w:val="20"/>
                <w:szCs w:val="20"/>
                <w:lang w:val="en-US"/>
              </w:rPr>
              <w:t xml:space="preserve"> </w:t>
            </w:r>
            <w:r>
              <w:rPr>
                <w:sz w:val="20"/>
                <w:szCs w:val="20"/>
                <w:lang w:val="en-US"/>
              </w:rPr>
              <w:t xml:space="preserve">banks that do not truthfully report risks </w:t>
            </w:r>
            <w:r w:rsidR="00F62A12" w:rsidRPr="00812E8B">
              <w:rPr>
                <w:sz w:val="20"/>
                <w:szCs w:val="20"/>
                <w:lang w:val="en-US"/>
              </w:rPr>
              <w:t xml:space="preserve">and </w:t>
            </w:r>
            <w:r w:rsidR="00C04042">
              <w:rPr>
                <w:sz w:val="20"/>
                <w:szCs w:val="20"/>
                <w:lang w:val="en-US"/>
              </w:rPr>
              <w:t xml:space="preserve">when they are unable to sanction these </w:t>
            </w:r>
            <w:r w:rsidR="00F62A12" w:rsidRPr="00812E8B">
              <w:rPr>
                <w:sz w:val="20"/>
                <w:szCs w:val="20"/>
                <w:lang w:val="en-US"/>
              </w:rPr>
              <w:t xml:space="preserve">banks. </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 xml:space="preserve">Laeven and Levine </w:t>
            </w:r>
          </w:p>
          <w:p w:rsidR="00F62A12" w:rsidRPr="00812E8B" w:rsidRDefault="00F62A12" w:rsidP="00866653">
            <w:pPr>
              <w:rPr>
                <w:sz w:val="20"/>
                <w:szCs w:val="20"/>
                <w:lang w:val="en-US"/>
              </w:rPr>
            </w:pPr>
            <w:r w:rsidRPr="00812E8B">
              <w:rPr>
                <w:sz w:val="20"/>
                <w:szCs w:val="20"/>
                <w:lang w:val="en-US"/>
              </w:rPr>
              <w:t>(2009)</w:t>
            </w:r>
          </w:p>
          <w:p w:rsidR="00F62A12" w:rsidRPr="00812E8B" w:rsidRDefault="00F62A12" w:rsidP="00866653">
            <w:pPr>
              <w:rPr>
                <w:sz w:val="20"/>
                <w:szCs w:val="20"/>
                <w:lang w:val="en-US"/>
              </w:rPr>
            </w:pPr>
          </w:p>
          <w:p w:rsidR="00F62A12" w:rsidRPr="00812E8B" w:rsidRDefault="00F62A12" w:rsidP="00866653">
            <w:pPr>
              <w:jc w:val="center"/>
              <w:rPr>
                <w:sz w:val="20"/>
                <w:szCs w:val="20"/>
                <w:lang w:val="en-US"/>
              </w:rPr>
            </w:pPr>
          </w:p>
        </w:tc>
        <w:tc>
          <w:tcPr>
            <w:tcW w:w="2512" w:type="dxa"/>
          </w:tcPr>
          <w:p w:rsidR="00F62A12" w:rsidRPr="00812E8B" w:rsidRDefault="00F62A12" w:rsidP="006464C1">
            <w:pPr>
              <w:rPr>
                <w:sz w:val="20"/>
                <w:szCs w:val="20"/>
                <w:lang w:val="en-US"/>
              </w:rPr>
            </w:pPr>
            <w:r w:rsidRPr="00812E8B">
              <w:rPr>
                <w:sz w:val="20"/>
                <w:szCs w:val="20"/>
                <w:lang w:val="en-US"/>
              </w:rPr>
              <w:t xml:space="preserve">Analyze how </w:t>
            </w:r>
            <w:r w:rsidR="00C04042">
              <w:rPr>
                <w:sz w:val="20"/>
                <w:szCs w:val="20"/>
                <w:lang w:val="en-US"/>
              </w:rPr>
              <w:t xml:space="preserve">ownership </w:t>
            </w:r>
            <w:r w:rsidR="006464C1">
              <w:rPr>
                <w:sz w:val="20"/>
                <w:szCs w:val="20"/>
                <w:lang w:val="en-US"/>
              </w:rPr>
              <w:t xml:space="preserve">structure </w:t>
            </w:r>
            <w:r w:rsidR="006464C1" w:rsidRPr="00812E8B">
              <w:rPr>
                <w:sz w:val="20"/>
                <w:szCs w:val="20"/>
                <w:lang w:val="en-US"/>
              </w:rPr>
              <w:t>interacts</w:t>
            </w:r>
            <w:r w:rsidRPr="00812E8B">
              <w:rPr>
                <w:sz w:val="20"/>
                <w:szCs w:val="20"/>
                <w:lang w:val="en-US"/>
              </w:rPr>
              <w:t xml:space="preserve"> with regulation and how </w:t>
            </w:r>
            <w:r w:rsidR="006464C1">
              <w:rPr>
                <w:sz w:val="20"/>
                <w:szCs w:val="20"/>
                <w:lang w:val="en-US"/>
              </w:rPr>
              <w:t>both factors influence risk-taking behavior.  They e</w:t>
            </w:r>
            <w:r w:rsidRPr="00812E8B">
              <w:rPr>
                <w:sz w:val="20"/>
                <w:szCs w:val="20"/>
                <w:lang w:val="en-US"/>
              </w:rPr>
              <w:t>xtent literature by jointly assess</w:t>
            </w:r>
            <w:r w:rsidR="006464C1">
              <w:rPr>
                <w:sz w:val="20"/>
                <w:szCs w:val="20"/>
                <w:lang w:val="en-US"/>
              </w:rPr>
              <w:t>ing r</w:t>
            </w:r>
            <w:r w:rsidRPr="00812E8B">
              <w:rPr>
                <w:sz w:val="20"/>
                <w:szCs w:val="20"/>
                <w:lang w:val="en-US"/>
              </w:rPr>
              <w:t>egulation and corporate governance</w:t>
            </w:r>
            <w:r w:rsidR="006464C1">
              <w:rPr>
                <w:sz w:val="20"/>
                <w:szCs w:val="20"/>
                <w:lang w:val="en-US"/>
              </w:rPr>
              <w:t xml:space="preserve"> factors</w:t>
            </w:r>
            <w:r w:rsidRPr="00812E8B">
              <w:rPr>
                <w:sz w:val="20"/>
                <w:szCs w:val="20"/>
                <w:lang w:val="en-US"/>
              </w:rPr>
              <w:t xml:space="preserve">. </w:t>
            </w:r>
          </w:p>
        </w:tc>
        <w:tc>
          <w:tcPr>
            <w:tcW w:w="2340" w:type="dxa"/>
          </w:tcPr>
          <w:p w:rsidR="00F62A12" w:rsidRPr="00812E8B" w:rsidRDefault="00F62A12" w:rsidP="00866653">
            <w:pPr>
              <w:rPr>
                <w:sz w:val="20"/>
                <w:szCs w:val="20"/>
                <w:lang w:val="en-US"/>
              </w:rPr>
            </w:pPr>
            <w:r w:rsidRPr="00812E8B">
              <w:rPr>
                <w:sz w:val="20"/>
                <w:szCs w:val="20"/>
                <w:lang w:val="en-US"/>
              </w:rPr>
              <w:t>Region: world (48 countries)</w:t>
            </w:r>
          </w:p>
          <w:p w:rsidR="006464C1" w:rsidRDefault="006464C1"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279 banks, 10 largest publicly listed banks within each country</w:t>
            </w:r>
          </w:p>
          <w:p w:rsidR="006464C1" w:rsidRDefault="006464C1"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1996-2001</w:t>
            </w: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z-score (distance from insolvency)</w:t>
            </w:r>
          </w:p>
          <w:p w:rsidR="006464C1" w:rsidRDefault="006464C1"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EXPL: Cash flow rights, regulations and bank level control variables.</w:t>
            </w:r>
          </w:p>
        </w:tc>
        <w:tc>
          <w:tcPr>
            <w:tcW w:w="3060" w:type="dxa"/>
          </w:tcPr>
          <w:p w:rsidR="00F62A12" w:rsidRPr="00812E8B" w:rsidRDefault="006464C1" w:rsidP="006464C1">
            <w:pPr>
              <w:rPr>
                <w:sz w:val="20"/>
                <w:szCs w:val="20"/>
                <w:lang w:val="en-US"/>
              </w:rPr>
            </w:pPr>
            <w:r>
              <w:rPr>
                <w:sz w:val="20"/>
                <w:szCs w:val="20"/>
                <w:lang w:val="en-US"/>
              </w:rPr>
              <w:t xml:space="preserve">The find that banks that have more powerful owners (that are the owners with larger cash-flow rights) tend to take more risks. The results is consistent to theories that propose that equity holders have more incentives for risk-taking than debt holders. </w:t>
            </w:r>
            <w:r w:rsidR="00F62A12" w:rsidRPr="00812E8B">
              <w:rPr>
                <w:sz w:val="20"/>
                <w:szCs w:val="20"/>
                <w:lang w:val="en-US"/>
              </w:rPr>
              <w:t xml:space="preserve"> </w:t>
            </w:r>
          </w:p>
        </w:tc>
        <w:tc>
          <w:tcPr>
            <w:tcW w:w="3240" w:type="dxa"/>
          </w:tcPr>
          <w:p w:rsidR="00F62A12" w:rsidRPr="00812E8B" w:rsidRDefault="006464C1" w:rsidP="006464C1">
            <w:pPr>
              <w:rPr>
                <w:sz w:val="20"/>
                <w:szCs w:val="20"/>
                <w:lang w:val="en-US"/>
              </w:rPr>
            </w:pPr>
            <w:r>
              <w:rPr>
                <w:sz w:val="20"/>
                <w:szCs w:val="20"/>
                <w:lang w:val="en-US"/>
              </w:rPr>
              <w:t>Laeven and Levine (2009) firstly analyze corporate governance and regulation in one model. They find that th</w:t>
            </w:r>
            <w:r w:rsidR="00F62A12" w:rsidRPr="00812E8B">
              <w:rPr>
                <w:sz w:val="20"/>
                <w:szCs w:val="20"/>
                <w:lang w:val="en-US"/>
              </w:rPr>
              <w:t xml:space="preserve">e impact of bank regulation on </w:t>
            </w:r>
            <w:r>
              <w:rPr>
                <w:sz w:val="20"/>
                <w:szCs w:val="20"/>
                <w:lang w:val="en-US"/>
              </w:rPr>
              <w:t>r</w:t>
            </w:r>
            <w:r w:rsidR="00F62A12" w:rsidRPr="00812E8B">
              <w:rPr>
                <w:sz w:val="20"/>
                <w:szCs w:val="20"/>
                <w:lang w:val="en-US"/>
              </w:rPr>
              <w:t>isk</w:t>
            </w:r>
            <w:r>
              <w:rPr>
                <w:sz w:val="20"/>
                <w:szCs w:val="20"/>
                <w:lang w:val="en-US"/>
              </w:rPr>
              <w:t xml:space="preserve">-taking by banks relates to the governance structure. Moreover, </w:t>
            </w:r>
            <w:r w:rsidR="00F62A12" w:rsidRPr="00812E8B">
              <w:rPr>
                <w:sz w:val="20"/>
                <w:szCs w:val="20"/>
                <w:lang w:val="en-US"/>
              </w:rPr>
              <w:t xml:space="preserve">Ignoring </w:t>
            </w:r>
            <w:r>
              <w:rPr>
                <w:sz w:val="20"/>
                <w:szCs w:val="20"/>
                <w:lang w:val="en-US"/>
              </w:rPr>
              <w:t>this structure does not give a truthful explanation of how regulation impact bank behavior.</w:t>
            </w:r>
          </w:p>
        </w:tc>
      </w:tr>
      <w:tr w:rsidR="00F62A12" w:rsidRPr="007D2EA6" w:rsidTr="00866653">
        <w:tc>
          <w:tcPr>
            <w:tcW w:w="1448" w:type="dxa"/>
          </w:tcPr>
          <w:p w:rsidR="00F62A12" w:rsidRPr="00812E8B" w:rsidRDefault="00F62A12" w:rsidP="00866653">
            <w:pPr>
              <w:rPr>
                <w:sz w:val="20"/>
                <w:szCs w:val="20"/>
                <w:lang w:val="en-US"/>
              </w:rPr>
            </w:pPr>
            <w:r w:rsidRPr="00812E8B">
              <w:rPr>
                <w:sz w:val="20"/>
                <w:szCs w:val="20"/>
                <w:lang w:val="en-US"/>
              </w:rPr>
              <w:t>Allen et al. (2010)</w:t>
            </w:r>
          </w:p>
        </w:tc>
        <w:tc>
          <w:tcPr>
            <w:tcW w:w="2512" w:type="dxa"/>
          </w:tcPr>
          <w:p w:rsidR="00F62A12" w:rsidRPr="00812E8B" w:rsidRDefault="00F62A12" w:rsidP="006464C1">
            <w:pPr>
              <w:rPr>
                <w:sz w:val="20"/>
                <w:szCs w:val="20"/>
                <w:lang w:val="en-US"/>
              </w:rPr>
            </w:pPr>
            <w:r w:rsidRPr="00812E8B">
              <w:rPr>
                <w:sz w:val="20"/>
                <w:szCs w:val="20"/>
                <w:lang w:val="en-US"/>
              </w:rPr>
              <w:t xml:space="preserve">Examine </w:t>
            </w:r>
            <w:r w:rsidR="006464C1">
              <w:rPr>
                <w:sz w:val="20"/>
                <w:szCs w:val="20"/>
                <w:lang w:val="en-US"/>
              </w:rPr>
              <w:t xml:space="preserve">whether the negative externalities of </w:t>
            </w:r>
            <w:r w:rsidRPr="00812E8B">
              <w:rPr>
                <w:sz w:val="20"/>
                <w:szCs w:val="20"/>
                <w:lang w:val="en-US"/>
              </w:rPr>
              <w:t>Basel III</w:t>
            </w:r>
            <w:r w:rsidR="006464C1">
              <w:rPr>
                <w:sz w:val="20"/>
                <w:szCs w:val="20"/>
                <w:lang w:val="en-US"/>
              </w:rPr>
              <w:t xml:space="preserve"> are lower than costs of current problems in the banking sectors. They look at the </w:t>
            </w:r>
            <w:r w:rsidRPr="00812E8B">
              <w:rPr>
                <w:sz w:val="20"/>
                <w:szCs w:val="20"/>
                <w:lang w:val="en-US"/>
              </w:rPr>
              <w:t>effects of new regulation, such as Basel III</w:t>
            </w:r>
          </w:p>
        </w:tc>
        <w:tc>
          <w:tcPr>
            <w:tcW w:w="2340" w:type="dxa"/>
          </w:tcPr>
          <w:p w:rsidR="00F62A12" w:rsidRPr="00812E8B" w:rsidRDefault="00F62A12" w:rsidP="00866653">
            <w:pPr>
              <w:rPr>
                <w:sz w:val="20"/>
                <w:szCs w:val="20"/>
                <w:lang w:val="en-US"/>
              </w:rPr>
            </w:pPr>
            <w:r w:rsidRPr="00812E8B">
              <w:rPr>
                <w:sz w:val="20"/>
                <w:szCs w:val="20"/>
                <w:lang w:val="en-US"/>
              </w:rPr>
              <w:t>No empirical data</w:t>
            </w:r>
            <w:r w:rsidR="006464C1">
              <w:rPr>
                <w:sz w:val="20"/>
                <w:szCs w:val="20"/>
                <w:lang w:val="en-US"/>
              </w:rPr>
              <w:t>, theoretical derived.</w:t>
            </w:r>
            <w:r w:rsidRPr="00812E8B">
              <w:rPr>
                <w:sz w:val="20"/>
                <w:szCs w:val="20"/>
                <w:lang w:val="en-US"/>
              </w:rPr>
              <w:t xml:space="preserve"> </w:t>
            </w:r>
          </w:p>
          <w:p w:rsidR="00F62A12" w:rsidRPr="00812E8B" w:rsidRDefault="00F62A12" w:rsidP="00866653">
            <w:pPr>
              <w:rPr>
                <w:sz w:val="20"/>
                <w:szCs w:val="20"/>
                <w:lang w:val="en-US"/>
              </w:rPr>
            </w:pPr>
          </w:p>
        </w:tc>
        <w:tc>
          <w:tcPr>
            <w:tcW w:w="2610" w:type="dxa"/>
          </w:tcPr>
          <w:p w:rsidR="00F62A12" w:rsidRPr="00812E8B" w:rsidRDefault="006464C1" w:rsidP="006464C1">
            <w:pPr>
              <w:jc w:val="center"/>
              <w:rPr>
                <w:sz w:val="20"/>
                <w:szCs w:val="20"/>
                <w:lang w:val="en-US"/>
              </w:rPr>
            </w:pPr>
            <w:r>
              <w:rPr>
                <w:sz w:val="20"/>
                <w:szCs w:val="20"/>
                <w:lang w:val="en-US"/>
              </w:rPr>
              <w:t>-</w:t>
            </w:r>
          </w:p>
        </w:tc>
        <w:tc>
          <w:tcPr>
            <w:tcW w:w="3060" w:type="dxa"/>
          </w:tcPr>
          <w:p w:rsidR="00F62A12" w:rsidRDefault="006464C1" w:rsidP="006464C1">
            <w:pPr>
              <w:rPr>
                <w:sz w:val="20"/>
                <w:szCs w:val="20"/>
                <w:lang w:val="en-US"/>
              </w:rPr>
            </w:pPr>
            <w:r>
              <w:rPr>
                <w:sz w:val="20"/>
                <w:szCs w:val="20"/>
                <w:lang w:val="en-US"/>
              </w:rPr>
              <w:t>They state that b</w:t>
            </w:r>
            <w:r w:rsidR="00F62A12" w:rsidRPr="00812E8B">
              <w:rPr>
                <w:sz w:val="20"/>
                <w:szCs w:val="20"/>
                <w:lang w:val="en-US"/>
              </w:rPr>
              <w:t>anks shift from liability management to asset management</w:t>
            </w:r>
            <w:r>
              <w:rPr>
                <w:sz w:val="20"/>
                <w:szCs w:val="20"/>
                <w:lang w:val="en-US"/>
              </w:rPr>
              <w:t>. In this way, asset volumes are constrained by the availability of funding resources.</w:t>
            </w:r>
          </w:p>
          <w:p w:rsidR="006464C1" w:rsidRPr="00812E8B" w:rsidRDefault="006464C1" w:rsidP="006464C1">
            <w:pPr>
              <w:rPr>
                <w:sz w:val="20"/>
                <w:szCs w:val="20"/>
                <w:lang w:val="en-US"/>
              </w:rPr>
            </w:pPr>
            <w:r w:rsidRPr="00812E8B">
              <w:rPr>
                <w:sz w:val="20"/>
                <w:szCs w:val="20"/>
                <w:lang w:val="en-US"/>
              </w:rPr>
              <w:t>New liquidity rules over concentrating in governmental debt</w:t>
            </w:r>
          </w:p>
        </w:tc>
        <w:tc>
          <w:tcPr>
            <w:tcW w:w="3240" w:type="dxa"/>
          </w:tcPr>
          <w:p w:rsidR="00F62A12" w:rsidRPr="00812E8B" w:rsidRDefault="006464C1" w:rsidP="006464C1">
            <w:pPr>
              <w:rPr>
                <w:sz w:val="20"/>
                <w:szCs w:val="20"/>
                <w:lang w:val="en-US"/>
              </w:rPr>
            </w:pPr>
            <w:r>
              <w:rPr>
                <w:sz w:val="20"/>
                <w:szCs w:val="20"/>
                <w:lang w:val="en-US"/>
              </w:rPr>
              <w:t>They conclude that the c</w:t>
            </w:r>
            <w:r w:rsidR="00F62A12" w:rsidRPr="00812E8B">
              <w:rPr>
                <w:sz w:val="20"/>
                <w:szCs w:val="20"/>
                <w:lang w:val="en-US"/>
              </w:rPr>
              <w:t xml:space="preserve">ost of credit </w:t>
            </w:r>
            <w:r>
              <w:rPr>
                <w:sz w:val="20"/>
                <w:szCs w:val="20"/>
                <w:lang w:val="en-US"/>
              </w:rPr>
              <w:t xml:space="preserve">for </w:t>
            </w:r>
            <w:r w:rsidR="00F62A12" w:rsidRPr="00812E8B">
              <w:rPr>
                <w:sz w:val="20"/>
                <w:szCs w:val="20"/>
                <w:lang w:val="en-US"/>
              </w:rPr>
              <w:t xml:space="preserve">borrower </w:t>
            </w:r>
            <w:r>
              <w:rPr>
                <w:sz w:val="20"/>
                <w:szCs w:val="20"/>
                <w:lang w:val="en-US"/>
              </w:rPr>
              <w:t xml:space="preserve">with a lower risk profile is </w:t>
            </w:r>
            <w:r w:rsidR="00F62A12" w:rsidRPr="00812E8B">
              <w:rPr>
                <w:sz w:val="20"/>
                <w:szCs w:val="20"/>
                <w:lang w:val="en-US"/>
              </w:rPr>
              <w:t>moderate effected</w:t>
            </w:r>
            <w:r>
              <w:rPr>
                <w:sz w:val="20"/>
                <w:szCs w:val="20"/>
                <w:lang w:val="en-US"/>
              </w:rPr>
              <w:t xml:space="preserve">. There is a </w:t>
            </w:r>
            <w:r w:rsidR="00F62A12" w:rsidRPr="00812E8B">
              <w:rPr>
                <w:sz w:val="20"/>
                <w:szCs w:val="20"/>
                <w:lang w:val="en-US"/>
              </w:rPr>
              <w:t>reduction in availability</w:t>
            </w:r>
            <w:r>
              <w:rPr>
                <w:sz w:val="20"/>
                <w:szCs w:val="20"/>
                <w:lang w:val="en-US"/>
              </w:rPr>
              <w:t xml:space="preserve"> for credit at the higher end of the spectrum and those borrowers with higher risk can only obtain funds against higher costs. </w:t>
            </w:r>
            <w:r w:rsidR="00F62A12" w:rsidRPr="00812E8B">
              <w:rPr>
                <w:sz w:val="20"/>
                <w:szCs w:val="20"/>
                <w:lang w:val="en-US"/>
              </w:rPr>
              <w:t xml:space="preserve"> </w:t>
            </w:r>
          </w:p>
        </w:tc>
      </w:tr>
    </w:tbl>
    <w:p w:rsidR="00F62A12" w:rsidRPr="00812E8B" w:rsidRDefault="00F62A12" w:rsidP="00F62A12">
      <w:pPr>
        <w:pStyle w:val="Caption"/>
        <w:rPr>
          <w:b w:val="0"/>
          <w:lang w:val="en-US"/>
        </w:rPr>
      </w:pPr>
    </w:p>
    <w:p w:rsidR="00F62A12" w:rsidRPr="00812E8B" w:rsidRDefault="00F62A12" w:rsidP="00F62A12">
      <w:pPr>
        <w:pStyle w:val="Caption"/>
        <w:rPr>
          <w:lang w:val="en-US"/>
        </w:rPr>
      </w:pPr>
    </w:p>
    <w:p w:rsidR="00F62A12" w:rsidRPr="00812E8B" w:rsidRDefault="00F62A12" w:rsidP="00F62A12">
      <w:pPr>
        <w:rPr>
          <w:lang w:val="en-US"/>
        </w:rPr>
      </w:pPr>
    </w:p>
    <w:p w:rsidR="00F62A12" w:rsidRPr="00812E8B" w:rsidRDefault="00F62A12" w:rsidP="00F62A12">
      <w:pPr>
        <w:rPr>
          <w:lang w:val="en-US"/>
        </w:rPr>
      </w:pPr>
    </w:p>
    <w:p w:rsidR="00F62A12" w:rsidRPr="00812E8B" w:rsidRDefault="00F62A12" w:rsidP="00F62A12">
      <w:pPr>
        <w:rPr>
          <w:lang w:val="en-US"/>
        </w:rPr>
      </w:pPr>
    </w:p>
    <w:p w:rsidR="00F62A12" w:rsidRPr="00812E8B" w:rsidRDefault="00F62A12" w:rsidP="00F62A12">
      <w:pPr>
        <w:rPr>
          <w:lang w:val="en-US"/>
        </w:rPr>
      </w:pPr>
    </w:p>
    <w:p w:rsidR="00F62A12" w:rsidRPr="00812E8B" w:rsidRDefault="00F62A12" w:rsidP="00F62A12">
      <w:pPr>
        <w:rPr>
          <w:lang w:val="en-US"/>
        </w:rPr>
      </w:pPr>
      <w:r w:rsidRPr="00812E8B">
        <w:rPr>
          <w:lang w:val="en-US"/>
        </w:rPr>
        <w:br w:type="page"/>
      </w:r>
    </w:p>
    <w:p w:rsidR="00F62A12" w:rsidRPr="00812E8B" w:rsidRDefault="00F62A12" w:rsidP="00F62A12">
      <w:pPr>
        <w:pStyle w:val="Caption"/>
        <w:rPr>
          <w:b w:val="0"/>
          <w:color w:val="auto"/>
          <w:lang w:val="en-US"/>
        </w:rPr>
      </w:pPr>
      <w:bookmarkStart w:id="59" w:name="_Toc305410561"/>
      <w:r w:rsidRPr="00812E8B">
        <w:rPr>
          <w:lang w:val="en-US"/>
        </w:rPr>
        <w:lastRenderedPageBreak/>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9</w:t>
      </w:r>
      <w:r w:rsidR="00D46A7F" w:rsidRPr="00812E8B">
        <w:rPr>
          <w:lang w:val="en-US"/>
        </w:rPr>
        <w:fldChar w:fldCharType="end"/>
      </w:r>
      <w:r w:rsidRPr="00812E8B">
        <w:rPr>
          <w:lang w:val="en-US"/>
        </w:rPr>
        <w:t xml:space="preserve"> </w:t>
      </w:r>
      <w:r w:rsidR="00413EC5" w:rsidRPr="00812E8B">
        <w:rPr>
          <w:lang w:val="en-US"/>
        </w:rPr>
        <w:br/>
      </w:r>
      <w:r w:rsidRPr="00812E8B">
        <w:rPr>
          <w:b w:val="0"/>
          <w:color w:val="auto"/>
          <w:lang w:val="en-US"/>
        </w:rPr>
        <w:t>Summary of literature review of ownership structure and  banks’ profitability</w:t>
      </w:r>
      <w:bookmarkEnd w:id="59"/>
    </w:p>
    <w:tbl>
      <w:tblPr>
        <w:tblStyle w:val="TableGrid"/>
        <w:tblW w:w="15210" w:type="dxa"/>
        <w:tblInd w:w="-612" w:type="dxa"/>
        <w:tblLook w:val="04A0"/>
      </w:tblPr>
      <w:tblGrid>
        <w:gridCol w:w="1448"/>
        <w:gridCol w:w="2512"/>
        <w:gridCol w:w="2340"/>
        <w:gridCol w:w="2610"/>
        <w:gridCol w:w="3060"/>
        <w:gridCol w:w="3240"/>
      </w:tblGrid>
      <w:tr w:rsidR="00F62A12" w:rsidRPr="00812E8B" w:rsidTr="00866653">
        <w:tc>
          <w:tcPr>
            <w:tcW w:w="1448" w:type="dxa"/>
          </w:tcPr>
          <w:p w:rsidR="00F62A12" w:rsidRPr="00812E8B" w:rsidRDefault="00F62A12" w:rsidP="00866653">
            <w:pPr>
              <w:rPr>
                <w:b/>
                <w:sz w:val="20"/>
                <w:szCs w:val="20"/>
                <w:lang w:val="en-US"/>
              </w:rPr>
            </w:pPr>
            <w:r w:rsidRPr="00812E8B">
              <w:rPr>
                <w:b/>
                <w:sz w:val="20"/>
                <w:szCs w:val="20"/>
                <w:lang w:val="en-US"/>
              </w:rPr>
              <w:t>Author(s)</w:t>
            </w:r>
          </w:p>
        </w:tc>
        <w:tc>
          <w:tcPr>
            <w:tcW w:w="2512" w:type="dxa"/>
          </w:tcPr>
          <w:p w:rsidR="00F62A12" w:rsidRPr="00812E8B" w:rsidRDefault="00F62A12" w:rsidP="00866653">
            <w:pPr>
              <w:rPr>
                <w:b/>
                <w:sz w:val="20"/>
                <w:szCs w:val="20"/>
                <w:lang w:val="en-US"/>
              </w:rPr>
            </w:pPr>
            <w:r w:rsidRPr="00812E8B">
              <w:rPr>
                <w:b/>
                <w:sz w:val="20"/>
                <w:szCs w:val="20"/>
                <w:lang w:val="en-US"/>
              </w:rPr>
              <w:t>Purpose of the study</w:t>
            </w:r>
          </w:p>
        </w:tc>
        <w:tc>
          <w:tcPr>
            <w:tcW w:w="2340" w:type="dxa"/>
          </w:tcPr>
          <w:p w:rsidR="00F62A12" w:rsidRPr="00812E8B" w:rsidRDefault="00F62A12" w:rsidP="00866653">
            <w:pPr>
              <w:rPr>
                <w:b/>
                <w:sz w:val="20"/>
                <w:szCs w:val="20"/>
                <w:lang w:val="en-US"/>
              </w:rPr>
            </w:pPr>
            <w:r w:rsidRPr="00812E8B">
              <w:rPr>
                <w:b/>
                <w:sz w:val="20"/>
                <w:szCs w:val="20"/>
                <w:lang w:val="en-US"/>
              </w:rPr>
              <w:t>Sample</w:t>
            </w:r>
          </w:p>
        </w:tc>
        <w:tc>
          <w:tcPr>
            <w:tcW w:w="2610" w:type="dxa"/>
          </w:tcPr>
          <w:p w:rsidR="00F62A12" w:rsidRPr="00812E8B" w:rsidRDefault="00F62A12" w:rsidP="00866653">
            <w:pPr>
              <w:rPr>
                <w:b/>
                <w:sz w:val="20"/>
                <w:szCs w:val="20"/>
                <w:lang w:val="en-US"/>
              </w:rPr>
            </w:pPr>
            <w:r w:rsidRPr="00812E8B">
              <w:rPr>
                <w:b/>
                <w:sz w:val="20"/>
                <w:szCs w:val="20"/>
                <w:lang w:val="en-US"/>
              </w:rPr>
              <w:t>Methodology</w:t>
            </w:r>
          </w:p>
        </w:tc>
        <w:tc>
          <w:tcPr>
            <w:tcW w:w="3060" w:type="dxa"/>
          </w:tcPr>
          <w:p w:rsidR="00F62A12" w:rsidRPr="00812E8B" w:rsidRDefault="00F62A12" w:rsidP="00866653">
            <w:pPr>
              <w:rPr>
                <w:b/>
                <w:sz w:val="20"/>
                <w:szCs w:val="20"/>
                <w:lang w:val="en-US"/>
              </w:rPr>
            </w:pPr>
            <w:r w:rsidRPr="00812E8B">
              <w:rPr>
                <w:b/>
                <w:sz w:val="20"/>
                <w:szCs w:val="20"/>
                <w:lang w:val="en-US"/>
              </w:rPr>
              <w:t>Results</w:t>
            </w:r>
          </w:p>
        </w:tc>
        <w:tc>
          <w:tcPr>
            <w:tcW w:w="3240" w:type="dxa"/>
          </w:tcPr>
          <w:p w:rsidR="00F62A12" w:rsidRPr="00812E8B" w:rsidRDefault="00F62A12" w:rsidP="00866653">
            <w:pPr>
              <w:rPr>
                <w:b/>
                <w:sz w:val="20"/>
                <w:szCs w:val="20"/>
                <w:lang w:val="en-US"/>
              </w:rPr>
            </w:pPr>
            <w:r w:rsidRPr="00812E8B">
              <w:rPr>
                <w:b/>
                <w:sz w:val="20"/>
                <w:szCs w:val="20"/>
                <w:lang w:val="en-US"/>
              </w:rPr>
              <w:t>Conclusion</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Saunders et al (1990)</w:t>
            </w:r>
          </w:p>
        </w:tc>
        <w:tc>
          <w:tcPr>
            <w:tcW w:w="2512" w:type="dxa"/>
          </w:tcPr>
          <w:p w:rsidR="00F62A12" w:rsidRPr="00812E8B" w:rsidRDefault="00215D84" w:rsidP="00866653">
            <w:pPr>
              <w:rPr>
                <w:sz w:val="20"/>
                <w:szCs w:val="20"/>
                <w:lang w:val="en-US"/>
              </w:rPr>
            </w:pPr>
            <w:r>
              <w:rPr>
                <w:sz w:val="20"/>
                <w:szCs w:val="20"/>
                <w:lang w:val="en-US"/>
              </w:rPr>
              <w:t>They investigate</w:t>
            </w:r>
            <w:r w:rsidR="00F62A12" w:rsidRPr="00812E8B">
              <w:rPr>
                <w:sz w:val="20"/>
                <w:szCs w:val="20"/>
                <w:lang w:val="en-US"/>
              </w:rPr>
              <w:t xml:space="preserve"> the relationship between risk taking by </w:t>
            </w:r>
            <w:r w:rsidR="006464C1">
              <w:rPr>
                <w:sz w:val="20"/>
                <w:szCs w:val="20"/>
                <w:lang w:val="en-US"/>
              </w:rPr>
              <w:t xml:space="preserve">banks </w:t>
            </w:r>
            <w:r w:rsidR="00F62A12" w:rsidRPr="00812E8B">
              <w:rPr>
                <w:sz w:val="20"/>
                <w:szCs w:val="20"/>
                <w:lang w:val="en-US"/>
              </w:rPr>
              <w:t>and</w:t>
            </w:r>
            <w:r w:rsidR="006464C1">
              <w:rPr>
                <w:sz w:val="20"/>
                <w:szCs w:val="20"/>
                <w:lang w:val="en-US"/>
              </w:rPr>
              <w:t xml:space="preserve"> the</w:t>
            </w:r>
            <w:r w:rsidR="00F62A12" w:rsidRPr="00812E8B">
              <w:rPr>
                <w:sz w:val="20"/>
                <w:szCs w:val="20"/>
                <w:lang w:val="en-US"/>
              </w:rPr>
              <w:t xml:space="preserve"> ownership structure. </w:t>
            </w:r>
          </w:p>
          <w:p w:rsidR="00F62A12" w:rsidRPr="00812E8B" w:rsidRDefault="00F62A12" w:rsidP="00866653">
            <w:pPr>
              <w:rPr>
                <w:sz w:val="20"/>
                <w:szCs w:val="20"/>
                <w:lang w:val="en-US"/>
              </w:rPr>
            </w:pPr>
          </w:p>
        </w:tc>
        <w:tc>
          <w:tcPr>
            <w:tcW w:w="2340" w:type="dxa"/>
          </w:tcPr>
          <w:p w:rsidR="00F62A12" w:rsidRPr="00812E8B" w:rsidRDefault="00F62A12" w:rsidP="00866653">
            <w:pPr>
              <w:rPr>
                <w:sz w:val="20"/>
                <w:szCs w:val="20"/>
                <w:lang w:val="en-US"/>
              </w:rPr>
            </w:pPr>
            <w:r w:rsidRPr="00812E8B">
              <w:rPr>
                <w:sz w:val="20"/>
                <w:szCs w:val="20"/>
                <w:lang w:val="en-US"/>
              </w:rPr>
              <w:t>Region: United States of America</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38 bank holdings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1978-1985</w:t>
            </w: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F62A12" w:rsidRPr="00812E8B" w:rsidRDefault="00F62A12" w:rsidP="00866653">
            <w:pPr>
              <w:rPr>
                <w:sz w:val="20"/>
                <w:szCs w:val="20"/>
                <w:lang w:val="en-US"/>
              </w:rPr>
            </w:pPr>
            <w:r w:rsidRPr="00812E8B">
              <w:rPr>
                <w:sz w:val="20"/>
                <w:szCs w:val="20"/>
                <w:lang w:val="en-US"/>
              </w:rPr>
              <w:t>DEPV: risk measures</w:t>
            </w:r>
            <w:r w:rsidR="006464C1">
              <w:rPr>
                <w:sz w:val="20"/>
                <w:szCs w:val="20"/>
                <w:lang w:val="en-US"/>
              </w:rPr>
              <w:t xml:space="preserve"> relating to </w:t>
            </w:r>
            <w:r w:rsidR="006464C1" w:rsidRPr="00812E8B">
              <w:rPr>
                <w:sz w:val="20"/>
                <w:szCs w:val="20"/>
                <w:lang w:val="en-US"/>
              </w:rPr>
              <w:t>capital market</w:t>
            </w:r>
            <w:r w:rsidR="006464C1">
              <w:rPr>
                <w:sz w:val="20"/>
                <w:szCs w:val="20"/>
                <w:lang w:val="en-US"/>
              </w:rPr>
              <w:t xml:space="preserve">. </w:t>
            </w:r>
          </w:p>
          <w:p w:rsidR="00F62A12" w:rsidRPr="00812E8B" w:rsidRDefault="00F62A12" w:rsidP="006464C1">
            <w:pPr>
              <w:rPr>
                <w:sz w:val="20"/>
                <w:szCs w:val="20"/>
                <w:lang w:val="en-US"/>
              </w:rPr>
            </w:pPr>
            <w:r w:rsidRPr="00812E8B">
              <w:rPr>
                <w:sz w:val="20"/>
                <w:szCs w:val="20"/>
                <w:lang w:val="en-US"/>
              </w:rPr>
              <w:t xml:space="preserve">EXPL: book value </w:t>
            </w:r>
            <w:r w:rsidR="006464C1">
              <w:rPr>
                <w:sz w:val="20"/>
                <w:szCs w:val="20"/>
                <w:lang w:val="en-US"/>
              </w:rPr>
              <w:t>equity-to-asset ratio</w:t>
            </w:r>
            <w:r w:rsidRPr="00812E8B">
              <w:rPr>
                <w:sz w:val="20"/>
                <w:szCs w:val="20"/>
                <w:lang w:val="en-US"/>
              </w:rPr>
              <w:t>, stock owned managers,</w:t>
            </w:r>
            <w:r w:rsidR="006464C1">
              <w:rPr>
                <w:sz w:val="20"/>
                <w:szCs w:val="20"/>
                <w:lang w:val="en-US"/>
              </w:rPr>
              <w:t xml:space="preserve"> </w:t>
            </w:r>
            <w:r w:rsidRPr="00812E8B">
              <w:rPr>
                <w:sz w:val="20"/>
                <w:szCs w:val="20"/>
                <w:lang w:val="en-US"/>
              </w:rPr>
              <w:t>operational leverage and total assets</w:t>
            </w:r>
          </w:p>
        </w:tc>
        <w:tc>
          <w:tcPr>
            <w:tcW w:w="3060" w:type="dxa"/>
          </w:tcPr>
          <w:p w:rsidR="00F62A12" w:rsidRPr="00812E8B" w:rsidRDefault="006C5767" w:rsidP="006C5767">
            <w:pPr>
              <w:rPr>
                <w:sz w:val="20"/>
                <w:szCs w:val="20"/>
                <w:lang w:val="en-US"/>
              </w:rPr>
            </w:pPr>
            <w:r>
              <w:rPr>
                <w:sz w:val="20"/>
                <w:szCs w:val="20"/>
                <w:lang w:val="en-US"/>
              </w:rPr>
              <w:t>B</w:t>
            </w:r>
            <w:r w:rsidR="00F62A12" w:rsidRPr="00812E8B">
              <w:rPr>
                <w:sz w:val="20"/>
                <w:szCs w:val="20"/>
                <w:lang w:val="en-US"/>
              </w:rPr>
              <w:t>anks</w:t>
            </w:r>
            <w:r>
              <w:rPr>
                <w:sz w:val="20"/>
                <w:szCs w:val="20"/>
                <w:lang w:val="en-US"/>
              </w:rPr>
              <w:t xml:space="preserve"> in which managers obtain remuneration in stock options take more risks than banks in which managers have no incentives for value-maximizing. </w:t>
            </w:r>
          </w:p>
        </w:tc>
        <w:tc>
          <w:tcPr>
            <w:tcW w:w="3240" w:type="dxa"/>
          </w:tcPr>
          <w:p w:rsidR="006C5767" w:rsidRDefault="006C5767" w:rsidP="00866653">
            <w:pPr>
              <w:rPr>
                <w:sz w:val="20"/>
                <w:szCs w:val="20"/>
                <w:lang w:val="en-US"/>
              </w:rPr>
            </w:pPr>
            <w:r>
              <w:rPr>
                <w:sz w:val="20"/>
                <w:szCs w:val="20"/>
                <w:lang w:val="en-US"/>
              </w:rPr>
              <w:t>They state that regulation can increase or decrease risk-taking behavior for banks in contrary to non-banking firms. D</w:t>
            </w:r>
            <w:r w:rsidRPr="00812E8B">
              <w:rPr>
                <w:sz w:val="20"/>
                <w:szCs w:val="20"/>
                <w:lang w:val="en-US"/>
              </w:rPr>
              <w:t xml:space="preserve">ifferences </w:t>
            </w:r>
            <w:r>
              <w:rPr>
                <w:sz w:val="20"/>
                <w:szCs w:val="20"/>
                <w:lang w:val="en-US"/>
              </w:rPr>
              <w:t>in r</w:t>
            </w:r>
            <w:r w:rsidRPr="00812E8B">
              <w:rPr>
                <w:sz w:val="20"/>
                <w:szCs w:val="20"/>
                <w:lang w:val="en-US"/>
              </w:rPr>
              <w:t xml:space="preserve">isk taking </w:t>
            </w:r>
            <w:r>
              <w:rPr>
                <w:sz w:val="20"/>
                <w:szCs w:val="20"/>
                <w:lang w:val="en-US"/>
              </w:rPr>
              <w:t>is mor</w:t>
            </w:r>
            <w:r w:rsidRPr="00812E8B">
              <w:rPr>
                <w:sz w:val="20"/>
                <w:szCs w:val="20"/>
                <w:lang w:val="en-US"/>
              </w:rPr>
              <w:t>e transparent in periods of deregulation</w:t>
            </w:r>
          </w:p>
          <w:p w:rsidR="00F62A12" w:rsidRPr="00812E8B" w:rsidRDefault="00F62A12" w:rsidP="00866653">
            <w:pPr>
              <w:rPr>
                <w:sz w:val="20"/>
                <w:szCs w:val="20"/>
                <w:lang w:val="en-US"/>
              </w:rPr>
            </w:pP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Altunbas et al (2001)</w:t>
            </w:r>
          </w:p>
        </w:tc>
        <w:tc>
          <w:tcPr>
            <w:tcW w:w="2512" w:type="dxa"/>
          </w:tcPr>
          <w:p w:rsidR="00F62A12" w:rsidRPr="00812E8B" w:rsidRDefault="00F815CD" w:rsidP="00F815CD">
            <w:pPr>
              <w:rPr>
                <w:sz w:val="20"/>
                <w:szCs w:val="20"/>
                <w:lang w:val="en-US"/>
              </w:rPr>
            </w:pPr>
            <w:r>
              <w:rPr>
                <w:sz w:val="20"/>
                <w:szCs w:val="20"/>
                <w:lang w:val="en-US"/>
              </w:rPr>
              <w:t>They study whether cost and profit inefficiencies, technological change are caused by differences in ownership structure</w:t>
            </w:r>
            <w:r w:rsidR="00CC3D24">
              <w:rPr>
                <w:sz w:val="20"/>
                <w:szCs w:val="20"/>
                <w:lang w:val="en-US"/>
              </w:rPr>
              <w:t xml:space="preserve">. They </w:t>
            </w:r>
            <w:r>
              <w:rPr>
                <w:sz w:val="20"/>
                <w:szCs w:val="20"/>
                <w:lang w:val="en-US"/>
              </w:rPr>
              <w:t>extent</w:t>
            </w:r>
            <w:r w:rsidR="00CC3D24">
              <w:rPr>
                <w:sz w:val="20"/>
                <w:szCs w:val="20"/>
                <w:lang w:val="en-US"/>
              </w:rPr>
              <w:t xml:space="preserve"> the</w:t>
            </w:r>
            <w:r>
              <w:rPr>
                <w:sz w:val="20"/>
                <w:szCs w:val="20"/>
                <w:lang w:val="en-US"/>
              </w:rPr>
              <w:t xml:space="preserve"> agency theory to </w:t>
            </w:r>
            <w:r w:rsidR="00CC3D24">
              <w:rPr>
                <w:sz w:val="20"/>
                <w:szCs w:val="20"/>
                <w:lang w:val="en-US"/>
              </w:rPr>
              <w:t xml:space="preserve">the </w:t>
            </w:r>
            <w:r>
              <w:rPr>
                <w:sz w:val="20"/>
                <w:szCs w:val="20"/>
                <w:lang w:val="en-US"/>
              </w:rPr>
              <w:t>banking sector.</w:t>
            </w:r>
          </w:p>
        </w:tc>
        <w:tc>
          <w:tcPr>
            <w:tcW w:w="2340" w:type="dxa"/>
          </w:tcPr>
          <w:p w:rsidR="00F62A12" w:rsidRPr="00812E8B" w:rsidRDefault="00F62A12" w:rsidP="00866653">
            <w:pPr>
              <w:rPr>
                <w:sz w:val="20"/>
                <w:szCs w:val="20"/>
                <w:lang w:val="en-US"/>
              </w:rPr>
            </w:pPr>
            <w:r w:rsidRPr="00812E8B">
              <w:rPr>
                <w:sz w:val="20"/>
                <w:szCs w:val="20"/>
                <w:lang w:val="en-US"/>
              </w:rPr>
              <w:t>Region: Germany</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7</w:t>
            </w:r>
            <w:r w:rsidR="006C5767">
              <w:rPr>
                <w:sz w:val="20"/>
                <w:szCs w:val="20"/>
                <w:lang w:val="en-US"/>
              </w:rPr>
              <w:t>,</w:t>
            </w:r>
            <w:r w:rsidRPr="00812E8B">
              <w:rPr>
                <w:sz w:val="20"/>
                <w:szCs w:val="20"/>
                <w:lang w:val="en-US"/>
              </w:rPr>
              <w:t>539 bank observations (private, public and co</w:t>
            </w:r>
            <w:r w:rsidR="000E0FDE" w:rsidRPr="00812E8B">
              <w:rPr>
                <w:sz w:val="20"/>
                <w:szCs w:val="20"/>
                <w:lang w:val="en-US"/>
              </w:rPr>
              <w:t>-</w:t>
            </w:r>
            <w:r w:rsidRPr="00812E8B">
              <w:rPr>
                <w:sz w:val="20"/>
                <w:szCs w:val="20"/>
                <w:lang w:val="en-US"/>
              </w:rPr>
              <w:t>operative)</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1989-1996</w:t>
            </w:r>
          </w:p>
        </w:tc>
        <w:tc>
          <w:tcPr>
            <w:tcW w:w="2610" w:type="dxa"/>
          </w:tcPr>
          <w:p w:rsidR="00F62A12" w:rsidRPr="00812E8B" w:rsidRDefault="00437A29" w:rsidP="00DB76E9">
            <w:pPr>
              <w:rPr>
                <w:sz w:val="20"/>
                <w:szCs w:val="20"/>
                <w:lang w:val="en-US"/>
              </w:rPr>
            </w:pPr>
            <w:r>
              <w:rPr>
                <w:sz w:val="20"/>
                <w:szCs w:val="20"/>
                <w:lang w:val="en-US"/>
              </w:rPr>
              <w:t>They estimate c</w:t>
            </w:r>
            <w:r w:rsidR="00F62A12" w:rsidRPr="00812E8B">
              <w:rPr>
                <w:sz w:val="20"/>
                <w:szCs w:val="20"/>
                <w:lang w:val="en-US"/>
              </w:rPr>
              <w:t xml:space="preserve">osts and profit frontiers and compare these results with those </w:t>
            </w:r>
            <w:r>
              <w:rPr>
                <w:sz w:val="20"/>
                <w:szCs w:val="20"/>
                <w:lang w:val="en-US"/>
              </w:rPr>
              <w:t xml:space="preserve">frontiers of </w:t>
            </w:r>
            <w:r w:rsidR="00F62A12" w:rsidRPr="00812E8B">
              <w:rPr>
                <w:sz w:val="20"/>
                <w:szCs w:val="20"/>
                <w:lang w:val="en-US"/>
              </w:rPr>
              <w:t xml:space="preserve">a sample </w:t>
            </w:r>
            <w:r>
              <w:rPr>
                <w:sz w:val="20"/>
                <w:szCs w:val="20"/>
                <w:lang w:val="en-US"/>
              </w:rPr>
              <w:t xml:space="preserve">in which all three different ownership categories are present. </w:t>
            </w:r>
          </w:p>
        </w:tc>
        <w:tc>
          <w:tcPr>
            <w:tcW w:w="3060" w:type="dxa"/>
          </w:tcPr>
          <w:p w:rsidR="00F62A12" w:rsidRPr="00812E8B" w:rsidRDefault="00437A29" w:rsidP="00866653">
            <w:pPr>
              <w:rPr>
                <w:sz w:val="20"/>
                <w:szCs w:val="20"/>
                <w:lang w:val="en-US"/>
              </w:rPr>
            </w:pPr>
            <w:r>
              <w:rPr>
                <w:sz w:val="20"/>
                <w:szCs w:val="20"/>
                <w:lang w:val="en-US"/>
              </w:rPr>
              <w:t xml:space="preserve">They find that private, public and mutual banks are able to generate economies of scale. Besides, public and mutual banks have cost and profit advantages compared to their commercial counterparts (indicated by efficiency measures). </w:t>
            </w:r>
          </w:p>
        </w:tc>
        <w:tc>
          <w:tcPr>
            <w:tcW w:w="3240" w:type="dxa"/>
          </w:tcPr>
          <w:p w:rsidR="00F62A12" w:rsidRPr="00812E8B" w:rsidRDefault="00F62A12" w:rsidP="00437A29">
            <w:pPr>
              <w:rPr>
                <w:sz w:val="20"/>
                <w:szCs w:val="20"/>
                <w:lang w:val="en-US"/>
              </w:rPr>
            </w:pPr>
            <w:r w:rsidRPr="00812E8B">
              <w:rPr>
                <w:sz w:val="20"/>
                <w:szCs w:val="20"/>
                <w:lang w:val="en-US"/>
              </w:rPr>
              <w:t xml:space="preserve">Little evidence is found to suggest that privately owned banks are more efficient </w:t>
            </w:r>
            <w:r w:rsidR="00437A29">
              <w:rPr>
                <w:sz w:val="20"/>
                <w:szCs w:val="20"/>
                <w:lang w:val="en-US"/>
              </w:rPr>
              <w:t>compared to the m</w:t>
            </w:r>
            <w:r w:rsidRPr="00812E8B">
              <w:rPr>
                <w:sz w:val="20"/>
                <w:szCs w:val="20"/>
                <w:lang w:val="en-US"/>
              </w:rPr>
              <w:t>utual</w:t>
            </w:r>
            <w:r w:rsidR="00437A29">
              <w:rPr>
                <w:sz w:val="20"/>
                <w:szCs w:val="20"/>
                <w:lang w:val="en-US"/>
              </w:rPr>
              <w:t xml:space="preserve"> and public banks. However, there are some slight profit and cost advantages probably arising from </w:t>
            </w:r>
            <w:r w:rsidR="00437A29" w:rsidRPr="00812E8B">
              <w:rPr>
                <w:sz w:val="20"/>
                <w:szCs w:val="20"/>
                <w:lang w:val="en-US"/>
              </w:rPr>
              <w:t>lower funding cos</w:t>
            </w:r>
            <w:r w:rsidR="00437A29">
              <w:rPr>
                <w:sz w:val="20"/>
                <w:szCs w:val="20"/>
                <w:lang w:val="en-US"/>
              </w:rPr>
              <w:t>ts</w:t>
            </w:r>
            <w:r w:rsidR="00DB76E9">
              <w:rPr>
                <w:sz w:val="20"/>
                <w:szCs w:val="20"/>
                <w:lang w:val="en-US"/>
              </w:rPr>
              <w:t>.</w:t>
            </w:r>
          </w:p>
        </w:tc>
      </w:tr>
      <w:tr w:rsidR="00F62A12" w:rsidRPr="007D2EA6" w:rsidTr="00866653">
        <w:tc>
          <w:tcPr>
            <w:tcW w:w="1448" w:type="dxa"/>
          </w:tcPr>
          <w:p w:rsidR="00F62A12" w:rsidRDefault="00F62A12" w:rsidP="00866653">
            <w:pPr>
              <w:rPr>
                <w:sz w:val="20"/>
                <w:szCs w:val="20"/>
                <w:lang w:val="en-US"/>
              </w:rPr>
            </w:pPr>
          </w:p>
          <w:p w:rsidR="00DB76E9" w:rsidRPr="00812E8B" w:rsidRDefault="00DB76E9" w:rsidP="00866653">
            <w:pPr>
              <w:rPr>
                <w:sz w:val="20"/>
                <w:szCs w:val="20"/>
                <w:lang w:val="en-US"/>
              </w:rPr>
            </w:pPr>
          </w:p>
          <w:p w:rsidR="00F62A12" w:rsidRPr="00812E8B" w:rsidRDefault="00F62A12" w:rsidP="00866653">
            <w:pPr>
              <w:rPr>
                <w:sz w:val="20"/>
                <w:szCs w:val="20"/>
                <w:lang w:val="en-US"/>
              </w:rPr>
            </w:pPr>
          </w:p>
          <w:p w:rsidR="00F62A12" w:rsidRPr="00812E8B" w:rsidRDefault="00F62A12" w:rsidP="00872533">
            <w:pPr>
              <w:rPr>
                <w:sz w:val="20"/>
                <w:szCs w:val="20"/>
                <w:lang w:val="en-US"/>
              </w:rPr>
            </w:pPr>
            <w:r w:rsidRPr="00812E8B">
              <w:rPr>
                <w:sz w:val="20"/>
                <w:szCs w:val="20"/>
                <w:lang w:val="en-US"/>
              </w:rPr>
              <w:t>Berge</w:t>
            </w:r>
            <w:r w:rsidR="00872533" w:rsidRPr="00812E8B">
              <w:rPr>
                <w:sz w:val="20"/>
                <w:szCs w:val="20"/>
                <w:lang w:val="en-US"/>
              </w:rPr>
              <w:t>r</w:t>
            </w:r>
            <w:r w:rsidRPr="00812E8B">
              <w:rPr>
                <w:sz w:val="20"/>
                <w:szCs w:val="20"/>
                <w:lang w:val="en-US"/>
              </w:rPr>
              <w:t xml:space="preserve"> et al. (2005)</w:t>
            </w:r>
          </w:p>
        </w:tc>
        <w:tc>
          <w:tcPr>
            <w:tcW w:w="2512" w:type="dxa"/>
          </w:tcPr>
          <w:p w:rsidR="00F62A12" w:rsidRPr="00812E8B" w:rsidRDefault="00437A29" w:rsidP="00437A29">
            <w:pPr>
              <w:rPr>
                <w:sz w:val="20"/>
                <w:szCs w:val="20"/>
                <w:lang w:val="en-US"/>
              </w:rPr>
            </w:pPr>
            <w:r>
              <w:rPr>
                <w:sz w:val="20"/>
                <w:szCs w:val="20"/>
                <w:lang w:val="en-US"/>
              </w:rPr>
              <w:t xml:space="preserve">They examine the effect of the domestic, foreign and state ownership on profitability in </w:t>
            </w:r>
            <w:r w:rsidR="00215D84">
              <w:rPr>
                <w:sz w:val="20"/>
                <w:szCs w:val="20"/>
                <w:lang w:val="en-US"/>
              </w:rPr>
              <w:t xml:space="preserve">the </w:t>
            </w:r>
            <w:r>
              <w:rPr>
                <w:sz w:val="20"/>
                <w:szCs w:val="20"/>
                <w:lang w:val="en-US"/>
              </w:rPr>
              <w:t>banking sector. They e</w:t>
            </w:r>
            <w:r w:rsidR="00F62A12" w:rsidRPr="00812E8B">
              <w:rPr>
                <w:sz w:val="20"/>
                <w:szCs w:val="20"/>
                <w:lang w:val="en-US"/>
              </w:rPr>
              <w:t xml:space="preserve">xtend research by including indicators of all governance effects in </w:t>
            </w:r>
            <w:r>
              <w:rPr>
                <w:sz w:val="20"/>
                <w:szCs w:val="20"/>
                <w:lang w:val="en-US"/>
              </w:rPr>
              <w:t>one</w:t>
            </w:r>
            <w:r w:rsidR="00F62A12" w:rsidRPr="00812E8B">
              <w:rPr>
                <w:sz w:val="20"/>
                <w:szCs w:val="20"/>
                <w:lang w:val="en-US"/>
              </w:rPr>
              <w:t xml:space="preserve"> model to avoid bias results.</w:t>
            </w:r>
          </w:p>
        </w:tc>
        <w:tc>
          <w:tcPr>
            <w:tcW w:w="2340" w:type="dxa"/>
          </w:tcPr>
          <w:p w:rsidR="00F62A12" w:rsidRPr="00812E8B" w:rsidRDefault="00F62A12" w:rsidP="00866653">
            <w:pPr>
              <w:rPr>
                <w:sz w:val="20"/>
                <w:szCs w:val="20"/>
                <w:lang w:val="en-US"/>
              </w:rPr>
            </w:pPr>
            <w:r w:rsidRPr="00812E8B">
              <w:rPr>
                <w:sz w:val="20"/>
                <w:szCs w:val="20"/>
                <w:lang w:val="en-US"/>
              </w:rPr>
              <w:t>Region: Argentina</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2290 bank-quarter observations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1993 -1999</w:t>
            </w:r>
          </w:p>
        </w:tc>
        <w:tc>
          <w:tcPr>
            <w:tcW w:w="2610" w:type="dxa"/>
          </w:tcPr>
          <w:p w:rsidR="00F62A12" w:rsidRDefault="00F62A12" w:rsidP="00866653">
            <w:pPr>
              <w:rPr>
                <w:sz w:val="20"/>
                <w:szCs w:val="20"/>
                <w:lang w:val="en-US"/>
              </w:rPr>
            </w:pPr>
            <w:r w:rsidRPr="00812E8B">
              <w:rPr>
                <w:sz w:val="20"/>
                <w:szCs w:val="20"/>
                <w:lang w:val="en-US"/>
              </w:rPr>
              <w:t>Regression model (</w:t>
            </w:r>
            <w:r w:rsidR="00437A29">
              <w:rPr>
                <w:sz w:val="20"/>
                <w:szCs w:val="20"/>
                <w:lang w:val="en-US"/>
              </w:rPr>
              <w:t xml:space="preserve">that </w:t>
            </w:r>
            <w:r w:rsidRPr="00812E8B">
              <w:rPr>
                <w:sz w:val="20"/>
                <w:szCs w:val="20"/>
                <w:lang w:val="en-US"/>
              </w:rPr>
              <w:t xml:space="preserve">account for static, selection and dynamic effects) </w:t>
            </w:r>
          </w:p>
          <w:p w:rsidR="00437A29" w:rsidRPr="00812E8B" w:rsidRDefault="00437A29"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Profit</w:t>
            </w:r>
            <w:r w:rsidR="00437A29">
              <w:rPr>
                <w:sz w:val="20"/>
                <w:szCs w:val="20"/>
                <w:lang w:val="en-US"/>
              </w:rPr>
              <w:t xml:space="preserve"> and cost efficiency (e.g. </w:t>
            </w:r>
            <w:r w:rsidRPr="00812E8B">
              <w:rPr>
                <w:sz w:val="20"/>
                <w:szCs w:val="20"/>
                <w:lang w:val="en-US"/>
              </w:rPr>
              <w:t>ROE, C/A and N</w:t>
            </w:r>
            <w:r w:rsidR="00437A29">
              <w:rPr>
                <w:sz w:val="20"/>
                <w:szCs w:val="20"/>
                <w:lang w:val="en-US"/>
              </w:rPr>
              <w:t>on-performing loans)</w:t>
            </w:r>
          </w:p>
          <w:p w:rsidR="00F62A12" w:rsidRPr="00812E8B" w:rsidRDefault="00437A29" w:rsidP="00866653">
            <w:pPr>
              <w:rPr>
                <w:sz w:val="20"/>
                <w:szCs w:val="20"/>
                <w:lang w:val="en-US"/>
              </w:rPr>
            </w:pPr>
            <w:r>
              <w:rPr>
                <w:sz w:val="20"/>
                <w:szCs w:val="20"/>
                <w:lang w:val="en-US"/>
              </w:rPr>
              <w:t xml:space="preserve">EXPL: State, foreign and </w:t>
            </w:r>
            <w:r w:rsidR="00F62A12" w:rsidRPr="00812E8B">
              <w:rPr>
                <w:sz w:val="20"/>
                <w:szCs w:val="20"/>
                <w:lang w:val="en-US"/>
              </w:rPr>
              <w:t>domestic ownership</w:t>
            </w:r>
          </w:p>
        </w:tc>
        <w:tc>
          <w:tcPr>
            <w:tcW w:w="3060" w:type="dxa"/>
          </w:tcPr>
          <w:p w:rsidR="00F62A12" w:rsidRDefault="003908F3" w:rsidP="00866653">
            <w:pPr>
              <w:rPr>
                <w:sz w:val="20"/>
                <w:szCs w:val="20"/>
                <w:lang w:val="en-US"/>
              </w:rPr>
            </w:pPr>
            <w:r>
              <w:rPr>
                <w:sz w:val="20"/>
                <w:szCs w:val="20"/>
                <w:lang w:val="en-US"/>
              </w:rPr>
              <w:t>From the s</w:t>
            </w:r>
            <w:r w:rsidR="00F62A12" w:rsidRPr="00812E8B">
              <w:rPr>
                <w:sz w:val="20"/>
                <w:szCs w:val="20"/>
                <w:lang w:val="en-US"/>
              </w:rPr>
              <w:t>tatic effects</w:t>
            </w:r>
            <w:r>
              <w:rPr>
                <w:sz w:val="20"/>
                <w:szCs w:val="20"/>
                <w:lang w:val="en-US"/>
              </w:rPr>
              <w:t xml:space="preserve"> it is observed that </w:t>
            </w:r>
            <w:r w:rsidR="00F62A12" w:rsidRPr="00812E8B">
              <w:rPr>
                <w:sz w:val="20"/>
                <w:szCs w:val="20"/>
                <w:lang w:val="en-US"/>
              </w:rPr>
              <w:t>state</w:t>
            </w:r>
            <w:r>
              <w:rPr>
                <w:sz w:val="20"/>
                <w:szCs w:val="20"/>
                <w:lang w:val="en-US"/>
              </w:rPr>
              <w:t>-</w:t>
            </w:r>
            <w:r w:rsidR="00F62A12" w:rsidRPr="00812E8B">
              <w:rPr>
                <w:sz w:val="20"/>
                <w:szCs w:val="20"/>
                <w:lang w:val="en-US"/>
              </w:rPr>
              <w:t>owned banks</w:t>
            </w:r>
            <w:r>
              <w:rPr>
                <w:sz w:val="20"/>
                <w:szCs w:val="20"/>
                <w:lang w:val="en-US"/>
              </w:rPr>
              <w:t xml:space="preserve"> have, on average, a</w:t>
            </w:r>
            <w:r w:rsidR="00F62A12" w:rsidRPr="00812E8B">
              <w:rPr>
                <w:sz w:val="20"/>
                <w:szCs w:val="20"/>
                <w:lang w:val="en-US"/>
              </w:rPr>
              <w:t xml:space="preserve"> poorer long-term </w:t>
            </w:r>
            <w:r>
              <w:rPr>
                <w:sz w:val="20"/>
                <w:szCs w:val="20"/>
                <w:lang w:val="en-US"/>
              </w:rPr>
              <w:t xml:space="preserve">profitability </w:t>
            </w:r>
            <w:r w:rsidR="00F62A12" w:rsidRPr="00812E8B">
              <w:rPr>
                <w:sz w:val="20"/>
                <w:szCs w:val="20"/>
                <w:lang w:val="en-US"/>
              </w:rPr>
              <w:t xml:space="preserve"> than domestic</w:t>
            </w:r>
            <w:r>
              <w:rPr>
                <w:sz w:val="20"/>
                <w:szCs w:val="20"/>
                <w:lang w:val="en-US"/>
              </w:rPr>
              <w:t xml:space="preserve"> and foreign-owned </w:t>
            </w:r>
            <w:r w:rsidR="00F62A12" w:rsidRPr="00812E8B">
              <w:rPr>
                <w:sz w:val="20"/>
                <w:szCs w:val="20"/>
                <w:lang w:val="en-US"/>
              </w:rPr>
              <w:t>banks</w:t>
            </w:r>
          </w:p>
          <w:p w:rsidR="00F62A12" w:rsidRPr="00812E8B" w:rsidRDefault="003908F3" w:rsidP="003908F3">
            <w:pPr>
              <w:rPr>
                <w:sz w:val="20"/>
                <w:szCs w:val="20"/>
                <w:lang w:val="en-US"/>
              </w:rPr>
            </w:pPr>
            <w:r>
              <w:rPr>
                <w:sz w:val="20"/>
                <w:szCs w:val="20"/>
                <w:lang w:val="en-US"/>
              </w:rPr>
              <w:t>From the selection and dynamic effects they find that privatization substantially improve profitability by observing mergers/acquisitions</w:t>
            </w:r>
          </w:p>
        </w:tc>
        <w:tc>
          <w:tcPr>
            <w:tcW w:w="3240" w:type="dxa"/>
          </w:tcPr>
          <w:p w:rsidR="00F62A12" w:rsidRPr="00812E8B" w:rsidRDefault="00DB76E9" w:rsidP="00DB76E9">
            <w:pPr>
              <w:rPr>
                <w:sz w:val="20"/>
                <w:szCs w:val="20"/>
                <w:lang w:val="en-US"/>
              </w:rPr>
            </w:pPr>
            <w:r>
              <w:rPr>
                <w:sz w:val="20"/>
                <w:szCs w:val="20"/>
                <w:lang w:val="en-US"/>
              </w:rPr>
              <w:t xml:space="preserve">Berger et al (2005) find evidence that the ownership of a bank has an influence on profitability using a static model. Moreover, also the </w:t>
            </w:r>
            <w:r w:rsidR="00F62A12" w:rsidRPr="00812E8B">
              <w:rPr>
                <w:sz w:val="20"/>
                <w:szCs w:val="20"/>
                <w:lang w:val="en-US"/>
              </w:rPr>
              <w:t>dynamic and selection effects</w:t>
            </w:r>
            <w:r>
              <w:rPr>
                <w:sz w:val="20"/>
                <w:szCs w:val="20"/>
                <w:lang w:val="en-US"/>
              </w:rPr>
              <w:t xml:space="preserve"> that they take into account,</w:t>
            </w:r>
            <w:r w:rsidR="00F62A12" w:rsidRPr="00812E8B">
              <w:rPr>
                <w:sz w:val="20"/>
                <w:szCs w:val="20"/>
                <w:lang w:val="en-US"/>
              </w:rPr>
              <w:t xml:space="preserve"> seem</w:t>
            </w:r>
            <w:r>
              <w:rPr>
                <w:sz w:val="20"/>
                <w:szCs w:val="20"/>
                <w:lang w:val="en-US"/>
              </w:rPr>
              <w:t>s</w:t>
            </w:r>
            <w:r w:rsidR="00F62A12" w:rsidRPr="00812E8B">
              <w:rPr>
                <w:sz w:val="20"/>
                <w:szCs w:val="20"/>
                <w:lang w:val="en-US"/>
              </w:rPr>
              <w:t xml:space="preserve"> to influence profitability.</w:t>
            </w:r>
          </w:p>
        </w:tc>
      </w:tr>
      <w:tr w:rsidR="00F62A12" w:rsidRPr="00812E8B"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Default="00F62A12" w:rsidP="00866653">
            <w:pPr>
              <w:rPr>
                <w:sz w:val="20"/>
                <w:szCs w:val="20"/>
                <w:lang w:val="en-US"/>
              </w:rPr>
            </w:pPr>
            <w:r w:rsidRPr="00812E8B">
              <w:rPr>
                <w:sz w:val="20"/>
                <w:szCs w:val="20"/>
                <w:lang w:val="en-US"/>
              </w:rPr>
              <w:t>Iannotta et al</w:t>
            </w:r>
            <w:r w:rsidR="00872533" w:rsidRPr="00812E8B">
              <w:rPr>
                <w:sz w:val="20"/>
                <w:szCs w:val="20"/>
                <w:lang w:val="en-US"/>
              </w:rPr>
              <w:t>.</w:t>
            </w:r>
            <w:r w:rsidRPr="00812E8B">
              <w:rPr>
                <w:sz w:val="20"/>
                <w:szCs w:val="20"/>
                <w:lang w:val="en-US"/>
              </w:rPr>
              <w:t xml:space="preserve"> (2007)</w:t>
            </w:r>
          </w:p>
          <w:p w:rsidR="00DB76E9" w:rsidRDefault="00DB76E9" w:rsidP="00866653">
            <w:pPr>
              <w:rPr>
                <w:sz w:val="20"/>
                <w:szCs w:val="20"/>
                <w:lang w:val="en-US"/>
              </w:rPr>
            </w:pPr>
          </w:p>
          <w:p w:rsidR="00DB76E9" w:rsidRDefault="00DB76E9" w:rsidP="00866653">
            <w:pPr>
              <w:rPr>
                <w:sz w:val="20"/>
                <w:szCs w:val="20"/>
                <w:lang w:val="en-US"/>
              </w:rPr>
            </w:pPr>
          </w:p>
          <w:p w:rsidR="00DB76E9" w:rsidRPr="00812E8B" w:rsidRDefault="00DB76E9" w:rsidP="00866653">
            <w:pPr>
              <w:rPr>
                <w:sz w:val="20"/>
                <w:szCs w:val="20"/>
                <w:lang w:val="en-US"/>
              </w:rPr>
            </w:pPr>
          </w:p>
        </w:tc>
        <w:tc>
          <w:tcPr>
            <w:tcW w:w="2512" w:type="dxa"/>
          </w:tcPr>
          <w:p w:rsidR="00F62A12" w:rsidRPr="00812E8B" w:rsidRDefault="00DB76E9" w:rsidP="00DB76E9">
            <w:pPr>
              <w:rPr>
                <w:sz w:val="20"/>
                <w:szCs w:val="20"/>
                <w:lang w:val="en-US"/>
              </w:rPr>
            </w:pPr>
            <w:r>
              <w:rPr>
                <w:sz w:val="20"/>
                <w:szCs w:val="20"/>
                <w:lang w:val="en-US"/>
              </w:rPr>
              <w:t>The study of Iannotta et al. (2007) does not only examine the effect of the ownership structure on the profits of a bank but also on risk-taking behavior. And extent literature by also taking into account ownership concentration.</w:t>
            </w:r>
          </w:p>
        </w:tc>
        <w:tc>
          <w:tcPr>
            <w:tcW w:w="2340" w:type="dxa"/>
          </w:tcPr>
          <w:p w:rsidR="00F62A12" w:rsidRPr="00812E8B" w:rsidRDefault="00F62A12" w:rsidP="00866653">
            <w:pPr>
              <w:rPr>
                <w:sz w:val="20"/>
                <w:szCs w:val="20"/>
                <w:lang w:val="en-US"/>
              </w:rPr>
            </w:pPr>
            <w:r w:rsidRPr="00812E8B">
              <w:rPr>
                <w:sz w:val="20"/>
                <w:szCs w:val="20"/>
                <w:lang w:val="en-US"/>
              </w:rPr>
              <w:t>Region: Europe</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 xml:space="preserve">Sample: </w:t>
            </w:r>
            <w:r w:rsidR="00DB76E9">
              <w:rPr>
                <w:sz w:val="20"/>
                <w:szCs w:val="20"/>
                <w:lang w:val="en-US"/>
              </w:rPr>
              <w:t>b</w:t>
            </w:r>
            <w:r w:rsidR="00872533" w:rsidRPr="00812E8B">
              <w:rPr>
                <w:sz w:val="20"/>
                <w:szCs w:val="20"/>
                <w:lang w:val="en-US"/>
              </w:rPr>
              <w:t xml:space="preserve">alanced panel of </w:t>
            </w:r>
            <w:r w:rsidRPr="00812E8B">
              <w:rPr>
                <w:sz w:val="20"/>
                <w:szCs w:val="20"/>
                <w:lang w:val="en-US"/>
              </w:rPr>
              <w:t>181 banks (1</w:t>
            </w:r>
            <w:r w:rsidR="00DB76E9">
              <w:rPr>
                <w:sz w:val="20"/>
                <w:szCs w:val="20"/>
                <w:lang w:val="en-US"/>
              </w:rPr>
              <w:t>,</w:t>
            </w:r>
            <w:r w:rsidRPr="00812E8B">
              <w:rPr>
                <w:sz w:val="20"/>
                <w:szCs w:val="20"/>
                <w:lang w:val="en-US"/>
              </w:rPr>
              <w:t>086 bank year observations)</w:t>
            </w:r>
            <w:r w:rsidR="00872533" w:rsidRPr="00812E8B">
              <w:rPr>
                <w:sz w:val="20"/>
                <w:szCs w:val="20"/>
                <w:lang w:val="en-US"/>
              </w:rPr>
              <w:t xml:space="preserve"> with </w:t>
            </w:r>
            <w:r w:rsidRPr="00812E8B">
              <w:rPr>
                <w:sz w:val="20"/>
                <w:szCs w:val="20"/>
                <w:lang w:val="en-US"/>
              </w:rPr>
              <w:t xml:space="preserve"> </w:t>
            </w:r>
            <w:r w:rsidR="00DB76E9">
              <w:rPr>
                <w:sz w:val="20"/>
                <w:szCs w:val="20"/>
                <w:lang w:val="en-US"/>
              </w:rPr>
              <w:t xml:space="preserve">total assets that exceed </w:t>
            </w:r>
            <w:r w:rsidRPr="00812E8B">
              <w:rPr>
                <w:sz w:val="20"/>
                <w:szCs w:val="20"/>
                <w:lang w:val="en-US"/>
              </w:rPr>
              <w:t>EUR 10 b</w:t>
            </w:r>
            <w:r w:rsidR="00872533" w:rsidRPr="00812E8B">
              <w:rPr>
                <w:sz w:val="20"/>
                <w:szCs w:val="20"/>
                <w:lang w:val="en-US"/>
              </w:rPr>
              <w:t>il</w:t>
            </w:r>
            <w:r w:rsidRPr="00812E8B">
              <w:rPr>
                <w:sz w:val="20"/>
                <w:szCs w:val="20"/>
                <w:lang w:val="en-US"/>
              </w:rPr>
              <w:t>l</w:t>
            </w:r>
            <w:r w:rsidR="00872533" w:rsidRPr="00812E8B">
              <w:rPr>
                <w:sz w:val="20"/>
                <w:szCs w:val="20"/>
                <w:lang w:val="en-US"/>
              </w:rPr>
              <w:t>io</w:t>
            </w:r>
            <w:r w:rsidR="00DB76E9">
              <w:rPr>
                <w:sz w:val="20"/>
                <w:szCs w:val="20"/>
                <w:lang w:val="en-US"/>
              </w:rPr>
              <w:t>n.</w:t>
            </w:r>
          </w:p>
          <w:p w:rsidR="00DB76E9" w:rsidRDefault="00DB76E9"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1999-2004</w:t>
            </w: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DB76E9" w:rsidRDefault="00DB76E9"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operating profit</w:t>
            </w:r>
            <w:r w:rsidR="00DB76E9">
              <w:rPr>
                <w:sz w:val="20"/>
                <w:szCs w:val="20"/>
                <w:lang w:val="en-US"/>
              </w:rPr>
              <w:t xml:space="preserve">, </w:t>
            </w:r>
            <w:r w:rsidRPr="00812E8B">
              <w:rPr>
                <w:sz w:val="20"/>
                <w:szCs w:val="20"/>
                <w:lang w:val="en-US"/>
              </w:rPr>
              <w:t>cost</w:t>
            </w:r>
            <w:r w:rsidR="00DB76E9">
              <w:rPr>
                <w:sz w:val="20"/>
                <w:szCs w:val="20"/>
                <w:lang w:val="en-US"/>
              </w:rPr>
              <w:t xml:space="preserve">, </w:t>
            </w:r>
            <w:r w:rsidRPr="00812E8B">
              <w:rPr>
                <w:sz w:val="20"/>
                <w:szCs w:val="20"/>
                <w:lang w:val="en-US"/>
              </w:rPr>
              <w:t xml:space="preserve"> income to total earning assets </w:t>
            </w:r>
          </w:p>
          <w:p w:rsidR="00F62A12" w:rsidRPr="00812E8B" w:rsidRDefault="00F62A12" w:rsidP="00866653">
            <w:pPr>
              <w:rPr>
                <w:sz w:val="20"/>
                <w:szCs w:val="20"/>
                <w:lang w:val="en-US"/>
              </w:rPr>
            </w:pPr>
            <w:r w:rsidRPr="00812E8B">
              <w:rPr>
                <w:sz w:val="20"/>
                <w:szCs w:val="20"/>
                <w:lang w:val="en-US"/>
              </w:rPr>
              <w:t>EXPL: dummy for ownership and different control variables that influence profitability</w:t>
            </w:r>
          </w:p>
        </w:tc>
        <w:tc>
          <w:tcPr>
            <w:tcW w:w="3060" w:type="dxa"/>
          </w:tcPr>
          <w:p w:rsidR="00F62A12" w:rsidRPr="00812E8B" w:rsidRDefault="00DB76E9" w:rsidP="00DB76E9">
            <w:pPr>
              <w:rPr>
                <w:sz w:val="20"/>
                <w:szCs w:val="20"/>
                <w:lang w:val="en-US"/>
              </w:rPr>
            </w:pPr>
            <w:r>
              <w:rPr>
                <w:sz w:val="20"/>
                <w:szCs w:val="20"/>
                <w:lang w:val="en-US"/>
              </w:rPr>
              <w:t xml:space="preserve">They find that banks that are owned by governments have a weaker loan quality and more insolvency risk than the other banks. Moreover, </w:t>
            </w:r>
            <w:r w:rsidR="00F62A12" w:rsidRPr="00812E8B">
              <w:rPr>
                <w:sz w:val="20"/>
                <w:szCs w:val="20"/>
                <w:lang w:val="en-US"/>
              </w:rPr>
              <w:t>mutual banks have better</w:t>
            </w:r>
            <w:r>
              <w:rPr>
                <w:sz w:val="20"/>
                <w:szCs w:val="20"/>
                <w:lang w:val="en-US"/>
              </w:rPr>
              <w:t xml:space="preserve"> </w:t>
            </w:r>
            <w:r w:rsidR="00F62A12" w:rsidRPr="00812E8B">
              <w:rPr>
                <w:sz w:val="20"/>
                <w:szCs w:val="20"/>
                <w:lang w:val="en-US"/>
              </w:rPr>
              <w:t>loan quality and lower asset risk</w:t>
            </w:r>
            <w:r>
              <w:rPr>
                <w:sz w:val="20"/>
                <w:szCs w:val="20"/>
                <w:lang w:val="en-US"/>
              </w:rPr>
              <w:t>s</w:t>
            </w:r>
            <w:r w:rsidR="00F62A12" w:rsidRPr="00812E8B">
              <w:rPr>
                <w:sz w:val="20"/>
                <w:szCs w:val="20"/>
                <w:lang w:val="en-US"/>
              </w:rPr>
              <w:t xml:space="preserve"> than </w:t>
            </w:r>
            <w:r>
              <w:rPr>
                <w:sz w:val="20"/>
                <w:szCs w:val="20"/>
                <w:lang w:val="en-US"/>
              </w:rPr>
              <w:t xml:space="preserve">their private and public counterparts. </w:t>
            </w:r>
          </w:p>
        </w:tc>
        <w:tc>
          <w:tcPr>
            <w:tcW w:w="3240" w:type="dxa"/>
          </w:tcPr>
          <w:p w:rsidR="00F62A12" w:rsidRPr="00812E8B" w:rsidRDefault="00CC3D24" w:rsidP="00CC3D24">
            <w:pPr>
              <w:rPr>
                <w:sz w:val="20"/>
                <w:szCs w:val="20"/>
                <w:lang w:val="en-US"/>
              </w:rPr>
            </w:pPr>
            <w:r>
              <w:rPr>
                <w:sz w:val="20"/>
                <w:szCs w:val="20"/>
                <w:lang w:val="en-US"/>
              </w:rPr>
              <w:t xml:space="preserve">Summarizing, when controlling for some bank-specific factors they find that mutual and government-owned banks have a lower profitability than privately-owned banks. Despite that the first category have lower costs than the privately-owned banks. The concentration of the ownership does not influence profitability. </w:t>
            </w:r>
          </w:p>
        </w:tc>
      </w:tr>
    </w:tbl>
    <w:p w:rsidR="00F62A12" w:rsidRPr="00812E8B" w:rsidRDefault="00F62A12" w:rsidP="00F62A12">
      <w:pPr>
        <w:pStyle w:val="NoSpacing"/>
        <w:jc w:val="both"/>
        <w:rPr>
          <w:sz w:val="20"/>
          <w:szCs w:val="20"/>
          <w:lang w:val="en-US"/>
        </w:rPr>
      </w:pPr>
    </w:p>
    <w:p w:rsidR="00F62A12" w:rsidRPr="00812E8B" w:rsidRDefault="00F62A12" w:rsidP="00F62A12">
      <w:pPr>
        <w:rPr>
          <w:lang w:val="en-US"/>
        </w:rPr>
      </w:pPr>
    </w:p>
    <w:tbl>
      <w:tblPr>
        <w:tblStyle w:val="TableGrid"/>
        <w:tblW w:w="15210" w:type="dxa"/>
        <w:tblInd w:w="-612" w:type="dxa"/>
        <w:tblLook w:val="04A0"/>
      </w:tblPr>
      <w:tblGrid>
        <w:gridCol w:w="1448"/>
        <w:gridCol w:w="2512"/>
        <w:gridCol w:w="2340"/>
        <w:gridCol w:w="2610"/>
        <w:gridCol w:w="3060"/>
        <w:gridCol w:w="3240"/>
      </w:tblGrid>
      <w:tr w:rsidR="00F62A12" w:rsidRPr="00812E8B" w:rsidTr="00866653">
        <w:trPr>
          <w:trHeight w:val="359"/>
        </w:trPr>
        <w:tc>
          <w:tcPr>
            <w:tcW w:w="1448" w:type="dxa"/>
          </w:tcPr>
          <w:p w:rsidR="00F62A12" w:rsidRPr="00812E8B" w:rsidRDefault="00F62A12" w:rsidP="00866653">
            <w:pPr>
              <w:rPr>
                <w:b/>
                <w:sz w:val="20"/>
                <w:szCs w:val="20"/>
                <w:lang w:val="en-US"/>
              </w:rPr>
            </w:pPr>
            <w:r w:rsidRPr="00812E8B">
              <w:rPr>
                <w:b/>
                <w:sz w:val="20"/>
                <w:szCs w:val="20"/>
                <w:lang w:val="en-US"/>
              </w:rPr>
              <w:lastRenderedPageBreak/>
              <w:t>Author(s)</w:t>
            </w:r>
          </w:p>
        </w:tc>
        <w:tc>
          <w:tcPr>
            <w:tcW w:w="2512" w:type="dxa"/>
          </w:tcPr>
          <w:p w:rsidR="00F62A12" w:rsidRPr="00812E8B" w:rsidRDefault="00F62A12" w:rsidP="00866653">
            <w:pPr>
              <w:rPr>
                <w:b/>
                <w:sz w:val="20"/>
                <w:szCs w:val="20"/>
                <w:lang w:val="en-US"/>
              </w:rPr>
            </w:pPr>
            <w:r w:rsidRPr="00812E8B">
              <w:rPr>
                <w:b/>
                <w:sz w:val="20"/>
                <w:szCs w:val="20"/>
                <w:lang w:val="en-US"/>
              </w:rPr>
              <w:t>Purpose of the study</w:t>
            </w:r>
          </w:p>
        </w:tc>
        <w:tc>
          <w:tcPr>
            <w:tcW w:w="2340" w:type="dxa"/>
          </w:tcPr>
          <w:p w:rsidR="00F62A12" w:rsidRPr="00812E8B" w:rsidRDefault="00F62A12" w:rsidP="00866653">
            <w:pPr>
              <w:rPr>
                <w:b/>
                <w:sz w:val="20"/>
                <w:szCs w:val="20"/>
                <w:lang w:val="en-US"/>
              </w:rPr>
            </w:pPr>
            <w:r w:rsidRPr="00812E8B">
              <w:rPr>
                <w:b/>
                <w:sz w:val="20"/>
                <w:szCs w:val="20"/>
                <w:lang w:val="en-US"/>
              </w:rPr>
              <w:t>Sample</w:t>
            </w:r>
          </w:p>
        </w:tc>
        <w:tc>
          <w:tcPr>
            <w:tcW w:w="2610" w:type="dxa"/>
          </w:tcPr>
          <w:p w:rsidR="00F62A12" w:rsidRPr="00812E8B" w:rsidRDefault="00F62A12" w:rsidP="00866653">
            <w:pPr>
              <w:rPr>
                <w:b/>
                <w:sz w:val="20"/>
                <w:szCs w:val="20"/>
                <w:lang w:val="en-US"/>
              </w:rPr>
            </w:pPr>
            <w:r w:rsidRPr="00812E8B">
              <w:rPr>
                <w:b/>
                <w:sz w:val="20"/>
                <w:szCs w:val="20"/>
                <w:lang w:val="en-US"/>
              </w:rPr>
              <w:t>Methodology</w:t>
            </w:r>
          </w:p>
        </w:tc>
        <w:tc>
          <w:tcPr>
            <w:tcW w:w="3060" w:type="dxa"/>
          </w:tcPr>
          <w:p w:rsidR="00F62A12" w:rsidRPr="00812E8B" w:rsidRDefault="00F62A12" w:rsidP="00866653">
            <w:pPr>
              <w:rPr>
                <w:b/>
                <w:sz w:val="20"/>
                <w:szCs w:val="20"/>
                <w:lang w:val="en-US"/>
              </w:rPr>
            </w:pPr>
            <w:r w:rsidRPr="00812E8B">
              <w:rPr>
                <w:b/>
                <w:sz w:val="20"/>
                <w:szCs w:val="20"/>
                <w:lang w:val="en-US"/>
              </w:rPr>
              <w:t>Results</w:t>
            </w:r>
          </w:p>
        </w:tc>
        <w:tc>
          <w:tcPr>
            <w:tcW w:w="3240" w:type="dxa"/>
          </w:tcPr>
          <w:p w:rsidR="00F62A12" w:rsidRPr="00812E8B" w:rsidRDefault="00F62A12" w:rsidP="00866653">
            <w:pPr>
              <w:rPr>
                <w:b/>
                <w:sz w:val="20"/>
                <w:szCs w:val="20"/>
                <w:lang w:val="en-US"/>
              </w:rPr>
            </w:pPr>
            <w:r w:rsidRPr="00812E8B">
              <w:rPr>
                <w:b/>
                <w:sz w:val="20"/>
                <w:szCs w:val="20"/>
                <w:lang w:val="en-US"/>
              </w:rPr>
              <w:t>Conclusion</w:t>
            </w:r>
          </w:p>
        </w:tc>
      </w:tr>
      <w:tr w:rsidR="00F62A12" w:rsidRPr="00812E8B" w:rsidTr="00866653">
        <w:trPr>
          <w:trHeight w:val="2042"/>
        </w:trPr>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Micco et al (2007)</w:t>
            </w:r>
          </w:p>
        </w:tc>
        <w:tc>
          <w:tcPr>
            <w:tcW w:w="2512" w:type="dxa"/>
          </w:tcPr>
          <w:p w:rsidR="00F62A12" w:rsidRPr="00812E8B" w:rsidRDefault="00CE2BB9" w:rsidP="00CE2BB9">
            <w:pPr>
              <w:rPr>
                <w:sz w:val="20"/>
                <w:szCs w:val="20"/>
                <w:lang w:val="en-US"/>
              </w:rPr>
            </w:pPr>
            <w:r>
              <w:rPr>
                <w:sz w:val="20"/>
                <w:szCs w:val="20"/>
                <w:lang w:val="en-US"/>
              </w:rPr>
              <w:t xml:space="preserve">Study the relationship between ownership and </w:t>
            </w:r>
            <w:r w:rsidR="00F62A12" w:rsidRPr="00812E8B">
              <w:rPr>
                <w:sz w:val="20"/>
                <w:szCs w:val="20"/>
                <w:lang w:val="en-US"/>
              </w:rPr>
              <w:t>profitability</w:t>
            </w:r>
            <w:r>
              <w:rPr>
                <w:sz w:val="20"/>
                <w:szCs w:val="20"/>
                <w:lang w:val="en-US"/>
              </w:rPr>
              <w:t xml:space="preserve"> in the banking sector and test whether regulation has an influence on the relationship. They extend current literature </w:t>
            </w:r>
            <w:r w:rsidR="00F62A12" w:rsidRPr="00812E8B">
              <w:rPr>
                <w:sz w:val="20"/>
                <w:szCs w:val="20"/>
                <w:lang w:val="en-US"/>
              </w:rPr>
              <w:t xml:space="preserve">by </w:t>
            </w:r>
            <w:r>
              <w:rPr>
                <w:sz w:val="20"/>
                <w:szCs w:val="20"/>
                <w:lang w:val="en-US"/>
              </w:rPr>
              <w:t xml:space="preserve">using larger dataset and incorporating legislation. </w:t>
            </w:r>
          </w:p>
        </w:tc>
        <w:tc>
          <w:tcPr>
            <w:tcW w:w="2340" w:type="dxa"/>
          </w:tcPr>
          <w:p w:rsidR="00F62A12" w:rsidRPr="00812E8B" w:rsidRDefault="00F62A12" w:rsidP="00866653">
            <w:pPr>
              <w:rPr>
                <w:sz w:val="20"/>
                <w:szCs w:val="20"/>
                <w:lang w:val="en-US"/>
              </w:rPr>
            </w:pPr>
            <w:r w:rsidRPr="00812E8B">
              <w:rPr>
                <w:sz w:val="20"/>
                <w:szCs w:val="20"/>
                <w:lang w:val="en-US"/>
              </w:rPr>
              <w:t>Region: World (179 countries)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unknown</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1995-2002</w:t>
            </w: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CE2BB9" w:rsidRDefault="00CE2BB9"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performance measured as ROA, NIM or overhead costs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EXPL: dummy for ownership structure country-specific control variables</w:t>
            </w:r>
          </w:p>
        </w:tc>
        <w:tc>
          <w:tcPr>
            <w:tcW w:w="3060" w:type="dxa"/>
          </w:tcPr>
          <w:p w:rsidR="00F62A12" w:rsidRPr="00812E8B" w:rsidRDefault="00CE2BB9" w:rsidP="00CE2BB9">
            <w:pPr>
              <w:rPr>
                <w:sz w:val="20"/>
                <w:szCs w:val="20"/>
                <w:lang w:val="en-US"/>
              </w:rPr>
            </w:pPr>
            <w:r>
              <w:rPr>
                <w:sz w:val="20"/>
                <w:szCs w:val="20"/>
                <w:lang w:val="en-US"/>
              </w:rPr>
              <w:t>They find that governmental-owned banks are less profitability in developing countries than their private counterparts. The overhead costs of these banks are higher. Besides</w:t>
            </w:r>
            <w:r w:rsidRPr="00812E8B">
              <w:rPr>
                <w:sz w:val="20"/>
                <w:szCs w:val="20"/>
                <w:lang w:val="en-US"/>
              </w:rPr>
              <w:t xml:space="preserve">, difference in profitability increase </w:t>
            </w:r>
            <w:r>
              <w:rPr>
                <w:sz w:val="20"/>
                <w:szCs w:val="20"/>
                <w:lang w:val="en-US"/>
              </w:rPr>
              <w:t xml:space="preserve">in the election years. This relation is not observed in industrial countries. </w:t>
            </w:r>
          </w:p>
        </w:tc>
        <w:tc>
          <w:tcPr>
            <w:tcW w:w="3240" w:type="dxa"/>
          </w:tcPr>
          <w:p w:rsidR="00F62A12" w:rsidRPr="00812E8B" w:rsidRDefault="00CE2BB9" w:rsidP="00CE2BB9">
            <w:pPr>
              <w:rPr>
                <w:sz w:val="20"/>
                <w:szCs w:val="20"/>
                <w:lang w:val="en-US"/>
              </w:rPr>
            </w:pPr>
            <w:r>
              <w:rPr>
                <w:sz w:val="20"/>
                <w:szCs w:val="20"/>
                <w:lang w:val="en-US"/>
              </w:rPr>
              <w:t>There are differences in developing countries and industrial countries. In developing countries government-owned banks performs weaker. T</w:t>
            </w:r>
            <w:r w:rsidRPr="00812E8B">
              <w:rPr>
                <w:sz w:val="20"/>
                <w:szCs w:val="20"/>
                <w:lang w:val="en-US"/>
              </w:rPr>
              <w:t xml:space="preserve">he difference between developing and industrial countries weakens when </w:t>
            </w:r>
            <w:r>
              <w:rPr>
                <w:sz w:val="20"/>
                <w:szCs w:val="20"/>
                <w:lang w:val="en-US"/>
              </w:rPr>
              <w:t xml:space="preserve">Micco et al. (2007) look </w:t>
            </w:r>
            <w:r w:rsidRPr="00812E8B">
              <w:rPr>
                <w:sz w:val="20"/>
                <w:szCs w:val="20"/>
                <w:lang w:val="en-US"/>
              </w:rPr>
              <w:t>at ve</w:t>
            </w:r>
            <w:r>
              <w:rPr>
                <w:sz w:val="20"/>
                <w:szCs w:val="20"/>
                <w:lang w:val="en-US"/>
              </w:rPr>
              <w:t>ry different size and segments.</w:t>
            </w:r>
          </w:p>
        </w:tc>
      </w:tr>
    </w:tbl>
    <w:p w:rsidR="00F62A12" w:rsidRPr="00812E8B" w:rsidRDefault="00F62A12" w:rsidP="00F62A12">
      <w:pPr>
        <w:rPr>
          <w:b/>
          <w:bCs/>
          <w:color w:val="4F81BD" w:themeColor="accent1"/>
          <w:sz w:val="18"/>
          <w:szCs w:val="18"/>
          <w:lang w:val="en-US"/>
        </w:rPr>
      </w:pPr>
    </w:p>
    <w:p w:rsidR="00F62A12" w:rsidRPr="00812E8B" w:rsidRDefault="00F62A12" w:rsidP="00F62A12">
      <w:pPr>
        <w:pStyle w:val="Caption"/>
        <w:rPr>
          <w:lang w:val="en-US"/>
        </w:rPr>
      </w:pPr>
    </w:p>
    <w:p w:rsidR="00F62A12" w:rsidRPr="00812E8B" w:rsidRDefault="00F62A12" w:rsidP="00F62A12">
      <w:pPr>
        <w:pStyle w:val="Caption"/>
        <w:rPr>
          <w:lang w:val="en-US"/>
        </w:rPr>
      </w:pPr>
    </w:p>
    <w:p w:rsidR="00F62A12" w:rsidRPr="00812E8B" w:rsidRDefault="00F62A12" w:rsidP="00F62A12">
      <w:pPr>
        <w:rPr>
          <w:b/>
          <w:bCs/>
          <w:color w:val="4F81BD" w:themeColor="accent1"/>
          <w:sz w:val="18"/>
          <w:szCs w:val="18"/>
          <w:lang w:val="en-US"/>
        </w:rPr>
      </w:pPr>
      <w:r w:rsidRPr="00812E8B">
        <w:rPr>
          <w:lang w:val="en-US"/>
        </w:rPr>
        <w:br w:type="page"/>
      </w:r>
    </w:p>
    <w:p w:rsidR="00F62A12" w:rsidRPr="00812E8B" w:rsidRDefault="00F62A12" w:rsidP="00F62A12">
      <w:pPr>
        <w:pStyle w:val="Caption"/>
        <w:rPr>
          <w:lang w:val="en-US"/>
        </w:rPr>
      </w:pPr>
      <w:bookmarkStart w:id="60" w:name="_Toc305410562"/>
      <w:r w:rsidRPr="00812E8B">
        <w:rPr>
          <w:lang w:val="en-US"/>
        </w:rPr>
        <w:lastRenderedPageBreak/>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10</w:t>
      </w:r>
      <w:r w:rsidR="00D46A7F" w:rsidRPr="00812E8B">
        <w:rPr>
          <w:lang w:val="en-US"/>
        </w:rPr>
        <w:fldChar w:fldCharType="end"/>
      </w:r>
      <w:r w:rsidRPr="00812E8B">
        <w:rPr>
          <w:lang w:val="en-US"/>
        </w:rPr>
        <w:t xml:space="preserve"> </w:t>
      </w:r>
      <w:r w:rsidR="00413EC5" w:rsidRPr="00812E8B">
        <w:rPr>
          <w:lang w:val="en-US"/>
        </w:rPr>
        <w:br/>
      </w:r>
      <w:r w:rsidRPr="00812E8B">
        <w:rPr>
          <w:b w:val="0"/>
          <w:color w:val="auto"/>
          <w:lang w:val="en-US"/>
        </w:rPr>
        <w:t>Summary of literature review of determinants and banks’ profitability</w:t>
      </w:r>
      <w:bookmarkEnd w:id="60"/>
      <w:r w:rsidRPr="00812E8B">
        <w:rPr>
          <w:b w:val="0"/>
          <w:color w:val="auto"/>
          <w:lang w:val="en-US"/>
        </w:rPr>
        <w:t xml:space="preserve"> </w:t>
      </w:r>
    </w:p>
    <w:tbl>
      <w:tblPr>
        <w:tblStyle w:val="TableGrid"/>
        <w:tblW w:w="15210" w:type="dxa"/>
        <w:tblInd w:w="-612" w:type="dxa"/>
        <w:tblLook w:val="04A0"/>
      </w:tblPr>
      <w:tblGrid>
        <w:gridCol w:w="1448"/>
        <w:gridCol w:w="2512"/>
        <w:gridCol w:w="2340"/>
        <w:gridCol w:w="2610"/>
        <w:gridCol w:w="3060"/>
        <w:gridCol w:w="3240"/>
      </w:tblGrid>
      <w:tr w:rsidR="00F62A12" w:rsidRPr="00812E8B" w:rsidTr="00866653">
        <w:tc>
          <w:tcPr>
            <w:tcW w:w="1448" w:type="dxa"/>
          </w:tcPr>
          <w:p w:rsidR="00F62A12" w:rsidRPr="00812E8B" w:rsidRDefault="00F62A12" w:rsidP="00866653">
            <w:pPr>
              <w:rPr>
                <w:b/>
                <w:sz w:val="20"/>
                <w:szCs w:val="20"/>
                <w:lang w:val="en-US"/>
              </w:rPr>
            </w:pPr>
            <w:r w:rsidRPr="00812E8B">
              <w:rPr>
                <w:b/>
                <w:sz w:val="20"/>
                <w:szCs w:val="20"/>
                <w:lang w:val="en-US"/>
              </w:rPr>
              <w:t>Author(s)</w:t>
            </w:r>
          </w:p>
        </w:tc>
        <w:tc>
          <w:tcPr>
            <w:tcW w:w="2512" w:type="dxa"/>
          </w:tcPr>
          <w:p w:rsidR="00F62A12" w:rsidRPr="00812E8B" w:rsidRDefault="00F62A12" w:rsidP="00866653">
            <w:pPr>
              <w:rPr>
                <w:b/>
                <w:sz w:val="20"/>
                <w:szCs w:val="20"/>
                <w:lang w:val="en-US"/>
              </w:rPr>
            </w:pPr>
            <w:r w:rsidRPr="00812E8B">
              <w:rPr>
                <w:b/>
                <w:sz w:val="20"/>
                <w:szCs w:val="20"/>
                <w:lang w:val="en-US"/>
              </w:rPr>
              <w:t>Purpose of the study</w:t>
            </w:r>
          </w:p>
        </w:tc>
        <w:tc>
          <w:tcPr>
            <w:tcW w:w="2340" w:type="dxa"/>
          </w:tcPr>
          <w:p w:rsidR="00F62A12" w:rsidRPr="00812E8B" w:rsidRDefault="00F62A12" w:rsidP="00866653">
            <w:pPr>
              <w:rPr>
                <w:b/>
                <w:sz w:val="20"/>
                <w:szCs w:val="20"/>
                <w:lang w:val="en-US"/>
              </w:rPr>
            </w:pPr>
            <w:r w:rsidRPr="00812E8B">
              <w:rPr>
                <w:b/>
                <w:sz w:val="20"/>
                <w:szCs w:val="20"/>
                <w:lang w:val="en-US"/>
              </w:rPr>
              <w:t>Sample</w:t>
            </w:r>
          </w:p>
        </w:tc>
        <w:tc>
          <w:tcPr>
            <w:tcW w:w="2610" w:type="dxa"/>
          </w:tcPr>
          <w:p w:rsidR="00F62A12" w:rsidRPr="00812E8B" w:rsidRDefault="00F62A12" w:rsidP="00866653">
            <w:pPr>
              <w:rPr>
                <w:b/>
                <w:sz w:val="20"/>
                <w:szCs w:val="20"/>
                <w:lang w:val="en-US"/>
              </w:rPr>
            </w:pPr>
            <w:r w:rsidRPr="00812E8B">
              <w:rPr>
                <w:b/>
                <w:sz w:val="20"/>
                <w:szCs w:val="20"/>
                <w:lang w:val="en-US"/>
              </w:rPr>
              <w:t>Methodology</w:t>
            </w:r>
          </w:p>
        </w:tc>
        <w:tc>
          <w:tcPr>
            <w:tcW w:w="3060" w:type="dxa"/>
          </w:tcPr>
          <w:p w:rsidR="00F62A12" w:rsidRPr="00812E8B" w:rsidRDefault="00F62A12" w:rsidP="00866653">
            <w:pPr>
              <w:rPr>
                <w:b/>
                <w:sz w:val="20"/>
                <w:szCs w:val="20"/>
                <w:lang w:val="en-US"/>
              </w:rPr>
            </w:pPr>
            <w:r w:rsidRPr="00812E8B">
              <w:rPr>
                <w:b/>
                <w:sz w:val="20"/>
                <w:szCs w:val="20"/>
                <w:lang w:val="en-US"/>
              </w:rPr>
              <w:t>Results</w:t>
            </w:r>
          </w:p>
        </w:tc>
        <w:tc>
          <w:tcPr>
            <w:tcW w:w="3240" w:type="dxa"/>
          </w:tcPr>
          <w:p w:rsidR="00F62A12" w:rsidRPr="00812E8B" w:rsidRDefault="00F62A12" w:rsidP="00866653">
            <w:pPr>
              <w:rPr>
                <w:b/>
                <w:sz w:val="20"/>
                <w:szCs w:val="20"/>
                <w:lang w:val="en-US"/>
              </w:rPr>
            </w:pPr>
            <w:r w:rsidRPr="00812E8B">
              <w:rPr>
                <w:b/>
                <w:sz w:val="20"/>
                <w:szCs w:val="20"/>
                <w:lang w:val="en-US"/>
              </w:rPr>
              <w:t>Conclusion</w:t>
            </w:r>
          </w:p>
        </w:tc>
      </w:tr>
      <w:tr w:rsidR="00F62A12" w:rsidRPr="007D2EA6" w:rsidTr="00866653">
        <w:tc>
          <w:tcPr>
            <w:tcW w:w="1448" w:type="dxa"/>
          </w:tcPr>
          <w:p w:rsidR="00F62A12" w:rsidRPr="00812E8B" w:rsidRDefault="00F62A12" w:rsidP="00866653">
            <w:pPr>
              <w:rPr>
                <w:sz w:val="20"/>
                <w:szCs w:val="20"/>
                <w:lang w:val="en-US"/>
              </w:rPr>
            </w:pPr>
            <w:r w:rsidRPr="00812E8B">
              <w:rPr>
                <w:sz w:val="20"/>
                <w:szCs w:val="20"/>
                <w:lang w:val="en-US"/>
              </w:rPr>
              <w:br/>
            </w:r>
            <w:r w:rsidRPr="00812E8B">
              <w:rPr>
                <w:sz w:val="20"/>
                <w:szCs w:val="20"/>
                <w:lang w:val="en-US"/>
              </w:rPr>
              <w:br/>
              <w:t>Molyneux and</w:t>
            </w:r>
          </w:p>
          <w:p w:rsidR="00F62A12" w:rsidRPr="00812E8B" w:rsidRDefault="00F62A12" w:rsidP="00866653">
            <w:pPr>
              <w:rPr>
                <w:lang w:val="en-US"/>
              </w:rPr>
            </w:pPr>
            <w:r w:rsidRPr="00812E8B">
              <w:rPr>
                <w:sz w:val="20"/>
                <w:szCs w:val="20"/>
                <w:lang w:val="en-US"/>
              </w:rPr>
              <w:t>Thornton (1992)</w:t>
            </w:r>
            <w:r w:rsidRPr="00812E8B">
              <w:rPr>
                <w:lang w:val="en-US"/>
              </w:rPr>
              <w:br/>
            </w:r>
            <w:r w:rsidRPr="00812E8B">
              <w:rPr>
                <w:lang w:val="en-US"/>
              </w:rPr>
              <w:br/>
            </w:r>
          </w:p>
        </w:tc>
        <w:tc>
          <w:tcPr>
            <w:tcW w:w="2512" w:type="dxa"/>
          </w:tcPr>
          <w:p w:rsidR="00F62A12" w:rsidRPr="00812E8B" w:rsidRDefault="001770AA" w:rsidP="001770AA">
            <w:pPr>
              <w:rPr>
                <w:sz w:val="20"/>
                <w:szCs w:val="20"/>
                <w:lang w:val="en-US"/>
              </w:rPr>
            </w:pPr>
            <w:r>
              <w:rPr>
                <w:sz w:val="20"/>
                <w:szCs w:val="20"/>
                <w:lang w:val="en-US"/>
              </w:rPr>
              <w:t xml:space="preserve">Examine </w:t>
            </w:r>
            <w:r w:rsidR="0067048A">
              <w:rPr>
                <w:sz w:val="20"/>
                <w:szCs w:val="20"/>
                <w:lang w:val="en-US"/>
              </w:rPr>
              <w:t>the determinants of banks’ profitability in a comprehensive framework. They build on the methodology of Short (1979) and Bourke (1989).</w:t>
            </w:r>
          </w:p>
        </w:tc>
        <w:tc>
          <w:tcPr>
            <w:tcW w:w="2340" w:type="dxa"/>
          </w:tcPr>
          <w:p w:rsidR="00F62A12" w:rsidRPr="00812E8B" w:rsidRDefault="00F62A12" w:rsidP="00866653">
            <w:pPr>
              <w:rPr>
                <w:sz w:val="20"/>
                <w:szCs w:val="20"/>
                <w:lang w:val="en-US"/>
              </w:rPr>
            </w:pPr>
            <w:r w:rsidRPr="00812E8B">
              <w:rPr>
                <w:sz w:val="20"/>
                <w:szCs w:val="20"/>
                <w:lang w:val="en-US"/>
              </w:rPr>
              <w:t>Region Europe</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4212 bank observations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1986-1989</w:t>
            </w:r>
          </w:p>
          <w:p w:rsidR="00F62A12" w:rsidRPr="00812E8B" w:rsidRDefault="00F62A12" w:rsidP="00866653">
            <w:pPr>
              <w:rPr>
                <w:lang w:val="en-US"/>
              </w:rPr>
            </w:pP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net profit before and after tax</w:t>
            </w:r>
          </w:p>
          <w:p w:rsidR="00F62A12" w:rsidRPr="00812E8B" w:rsidRDefault="00F62A12" w:rsidP="00866653">
            <w:pPr>
              <w:rPr>
                <w:sz w:val="20"/>
                <w:szCs w:val="20"/>
                <w:lang w:val="en-US"/>
              </w:rPr>
            </w:pPr>
            <w:r w:rsidRPr="00812E8B">
              <w:rPr>
                <w:sz w:val="20"/>
                <w:szCs w:val="20"/>
                <w:lang w:val="en-US"/>
              </w:rPr>
              <w:t>EXPL: Government ownership, concentration</w:t>
            </w:r>
          </w:p>
          <w:p w:rsidR="00F62A12" w:rsidRPr="00812E8B" w:rsidRDefault="00F62A12" w:rsidP="00866653">
            <w:pPr>
              <w:rPr>
                <w:lang w:val="en-US"/>
              </w:rPr>
            </w:pPr>
            <w:r w:rsidRPr="00812E8B">
              <w:rPr>
                <w:sz w:val="20"/>
                <w:szCs w:val="20"/>
                <w:lang w:val="en-US"/>
              </w:rPr>
              <w:t>capital, liquidity and cash</w:t>
            </w:r>
          </w:p>
        </w:tc>
        <w:tc>
          <w:tcPr>
            <w:tcW w:w="3060" w:type="dxa"/>
          </w:tcPr>
          <w:p w:rsidR="00F62A12" w:rsidRPr="00812E8B" w:rsidRDefault="00F62A12" w:rsidP="0067048A">
            <w:pPr>
              <w:rPr>
                <w:lang w:val="en-US"/>
              </w:rPr>
            </w:pPr>
            <w:r w:rsidRPr="00812E8B">
              <w:rPr>
                <w:sz w:val="20"/>
                <w:szCs w:val="20"/>
                <w:lang w:val="en-US"/>
              </w:rPr>
              <w:t>Significant relationships between concentration (+), nominal interest rates (+),  state-ownership (+), capital ratios (+)</w:t>
            </w:r>
            <w:r w:rsidR="0067048A">
              <w:rPr>
                <w:sz w:val="20"/>
                <w:szCs w:val="20"/>
                <w:lang w:val="en-US"/>
              </w:rPr>
              <w:t xml:space="preserve"> and net profit</w:t>
            </w:r>
            <w:r w:rsidRPr="00812E8B">
              <w:rPr>
                <w:sz w:val="20"/>
                <w:szCs w:val="20"/>
                <w:lang w:val="en-US"/>
              </w:rPr>
              <w:t xml:space="preserve">. </w:t>
            </w:r>
            <w:r w:rsidR="0067048A">
              <w:rPr>
                <w:sz w:val="20"/>
                <w:szCs w:val="20"/>
                <w:lang w:val="en-US"/>
              </w:rPr>
              <w:t xml:space="preserve"> There is a w</w:t>
            </w:r>
            <w:r w:rsidRPr="00812E8B">
              <w:rPr>
                <w:sz w:val="20"/>
                <w:szCs w:val="20"/>
                <w:lang w:val="en-US"/>
              </w:rPr>
              <w:t xml:space="preserve">eak </w:t>
            </w:r>
            <w:r w:rsidR="0067048A">
              <w:rPr>
                <w:sz w:val="20"/>
                <w:szCs w:val="20"/>
                <w:lang w:val="en-US"/>
              </w:rPr>
              <w:t xml:space="preserve">negative </w:t>
            </w:r>
            <w:r w:rsidRPr="00812E8B">
              <w:rPr>
                <w:sz w:val="20"/>
                <w:szCs w:val="20"/>
                <w:lang w:val="en-US"/>
              </w:rPr>
              <w:t xml:space="preserve">relationship between </w:t>
            </w:r>
            <w:r w:rsidR="0067048A">
              <w:rPr>
                <w:sz w:val="20"/>
                <w:szCs w:val="20"/>
                <w:lang w:val="en-US"/>
              </w:rPr>
              <w:t>liquidity ratios and profitability</w:t>
            </w:r>
            <w:r w:rsidRPr="00812E8B">
              <w:rPr>
                <w:sz w:val="20"/>
                <w:szCs w:val="20"/>
                <w:lang w:val="en-US"/>
              </w:rPr>
              <w:t xml:space="preserve">. </w:t>
            </w:r>
          </w:p>
        </w:tc>
        <w:tc>
          <w:tcPr>
            <w:tcW w:w="3240" w:type="dxa"/>
          </w:tcPr>
          <w:p w:rsidR="00F62A12" w:rsidRPr="00812E8B" w:rsidRDefault="0067048A" w:rsidP="0067048A">
            <w:pPr>
              <w:rPr>
                <w:lang w:val="en-US"/>
              </w:rPr>
            </w:pPr>
            <w:r>
              <w:rPr>
                <w:sz w:val="20"/>
                <w:szCs w:val="20"/>
                <w:lang w:val="en-US"/>
              </w:rPr>
              <w:t xml:space="preserve">Molyneux and Thornton (1992) try </w:t>
            </w:r>
            <w:r w:rsidRPr="00812E8B">
              <w:rPr>
                <w:sz w:val="20"/>
                <w:szCs w:val="20"/>
                <w:lang w:val="en-US"/>
              </w:rPr>
              <w:t xml:space="preserve">to confirm the results of </w:t>
            </w:r>
            <w:r>
              <w:rPr>
                <w:sz w:val="20"/>
                <w:szCs w:val="20"/>
                <w:lang w:val="en-US"/>
              </w:rPr>
              <w:t>earlier</w:t>
            </w:r>
            <w:r w:rsidRPr="00812E8B">
              <w:rPr>
                <w:sz w:val="20"/>
                <w:szCs w:val="20"/>
                <w:lang w:val="en-US"/>
              </w:rPr>
              <w:t xml:space="preserve"> studies w.r.t. concentration. </w:t>
            </w:r>
            <w:r>
              <w:rPr>
                <w:sz w:val="20"/>
                <w:szCs w:val="20"/>
                <w:lang w:val="en-US"/>
              </w:rPr>
              <w:t>They c</w:t>
            </w:r>
            <w:r w:rsidR="00F62A12" w:rsidRPr="00812E8B">
              <w:rPr>
                <w:sz w:val="20"/>
                <w:szCs w:val="20"/>
                <w:lang w:val="en-US"/>
              </w:rPr>
              <w:t xml:space="preserve">onfirm </w:t>
            </w:r>
            <w:r>
              <w:rPr>
                <w:sz w:val="20"/>
                <w:szCs w:val="20"/>
                <w:lang w:val="en-US"/>
              </w:rPr>
              <w:t xml:space="preserve">most of the </w:t>
            </w:r>
            <w:r w:rsidR="00F62A12" w:rsidRPr="00812E8B">
              <w:rPr>
                <w:sz w:val="20"/>
                <w:szCs w:val="20"/>
                <w:lang w:val="en-US"/>
              </w:rPr>
              <w:t xml:space="preserve">findings in Bourke (1989) </w:t>
            </w:r>
            <w:r>
              <w:rPr>
                <w:sz w:val="20"/>
                <w:szCs w:val="20"/>
                <w:lang w:val="en-US"/>
              </w:rPr>
              <w:t xml:space="preserve">but their results are </w:t>
            </w:r>
            <w:r w:rsidR="00F62A12" w:rsidRPr="00812E8B">
              <w:rPr>
                <w:sz w:val="20"/>
                <w:szCs w:val="20"/>
                <w:lang w:val="en-US"/>
              </w:rPr>
              <w:t>contradictory to findings of Short (1979).</w:t>
            </w:r>
          </w:p>
        </w:tc>
      </w:tr>
      <w:tr w:rsidR="00F62A12" w:rsidRPr="007D2EA6" w:rsidTr="00866653">
        <w:tc>
          <w:tcPr>
            <w:tcW w:w="1448" w:type="dxa"/>
          </w:tcPr>
          <w:p w:rsidR="00F62A12" w:rsidRPr="00812E8B" w:rsidRDefault="00F62A12" w:rsidP="00866653">
            <w:pPr>
              <w:rPr>
                <w:sz w:val="20"/>
                <w:szCs w:val="20"/>
                <w:lang w:val="en-US"/>
              </w:rPr>
            </w:pPr>
            <w:r w:rsidRPr="00812E8B">
              <w:rPr>
                <w:sz w:val="20"/>
                <w:szCs w:val="20"/>
                <w:lang w:val="en-US"/>
              </w:rPr>
              <w:br/>
            </w:r>
          </w:p>
          <w:p w:rsidR="00AF5966" w:rsidRDefault="00AF5966"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Berger (1995)</w:t>
            </w:r>
            <w:r w:rsidRPr="00812E8B">
              <w:rPr>
                <w:sz w:val="20"/>
                <w:szCs w:val="20"/>
                <w:lang w:val="en-US"/>
              </w:rPr>
              <w:br/>
            </w:r>
            <w:r w:rsidRPr="00812E8B">
              <w:rPr>
                <w:sz w:val="20"/>
                <w:szCs w:val="20"/>
                <w:lang w:val="en-US"/>
              </w:rPr>
              <w:br/>
            </w:r>
          </w:p>
        </w:tc>
        <w:tc>
          <w:tcPr>
            <w:tcW w:w="2512" w:type="dxa"/>
          </w:tcPr>
          <w:p w:rsidR="00F62A12" w:rsidRPr="00812E8B" w:rsidRDefault="001770AA" w:rsidP="00215D84">
            <w:pPr>
              <w:rPr>
                <w:sz w:val="20"/>
                <w:szCs w:val="20"/>
                <w:lang w:val="en-US"/>
              </w:rPr>
            </w:pPr>
            <w:r>
              <w:rPr>
                <w:sz w:val="20"/>
                <w:szCs w:val="20"/>
                <w:lang w:val="en-US"/>
              </w:rPr>
              <w:t xml:space="preserve">The purpose of the study is to analyze the relationship between the equity-to-asset ratio and profitability. Theoretical explanations are both in favor of positive and negative </w:t>
            </w:r>
            <w:r w:rsidR="00215D84">
              <w:rPr>
                <w:sz w:val="20"/>
                <w:szCs w:val="20"/>
                <w:lang w:val="en-US"/>
              </w:rPr>
              <w:t>explanations</w:t>
            </w:r>
            <w:r>
              <w:rPr>
                <w:sz w:val="20"/>
                <w:szCs w:val="20"/>
                <w:lang w:val="en-US"/>
              </w:rPr>
              <w:t xml:space="preserve">. </w:t>
            </w:r>
          </w:p>
        </w:tc>
        <w:tc>
          <w:tcPr>
            <w:tcW w:w="2340" w:type="dxa"/>
          </w:tcPr>
          <w:p w:rsidR="00F62A12" w:rsidRPr="00812E8B" w:rsidRDefault="00F62A12" w:rsidP="00866653">
            <w:pPr>
              <w:rPr>
                <w:sz w:val="20"/>
                <w:szCs w:val="20"/>
                <w:lang w:val="en-US"/>
              </w:rPr>
            </w:pPr>
            <w:r w:rsidRPr="00812E8B">
              <w:rPr>
                <w:sz w:val="20"/>
                <w:szCs w:val="20"/>
                <w:lang w:val="en-US"/>
              </w:rPr>
              <w:t>Region: United States of America</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insured commercial</w:t>
            </w:r>
          </w:p>
          <w:p w:rsidR="00F62A12" w:rsidRPr="00812E8B" w:rsidRDefault="00F62A12" w:rsidP="00866653">
            <w:pPr>
              <w:rPr>
                <w:sz w:val="20"/>
                <w:szCs w:val="20"/>
                <w:lang w:val="en-US"/>
              </w:rPr>
            </w:pPr>
            <w:r w:rsidRPr="00812E8B">
              <w:rPr>
                <w:sz w:val="20"/>
                <w:szCs w:val="20"/>
                <w:lang w:val="en-US"/>
              </w:rPr>
              <w:t>banks (80,000 bank years)</w:t>
            </w:r>
          </w:p>
          <w:p w:rsidR="00F62A12" w:rsidRPr="00812E8B" w:rsidRDefault="00F62A12" w:rsidP="00215D84">
            <w:pPr>
              <w:rPr>
                <w:sz w:val="20"/>
                <w:szCs w:val="20"/>
                <w:lang w:val="en-US"/>
              </w:rPr>
            </w:pPr>
            <w:r w:rsidRPr="00812E8B">
              <w:rPr>
                <w:sz w:val="20"/>
                <w:szCs w:val="20"/>
                <w:lang w:val="en-US"/>
              </w:rPr>
              <w:t>Period: 1983-1989</w:t>
            </w:r>
          </w:p>
        </w:tc>
        <w:tc>
          <w:tcPr>
            <w:tcW w:w="2610" w:type="dxa"/>
          </w:tcPr>
          <w:p w:rsidR="00F62A12" w:rsidRPr="00812E8B" w:rsidRDefault="00F62A12" w:rsidP="00866653">
            <w:pPr>
              <w:rPr>
                <w:sz w:val="20"/>
                <w:szCs w:val="20"/>
                <w:lang w:val="en-US"/>
              </w:rPr>
            </w:pPr>
            <w:r w:rsidRPr="00812E8B">
              <w:rPr>
                <w:sz w:val="20"/>
                <w:szCs w:val="20"/>
                <w:lang w:val="en-US"/>
              </w:rPr>
              <w:t xml:space="preserve">Granger-causality test for findings. Each dependent variable is regressed on three annual lags of both itself and other variables. </w:t>
            </w:r>
          </w:p>
          <w:p w:rsidR="00F62A12" w:rsidRPr="00812E8B" w:rsidRDefault="00F62A12" w:rsidP="00866653">
            <w:pPr>
              <w:rPr>
                <w:sz w:val="20"/>
                <w:szCs w:val="20"/>
                <w:lang w:val="en-US"/>
              </w:rPr>
            </w:pPr>
            <w:r w:rsidRPr="00812E8B">
              <w:rPr>
                <w:sz w:val="20"/>
                <w:szCs w:val="20"/>
                <w:lang w:val="en-US"/>
              </w:rPr>
              <w:t>Control variables are used to</w:t>
            </w:r>
          </w:p>
          <w:p w:rsidR="00F62A12" w:rsidRPr="00812E8B" w:rsidRDefault="00F62A12" w:rsidP="00866653">
            <w:pPr>
              <w:rPr>
                <w:sz w:val="20"/>
                <w:szCs w:val="20"/>
                <w:lang w:val="en-US"/>
              </w:rPr>
            </w:pPr>
            <w:r w:rsidRPr="00812E8B">
              <w:rPr>
                <w:sz w:val="20"/>
                <w:szCs w:val="20"/>
                <w:lang w:val="en-US"/>
              </w:rPr>
              <w:t>asses spurious relationships</w:t>
            </w:r>
            <w:r w:rsidR="00215D84">
              <w:rPr>
                <w:sz w:val="20"/>
                <w:szCs w:val="20"/>
                <w:lang w:val="en-US"/>
              </w:rPr>
              <w:t>.</w:t>
            </w:r>
          </w:p>
        </w:tc>
        <w:tc>
          <w:tcPr>
            <w:tcW w:w="3060" w:type="dxa"/>
          </w:tcPr>
          <w:p w:rsidR="00F62A12" w:rsidRPr="00812E8B" w:rsidRDefault="00215D84" w:rsidP="00215D84">
            <w:pPr>
              <w:rPr>
                <w:sz w:val="20"/>
                <w:szCs w:val="20"/>
                <w:lang w:val="en-US"/>
              </w:rPr>
            </w:pPr>
            <w:r>
              <w:rPr>
                <w:sz w:val="20"/>
                <w:szCs w:val="20"/>
                <w:lang w:val="en-US"/>
              </w:rPr>
              <w:t xml:space="preserve">Book values of equity-to-asset ratio is positively related with return on equity. Both in a cross-sectional and time-series sample. </w:t>
            </w:r>
          </w:p>
          <w:p w:rsidR="00F62A12" w:rsidRPr="00812E8B" w:rsidRDefault="00F62A12" w:rsidP="00866653">
            <w:pPr>
              <w:rPr>
                <w:sz w:val="20"/>
                <w:szCs w:val="20"/>
                <w:lang w:val="en-US"/>
              </w:rPr>
            </w:pPr>
            <w:r w:rsidRPr="00812E8B">
              <w:rPr>
                <w:sz w:val="20"/>
                <w:szCs w:val="20"/>
                <w:lang w:val="en-US"/>
              </w:rPr>
              <w:t>Granger-causality from earnings to capital, banks remain some of their marginal earnings.</w:t>
            </w:r>
          </w:p>
        </w:tc>
        <w:tc>
          <w:tcPr>
            <w:tcW w:w="3240" w:type="dxa"/>
          </w:tcPr>
          <w:p w:rsidR="00F62A12" w:rsidRPr="00812E8B" w:rsidRDefault="00F62A12" w:rsidP="00215D84">
            <w:pPr>
              <w:rPr>
                <w:sz w:val="20"/>
                <w:szCs w:val="20"/>
                <w:lang w:val="en-US"/>
              </w:rPr>
            </w:pPr>
            <w:r w:rsidRPr="00812E8B">
              <w:rPr>
                <w:sz w:val="20"/>
                <w:szCs w:val="20"/>
                <w:lang w:val="en-US"/>
              </w:rPr>
              <w:t xml:space="preserve">Explanation for positive relationship is found in </w:t>
            </w:r>
            <w:r w:rsidR="00215D84">
              <w:rPr>
                <w:sz w:val="20"/>
                <w:szCs w:val="20"/>
                <w:lang w:val="en-US"/>
              </w:rPr>
              <w:t xml:space="preserve">the </w:t>
            </w:r>
            <w:r w:rsidRPr="00812E8B">
              <w:rPr>
                <w:sz w:val="20"/>
                <w:szCs w:val="20"/>
                <w:lang w:val="en-US"/>
              </w:rPr>
              <w:t xml:space="preserve">expected bankruptcy cost </w:t>
            </w:r>
            <w:r w:rsidR="00215D84">
              <w:rPr>
                <w:sz w:val="20"/>
                <w:szCs w:val="20"/>
                <w:lang w:val="en-US"/>
              </w:rPr>
              <w:t>and not in the signaling hypothesis. Namely, the g</w:t>
            </w:r>
            <w:r w:rsidRPr="00812E8B">
              <w:rPr>
                <w:sz w:val="20"/>
                <w:szCs w:val="20"/>
                <w:lang w:val="en-US"/>
              </w:rPr>
              <w:t>ranger-causality</w:t>
            </w:r>
            <w:r w:rsidR="00215D84">
              <w:rPr>
                <w:sz w:val="20"/>
                <w:szCs w:val="20"/>
                <w:lang w:val="en-US"/>
              </w:rPr>
              <w:t xml:space="preserve"> is strongest for banks that take the most risks</w:t>
            </w:r>
            <w:r w:rsidRPr="00812E8B">
              <w:rPr>
                <w:sz w:val="20"/>
                <w:szCs w:val="20"/>
                <w:lang w:val="en-US"/>
              </w:rPr>
              <w:t>.</w:t>
            </w:r>
          </w:p>
        </w:tc>
      </w:tr>
      <w:tr w:rsidR="00F62A12" w:rsidRPr="007D2EA6" w:rsidTr="00866653">
        <w:tc>
          <w:tcPr>
            <w:tcW w:w="1448" w:type="dxa"/>
          </w:tcPr>
          <w:p w:rsidR="00F62A12" w:rsidRPr="00812E8B" w:rsidRDefault="00F62A12" w:rsidP="00866653">
            <w:pPr>
              <w:rPr>
                <w:sz w:val="20"/>
                <w:szCs w:val="20"/>
                <w:lang w:val="en-US"/>
              </w:rPr>
            </w:pPr>
            <w:r w:rsidRPr="00812E8B">
              <w:rPr>
                <w:sz w:val="20"/>
                <w:szCs w:val="20"/>
                <w:lang w:val="en-US"/>
              </w:rPr>
              <w:br/>
            </w:r>
          </w:p>
          <w:p w:rsidR="00F62A12" w:rsidRPr="00812E8B" w:rsidRDefault="00F62A12" w:rsidP="00866653">
            <w:pPr>
              <w:rPr>
                <w:sz w:val="20"/>
                <w:szCs w:val="20"/>
                <w:lang w:val="en-US"/>
              </w:rPr>
            </w:pPr>
            <w:r w:rsidRPr="00812E8B">
              <w:rPr>
                <w:sz w:val="20"/>
                <w:szCs w:val="20"/>
                <w:lang w:val="en-US"/>
              </w:rPr>
              <w:t xml:space="preserve">Demirgüç-Kunt and </w:t>
            </w:r>
          </w:p>
          <w:p w:rsidR="00F62A12" w:rsidRPr="00812E8B" w:rsidRDefault="00F62A12" w:rsidP="00866653">
            <w:pPr>
              <w:rPr>
                <w:sz w:val="20"/>
                <w:szCs w:val="20"/>
                <w:lang w:val="en-US"/>
              </w:rPr>
            </w:pPr>
            <w:r w:rsidRPr="00812E8B">
              <w:rPr>
                <w:sz w:val="20"/>
                <w:szCs w:val="20"/>
                <w:lang w:val="en-US"/>
              </w:rPr>
              <w:t>Huzinga (1999)</w:t>
            </w:r>
            <w:r w:rsidRPr="00812E8B">
              <w:rPr>
                <w:sz w:val="20"/>
                <w:szCs w:val="20"/>
                <w:lang w:val="en-US"/>
              </w:rPr>
              <w:br/>
            </w:r>
            <w:r w:rsidRPr="00812E8B">
              <w:rPr>
                <w:sz w:val="20"/>
                <w:szCs w:val="20"/>
                <w:lang w:val="en-US"/>
              </w:rPr>
              <w:br/>
            </w:r>
          </w:p>
        </w:tc>
        <w:tc>
          <w:tcPr>
            <w:tcW w:w="2512" w:type="dxa"/>
          </w:tcPr>
          <w:p w:rsidR="00F62A12" w:rsidRPr="00812E8B" w:rsidRDefault="00215D84" w:rsidP="00215D84">
            <w:pPr>
              <w:rPr>
                <w:sz w:val="20"/>
                <w:szCs w:val="20"/>
                <w:lang w:val="en-US"/>
              </w:rPr>
            </w:pPr>
            <w:r>
              <w:rPr>
                <w:sz w:val="20"/>
                <w:szCs w:val="20"/>
                <w:lang w:val="en-US"/>
              </w:rPr>
              <w:t>They i</w:t>
            </w:r>
            <w:r w:rsidR="00F62A12" w:rsidRPr="00812E8B">
              <w:rPr>
                <w:sz w:val="20"/>
                <w:szCs w:val="20"/>
                <w:lang w:val="en-US"/>
              </w:rPr>
              <w:t xml:space="preserve">nvestigate </w:t>
            </w:r>
            <w:r>
              <w:rPr>
                <w:sz w:val="20"/>
                <w:szCs w:val="20"/>
                <w:lang w:val="en-US"/>
              </w:rPr>
              <w:t xml:space="preserve">how the interest spreads of banks are affected by the structure of the financial system (characteristics) and regulation. They </w:t>
            </w:r>
            <w:r w:rsidR="00F62A12" w:rsidRPr="00812E8B">
              <w:rPr>
                <w:sz w:val="20"/>
                <w:szCs w:val="20"/>
                <w:lang w:val="en-US"/>
              </w:rPr>
              <w:t>us</w:t>
            </w:r>
            <w:r>
              <w:rPr>
                <w:sz w:val="20"/>
                <w:szCs w:val="20"/>
                <w:lang w:val="en-US"/>
              </w:rPr>
              <w:t>e more</w:t>
            </w:r>
            <w:r w:rsidR="00F62A12" w:rsidRPr="00812E8B">
              <w:rPr>
                <w:sz w:val="20"/>
                <w:szCs w:val="20"/>
                <w:lang w:val="en-US"/>
              </w:rPr>
              <w:t xml:space="preserve"> bank-level data</w:t>
            </w:r>
            <w:r>
              <w:rPr>
                <w:sz w:val="20"/>
                <w:szCs w:val="20"/>
                <w:lang w:val="en-US"/>
              </w:rPr>
              <w:t xml:space="preserve"> than other studies. </w:t>
            </w:r>
          </w:p>
        </w:tc>
        <w:tc>
          <w:tcPr>
            <w:tcW w:w="2340" w:type="dxa"/>
          </w:tcPr>
          <w:p w:rsidR="00F62A12" w:rsidRPr="00812E8B" w:rsidRDefault="00F62A12" w:rsidP="00866653">
            <w:pPr>
              <w:rPr>
                <w:sz w:val="20"/>
                <w:szCs w:val="20"/>
                <w:lang w:val="en-US"/>
              </w:rPr>
            </w:pPr>
            <w:r w:rsidRPr="00812E8B">
              <w:rPr>
                <w:sz w:val="20"/>
                <w:szCs w:val="20"/>
                <w:lang w:val="en-US"/>
              </w:rPr>
              <w:t>Region: world (80 countries; OECD and several developing</w:t>
            </w:r>
            <w:r w:rsidR="00215D84">
              <w:rPr>
                <w:sz w:val="20"/>
                <w:szCs w:val="20"/>
                <w:lang w:val="en-US"/>
              </w:rPr>
              <w:t xml:space="preserve"> countries.</w:t>
            </w:r>
          </w:p>
          <w:p w:rsidR="00F62A12" w:rsidRPr="00812E8B" w:rsidRDefault="00F62A12" w:rsidP="00866653">
            <w:pPr>
              <w:rPr>
                <w:sz w:val="20"/>
                <w:szCs w:val="20"/>
                <w:lang w:val="en-US"/>
              </w:rPr>
            </w:pPr>
            <w:r w:rsidRPr="00812E8B">
              <w:rPr>
                <w:sz w:val="20"/>
                <w:szCs w:val="20"/>
                <w:lang w:val="en-US"/>
              </w:rPr>
              <w:t>Sample: 7,900 commercial banks</w:t>
            </w:r>
          </w:p>
          <w:p w:rsidR="00F62A12" w:rsidRPr="00812E8B" w:rsidRDefault="00F62A12" w:rsidP="00866653">
            <w:pPr>
              <w:rPr>
                <w:sz w:val="20"/>
                <w:szCs w:val="20"/>
                <w:lang w:val="en-US"/>
              </w:rPr>
            </w:pPr>
            <w:r w:rsidRPr="00812E8B">
              <w:rPr>
                <w:sz w:val="20"/>
                <w:szCs w:val="20"/>
                <w:lang w:val="en-US"/>
              </w:rPr>
              <w:t>Period: 1988-1995</w:t>
            </w:r>
          </w:p>
        </w:tc>
        <w:tc>
          <w:tcPr>
            <w:tcW w:w="2610" w:type="dxa"/>
          </w:tcPr>
          <w:p w:rsidR="00F62A12" w:rsidRPr="00812E8B" w:rsidRDefault="00F62A12" w:rsidP="00866653">
            <w:pPr>
              <w:rPr>
                <w:sz w:val="20"/>
                <w:szCs w:val="20"/>
                <w:lang w:val="en-US"/>
              </w:rPr>
            </w:pPr>
            <w:r w:rsidRPr="00812E8B">
              <w:rPr>
                <w:sz w:val="20"/>
                <w:szCs w:val="20"/>
                <w:lang w:val="en-US"/>
              </w:rPr>
              <w:t>Regression model</w:t>
            </w:r>
          </w:p>
          <w:p w:rsidR="00F62A12" w:rsidRPr="00812E8B" w:rsidRDefault="00F62A12" w:rsidP="00866653">
            <w:pPr>
              <w:rPr>
                <w:sz w:val="20"/>
                <w:szCs w:val="20"/>
                <w:lang w:val="en-US"/>
              </w:rPr>
            </w:pPr>
            <w:r w:rsidRPr="00812E8B">
              <w:rPr>
                <w:sz w:val="20"/>
                <w:szCs w:val="20"/>
                <w:lang w:val="en-US"/>
              </w:rPr>
              <w:t>DEPV: Net interest margin and profits before tax divided by total assets</w:t>
            </w:r>
          </w:p>
          <w:p w:rsidR="00F62A12" w:rsidRPr="00812E8B" w:rsidRDefault="00F62A12" w:rsidP="00215D84">
            <w:pPr>
              <w:rPr>
                <w:sz w:val="20"/>
                <w:szCs w:val="20"/>
                <w:lang w:val="en-US"/>
              </w:rPr>
            </w:pPr>
            <w:r w:rsidRPr="00812E8B">
              <w:rPr>
                <w:sz w:val="20"/>
                <w:szCs w:val="20"/>
                <w:lang w:val="en-US"/>
              </w:rPr>
              <w:t>EXPL: Bank-characteristics, country characteristics + dummy for time</w:t>
            </w:r>
            <w:r w:rsidR="00215D84">
              <w:rPr>
                <w:sz w:val="20"/>
                <w:szCs w:val="20"/>
                <w:lang w:val="en-US"/>
              </w:rPr>
              <w:t xml:space="preserve"> or </w:t>
            </w:r>
            <w:r w:rsidRPr="00812E8B">
              <w:rPr>
                <w:sz w:val="20"/>
                <w:szCs w:val="20"/>
                <w:lang w:val="en-US"/>
              </w:rPr>
              <w:t>country</w:t>
            </w:r>
          </w:p>
        </w:tc>
        <w:tc>
          <w:tcPr>
            <w:tcW w:w="3060" w:type="dxa"/>
          </w:tcPr>
          <w:p w:rsidR="00F62A12" w:rsidRPr="00812E8B" w:rsidRDefault="00215D84" w:rsidP="00866653">
            <w:pPr>
              <w:rPr>
                <w:sz w:val="20"/>
                <w:szCs w:val="20"/>
                <w:lang w:val="en-US"/>
              </w:rPr>
            </w:pPr>
            <w:r>
              <w:rPr>
                <w:sz w:val="20"/>
                <w:szCs w:val="20"/>
                <w:lang w:val="en-US"/>
              </w:rPr>
              <w:t>They find that p</w:t>
            </w:r>
            <w:r w:rsidR="00F62A12" w:rsidRPr="00812E8B">
              <w:rPr>
                <w:sz w:val="20"/>
                <w:szCs w:val="20"/>
                <w:lang w:val="en-US"/>
              </w:rPr>
              <w:t xml:space="preserve">rofitability </w:t>
            </w:r>
            <w:r>
              <w:rPr>
                <w:sz w:val="20"/>
                <w:szCs w:val="20"/>
                <w:lang w:val="en-US"/>
              </w:rPr>
              <w:t xml:space="preserve">is </w:t>
            </w:r>
            <w:r w:rsidR="00F62A12" w:rsidRPr="00812E8B">
              <w:rPr>
                <w:sz w:val="20"/>
                <w:szCs w:val="20"/>
                <w:lang w:val="en-US"/>
              </w:rPr>
              <w:t>explained by non-interest earning assets (-), deposit funding (-), International ownership (+), foreign banks in</w:t>
            </w:r>
          </w:p>
          <w:p w:rsidR="00F62A12" w:rsidRPr="00812E8B" w:rsidRDefault="00F62A12" w:rsidP="00866653">
            <w:pPr>
              <w:rPr>
                <w:sz w:val="20"/>
                <w:szCs w:val="20"/>
                <w:lang w:val="en-US"/>
              </w:rPr>
            </w:pPr>
            <w:r w:rsidRPr="00812E8B">
              <w:rPr>
                <w:sz w:val="20"/>
                <w:szCs w:val="20"/>
                <w:lang w:val="en-US"/>
              </w:rPr>
              <w:t>developing countries (+). Inflation (+), real interest rate (+) and competition (-)</w:t>
            </w:r>
          </w:p>
        </w:tc>
        <w:tc>
          <w:tcPr>
            <w:tcW w:w="3240" w:type="dxa"/>
          </w:tcPr>
          <w:p w:rsidR="00F62A12" w:rsidRPr="00812E8B" w:rsidRDefault="00215D84" w:rsidP="00215D84">
            <w:pPr>
              <w:rPr>
                <w:sz w:val="20"/>
                <w:szCs w:val="20"/>
                <w:lang w:val="en-US"/>
              </w:rPr>
            </w:pPr>
            <w:r>
              <w:rPr>
                <w:sz w:val="20"/>
                <w:szCs w:val="20"/>
                <w:lang w:val="en-US"/>
              </w:rPr>
              <w:t>The study concludes that b</w:t>
            </w:r>
            <w:r w:rsidR="00F62A12" w:rsidRPr="00812E8B">
              <w:rPr>
                <w:sz w:val="20"/>
                <w:szCs w:val="20"/>
                <w:lang w:val="en-US"/>
              </w:rPr>
              <w:t>anking systems differ widely in size and operations</w:t>
            </w:r>
            <w:r>
              <w:rPr>
                <w:sz w:val="20"/>
                <w:szCs w:val="20"/>
                <w:lang w:val="en-US"/>
              </w:rPr>
              <w:t xml:space="preserve"> and that a stable banking sector requires sufficient profitability. R</w:t>
            </w:r>
            <w:r w:rsidR="00F62A12" w:rsidRPr="00812E8B">
              <w:rPr>
                <w:sz w:val="20"/>
                <w:szCs w:val="20"/>
                <w:lang w:val="en-US"/>
              </w:rPr>
              <w:t>equirements</w:t>
            </w:r>
            <w:r>
              <w:rPr>
                <w:sz w:val="20"/>
                <w:szCs w:val="20"/>
                <w:lang w:val="en-US"/>
              </w:rPr>
              <w:t xml:space="preserve"> on minimum capital levels are not charged to </w:t>
            </w:r>
            <w:r w:rsidR="00F62A12" w:rsidRPr="00812E8B">
              <w:rPr>
                <w:sz w:val="20"/>
                <w:szCs w:val="20"/>
                <w:lang w:val="en-US"/>
              </w:rPr>
              <w:t>customers while there is a corporate tax burden.</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 xml:space="preserve">Goddard et al. </w:t>
            </w:r>
          </w:p>
          <w:p w:rsidR="00F62A12" w:rsidRPr="00812E8B" w:rsidRDefault="00F62A12" w:rsidP="00866653">
            <w:pPr>
              <w:rPr>
                <w:sz w:val="20"/>
                <w:szCs w:val="20"/>
                <w:lang w:val="en-US"/>
              </w:rPr>
            </w:pPr>
            <w:r w:rsidRPr="00812E8B">
              <w:rPr>
                <w:sz w:val="20"/>
                <w:szCs w:val="20"/>
                <w:lang w:val="en-US"/>
              </w:rPr>
              <w:t>(2004)</w:t>
            </w:r>
            <w:r w:rsidRPr="00812E8B">
              <w:rPr>
                <w:sz w:val="20"/>
                <w:szCs w:val="20"/>
                <w:lang w:val="en-US"/>
              </w:rPr>
              <w:br/>
            </w:r>
          </w:p>
        </w:tc>
        <w:tc>
          <w:tcPr>
            <w:tcW w:w="2512" w:type="dxa"/>
          </w:tcPr>
          <w:p w:rsidR="00F62A12" w:rsidRPr="00812E8B" w:rsidRDefault="00215D84" w:rsidP="00215D84">
            <w:pPr>
              <w:rPr>
                <w:sz w:val="20"/>
                <w:szCs w:val="20"/>
                <w:lang w:val="en-US"/>
              </w:rPr>
            </w:pPr>
            <w:r>
              <w:rPr>
                <w:sz w:val="20"/>
                <w:szCs w:val="20"/>
                <w:lang w:val="en-US"/>
              </w:rPr>
              <w:t xml:space="preserve">Their study Investigate the </w:t>
            </w:r>
            <w:r w:rsidR="00F62A12" w:rsidRPr="00812E8B">
              <w:rPr>
                <w:sz w:val="20"/>
                <w:szCs w:val="20"/>
                <w:lang w:val="en-US"/>
              </w:rPr>
              <w:t xml:space="preserve">determinants </w:t>
            </w:r>
            <w:r>
              <w:rPr>
                <w:sz w:val="20"/>
                <w:szCs w:val="20"/>
                <w:lang w:val="en-US"/>
              </w:rPr>
              <w:t>that influence the profit of a bank. Until now, l</w:t>
            </w:r>
            <w:r w:rsidR="00F62A12" w:rsidRPr="00812E8B">
              <w:rPr>
                <w:sz w:val="20"/>
                <w:szCs w:val="20"/>
                <w:lang w:val="en-US"/>
              </w:rPr>
              <w:t xml:space="preserve">ittle research </w:t>
            </w:r>
            <w:r>
              <w:rPr>
                <w:sz w:val="20"/>
                <w:szCs w:val="20"/>
                <w:lang w:val="en-US"/>
              </w:rPr>
              <w:t xml:space="preserve">is </w:t>
            </w:r>
            <w:r w:rsidR="00F62A12" w:rsidRPr="00812E8B">
              <w:rPr>
                <w:sz w:val="20"/>
                <w:szCs w:val="20"/>
                <w:lang w:val="en-US"/>
              </w:rPr>
              <w:t xml:space="preserve">done in Europe while private, public and mutual firms operate in same market. </w:t>
            </w:r>
          </w:p>
        </w:tc>
        <w:tc>
          <w:tcPr>
            <w:tcW w:w="2340" w:type="dxa"/>
          </w:tcPr>
          <w:p w:rsidR="00F62A12" w:rsidRPr="00812E8B" w:rsidRDefault="00F62A12" w:rsidP="00866653">
            <w:pPr>
              <w:rPr>
                <w:sz w:val="20"/>
                <w:szCs w:val="20"/>
                <w:lang w:val="en-US"/>
              </w:rPr>
            </w:pPr>
            <w:r w:rsidRPr="00812E8B">
              <w:rPr>
                <w:sz w:val="20"/>
                <w:szCs w:val="20"/>
                <w:lang w:val="en-US"/>
              </w:rPr>
              <w:t>Region: Europe</w:t>
            </w:r>
          </w:p>
          <w:p w:rsidR="00F62A12" w:rsidRPr="00215D84" w:rsidRDefault="00215D84" w:rsidP="00866653">
            <w:pPr>
              <w:rPr>
                <w:sz w:val="20"/>
                <w:szCs w:val="20"/>
              </w:rPr>
            </w:pPr>
            <w:r w:rsidRPr="00215D84">
              <w:rPr>
                <w:sz w:val="20"/>
                <w:szCs w:val="20"/>
              </w:rPr>
              <w:t>(DK, FR, D</w:t>
            </w:r>
            <w:r w:rsidR="00F62A12" w:rsidRPr="00215D84">
              <w:rPr>
                <w:sz w:val="20"/>
                <w:szCs w:val="20"/>
              </w:rPr>
              <w:t>E, IT, ESP, UK)</w:t>
            </w:r>
          </w:p>
          <w:p w:rsidR="00F62A12" w:rsidRPr="00215D84" w:rsidRDefault="00F62A12" w:rsidP="00866653">
            <w:pPr>
              <w:rPr>
                <w:sz w:val="20"/>
                <w:szCs w:val="20"/>
              </w:rPr>
            </w:pPr>
          </w:p>
          <w:p w:rsidR="00F62A12" w:rsidRPr="00812E8B" w:rsidRDefault="00F62A12" w:rsidP="00866653">
            <w:pPr>
              <w:rPr>
                <w:sz w:val="20"/>
                <w:szCs w:val="20"/>
                <w:lang w:val="en-US"/>
              </w:rPr>
            </w:pPr>
            <w:r w:rsidRPr="00812E8B">
              <w:rPr>
                <w:sz w:val="20"/>
                <w:szCs w:val="20"/>
                <w:lang w:val="en-US"/>
              </w:rPr>
              <w:t>Sample: 665 banks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1992-1998</w:t>
            </w:r>
          </w:p>
        </w:tc>
        <w:tc>
          <w:tcPr>
            <w:tcW w:w="2610" w:type="dxa"/>
          </w:tcPr>
          <w:p w:rsidR="00F62A12" w:rsidRPr="00812E8B" w:rsidRDefault="00570B7B" w:rsidP="00866653">
            <w:pPr>
              <w:rPr>
                <w:sz w:val="20"/>
                <w:szCs w:val="20"/>
                <w:lang w:val="en-US"/>
              </w:rPr>
            </w:pPr>
            <w:r>
              <w:rPr>
                <w:sz w:val="20"/>
                <w:szCs w:val="20"/>
                <w:lang w:val="en-US"/>
              </w:rPr>
              <w:t>Several r</w:t>
            </w:r>
            <w:r w:rsidR="004E29E0">
              <w:rPr>
                <w:sz w:val="20"/>
                <w:szCs w:val="20"/>
                <w:lang w:val="en-US"/>
              </w:rPr>
              <w:t>egression technique</w:t>
            </w:r>
            <w:r>
              <w:rPr>
                <w:sz w:val="20"/>
                <w:szCs w:val="20"/>
                <w:lang w:val="en-US"/>
              </w:rPr>
              <w:t>s</w:t>
            </w:r>
            <w:r w:rsidR="004E29E0">
              <w:rPr>
                <w:sz w:val="20"/>
                <w:szCs w:val="20"/>
                <w:lang w:val="en-US"/>
              </w:rPr>
              <w:t xml:space="preserve"> </w:t>
            </w:r>
            <w:r>
              <w:rPr>
                <w:sz w:val="20"/>
                <w:szCs w:val="20"/>
                <w:lang w:val="en-US"/>
              </w:rPr>
              <w:t>(</w:t>
            </w:r>
            <w:r w:rsidR="004E29E0">
              <w:rPr>
                <w:sz w:val="20"/>
                <w:szCs w:val="20"/>
                <w:lang w:val="en-US"/>
              </w:rPr>
              <w:t>d</w:t>
            </w:r>
            <w:r w:rsidR="00F62A12" w:rsidRPr="00812E8B">
              <w:rPr>
                <w:sz w:val="20"/>
                <w:szCs w:val="20"/>
                <w:lang w:val="en-US"/>
              </w:rPr>
              <w:t>ynamic</w:t>
            </w:r>
            <w:r>
              <w:rPr>
                <w:sz w:val="20"/>
                <w:szCs w:val="20"/>
                <w:lang w:val="en-US"/>
              </w:rPr>
              <w:t>)</w:t>
            </w:r>
            <w:r w:rsidR="00F62A12" w:rsidRPr="00812E8B">
              <w:rPr>
                <w:sz w:val="20"/>
                <w:szCs w:val="20"/>
                <w:lang w:val="en-US"/>
              </w:rPr>
              <w:t xml:space="preserve"> panel estimation </w:t>
            </w:r>
            <w:r w:rsidR="004E29E0">
              <w:rPr>
                <w:sz w:val="20"/>
                <w:szCs w:val="20"/>
                <w:lang w:val="en-US"/>
              </w:rPr>
              <w:t xml:space="preserve">using </w:t>
            </w:r>
            <w:r w:rsidR="00F62A12" w:rsidRPr="00812E8B">
              <w:rPr>
                <w:sz w:val="20"/>
                <w:szCs w:val="20"/>
                <w:lang w:val="en-US"/>
              </w:rPr>
              <w:t>time-series and cross-sectional data</w:t>
            </w:r>
            <w:r>
              <w:rPr>
                <w:sz w:val="20"/>
                <w:szCs w:val="20"/>
                <w:lang w:val="en-US"/>
              </w:rPr>
              <w:t xml:space="preserve">. </w:t>
            </w:r>
            <w:r w:rsidR="00F62A12" w:rsidRPr="00812E8B">
              <w:rPr>
                <w:sz w:val="20"/>
                <w:szCs w:val="20"/>
                <w:lang w:val="en-US"/>
              </w:rPr>
              <w:t xml:space="preserve"> </w:t>
            </w:r>
          </w:p>
          <w:p w:rsidR="00F62A12" w:rsidRPr="00812E8B" w:rsidRDefault="00F62A12" w:rsidP="00866653">
            <w:pPr>
              <w:rPr>
                <w:sz w:val="20"/>
                <w:szCs w:val="20"/>
                <w:lang w:val="en-US"/>
              </w:rPr>
            </w:pPr>
          </w:p>
          <w:p w:rsidR="00F62A12" w:rsidRPr="00812E8B" w:rsidRDefault="004E29E0" w:rsidP="004E29E0">
            <w:pPr>
              <w:rPr>
                <w:sz w:val="20"/>
                <w:szCs w:val="20"/>
                <w:lang w:val="en-US"/>
              </w:rPr>
            </w:pPr>
            <w:r>
              <w:rPr>
                <w:sz w:val="20"/>
                <w:szCs w:val="20"/>
                <w:lang w:val="en-US"/>
              </w:rPr>
              <w:t>Pooled OLS, fixed effects and GMM</w:t>
            </w:r>
          </w:p>
        </w:tc>
        <w:tc>
          <w:tcPr>
            <w:tcW w:w="3060" w:type="dxa"/>
          </w:tcPr>
          <w:p w:rsidR="00F62A12" w:rsidRPr="00812E8B" w:rsidRDefault="00570B7B" w:rsidP="00570B7B">
            <w:pPr>
              <w:rPr>
                <w:sz w:val="20"/>
                <w:szCs w:val="20"/>
                <w:lang w:val="en-US"/>
              </w:rPr>
            </w:pPr>
            <w:r>
              <w:rPr>
                <w:sz w:val="20"/>
                <w:szCs w:val="20"/>
                <w:lang w:val="en-US"/>
              </w:rPr>
              <w:t>They find a positive relationship between equity-to-asset ratio</w:t>
            </w:r>
            <w:r w:rsidR="00F62A12" w:rsidRPr="00812E8B">
              <w:rPr>
                <w:sz w:val="20"/>
                <w:szCs w:val="20"/>
                <w:lang w:val="en-US"/>
              </w:rPr>
              <w:t xml:space="preserve"> and ROE</w:t>
            </w:r>
            <w:r>
              <w:rPr>
                <w:sz w:val="20"/>
                <w:szCs w:val="20"/>
                <w:lang w:val="en-US"/>
              </w:rPr>
              <w:t xml:space="preserve"> and for size (the latter is </w:t>
            </w:r>
            <w:r w:rsidRPr="00570B7B">
              <w:rPr>
                <w:sz w:val="20"/>
                <w:szCs w:val="20"/>
                <w:lang w:val="en-US"/>
              </w:rPr>
              <w:t>unconvincing</w:t>
            </w:r>
            <w:r>
              <w:rPr>
                <w:sz w:val="20"/>
                <w:szCs w:val="20"/>
                <w:lang w:val="en-US"/>
              </w:rPr>
              <w:t xml:space="preserve">). There is little evidence for a relationship between the </w:t>
            </w:r>
            <w:r w:rsidR="00F62A12" w:rsidRPr="00812E8B">
              <w:rPr>
                <w:sz w:val="20"/>
                <w:szCs w:val="20"/>
                <w:lang w:val="en-US"/>
              </w:rPr>
              <w:t xml:space="preserve">ownership structure and </w:t>
            </w:r>
            <w:r>
              <w:rPr>
                <w:sz w:val="20"/>
                <w:szCs w:val="20"/>
                <w:lang w:val="en-US"/>
              </w:rPr>
              <w:t xml:space="preserve"> </w:t>
            </w:r>
            <w:r w:rsidR="00F62A12" w:rsidRPr="00812E8B">
              <w:rPr>
                <w:sz w:val="20"/>
                <w:szCs w:val="20"/>
                <w:lang w:val="en-US"/>
              </w:rPr>
              <w:t>profitability (only some evidence in Germany)</w:t>
            </w:r>
          </w:p>
        </w:tc>
        <w:tc>
          <w:tcPr>
            <w:tcW w:w="3240" w:type="dxa"/>
          </w:tcPr>
          <w:p w:rsidR="00F62A12" w:rsidRPr="00812E8B" w:rsidRDefault="00570B7B" w:rsidP="00570B7B">
            <w:pPr>
              <w:rPr>
                <w:sz w:val="20"/>
                <w:szCs w:val="20"/>
                <w:lang w:val="en-US"/>
              </w:rPr>
            </w:pPr>
            <w:r w:rsidRPr="00570B7B">
              <w:rPr>
                <w:sz w:val="20"/>
                <w:szCs w:val="20"/>
                <w:lang w:val="en-US"/>
              </w:rPr>
              <w:t>Concluding, Goddard et al. (2004) found that t</w:t>
            </w:r>
            <w:r w:rsidR="00F62A12" w:rsidRPr="00570B7B">
              <w:rPr>
                <w:sz w:val="20"/>
                <w:szCs w:val="20"/>
                <w:lang w:val="en-US"/>
              </w:rPr>
              <w:t>here is significant profit persistence over time</w:t>
            </w:r>
            <w:r w:rsidRPr="00570B7B">
              <w:rPr>
                <w:sz w:val="20"/>
                <w:szCs w:val="20"/>
                <w:lang w:val="en-US"/>
              </w:rPr>
              <w:t xml:space="preserve"> in the European banking sector while competition increased. </w:t>
            </w:r>
            <w:r>
              <w:rPr>
                <w:sz w:val="20"/>
                <w:szCs w:val="20"/>
                <w:lang w:val="en-US"/>
              </w:rPr>
              <w:t xml:space="preserve">Besides OBS activities are only a determinant for profitability in the UK not in other countries. </w:t>
            </w:r>
          </w:p>
        </w:tc>
      </w:tr>
    </w:tbl>
    <w:p w:rsidR="00F62A12" w:rsidRPr="00812E8B" w:rsidRDefault="00F62A12" w:rsidP="00F62A12">
      <w:pPr>
        <w:rPr>
          <w:sz w:val="20"/>
          <w:szCs w:val="20"/>
          <w:lang w:val="en-US"/>
        </w:rPr>
      </w:pPr>
    </w:p>
    <w:tbl>
      <w:tblPr>
        <w:tblStyle w:val="TableGrid"/>
        <w:tblpPr w:leftFromText="180" w:rightFromText="180" w:vertAnchor="page" w:horzAnchor="margin" w:tblpXSpec="center" w:tblpY="1889"/>
        <w:tblW w:w="15210" w:type="dxa"/>
        <w:tblLook w:val="04A0"/>
      </w:tblPr>
      <w:tblGrid>
        <w:gridCol w:w="1448"/>
        <w:gridCol w:w="2512"/>
        <w:gridCol w:w="2340"/>
        <w:gridCol w:w="2610"/>
        <w:gridCol w:w="3060"/>
        <w:gridCol w:w="3240"/>
      </w:tblGrid>
      <w:tr w:rsidR="00F62A12" w:rsidRPr="00812E8B" w:rsidTr="00866653">
        <w:tc>
          <w:tcPr>
            <w:tcW w:w="1448" w:type="dxa"/>
          </w:tcPr>
          <w:p w:rsidR="00F62A12" w:rsidRPr="00812E8B" w:rsidRDefault="00F62A12" w:rsidP="00866653">
            <w:pPr>
              <w:rPr>
                <w:b/>
                <w:sz w:val="20"/>
                <w:szCs w:val="20"/>
                <w:lang w:val="en-US"/>
              </w:rPr>
            </w:pPr>
            <w:r w:rsidRPr="00812E8B">
              <w:rPr>
                <w:b/>
                <w:sz w:val="20"/>
                <w:szCs w:val="20"/>
                <w:lang w:val="en-US"/>
              </w:rPr>
              <w:lastRenderedPageBreak/>
              <w:t>Author(s)</w:t>
            </w:r>
          </w:p>
        </w:tc>
        <w:tc>
          <w:tcPr>
            <w:tcW w:w="2512" w:type="dxa"/>
          </w:tcPr>
          <w:p w:rsidR="00F62A12" w:rsidRPr="00812E8B" w:rsidRDefault="00F62A12" w:rsidP="00866653">
            <w:pPr>
              <w:rPr>
                <w:b/>
                <w:sz w:val="20"/>
                <w:szCs w:val="20"/>
                <w:lang w:val="en-US"/>
              </w:rPr>
            </w:pPr>
            <w:r w:rsidRPr="00812E8B">
              <w:rPr>
                <w:b/>
                <w:sz w:val="20"/>
                <w:szCs w:val="20"/>
                <w:lang w:val="en-US"/>
              </w:rPr>
              <w:t>Purpose of the study</w:t>
            </w:r>
          </w:p>
        </w:tc>
        <w:tc>
          <w:tcPr>
            <w:tcW w:w="2340" w:type="dxa"/>
          </w:tcPr>
          <w:p w:rsidR="00F62A12" w:rsidRPr="00812E8B" w:rsidRDefault="00F62A12" w:rsidP="00866653">
            <w:pPr>
              <w:rPr>
                <w:b/>
                <w:sz w:val="20"/>
                <w:szCs w:val="20"/>
                <w:lang w:val="en-US"/>
              </w:rPr>
            </w:pPr>
            <w:r w:rsidRPr="00812E8B">
              <w:rPr>
                <w:b/>
                <w:sz w:val="20"/>
                <w:szCs w:val="20"/>
                <w:lang w:val="en-US"/>
              </w:rPr>
              <w:t>Sample</w:t>
            </w:r>
          </w:p>
        </w:tc>
        <w:tc>
          <w:tcPr>
            <w:tcW w:w="2610" w:type="dxa"/>
          </w:tcPr>
          <w:p w:rsidR="00F62A12" w:rsidRPr="00812E8B" w:rsidRDefault="00F62A12" w:rsidP="00866653">
            <w:pPr>
              <w:rPr>
                <w:b/>
                <w:sz w:val="20"/>
                <w:szCs w:val="20"/>
                <w:lang w:val="en-US"/>
              </w:rPr>
            </w:pPr>
            <w:r w:rsidRPr="00812E8B">
              <w:rPr>
                <w:b/>
                <w:sz w:val="20"/>
                <w:szCs w:val="20"/>
                <w:lang w:val="en-US"/>
              </w:rPr>
              <w:t>Methodology</w:t>
            </w:r>
          </w:p>
        </w:tc>
        <w:tc>
          <w:tcPr>
            <w:tcW w:w="3060" w:type="dxa"/>
          </w:tcPr>
          <w:p w:rsidR="00F62A12" w:rsidRPr="00812E8B" w:rsidRDefault="00F62A12" w:rsidP="00866653">
            <w:pPr>
              <w:rPr>
                <w:b/>
                <w:sz w:val="20"/>
                <w:szCs w:val="20"/>
                <w:lang w:val="en-US"/>
              </w:rPr>
            </w:pPr>
            <w:r w:rsidRPr="00812E8B">
              <w:rPr>
                <w:b/>
                <w:sz w:val="20"/>
                <w:szCs w:val="20"/>
                <w:lang w:val="en-US"/>
              </w:rPr>
              <w:t>Results</w:t>
            </w:r>
          </w:p>
        </w:tc>
        <w:tc>
          <w:tcPr>
            <w:tcW w:w="3240" w:type="dxa"/>
          </w:tcPr>
          <w:p w:rsidR="00F62A12" w:rsidRPr="00812E8B" w:rsidRDefault="00F62A12" w:rsidP="00866653">
            <w:pPr>
              <w:rPr>
                <w:b/>
                <w:sz w:val="20"/>
                <w:szCs w:val="20"/>
                <w:lang w:val="en-US"/>
              </w:rPr>
            </w:pPr>
            <w:r w:rsidRPr="00812E8B">
              <w:rPr>
                <w:b/>
                <w:sz w:val="20"/>
                <w:szCs w:val="20"/>
                <w:lang w:val="en-US"/>
              </w:rPr>
              <w:t>Conclusion</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Pasiouras and</w:t>
            </w:r>
          </w:p>
          <w:p w:rsidR="00F62A12" w:rsidRPr="00812E8B" w:rsidRDefault="00F62A12" w:rsidP="00866653">
            <w:pPr>
              <w:rPr>
                <w:sz w:val="20"/>
                <w:szCs w:val="20"/>
                <w:lang w:val="en-US"/>
              </w:rPr>
            </w:pPr>
            <w:r w:rsidRPr="00812E8B">
              <w:rPr>
                <w:sz w:val="20"/>
                <w:szCs w:val="20"/>
                <w:lang w:val="en-US"/>
              </w:rPr>
              <w:t>Kosmidou (2007)</w:t>
            </w:r>
            <w:r w:rsidRPr="00812E8B">
              <w:rPr>
                <w:sz w:val="20"/>
                <w:szCs w:val="20"/>
                <w:lang w:val="en-US"/>
              </w:rPr>
              <w:br/>
            </w:r>
          </w:p>
        </w:tc>
        <w:tc>
          <w:tcPr>
            <w:tcW w:w="2512" w:type="dxa"/>
          </w:tcPr>
          <w:p w:rsidR="00F62A12" w:rsidRPr="00812E8B" w:rsidRDefault="00AD43D4" w:rsidP="00866653">
            <w:pPr>
              <w:rPr>
                <w:sz w:val="20"/>
                <w:szCs w:val="20"/>
                <w:lang w:val="en-US"/>
              </w:rPr>
            </w:pPr>
            <w:r>
              <w:rPr>
                <w:sz w:val="20"/>
                <w:szCs w:val="20"/>
                <w:lang w:val="en-US"/>
              </w:rPr>
              <w:t>They analyze how profitability of commercial banks is influenced by internal and external factors. The study focus on Europe in which the market has become increasingly integrated and concentrated.</w:t>
            </w:r>
          </w:p>
        </w:tc>
        <w:tc>
          <w:tcPr>
            <w:tcW w:w="2340" w:type="dxa"/>
          </w:tcPr>
          <w:p w:rsidR="00F62A12" w:rsidRPr="00812E8B" w:rsidRDefault="00F62A12" w:rsidP="00866653">
            <w:pPr>
              <w:rPr>
                <w:sz w:val="20"/>
                <w:szCs w:val="20"/>
                <w:lang w:val="en-US"/>
              </w:rPr>
            </w:pPr>
            <w:r w:rsidRPr="00812E8B">
              <w:rPr>
                <w:sz w:val="20"/>
                <w:szCs w:val="20"/>
                <w:lang w:val="en-US"/>
              </w:rPr>
              <w:t>Region: Europe (15 countries)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 xml:space="preserve">Sample: </w:t>
            </w:r>
            <w:r w:rsidR="00872533" w:rsidRPr="00812E8B">
              <w:rPr>
                <w:sz w:val="20"/>
                <w:szCs w:val="20"/>
                <w:lang w:val="en-US"/>
              </w:rPr>
              <w:t xml:space="preserve">Balanced panel of </w:t>
            </w:r>
            <w:r w:rsidRPr="00812E8B">
              <w:rPr>
                <w:sz w:val="20"/>
                <w:szCs w:val="20"/>
                <w:lang w:val="en-US"/>
              </w:rPr>
              <w:t>584 banks (4088</w:t>
            </w:r>
          </w:p>
          <w:p w:rsidR="00F62A12" w:rsidRPr="00812E8B" w:rsidRDefault="00F62A12" w:rsidP="00866653">
            <w:pPr>
              <w:rPr>
                <w:sz w:val="20"/>
                <w:szCs w:val="20"/>
                <w:lang w:val="en-US"/>
              </w:rPr>
            </w:pPr>
            <w:r w:rsidRPr="00812E8B">
              <w:rPr>
                <w:sz w:val="20"/>
                <w:szCs w:val="20"/>
                <w:lang w:val="en-US"/>
              </w:rPr>
              <w:t>observations)</w:t>
            </w:r>
            <w:r w:rsidR="00872533" w:rsidRPr="00812E8B">
              <w:rPr>
                <w:sz w:val="20"/>
                <w:szCs w:val="20"/>
                <w:lang w:val="en-US"/>
              </w:rPr>
              <w:t>.</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Time: 1995-2001</w:t>
            </w:r>
          </w:p>
        </w:tc>
        <w:tc>
          <w:tcPr>
            <w:tcW w:w="2610" w:type="dxa"/>
          </w:tcPr>
          <w:p w:rsidR="00F62A12" w:rsidRPr="00812E8B" w:rsidRDefault="00F62A12" w:rsidP="00866653">
            <w:pPr>
              <w:rPr>
                <w:sz w:val="20"/>
                <w:szCs w:val="20"/>
                <w:lang w:val="en-US"/>
              </w:rPr>
            </w:pPr>
            <w:r w:rsidRPr="00812E8B">
              <w:rPr>
                <w:sz w:val="20"/>
                <w:szCs w:val="20"/>
                <w:lang w:val="en-US"/>
              </w:rPr>
              <w:t>Regression model</w:t>
            </w:r>
            <w:r w:rsidR="00AF5966">
              <w:rPr>
                <w:sz w:val="20"/>
                <w:szCs w:val="20"/>
                <w:lang w:val="en-US"/>
              </w:rPr>
              <w:t xml:space="preserve"> (fixed effects)</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return on average assets</w:t>
            </w:r>
          </w:p>
          <w:p w:rsidR="00F62A12" w:rsidRPr="00812E8B" w:rsidRDefault="00F62A12" w:rsidP="00866653">
            <w:pPr>
              <w:rPr>
                <w:sz w:val="20"/>
                <w:szCs w:val="20"/>
                <w:lang w:val="en-US"/>
              </w:rPr>
            </w:pPr>
            <w:r w:rsidRPr="00812E8B">
              <w:rPr>
                <w:sz w:val="20"/>
                <w:szCs w:val="20"/>
                <w:lang w:val="en-US"/>
              </w:rPr>
              <w:t>EXPL: total assets, cots to income, equity to assets and loans to short term funding and macroeconomic factors</w:t>
            </w:r>
          </w:p>
        </w:tc>
        <w:tc>
          <w:tcPr>
            <w:tcW w:w="3060" w:type="dxa"/>
          </w:tcPr>
          <w:p w:rsidR="00F62A12" w:rsidRPr="00812E8B" w:rsidRDefault="00F62A12" w:rsidP="00AF5966">
            <w:pPr>
              <w:rPr>
                <w:sz w:val="20"/>
                <w:szCs w:val="20"/>
                <w:lang w:val="en-US"/>
              </w:rPr>
            </w:pPr>
            <w:r w:rsidRPr="00812E8B">
              <w:rPr>
                <w:sz w:val="20"/>
                <w:szCs w:val="20"/>
                <w:lang w:val="en-US"/>
              </w:rPr>
              <w:t xml:space="preserve">Significant relationship between </w:t>
            </w:r>
            <w:r w:rsidR="00AF5966">
              <w:rPr>
                <w:sz w:val="20"/>
                <w:szCs w:val="20"/>
                <w:lang w:val="en-US"/>
              </w:rPr>
              <w:t>the equity-to-</w:t>
            </w:r>
            <w:r w:rsidRPr="00812E8B">
              <w:rPr>
                <w:sz w:val="20"/>
                <w:szCs w:val="20"/>
                <w:lang w:val="en-US"/>
              </w:rPr>
              <w:t>asset</w:t>
            </w:r>
            <w:r w:rsidR="00AF5966">
              <w:rPr>
                <w:sz w:val="20"/>
                <w:szCs w:val="20"/>
                <w:lang w:val="en-US"/>
              </w:rPr>
              <w:t xml:space="preserve"> ratio (+), cost-to-</w:t>
            </w:r>
            <w:r w:rsidRPr="00812E8B">
              <w:rPr>
                <w:sz w:val="20"/>
                <w:szCs w:val="20"/>
                <w:lang w:val="en-US"/>
              </w:rPr>
              <w:t>income</w:t>
            </w:r>
            <w:r w:rsidR="00AF5966">
              <w:rPr>
                <w:sz w:val="20"/>
                <w:szCs w:val="20"/>
                <w:lang w:val="en-US"/>
              </w:rPr>
              <w:t xml:space="preserve"> ratio</w:t>
            </w:r>
            <w:r w:rsidRPr="00812E8B">
              <w:rPr>
                <w:sz w:val="20"/>
                <w:szCs w:val="20"/>
                <w:lang w:val="en-US"/>
              </w:rPr>
              <w:t xml:space="preserve"> (-), liquidity to short term funding (+), size (-) an</w:t>
            </w:r>
            <w:r w:rsidR="00AF5966">
              <w:rPr>
                <w:sz w:val="20"/>
                <w:szCs w:val="20"/>
                <w:lang w:val="en-US"/>
              </w:rPr>
              <w:t>d some macroeconomic variables. Note that the parameters for s</w:t>
            </w:r>
            <w:r w:rsidRPr="00812E8B">
              <w:rPr>
                <w:sz w:val="20"/>
                <w:szCs w:val="20"/>
                <w:lang w:val="en-US"/>
              </w:rPr>
              <w:t xml:space="preserve">ize and short term funding </w:t>
            </w:r>
            <w:r w:rsidR="00AF5966">
              <w:rPr>
                <w:sz w:val="20"/>
                <w:szCs w:val="20"/>
                <w:lang w:val="en-US"/>
              </w:rPr>
              <w:t>are</w:t>
            </w:r>
            <w:r w:rsidRPr="00812E8B">
              <w:rPr>
                <w:sz w:val="20"/>
                <w:szCs w:val="20"/>
                <w:lang w:val="en-US"/>
              </w:rPr>
              <w:t xml:space="preserve"> rather low.</w:t>
            </w:r>
          </w:p>
        </w:tc>
        <w:tc>
          <w:tcPr>
            <w:tcW w:w="3240" w:type="dxa"/>
          </w:tcPr>
          <w:p w:rsidR="00F62A12" w:rsidRPr="00812E8B" w:rsidRDefault="00AD43D4" w:rsidP="00AF5966">
            <w:pPr>
              <w:rPr>
                <w:sz w:val="20"/>
                <w:szCs w:val="20"/>
                <w:lang w:val="en-US"/>
              </w:rPr>
            </w:pPr>
            <w:r>
              <w:rPr>
                <w:sz w:val="20"/>
                <w:szCs w:val="20"/>
                <w:lang w:val="en-US"/>
              </w:rPr>
              <w:t>Pasiouras and Kosmidou (2007) u</w:t>
            </w:r>
            <w:r w:rsidRPr="00812E8B">
              <w:rPr>
                <w:sz w:val="20"/>
                <w:szCs w:val="20"/>
                <w:lang w:val="en-US"/>
              </w:rPr>
              <w:t>se mo</w:t>
            </w:r>
            <w:r>
              <w:rPr>
                <w:sz w:val="20"/>
                <w:szCs w:val="20"/>
                <w:lang w:val="en-US"/>
              </w:rPr>
              <w:t xml:space="preserve">re determinants </w:t>
            </w:r>
            <w:r w:rsidR="00AF5966">
              <w:rPr>
                <w:sz w:val="20"/>
                <w:szCs w:val="20"/>
                <w:lang w:val="en-US"/>
              </w:rPr>
              <w:t xml:space="preserve">and </w:t>
            </w:r>
            <w:r>
              <w:rPr>
                <w:sz w:val="20"/>
                <w:szCs w:val="20"/>
                <w:lang w:val="en-US"/>
              </w:rPr>
              <w:t xml:space="preserve">bank-years compared to similar studies. </w:t>
            </w:r>
            <w:r w:rsidR="00F62A12" w:rsidRPr="00812E8B">
              <w:rPr>
                <w:sz w:val="20"/>
                <w:szCs w:val="20"/>
                <w:lang w:val="en-US"/>
              </w:rPr>
              <w:t xml:space="preserve">All variables are significant with the exception of concentration in </w:t>
            </w:r>
            <w:r w:rsidR="00AF5966">
              <w:rPr>
                <w:sz w:val="20"/>
                <w:szCs w:val="20"/>
                <w:lang w:val="en-US"/>
              </w:rPr>
              <w:t xml:space="preserve">sample of </w:t>
            </w:r>
            <w:r w:rsidR="00F62A12" w:rsidRPr="00812E8B">
              <w:rPr>
                <w:sz w:val="20"/>
                <w:szCs w:val="20"/>
                <w:lang w:val="en-US"/>
              </w:rPr>
              <w:t>domestic bank</w:t>
            </w:r>
            <w:r w:rsidR="00AF5966">
              <w:rPr>
                <w:sz w:val="20"/>
                <w:szCs w:val="20"/>
                <w:lang w:val="en-US"/>
              </w:rPr>
              <w:t>s</w:t>
            </w:r>
            <w:r w:rsidR="00F62A12" w:rsidRPr="00812E8B">
              <w:rPr>
                <w:sz w:val="20"/>
                <w:szCs w:val="20"/>
                <w:lang w:val="en-US"/>
              </w:rPr>
              <w:t>. Although</w:t>
            </w:r>
            <w:r w:rsidR="00AF5966">
              <w:rPr>
                <w:sz w:val="20"/>
                <w:szCs w:val="20"/>
                <w:lang w:val="en-US"/>
              </w:rPr>
              <w:t xml:space="preserve">, the </w:t>
            </w:r>
            <w:r w:rsidR="00F62A12" w:rsidRPr="00812E8B">
              <w:rPr>
                <w:sz w:val="20"/>
                <w:szCs w:val="20"/>
                <w:lang w:val="en-US"/>
              </w:rPr>
              <w:t xml:space="preserve"> relationships are not always </w:t>
            </w:r>
            <w:r w:rsidR="00AF5966">
              <w:rPr>
                <w:sz w:val="20"/>
                <w:szCs w:val="20"/>
                <w:lang w:val="en-US"/>
              </w:rPr>
              <w:t>similar for foreign and domestic bank and r-squared is higher for domestic banks</w:t>
            </w:r>
          </w:p>
        </w:tc>
      </w:tr>
      <w:tr w:rsidR="00F62A12" w:rsidRPr="007D2EA6" w:rsidTr="00866653">
        <w:tc>
          <w:tcPr>
            <w:tcW w:w="1448" w:type="dxa"/>
          </w:tcPr>
          <w:p w:rsidR="00F62A12" w:rsidRPr="00812E8B" w:rsidRDefault="00F62A12" w:rsidP="00866653">
            <w:pPr>
              <w:rPr>
                <w:sz w:val="20"/>
                <w:szCs w:val="20"/>
                <w:lang w:val="en-US"/>
              </w:rPr>
            </w:pP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Athanasoglou et al.</w:t>
            </w:r>
          </w:p>
          <w:p w:rsidR="00F62A12" w:rsidRPr="00812E8B" w:rsidRDefault="00F62A12" w:rsidP="00866653">
            <w:pPr>
              <w:rPr>
                <w:sz w:val="20"/>
                <w:szCs w:val="20"/>
                <w:lang w:val="en-US"/>
              </w:rPr>
            </w:pPr>
            <w:r w:rsidRPr="00812E8B">
              <w:rPr>
                <w:sz w:val="20"/>
                <w:szCs w:val="20"/>
                <w:lang w:val="en-US"/>
              </w:rPr>
              <w:t>(2008)</w:t>
            </w:r>
          </w:p>
        </w:tc>
        <w:tc>
          <w:tcPr>
            <w:tcW w:w="2512" w:type="dxa"/>
          </w:tcPr>
          <w:p w:rsidR="00F62A12" w:rsidRPr="00812E8B" w:rsidRDefault="00AF5966" w:rsidP="00AF5966">
            <w:pPr>
              <w:rPr>
                <w:sz w:val="20"/>
                <w:szCs w:val="20"/>
                <w:lang w:val="en-US"/>
              </w:rPr>
            </w:pPr>
            <w:r>
              <w:rPr>
                <w:sz w:val="20"/>
                <w:szCs w:val="20"/>
                <w:lang w:val="en-US"/>
              </w:rPr>
              <w:t>They e</w:t>
            </w:r>
            <w:r w:rsidR="00F62A12" w:rsidRPr="00812E8B">
              <w:rPr>
                <w:sz w:val="20"/>
                <w:szCs w:val="20"/>
                <w:lang w:val="en-US"/>
              </w:rPr>
              <w:t xml:space="preserve">xamine </w:t>
            </w:r>
            <w:r>
              <w:rPr>
                <w:sz w:val="20"/>
                <w:szCs w:val="20"/>
                <w:lang w:val="en-US"/>
              </w:rPr>
              <w:t xml:space="preserve">which </w:t>
            </w:r>
            <w:r w:rsidR="00F62A12" w:rsidRPr="00812E8B">
              <w:rPr>
                <w:sz w:val="20"/>
                <w:szCs w:val="20"/>
                <w:lang w:val="en-US"/>
              </w:rPr>
              <w:t xml:space="preserve">bank-specific, industry-specific and macro-economic </w:t>
            </w:r>
            <w:r>
              <w:rPr>
                <w:sz w:val="20"/>
                <w:szCs w:val="20"/>
                <w:lang w:val="en-US"/>
              </w:rPr>
              <w:t xml:space="preserve">factors, determines the </w:t>
            </w:r>
            <w:r w:rsidR="00F62A12" w:rsidRPr="00812E8B">
              <w:rPr>
                <w:sz w:val="20"/>
                <w:szCs w:val="20"/>
                <w:lang w:val="en-US"/>
              </w:rPr>
              <w:t>profitability</w:t>
            </w:r>
            <w:r>
              <w:rPr>
                <w:sz w:val="20"/>
                <w:szCs w:val="20"/>
                <w:lang w:val="en-US"/>
              </w:rPr>
              <w:t xml:space="preserve"> of a bank, by focusing </w:t>
            </w:r>
            <w:r w:rsidR="00F62A12" w:rsidRPr="00812E8B">
              <w:rPr>
                <w:sz w:val="20"/>
                <w:szCs w:val="20"/>
                <w:lang w:val="en-US"/>
              </w:rPr>
              <w:t>on macroeconomic variables and profit persistence.</w:t>
            </w:r>
          </w:p>
        </w:tc>
        <w:tc>
          <w:tcPr>
            <w:tcW w:w="2340" w:type="dxa"/>
          </w:tcPr>
          <w:p w:rsidR="00F62A12" w:rsidRPr="00812E8B" w:rsidRDefault="00F62A12" w:rsidP="00866653">
            <w:pPr>
              <w:rPr>
                <w:sz w:val="20"/>
                <w:szCs w:val="20"/>
                <w:lang w:val="en-US"/>
              </w:rPr>
            </w:pPr>
            <w:r w:rsidRPr="00812E8B">
              <w:rPr>
                <w:sz w:val="20"/>
                <w:szCs w:val="20"/>
                <w:lang w:val="en-US"/>
              </w:rPr>
              <w:t>Region: Greece</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Sample: unknown</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Period: 1985-2001</w:t>
            </w:r>
          </w:p>
        </w:tc>
        <w:tc>
          <w:tcPr>
            <w:tcW w:w="2610" w:type="dxa"/>
          </w:tcPr>
          <w:p w:rsidR="00F62A12" w:rsidRPr="00812E8B" w:rsidRDefault="00AF5966" w:rsidP="00866653">
            <w:pPr>
              <w:rPr>
                <w:sz w:val="20"/>
                <w:szCs w:val="20"/>
                <w:lang w:val="en-US"/>
              </w:rPr>
            </w:pPr>
            <w:r>
              <w:rPr>
                <w:sz w:val="20"/>
                <w:szCs w:val="20"/>
                <w:lang w:val="en-US"/>
              </w:rPr>
              <w:t>Dynamic regression model (GMM)</w:t>
            </w:r>
          </w:p>
          <w:p w:rsidR="00F62A12" w:rsidRPr="00812E8B" w:rsidRDefault="00F62A12" w:rsidP="00866653">
            <w:pPr>
              <w:rPr>
                <w:sz w:val="20"/>
                <w:szCs w:val="20"/>
                <w:lang w:val="en-US"/>
              </w:rPr>
            </w:pPr>
            <w:r w:rsidRPr="00812E8B">
              <w:rPr>
                <w:sz w:val="20"/>
                <w:szCs w:val="20"/>
                <w:lang w:val="en-US"/>
              </w:rPr>
              <w:t>DEPV: profitability ROA/ROE</w:t>
            </w:r>
          </w:p>
          <w:p w:rsidR="00F62A12" w:rsidRPr="00812E8B" w:rsidRDefault="00AF5966" w:rsidP="00866653">
            <w:pPr>
              <w:rPr>
                <w:sz w:val="20"/>
                <w:szCs w:val="20"/>
                <w:lang w:val="en-US"/>
              </w:rPr>
            </w:pPr>
            <w:r>
              <w:rPr>
                <w:sz w:val="20"/>
                <w:szCs w:val="20"/>
                <w:lang w:val="en-US"/>
              </w:rPr>
              <w:t xml:space="preserve">EXPL: </w:t>
            </w:r>
            <w:r w:rsidR="00F62A12" w:rsidRPr="00812E8B">
              <w:rPr>
                <w:sz w:val="20"/>
                <w:szCs w:val="20"/>
                <w:lang w:val="en-US"/>
              </w:rPr>
              <w:t>equity to assets, operational efficiency, financial risk, ownership,</w:t>
            </w:r>
          </w:p>
          <w:p w:rsidR="00F62A12" w:rsidRPr="00812E8B" w:rsidRDefault="00F62A12" w:rsidP="00866653">
            <w:pPr>
              <w:rPr>
                <w:sz w:val="20"/>
                <w:szCs w:val="20"/>
                <w:lang w:val="en-US"/>
              </w:rPr>
            </w:pPr>
            <w:r w:rsidRPr="00812E8B">
              <w:rPr>
                <w:sz w:val="20"/>
                <w:szCs w:val="20"/>
                <w:lang w:val="en-US"/>
              </w:rPr>
              <w:t>size  and macroeconomic variables.</w:t>
            </w:r>
          </w:p>
        </w:tc>
        <w:tc>
          <w:tcPr>
            <w:tcW w:w="3060" w:type="dxa"/>
          </w:tcPr>
          <w:p w:rsidR="00F62A12" w:rsidRPr="00812E8B" w:rsidRDefault="00F62A12" w:rsidP="00AF5966">
            <w:pPr>
              <w:rPr>
                <w:sz w:val="20"/>
                <w:szCs w:val="20"/>
                <w:lang w:val="en-US"/>
              </w:rPr>
            </w:pPr>
            <w:r w:rsidRPr="00812E8B">
              <w:rPr>
                <w:sz w:val="20"/>
                <w:szCs w:val="20"/>
                <w:lang w:val="en-US"/>
              </w:rPr>
              <w:t xml:space="preserve">Profitability is explained by </w:t>
            </w:r>
            <w:r w:rsidR="00AF5966">
              <w:rPr>
                <w:sz w:val="20"/>
                <w:szCs w:val="20"/>
                <w:lang w:val="en-US"/>
              </w:rPr>
              <w:t>equity-to-total assets</w:t>
            </w:r>
            <w:r w:rsidRPr="00812E8B">
              <w:rPr>
                <w:sz w:val="20"/>
                <w:szCs w:val="20"/>
                <w:lang w:val="en-US"/>
              </w:rPr>
              <w:t xml:space="preserve"> (+), credit risk (-), labor prod (+) operating expenses (-). Macro-economic variables such as</w:t>
            </w:r>
            <w:r w:rsidR="00AF5966">
              <w:rPr>
                <w:sz w:val="20"/>
                <w:szCs w:val="20"/>
                <w:lang w:val="en-US"/>
              </w:rPr>
              <w:t xml:space="preserve"> </w:t>
            </w:r>
            <w:r w:rsidRPr="00812E8B">
              <w:rPr>
                <w:sz w:val="20"/>
                <w:szCs w:val="20"/>
                <w:lang w:val="en-US"/>
              </w:rPr>
              <w:t xml:space="preserve">inflation and business cycle also </w:t>
            </w:r>
            <w:r w:rsidR="00AF5966">
              <w:rPr>
                <w:sz w:val="20"/>
                <w:szCs w:val="20"/>
                <w:lang w:val="en-US"/>
              </w:rPr>
              <w:t>influence profits of a bank. For the ow</w:t>
            </w:r>
            <w:r w:rsidRPr="00812E8B">
              <w:rPr>
                <w:sz w:val="20"/>
                <w:szCs w:val="20"/>
                <w:lang w:val="en-US"/>
              </w:rPr>
              <w:t xml:space="preserve">nership </w:t>
            </w:r>
            <w:r w:rsidR="00AF5966">
              <w:rPr>
                <w:sz w:val="20"/>
                <w:szCs w:val="20"/>
                <w:lang w:val="en-US"/>
              </w:rPr>
              <w:t xml:space="preserve">variables </w:t>
            </w:r>
            <w:r w:rsidRPr="00812E8B">
              <w:rPr>
                <w:sz w:val="20"/>
                <w:szCs w:val="20"/>
                <w:lang w:val="en-US"/>
              </w:rPr>
              <w:t>no effect is found</w:t>
            </w:r>
            <w:r w:rsidR="00AF5966">
              <w:rPr>
                <w:sz w:val="20"/>
                <w:szCs w:val="20"/>
                <w:lang w:val="en-US"/>
              </w:rPr>
              <w:t>.</w:t>
            </w:r>
          </w:p>
        </w:tc>
        <w:tc>
          <w:tcPr>
            <w:tcW w:w="3240" w:type="dxa"/>
          </w:tcPr>
          <w:p w:rsidR="00F62A12" w:rsidRPr="00812E8B" w:rsidRDefault="00F62A12" w:rsidP="00AF5966">
            <w:pPr>
              <w:rPr>
                <w:sz w:val="20"/>
                <w:szCs w:val="20"/>
                <w:lang w:val="en-US"/>
              </w:rPr>
            </w:pPr>
            <w:r w:rsidRPr="00812E8B">
              <w:rPr>
                <w:sz w:val="20"/>
                <w:szCs w:val="20"/>
                <w:lang w:val="en-US"/>
              </w:rPr>
              <w:t xml:space="preserve">All bank-specific determinants significantly affect banks’ </w:t>
            </w:r>
            <w:r w:rsidR="00AF5966">
              <w:rPr>
                <w:sz w:val="20"/>
                <w:szCs w:val="20"/>
                <w:lang w:val="en-US"/>
              </w:rPr>
              <w:t>profitability except for size. The effect of the o</w:t>
            </w:r>
            <w:r w:rsidRPr="00812E8B">
              <w:rPr>
                <w:sz w:val="20"/>
                <w:szCs w:val="20"/>
                <w:lang w:val="en-US"/>
              </w:rPr>
              <w:t xml:space="preserve">wnership structure is insignificant. </w:t>
            </w:r>
            <w:r w:rsidR="00AF5966">
              <w:rPr>
                <w:sz w:val="20"/>
                <w:szCs w:val="20"/>
                <w:lang w:val="en-US"/>
              </w:rPr>
              <w:t>Moreover, c</w:t>
            </w:r>
            <w:r w:rsidRPr="00812E8B">
              <w:rPr>
                <w:sz w:val="20"/>
                <w:szCs w:val="20"/>
                <w:lang w:val="en-US"/>
              </w:rPr>
              <w:t>oncentration and</w:t>
            </w:r>
            <w:r w:rsidR="00AF5966">
              <w:rPr>
                <w:sz w:val="20"/>
                <w:szCs w:val="20"/>
                <w:lang w:val="en-US"/>
              </w:rPr>
              <w:t xml:space="preserve"> the</w:t>
            </w:r>
            <w:r w:rsidRPr="00812E8B">
              <w:rPr>
                <w:sz w:val="20"/>
                <w:szCs w:val="20"/>
                <w:lang w:val="en-US"/>
              </w:rPr>
              <w:t xml:space="preserve"> business cycle negatively affects banks' profitability</w:t>
            </w:r>
          </w:p>
        </w:tc>
      </w:tr>
      <w:tr w:rsidR="00F62A12" w:rsidRPr="007D2EA6" w:rsidTr="00866653">
        <w:tc>
          <w:tcPr>
            <w:tcW w:w="1448" w:type="dxa"/>
          </w:tcPr>
          <w:p w:rsidR="00F62A12" w:rsidRPr="00812E8B" w:rsidRDefault="00F62A12" w:rsidP="00866653">
            <w:pPr>
              <w:rPr>
                <w:sz w:val="20"/>
                <w:szCs w:val="20"/>
                <w:lang w:val="en-US"/>
              </w:rPr>
            </w:pPr>
            <w:r w:rsidRPr="00812E8B">
              <w:rPr>
                <w:sz w:val="20"/>
                <w:szCs w:val="20"/>
                <w:lang w:val="en-US"/>
              </w:rPr>
              <w:t xml:space="preserve">Dietrich and </w:t>
            </w:r>
          </w:p>
          <w:p w:rsidR="00F62A12" w:rsidRPr="00812E8B" w:rsidRDefault="00F62A12" w:rsidP="00866653">
            <w:pPr>
              <w:rPr>
                <w:sz w:val="20"/>
                <w:szCs w:val="20"/>
                <w:lang w:val="en-US"/>
              </w:rPr>
            </w:pPr>
            <w:r w:rsidRPr="00812E8B">
              <w:rPr>
                <w:sz w:val="20"/>
                <w:szCs w:val="20"/>
                <w:lang w:val="en-US"/>
              </w:rPr>
              <w:t>Wanzenried (2011)</w:t>
            </w:r>
          </w:p>
        </w:tc>
        <w:tc>
          <w:tcPr>
            <w:tcW w:w="2512" w:type="dxa"/>
          </w:tcPr>
          <w:p w:rsidR="00F62A12" w:rsidRPr="00812E8B" w:rsidRDefault="0055626B" w:rsidP="0055626B">
            <w:pPr>
              <w:rPr>
                <w:sz w:val="20"/>
                <w:szCs w:val="20"/>
                <w:lang w:val="en-US"/>
              </w:rPr>
            </w:pPr>
            <w:r>
              <w:rPr>
                <w:sz w:val="20"/>
                <w:szCs w:val="20"/>
                <w:lang w:val="en-US"/>
              </w:rPr>
              <w:t xml:space="preserve">Investigate </w:t>
            </w:r>
            <w:r w:rsidR="00F62A12" w:rsidRPr="00812E8B">
              <w:rPr>
                <w:sz w:val="20"/>
                <w:szCs w:val="20"/>
                <w:lang w:val="en-US"/>
              </w:rPr>
              <w:t xml:space="preserve">the profitability of Swiss banks before and after crisis by using bank-specific, industry-specific and macroeconomic determinants. </w:t>
            </w:r>
            <w:r>
              <w:rPr>
                <w:sz w:val="20"/>
                <w:szCs w:val="20"/>
                <w:lang w:val="en-US"/>
              </w:rPr>
              <w:t>They e</w:t>
            </w:r>
            <w:r w:rsidR="00F62A12" w:rsidRPr="00812E8B">
              <w:rPr>
                <w:sz w:val="20"/>
                <w:szCs w:val="20"/>
                <w:lang w:val="en-US"/>
              </w:rPr>
              <w:t>xtend research</w:t>
            </w:r>
            <w:r>
              <w:rPr>
                <w:sz w:val="20"/>
                <w:szCs w:val="20"/>
                <w:lang w:val="en-US"/>
              </w:rPr>
              <w:t xml:space="preserve"> by using a </w:t>
            </w:r>
            <w:r w:rsidR="00F62A12" w:rsidRPr="00812E8B">
              <w:rPr>
                <w:sz w:val="20"/>
                <w:szCs w:val="20"/>
                <w:lang w:val="en-US"/>
              </w:rPr>
              <w:t xml:space="preserve"> comprehensive model and </w:t>
            </w:r>
            <w:r>
              <w:rPr>
                <w:sz w:val="20"/>
                <w:szCs w:val="20"/>
                <w:lang w:val="en-US"/>
              </w:rPr>
              <w:t xml:space="preserve">by examining effects of the </w:t>
            </w:r>
            <w:r w:rsidR="00F62A12" w:rsidRPr="00812E8B">
              <w:rPr>
                <w:sz w:val="20"/>
                <w:szCs w:val="20"/>
                <w:lang w:val="en-US"/>
              </w:rPr>
              <w:t xml:space="preserve">financial crisis. </w:t>
            </w:r>
          </w:p>
        </w:tc>
        <w:tc>
          <w:tcPr>
            <w:tcW w:w="2340" w:type="dxa"/>
          </w:tcPr>
          <w:p w:rsidR="00F62A12" w:rsidRPr="00812E8B" w:rsidRDefault="00F62A12" w:rsidP="00866653">
            <w:pPr>
              <w:rPr>
                <w:sz w:val="20"/>
                <w:szCs w:val="20"/>
                <w:lang w:val="en-US"/>
              </w:rPr>
            </w:pPr>
            <w:r w:rsidRPr="00812E8B">
              <w:rPr>
                <w:sz w:val="20"/>
                <w:szCs w:val="20"/>
                <w:lang w:val="en-US"/>
              </w:rPr>
              <w:t>Region: Switzerland</w:t>
            </w:r>
          </w:p>
          <w:p w:rsidR="00F62A12" w:rsidRPr="00812E8B" w:rsidRDefault="00F62A12" w:rsidP="00866653">
            <w:pPr>
              <w:rPr>
                <w:sz w:val="20"/>
                <w:szCs w:val="20"/>
                <w:lang w:val="en-US"/>
              </w:rPr>
            </w:pPr>
          </w:p>
          <w:p w:rsidR="00F62A12" w:rsidRDefault="00F62A12" w:rsidP="00866653">
            <w:pPr>
              <w:rPr>
                <w:sz w:val="20"/>
                <w:szCs w:val="20"/>
                <w:lang w:val="en-US"/>
              </w:rPr>
            </w:pPr>
            <w:r w:rsidRPr="00812E8B">
              <w:rPr>
                <w:sz w:val="20"/>
                <w:szCs w:val="20"/>
                <w:lang w:val="en-US"/>
              </w:rPr>
              <w:t xml:space="preserve">Sample: </w:t>
            </w:r>
            <w:r w:rsidR="00872533" w:rsidRPr="00812E8B">
              <w:rPr>
                <w:sz w:val="20"/>
                <w:szCs w:val="20"/>
                <w:lang w:val="en-US"/>
              </w:rPr>
              <w:t xml:space="preserve">Unbalanced panel of </w:t>
            </w:r>
            <w:r w:rsidRPr="00812E8B">
              <w:rPr>
                <w:sz w:val="20"/>
                <w:szCs w:val="20"/>
                <w:lang w:val="en-US"/>
              </w:rPr>
              <w:t>372 commercial banks</w:t>
            </w:r>
          </w:p>
          <w:p w:rsidR="0055626B" w:rsidRPr="00812E8B" w:rsidRDefault="0055626B" w:rsidP="00866653">
            <w:pPr>
              <w:rPr>
                <w:sz w:val="20"/>
                <w:szCs w:val="20"/>
                <w:lang w:val="en-US"/>
              </w:rPr>
            </w:pPr>
          </w:p>
          <w:p w:rsidR="00F62A12" w:rsidRPr="00812E8B" w:rsidRDefault="00872533" w:rsidP="00872533">
            <w:pPr>
              <w:rPr>
                <w:sz w:val="20"/>
                <w:szCs w:val="20"/>
                <w:lang w:val="en-US"/>
              </w:rPr>
            </w:pPr>
            <w:r w:rsidRPr="00812E8B">
              <w:rPr>
                <w:sz w:val="20"/>
                <w:szCs w:val="20"/>
                <w:lang w:val="en-US"/>
              </w:rPr>
              <w:t>Period: 1999-2009</w:t>
            </w:r>
            <w:r w:rsidR="00F62A12" w:rsidRPr="00812E8B">
              <w:rPr>
                <w:sz w:val="20"/>
                <w:szCs w:val="20"/>
                <w:lang w:val="en-US"/>
              </w:rPr>
              <w:t xml:space="preserve"> </w:t>
            </w:r>
            <w:r w:rsidRPr="00812E8B">
              <w:rPr>
                <w:sz w:val="20"/>
                <w:szCs w:val="20"/>
                <w:lang w:val="en-US"/>
              </w:rPr>
              <w:t>(pre-crisis</w:t>
            </w:r>
            <w:r w:rsidR="00F62A12" w:rsidRPr="00812E8B">
              <w:rPr>
                <w:sz w:val="20"/>
                <w:szCs w:val="20"/>
                <w:lang w:val="en-US"/>
              </w:rPr>
              <w:t xml:space="preserve"> 1999-2006</w:t>
            </w:r>
            <w:r w:rsidRPr="00812E8B">
              <w:rPr>
                <w:sz w:val="20"/>
                <w:szCs w:val="20"/>
                <w:lang w:val="en-US"/>
              </w:rPr>
              <w:t xml:space="preserve"> and </w:t>
            </w:r>
            <w:r w:rsidR="00F62A12" w:rsidRPr="00812E8B">
              <w:rPr>
                <w:sz w:val="20"/>
                <w:szCs w:val="20"/>
                <w:lang w:val="en-US"/>
              </w:rPr>
              <w:t>crisis period 2007-2009</w:t>
            </w:r>
            <w:r w:rsidRPr="00812E8B">
              <w:rPr>
                <w:sz w:val="20"/>
                <w:szCs w:val="20"/>
                <w:lang w:val="en-US"/>
              </w:rPr>
              <w:t>)</w:t>
            </w:r>
          </w:p>
        </w:tc>
        <w:tc>
          <w:tcPr>
            <w:tcW w:w="2610" w:type="dxa"/>
          </w:tcPr>
          <w:p w:rsidR="00F62A12" w:rsidRPr="00812E8B" w:rsidRDefault="00F62A12" w:rsidP="00866653">
            <w:pPr>
              <w:rPr>
                <w:sz w:val="20"/>
                <w:szCs w:val="20"/>
                <w:lang w:val="en-US"/>
              </w:rPr>
            </w:pPr>
            <w:r w:rsidRPr="00812E8B">
              <w:rPr>
                <w:sz w:val="20"/>
                <w:szCs w:val="20"/>
                <w:lang w:val="en-US"/>
              </w:rPr>
              <w:t>Dynamic regression model</w:t>
            </w:r>
            <w:r w:rsidR="00AF5966">
              <w:rPr>
                <w:sz w:val="20"/>
                <w:szCs w:val="20"/>
                <w:lang w:val="en-US"/>
              </w:rPr>
              <w:t xml:space="preserve"> (GMM)</w:t>
            </w:r>
          </w:p>
          <w:p w:rsidR="00F62A12" w:rsidRPr="00812E8B" w:rsidRDefault="00F62A12" w:rsidP="00866653">
            <w:pPr>
              <w:rPr>
                <w:sz w:val="20"/>
                <w:szCs w:val="20"/>
                <w:lang w:val="en-US"/>
              </w:rPr>
            </w:pPr>
          </w:p>
          <w:p w:rsidR="00F62A12" w:rsidRPr="00812E8B" w:rsidRDefault="00F62A12" w:rsidP="00866653">
            <w:pPr>
              <w:rPr>
                <w:sz w:val="20"/>
                <w:szCs w:val="20"/>
                <w:lang w:val="en-US"/>
              </w:rPr>
            </w:pPr>
            <w:r w:rsidRPr="00812E8B">
              <w:rPr>
                <w:sz w:val="20"/>
                <w:szCs w:val="20"/>
                <w:lang w:val="en-US"/>
              </w:rPr>
              <w:t>DEPV: profitability (ROAA, ROAE en NIM)</w:t>
            </w:r>
          </w:p>
          <w:p w:rsidR="00F62A12" w:rsidRPr="00812E8B" w:rsidRDefault="00F62A12" w:rsidP="00866653">
            <w:pPr>
              <w:rPr>
                <w:sz w:val="20"/>
                <w:szCs w:val="20"/>
                <w:lang w:val="en-US"/>
              </w:rPr>
            </w:pPr>
            <w:r w:rsidRPr="00812E8B">
              <w:rPr>
                <w:sz w:val="20"/>
                <w:szCs w:val="20"/>
                <w:lang w:val="en-US"/>
              </w:rPr>
              <w:t>EXPL: Bank-specific, industry-specific and macroeconomic variables</w:t>
            </w:r>
          </w:p>
        </w:tc>
        <w:tc>
          <w:tcPr>
            <w:tcW w:w="3060" w:type="dxa"/>
          </w:tcPr>
          <w:p w:rsidR="00F62A12" w:rsidRPr="00812E8B" w:rsidRDefault="0055626B" w:rsidP="0055626B">
            <w:pPr>
              <w:rPr>
                <w:sz w:val="20"/>
                <w:szCs w:val="20"/>
                <w:lang w:val="en-US"/>
              </w:rPr>
            </w:pPr>
            <w:r>
              <w:rPr>
                <w:sz w:val="20"/>
                <w:szCs w:val="20"/>
                <w:lang w:val="en-US"/>
              </w:rPr>
              <w:t>They find that several c</w:t>
            </w:r>
            <w:r w:rsidR="00F62A12" w:rsidRPr="00812E8B">
              <w:rPr>
                <w:sz w:val="20"/>
                <w:szCs w:val="20"/>
                <w:lang w:val="en-US"/>
              </w:rPr>
              <w:t>oefficients</w:t>
            </w:r>
            <w:r>
              <w:rPr>
                <w:sz w:val="20"/>
                <w:szCs w:val="20"/>
                <w:lang w:val="en-US"/>
              </w:rPr>
              <w:t xml:space="preserve"> alters from signs and that </w:t>
            </w:r>
            <w:r w:rsidR="00F62A12" w:rsidRPr="00812E8B">
              <w:rPr>
                <w:sz w:val="20"/>
                <w:szCs w:val="20"/>
                <w:lang w:val="en-US"/>
              </w:rPr>
              <w:t>significance</w:t>
            </w:r>
            <w:r w:rsidR="00DF332D" w:rsidRPr="00812E8B">
              <w:rPr>
                <w:sz w:val="20"/>
                <w:szCs w:val="20"/>
                <w:lang w:val="en-US"/>
              </w:rPr>
              <w:t>s</w:t>
            </w:r>
            <w:r>
              <w:rPr>
                <w:sz w:val="20"/>
                <w:szCs w:val="20"/>
                <w:lang w:val="en-US"/>
              </w:rPr>
              <w:t xml:space="preserve"> differs between the two subsamples. E.g. o</w:t>
            </w:r>
            <w:r w:rsidR="00F62A12" w:rsidRPr="00812E8B">
              <w:rPr>
                <w:sz w:val="20"/>
                <w:szCs w:val="20"/>
                <w:lang w:val="en-US"/>
              </w:rPr>
              <w:t xml:space="preserve">wnership </w:t>
            </w:r>
            <w:r>
              <w:rPr>
                <w:sz w:val="20"/>
                <w:szCs w:val="20"/>
                <w:lang w:val="en-US"/>
              </w:rPr>
              <w:t xml:space="preserve">is </w:t>
            </w:r>
            <w:r w:rsidR="00F62A12" w:rsidRPr="00812E8B">
              <w:rPr>
                <w:sz w:val="20"/>
                <w:szCs w:val="20"/>
                <w:lang w:val="en-US"/>
              </w:rPr>
              <w:t xml:space="preserve">irrelevant </w:t>
            </w:r>
            <w:r>
              <w:rPr>
                <w:sz w:val="20"/>
                <w:szCs w:val="20"/>
                <w:lang w:val="en-US"/>
              </w:rPr>
              <w:t xml:space="preserve">in </w:t>
            </w:r>
            <w:r w:rsidR="00F62A12" w:rsidRPr="00812E8B">
              <w:rPr>
                <w:sz w:val="20"/>
                <w:szCs w:val="20"/>
                <w:lang w:val="en-US"/>
              </w:rPr>
              <w:t xml:space="preserve">pre-crisis </w:t>
            </w:r>
            <w:r>
              <w:rPr>
                <w:sz w:val="20"/>
                <w:szCs w:val="20"/>
                <w:lang w:val="en-US"/>
              </w:rPr>
              <w:t xml:space="preserve">sample </w:t>
            </w:r>
            <w:r w:rsidR="00F62A12" w:rsidRPr="00812E8B">
              <w:rPr>
                <w:sz w:val="20"/>
                <w:szCs w:val="20"/>
                <w:lang w:val="en-US"/>
              </w:rPr>
              <w:t xml:space="preserve">but during crisis </w:t>
            </w:r>
            <w:r>
              <w:rPr>
                <w:sz w:val="20"/>
                <w:szCs w:val="20"/>
                <w:lang w:val="en-US"/>
              </w:rPr>
              <w:t xml:space="preserve">the </w:t>
            </w:r>
            <w:r w:rsidR="00F62A12" w:rsidRPr="00812E8B">
              <w:rPr>
                <w:sz w:val="20"/>
                <w:szCs w:val="20"/>
                <w:lang w:val="en-US"/>
              </w:rPr>
              <w:t>st</w:t>
            </w:r>
            <w:r>
              <w:rPr>
                <w:sz w:val="20"/>
                <w:szCs w:val="20"/>
                <w:lang w:val="en-US"/>
              </w:rPr>
              <w:t>ate-owned banks perform better. Other interest finding is that the e</w:t>
            </w:r>
            <w:r w:rsidR="00F62A12" w:rsidRPr="00812E8B">
              <w:rPr>
                <w:sz w:val="20"/>
                <w:szCs w:val="20"/>
                <w:lang w:val="en-US"/>
              </w:rPr>
              <w:t>quity</w:t>
            </w:r>
            <w:r>
              <w:rPr>
                <w:sz w:val="20"/>
                <w:szCs w:val="20"/>
                <w:lang w:val="en-US"/>
              </w:rPr>
              <w:t>-</w:t>
            </w:r>
            <w:r w:rsidR="00F62A12" w:rsidRPr="00812E8B">
              <w:rPr>
                <w:sz w:val="20"/>
                <w:szCs w:val="20"/>
                <w:lang w:val="en-US"/>
              </w:rPr>
              <w:t>to</w:t>
            </w:r>
            <w:r>
              <w:rPr>
                <w:sz w:val="20"/>
                <w:szCs w:val="20"/>
                <w:lang w:val="en-US"/>
              </w:rPr>
              <w:t>-</w:t>
            </w:r>
            <w:r w:rsidR="00F62A12" w:rsidRPr="00812E8B">
              <w:rPr>
                <w:sz w:val="20"/>
                <w:szCs w:val="20"/>
                <w:lang w:val="en-US"/>
              </w:rPr>
              <w:t>asset</w:t>
            </w:r>
            <w:r>
              <w:rPr>
                <w:sz w:val="20"/>
                <w:szCs w:val="20"/>
                <w:lang w:val="en-US"/>
              </w:rPr>
              <w:t xml:space="preserve"> ratio is</w:t>
            </w:r>
            <w:r w:rsidR="00F62A12" w:rsidRPr="00812E8B">
              <w:rPr>
                <w:sz w:val="20"/>
                <w:szCs w:val="20"/>
                <w:lang w:val="en-US"/>
              </w:rPr>
              <w:t xml:space="preserve"> insignificant</w:t>
            </w:r>
            <w:r>
              <w:rPr>
                <w:sz w:val="20"/>
                <w:szCs w:val="20"/>
                <w:lang w:val="en-US"/>
              </w:rPr>
              <w:t xml:space="preserve"> in</w:t>
            </w:r>
            <w:r w:rsidR="00F62A12" w:rsidRPr="00812E8B">
              <w:rPr>
                <w:sz w:val="20"/>
                <w:szCs w:val="20"/>
                <w:lang w:val="en-US"/>
              </w:rPr>
              <w:t xml:space="preserve"> pre-crisis and negative in the crisis.</w:t>
            </w:r>
          </w:p>
        </w:tc>
        <w:tc>
          <w:tcPr>
            <w:tcW w:w="3240" w:type="dxa"/>
          </w:tcPr>
          <w:p w:rsidR="00F62A12" w:rsidRPr="00812E8B" w:rsidRDefault="0055626B" w:rsidP="0055626B">
            <w:pPr>
              <w:rPr>
                <w:sz w:val="20"/>
                <w:szCs w:val="20"/>
                <w:lang w:val="en-US"/>
              </w:rPr>
            </w:pPr>
            <w:r>
              <w:rPr>
                <w:sz w:val="20"/>
                <w:szCs w:val="20"/>
                <w:lang w:val="en-US"/>
              </w:rPr>
              <w:t xml:space="preserve">Dietrich and </w:t>
            </w:r>
            <w:r w:rsidRPr="00812E8B">
              <w:rPr>
                <w:sz w:val="20"/>
                <w:szCs w:val="20"/>
                <w:lang w:val="en-US"/>
              </w:rPr>
              <w:t>Wanzenried (2011)</w:t>
            </w:r>
            <w:r>
              <w:rPr>
                <w:sz w:val="20"/>
                <w:szCs w:val="20"/>
                <w:lang w:val="en-US"/>
              </w:rPr>
              <w:t xml:space="preserve"> c</w:t>
            </w:r>
            <w:r w:rsidR="00F62A12" w:rsidRPr="00812E8B">
              <w:rPr>
                <w:sz w:val="20"/>
                <w:szCs w:val="20"/>
                <w:lang w:val="en-US"/>
              </w:rPr>
              <w:t xml:space="preserve">onfirm findings </w:t>
            </w:r>
            <w:r>
              <w:rPr>
                <w:sz w:val="20"/>
                <w:szCs w:val="20"/>
                <w:lang w:val="en-US"/>
              </w:rPr>
              <w:t xml:space="preserve">of </w:t>
            </w:r>
            <w:r w:rsidR="00F62A12" w:rsidRPr="00812E8B">
              <w:rPr>
                <w:sz w:val="20"/>
                <w:szCs w:val="20"/>
                <w:lang w:val="en-US"/>
              </w:rPr>
              <w:t>former studies</w:t>
            </w:r>
            <w:r>
              <w:rPr>
                <w:sz w:val="20"/>
                <w:szCs w:val="20"/>
                <w:lang w:val="en-US"/>
              </w:rPr>
              <w:t xml:space="preserve"> but also extend existing research by using a larger </w:t>
            </w:r>
            <w:r w:rsidR="00F62A12" w:rsidRPr="00812E8B">
              <w:rPr>
                <w:sz w:val="20"/>
                <w:szCs w:val="20"/>
                <w:lang w:val="en-US"/>
              </w:rPr>
              <w:t>set of bank- and market-specific det</w:t>
            </w:r>
            <w:r>
              <w:rPr>
                <w:sz w:val="20"/>
                <w:szCs w:val="20"/>
                <w:lang w:val="en-US"/>
              </w:rPr>
              <w:t xml:space="preserve">erminants on bank profitability. Furthermore, they focus on </w:t>
            </w:r>
            <w:r w:rsidR="00F62A12" w:rsidRPr="00812E8B">
              <w:rPr>
                <w:sz w:val="20"/>
                <w:szCs w:val="20"/>
                <w:lang w:val="en-US"/>
              </w:rPr>
              <w:t>recent years 1999-2009</w:t>
            </w:r>
            <w:r>
              <w:rPr>
                <w:sz w:val="20"/>
                <w:szCs w:val="20"/>
                <w:lang w:val="en-US"/>
              </w:rPr>
              <w:t xml:space="preserve">. They give additional </w:t>
            </w:r>
            <w:r w:rsidR="00F62A12" w:rsidRPr="00812E8B">
              <w:rPr>
                <w:sz w:val="20"/>
                <w:szCs w:val="20"/>
                <w:lang w:val="en-US"/>
              </w:rPr>
              <w:t>insights impacts of crisis</w:t>
            </w:r>
          </w:p>
        </w:tc>
      </w:tr>
    </w:tbl>
    <w:p w:rsidR="00751F57" w:rsidRPr="00812E8B" w:rsidRDefault="00751F57" w:rsidP="00751F57">
      <w:pPr>
        <w:pStyle w:val="NoSpacing"/>
        <w:rPr>
          <w:b/>
          <w:lang w:val="en-US"/>
        </w:rPr>
      </w:pPr>
    </w:p>
    <w:p w:rsidR="00751F57" w:rsidRPr="00812E8B" w:rsidRDefault="00751F57" w:rsidP="00751F57">
      <w:pPr>
        <w:pStyle w:val="NoSpacing"/>
        <w:rPr>
          <w:b/>
          <w:lang w:val="en-US"/>
        </w:rPr>
      </w:pPr>
    </w:p>
    <w:p w:rsidR="00751F57" w:rsidRPr="00812E8B" w:rsidRDefault="00751F57" w:rsidP="00751F57">
      <w:pPr>
        <w:pStyle w:val="NoSpacing"/>
        <w:rPr>
          <w:b/>
          <w:lang w:val="en-US"/>
        </w:rPr>
      </w:pPr>
    </w:p>
    <w:p w:rsidR="00751F57" w:rsidRPr="00812E8B" w:rsidRDefault="00751F57" w:rsidP="00751F57">
      <w:pPr>
        <w:pStyle w:val="NoSpacing"/>
        <w:rPr>
          <w:b/>
          <w:lang w:val="en-US"/>
        </w:rPr>
      </w:pPr>
    </w:p>
    <w:p w:rsidR="00751F57" w:rsidRPr="00812E8B" w:rsidRDefault="00751F57" w:rsidP="00751F57">
      <w:pPr>
        <w:pStyle w:val="NoSpacing"/>
        <w:rPr>
          <w:b/>
          <w:lang w:val="en-US"/>
        </w:rPr>
      </w:pPr>
    </w:p>
    <w:p w:rsidR="00751F57" w:rsidRPr="00812E8B" w:rsidRDefault="00751F57" w:rsidP="00751F57">
      <w:pPr>
        <w:pStyle w:val="NoSpacing"/>
        <w:rPr>
          <w:b/>
          <w:lang w:val="en-US"/>
        </w:rPr>
      </w:pPr>
    </w:p>
    <w:p w:rsidR="00751F57" w:rsidRPr="00812E8B" w:rsidRDefault="00751F57" w:rsidP="00751F57">
      <w:pPr>
        <w:pStyle w:val="NoSpacing"/>
        <w:rPr>
          <w:lang w:val="en-US"/>
        </w:rPr>
        <w:sectPr w:rsidR="00751F57" w:rsidRPr="00812E8B" w:rsidSect="00F62A12">
          <w:headerReference w:type="default" r:id="rId42"/>
          <w:endnotePr>
            <w:numFmt w:val="decimal"/>
          </w:endnotePr>
          <w:pgSz w:w="16838" w:h="11906" w:orient="landscape"/>
          <w:pgMar w:top="1260" w:right="1417" w:bottom="810" w:left="1417" w:header="708" w:footer="708" w:gutter="0"/>
          <w:cols w:space="708"/>
          <w:docGrid w:linePitch="360"/>
        </w:sectPr>
      </w:pPr>
    </w:p>
    <w:p w:rsidR="00751F57" w:rsidRPr="00812E8B" w:rsidRDefault="00FB0A28" w:rsidP="00751F57">
      <w:pPr>
        <w:pStyle w:val="Heading2"/>
        <w:rPr>
          <w:color w:val="auto"/>
          <w:lang w:val="en-US"/>
        </w:rPr>
      </w:pPr>
      <w:bookmarkStart w:id="61" w:name="_Toc306359665"/>
      <w:r w:rsidRPr="00812E8B">
        <w:rPr>
          <w:color w:val="auto"/>
          <w:lang w:val="en-US"/>
        </w:rPr>
        <w:lastRenderedPageBreak/>
        <w:t>I</w:t>
      </w:r>
      <w:r w:rsidR="00751F57" w:rsidRPr="00812E8B">
        <w:rPr>
          <w:color w:val="auto"/>
          <w:lang w:val="en-US"/>
        </w:rPr>
        <w:t>V</w:t>
      </w:r>
      <w:r w:rsidR="00413EC5" w:rsidRPr="00812E8B">
        <w:rPr>
          <w:color w:val="auto"/>
          <w:lang w:val="en-US"/>
        </w:rPr>
        <w:t>.</w:t>
      </w:r>
      <w:r w:rsidR="00751F57" w:rsidRPr="00812E8B">
        <w:rPr>
          <w:color w:val="auto"/>
          <w:lang w:val="en-US"/>
        </w:rPr>
        <w:t xml:space="preserve"> </w:t>
      </w:r>
      <w:r w:rsidRPr="00812E8B">
        <w:rPr>
          <w:color w:val="auto"/>
          <w:lang w:val="en-US"/>
        </w:rPr>
        <w:t>C</w:t>
      </w:r>
      <w:r w:rsidR="00937B13" w:rsidRPr="00812E8B">
        <w:rPr>
          <w:color w:val="auto"/>
          <w:sz w:val="20"/>
          <w:szCs w:val="20"/>
          <w:lang w:val="en-US"/>
        </w:rPr>
        <w:t>ALCULATION METHODS FOR THE DESCRIPTIVE STATISTICS</w:t>
      </w:r>
      <w:bookmarkEnd w:id="61"/>
      <w:r w:rsidR="00937B13" w:rsidRPr="00812E8B">
        <w:rPr>
          <w:color w:val="auto"/>
          <w:sz w:val="20"/>
          <w:szCs w:val="20"/>
          <w:lang w:val="en-US"/>
        </w:rPr>
        <w:t xml:space="preserve"> </w:t>
      </w:r>
    </w:p>
    <w:p w:rsidR="00CE1B03" w:rsidRPr="00812E8B" w:rsidRDefault="00131798" w:rsidP="00131798">
      <w:pPr>
        <w:pStyle w:val="NoSpacing"/>
        <w:spacing w:line="276" w:lineRule="auto"/>
        <w:jc w:val="both"/>
        <w:rPr>
          <w:lang w:val="en-US"/>
        </w:rPr>
      </w:pPr>
      <w:r w:rsidRPr="00812E8B">
        <w:rPr>
          <w:lang w:val="en-US"/>
        </w:rPr>
        <w:t>This appendix describes more extensively how the outliers are investigated and more formally present which outliers are deleted from the sample.</w:t>
      </w:r>
      <w:r w:rsidR="00FB0A28" w:rsidRPr="00812E8B">
        <w:rPr>
          <w:lang w:val="en-US"/>
        </w:rPr>
        <w:t xml:space="preserve"> Thereby also the methodology surrounding the t-test on mean differences between the two subsamples is elaborated.</w:t>
      </w:r>
      <w:r w:rsidRPr="00812E8B">
        <w:rPr>
          <w:lang w:val="en-US"/>
        </w:rPr>
        <w:t xml:space="preserve"> </w:t>
      </w:r>
    </w:p>
    <w:p w:rsidR="00131798" w:rsidRPr="00812E8B" w:rsidRDefault="00131798" w:rsidP="00131798">
      <w:pPr>
        <w:pStyle w:val="NoSpacing"/>
        <w:rPr>
          <w:lang w:val="en-US"/>
        </w:rPr>
      </w:pPr>
    </w:p>
    <w:p w:rsidR="00DD4B8A" w:rsidRPr="00812E8B" w:rsidRDefault="00DD4B8A" w:rsidP="00DD4B8A">
      <w:pPr>
        <w:pStyle w:val="Heading3"/>
        <w:rPr>
          <w:color w:val="auto"/>
          <w:sz w:val="19"/>
          <w:szCs w:val="19"/>
          <w:lang w:val="en-US"/>
        </w:rPr>
      </w:pPr>
      <w:r w:rsidRPr="00812E8B">
        <w:rPr>
          <w:color w:val="auto"/>
          <w:lang w:val="en-US"/>
        </w:rPr>
        <w:t>R</w:t>
      </w:r>
      <w:r w:rsidR="00937B13" w:rsidRPr="00812E8B">
        <w:rPr>
          <w:color w:val="auto"/>
          <w:sz w:val="19"/>
          <w:szCs w:val="19"/>
          <w:lang w:val="en-US"/>
        </w:rPr>
        <w:t>EMOVAL OF OUTLIERS</w:t>
      </w:r>
    </w:p>
    <w:p w:rsidR="00131798" w:rsidRPr="00812E8B" w:rsidRDefault="00131798" w:rsidP="00131798">
      <w:pPr>
        <w:pStyle w:val="NoSpacing"/>
        <w:spacing w:line="276" w:lineRule="auto"/>
        <w:jc w:val="both"/>
        <w:rPr>
          <w:lang w:val="en-US"/>
        </w:rPr>
      </w:pPr>
      <w:r w:rsidRPr="00812E8B">
        <w:rPr>
          <w:lang w:val="en-US"/>
        </w:rPr>
        <w:t xml:space="preserve">The figure below shows the scatter plot of the variables equity to total assets and return on average assets. The scatter plot indicates that the </w:t>
      </w:r>
      <w:r w:rsidR="00335EFC" w:rsidRPr="00812E8B">
        <w:rPr>
          <w:lang w:val="en-US"/>
        </w:rPr>
        <w:t>equity-to-asset ratio</w:t>
      </w:r>
      <w:r w:rsidRPr="00812E8B">
        <w:rPr>
          <w:lang w:val="en-US"/>
        </w:rPr>
        <w:t xml:space="preserve"> for RBS Holdings N.V. (with label 315) is an outlier. Deeper investigation result in an omittance of this variable since the reported </w:t>
      </w:r>
      <w:r w:rsidR="00335EFC" w:rsidRPr="00812E8B">
        <w:rPr>
          <w:lang w:val="en-US"/>
        </w:rPr>
        <w:t>equity-to-asset ratio</w:t>
      </w:r>
      <w:r w:rsidRPr="00812E8B">
        <w:rPr>
          <w:lang w:val="en-US"/>
        </w:rPr>
        <w:t xml:space="preserve"> is indeed based on false information. Furthermore, the five observations that are indicated as an outlier of ROAA are not deleted (see the bottom labels in the figure). These observations are correct observations for mostly Irish banking organizations in 2009, which suffer heavily losses. Besides the removal of the outliers in the </w:t>
      </w:r>
      <w:r w:rsidR="00335EFC" w:rsidRPr="00812E8B">
        <w:rPr>
          <w:lang w:val="en-US"/>
        </w:rPr>
        <w:t>equity-to-asset ratio</w:t>
      </w:r>
      <w:r w:rsidRPr="00812E8B">
        <w:rPr>
          <w:lang w:val="en-US"/>
        </w:rPr>
        <w:t xml:space="preserve">, other variables are investigated as well. This investigation results in a deletion of the Banque Centrale de Compensation, which reported unlikely high funding costs. Finally, for both the variable bank growth and effective tax rate one observation is deleted as outlier. JP Morgan Bank Dublin Plc reported a growth of over 826% in 2008. Banque Palentine reported in that same year, an effective tax rate of 620%.  </w:t>
      </w:r>
    </w:p>
    <w:p w:rsidR="00DD4B8A" w:rsidRPr="00812E8B" w:rsidRDefault="00DD4B8A" w:rsidP="00FD6C0A">
      <w:pPr>
        <w:pStyle w:val="NoSpacing"/>
        <w:spacing w:line="276" w:lineRule="auto"/>
        <w:jc w:val="both"/>
        <w:rPr>
          <w:lang w:val="en-US"/>
        </w:rPr>
      </w:pPr>
    </w:p>
    <w:p w:rsidR="00FD6C0A" w:rsidRPr="00812E8B" w:rsidRDefault="00131798" w:rsidP="00FD6C0A">
      <w:pPr>
        <w:pStyle w:val="Caption"/>
        <w:rPr>
          <w:b w:val="0"/>
          <w:color w:val="auto"/>
          <w:lang w:val="en-US"/>
        </w:rPr>
      </w:pPr>
      <w:bookmarkStart w:id="62" w:name="_Toc305410565"/>
      <w:r w:rsidRPr="00812E8B">
        <w:rPr>
          <w:noProof/>
          <w:lang w:val="en-US" w:eastAsia="en-US"/>
        </w:rPr>
        <w:drawing>
          <wp:anchor distT="0" distB="0" distL="114300" distR="114300" simplePos="0" relativeHeight="251659264" behindDoc="1" locked="0" layoutInCell="1" allowOverlap="1">
            <wp:simplePos x="0" y="0"/>
            <wp:positionH relativeFrom="column">
              <wp:posOffset>258992</wp:posOffset>
            </wp:positionH>
            <wp:positionV relativeFrom="paragraph">
              <wp:posOffset>339725</wp:posOffset>
            </wp:positionV>
            <wp:extent cx="5114290" cy="374269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4290" cy="3742690"/>
                    </a:xfrm>
                    <a:prstGeom prst="rect">
                      <a:avLst/>
                    </a:prstGeom>
                    <a:noFill/>
                    <a:ln w="9525">
                      <a:noFill/>
                      <a:miter lim="800000"/>
                      <a:headEnd/>
                      <a:tailEnd/>
                    </a:ln>
                  </pic:spPr>
                </pic:pic>
              </a:graphicData>
            </a:graphic>
          </wp:anchor>
        </w:drawing>
      </w:r>
      <w:r w:rsidR="00FD6C0A" w:rsidRPr="00812E8B">
        <w:rPr>
          <w:lang w:val="en-US"/>
        </w:rPr>
        <w:t xml:space="preserve">Figure </w:t>
      </w:r>
      <w:r w:rsidR="00D46A7F" w:rsidRPr="00812E8B">
        <w:rPr>
          <w:lang w:val="en-US"/>
        </w:rPr>
        <w:fldChar w:fldCharType="begin"/>
      </w:r>
      <w:r w:rsidR="000B3059" w:rsidRPr="00812E8B">
        <w:rPr>
          <w:lang w:val="en-US"/>
        </w:rPr>
        <w:instrText xml:space="preserve"> SEQ Figure \* ARABIC </w:instrText>
      </w:r>
      <w:r w:rsidR="00D46A7F" w:rsidRPr="00812E8B">
        <w:rPr>
          <w:lang w:val="en-US"/>
        </w:rPr>
        <w:fldChar w:fldCharType="separate"/>
      </w:r>
      <w:r w:rsidR="00DD7D45">
        <w:rPr>
          <w:noProof/>
          <w:lang w:val="en-US"/>
        </w:rPr>
        <w:t>3</w:t>
      </w:r>
      <w:r w:rsidR="00D46A7F" w:rsidRPr="00812E8B">
        <w:rPr>
          <w:lang w:val="en-US"/>
        </w:rPr>
        <w:fldChar w:fldCharType="end"/>
      </w:r>
      <w:r w:rsidR="00FD6C0A" w:rsidRPr="00812E8B">
        <w:rPr>
          <w:lang w:val="en-US"/>
        </w:rPr>
        <w:t xml:space="preserve"> </w:t>
      </w:r>
      <w:r w:rsidR="00FD6C0A" w:rsidRPr="00812E8B">
        <w:rPr>
          <w:lang w:val="en-US"/>
        </w:rPr>
        <w:br/>
      </w:r>
      <w:r w:rsidR="00FD6C0A" w:rsidRPr="00812E8B">
        <w:rPr>
          <w:b w:val="0"/>
          <w:color w:val="auto"/>
          <w:lang w:val="en-US"/>
        </w:rPr>
        <w:t xml:space="preserve">Scatter plot return on average assets and </w:t>
      </w:r>
      <w:r w:rsidR="00335EFC" w:rsidRPr="00812E8B">
        <w:rPr>
          <w:b w:val="0"/>
          <w:color w:val="auto"/>
          <w:lang w:val="en-US"/>
        </w:rPr>
        <w:t>equity-to-asset ratio</w:t>
      </w:r>
      <w:bookmarkEnd w:id="62"/>
    </w:p>
    <w:p w:rsidR="00131798" w:rsidRPr="00812E8B" w:rsidRDefault="00131798" w:rsidP="00FD6C0A">
      <w:pPr>
        <w:pStyle w:val="NoSpacing"/>
        <w:spacing w:line="276" w:lineRule="auto"/>
        <w:jc w:val="both"/>
        <w:rPr>
          <w:lang w:val="en-US"/>
        </w:rPr>
      </w:pPr>
    </w:p>
    <w:p w:rsidR="00131798" w:rsidRPr="00812E8B" w:rsidRDefault="00131798" w:rsidP="00FD6C0A">
      <w:pPr>
        <w:pStyle w:val="NoSpacing"/>
        <w:spacing w:line="276" w:lineRule="auto"/>
        <w:jc w:val="both"/>
        <w:rPr>
          <w:lang w:val="en-US"/>
        </w:rPr>
      </w:pPr>
    </w:p>
    <w:p w:rsidR="00131798" w:rsidRPr="00812E8B" w:rsidRDefault="00131798" w:rsidP="00FD6C0A">
      <w:pPr>
        <w:pStyle w:val="NoSpacing"/>
        <w:spacing w:line="276" w:lineRule="auto"/>
        <w:jc w:val="both"/>
        <w:rPr>
          <w:lang w:val="en-US"/>
        </w:rPr>
      </w:pPr>
    </w:p>
    <w:p w:rsidR="00131798" w:rsidRPr="00812E8B" w:rsidRDefault="00131798" w:rsidP="00FD6C0A">
      <w:pPr>
        <w:pStyle w:val="NoSpacing"/>
        <w:spacing w:line="276" w:lineRule="auto"/>
        <w:jc w:val="both"/>
        <w:rPr>
          <w:lang w:val="en-US"/>
        </w:rPr>
      </w:pPr>
    </w:p>
    <w:p w:rsidR="00131798" w:rsidRPr="00812E8B" w:rsidRDefault="00131798" w:rsidP="00FD6C0A">
      <w:pPr>
        <w:pStyle w:val="NoSpacing"/>
        <w:spacing w:line="276" w:lineRule="auto"/>
        <w:jc w:val="both"/>
        <w:rPr>
          <w:lang w:val="en-US"/>
        </w:rPr>
      </w:pPr>
    </w:p>
    <w:p w:rsidR="00FD6C0A" w:rsidRPr="00812E8B" w:rsidRDefault="00FD6C0A" w:rsidP="00FD6C0A">
      <w:pPr>
        <w:pStyle w:val="NoSpacing"/>
        <w:spacing w:line="276" w:lineRule="auto"/>
        <w:jc w:val="both"/>
        <w:rPr>
          <w:lang w:val="en-US"/>
        </w:rPr>
      </w:pPr>
    </w:p>
    <w:p w:rsidR="00131798" w:rsidRPr="00812E8B" w:rsidRDefault="00131798" w:rsidP="005924E9">
      <w:pPr>
        <w:pStyle w:val="Heading3"/>
        <w:rPr>
          <w:color w:val="auto"/>
          <w:lang w:val="en-US"/>
        </w:rPr>
      </w:pPr>
    </w:p>
    <w:p w:rsidR="00131798" w:rsidRPr="00812E8B" w:rsidRDefault="00131798" w:rsidP="005924E9">
      <w:pPr>
        <w:pStyle w:val="Heading3"/>
        <w:rPr>
          <w:color w:val="auto"/>
          <w:lang w:val="en-US"/>
        </w:rPr>
      </w:pPr>
    </w:p>
    <w:p w:rsidR="00131798" w:rsidRPr="00812E8B" w:rsidRDefault="00131798" w:rsidP="005924E9">
      <w:pPr>
        <w:pStyle w:val="Heading3"/>
        <w:rPr>
          <w:color w:val="auto"/>
          <w:lang w:val="en-US"/>
        </w:rPr>
      </w:pPr>
    </w:p>
    <w:p w:rsidR="00131798" w:rsidRPr="00812E8B" w:rsidRDefault="00131798" w:rsidP="005924E9">
      <w:pPr>
        <w:pStyle w:val="Heading3"/>
        <w:rPr>
          <w:color w:val="auto"/>
          <w:lang w:val="en-US"/>
        </w:rPr>
      </w:pPr>
    </w:p>
    <w:p w:rsidR="00131798" w:rsidRPr="00812E8B" w:rsidRDefault="00131798" w:rsidP="005924E9">
      <w:pPr>
        <w:pStyle w:val="Heading3"/>
        <w:rPr>
          <w:color w:val="auto"/>
          <w:lang w:val="en-US"/>
        </w:rPr>
      </w:pPr>
    </w:p>
    <w:p w:rsidR="00131798" w:rsidRPr="00812E8B" w:rsidRDefault="00131798" w:rsidP="005924E9">
      <w:pPr>
        <w:pStyle w:val="Heading3"/>
        <w:rPr>
          <w:color w:val="auto"/>
          <w:lang w:val="en-US"/>
        </w:rPr>
      </w:pPr>
    </w:p>
    <w:p w:rsidR="00131798" w:rsidRPr="00812E8B" w:rsidRDefault="00131798" w:rsidP="005924E9">
      <w:pPr>
        <w:pStyle w:val="Heading3"/>
        <w:rPr>
          <w:color w:val="auto"/>
          <w:lang w:val="en-US"/>
        </w:rPr>
      </w:pPr>
    </w:p>
    <w:p w:rsidR="00131798" w:rsidRPr="00812E8B" w:rsidRDefault="00131798" w:rsidP="00131798">
      <w:pPr>
        <w:rPr>
          <w:lang w:val="en-US"/>
        </w:rPr>
      </w:pPr>
    </w:p>
    <w:p w:rsidR="00DF256B" w:rsidRPr="00812E8B" w:rsidRDefault="00DF256B" w:rsidP="00DF256B">
      <w:pPr>
        <w:pStyle w:val="Heading3"/>
        <w:rPr>
          <w:color w:val="auto"/>
          <w:sz w:val="19"/>
          <w:szCs w:val="19"/>
          <w:lang w:val="en-US"/>
        </w:rPr>
      </w:pPr>
      <w:r w:rsidRPr="00812E8B">
        <w:rPr>
          <w:color w:val="auto"/>
          <w:lang w:val="en-US"/>
        </w:rPr>
        <w:t>T</w:t>
      </w:r>
      <w:r w:rsidR="00937B13" w:rsidRPr="00812E8B">
        <w:rPr>
          <w:color w:val="auto"/>
          <w:sz w:val="19"/>
          <w:szCs w:val="19"/>
          <w:lang w:val="en-US"/>
        </w:rPr>
        <w:t>WO-SAMPLE T-TEST PARAMETER DIFFERENCES</w:t>
      </w:r>
    </w:p>
    <w:p w:rsidR="00F8495C" w:rsidRPr="00812E8B" w:rsidRDefault="00DF256B" w:rsidP="00DF256B">
      <w:pPr>
        <w:pStyle w:val="NoSpacing"/>
        <w:spacing w:line="276" w:lineRule="auto"/>
        <w:jc w:val="both"/>
        <w:rPr>
          <w:lang w:val="en-US"/>
        </w:rPr>
      </w:pPr>
      <w:r w:rsidRPr="00812E8B">
        <w:rPr>
          <w:lang w:val="en-US"/>
        </w:rPr>
        <w:t>In order to see whether the coefficients in the pre-crisis sample are significantly different from the crisis sample</w:t>
      </w:r>
      <w:r w:rsidR="001267A5" w:rsidRPr="00812E8B">
        <w:rPr>
          <w:lang w:val="en-US"/>
        </w:rPr>
        <w:t xml:space="preserve"> several test can be used; student’s t-test, Welch’s t-test (Student’s t-test under assumption of unequal variances between the samples) or </w:t>
      </w:r>
      <w:r w:rsidR="001267A5" w:rsidRPr="00812E8B">
        <w:rPr>
          <w:bCs/>
          <w:lang w:val="en-US"/>
        </w:rPr>
        <w:t xml:space="preserve">Mann–Whitney </w:t>
      </w:r>
      <w:r w:rsidR="001267A5" w:rsidRPr="00812E8B">
        <w:rPr>
          <w:bCs/>
          <w:iCs/>
          <w:lang w:val="en-US"/>
        </w:rPr>
        <w:t>U</w:t>
      </w:r>
      <w:r w:rsidR="001267A5" w:rsidRPr="00812E8B">
        <w:rPr>
          <w:lang w:val="en-US"/>
        </w:rPr>
        <w:t xml:space="preserve"> test. The first two tests </w:t>
      </w:r>
      <w:r w:rsidR="001267A5" w:rsidRPr="00812E8B">
        <w:rPr>
          <w:lang w:val="en-US"/>
        </w:rPr>
        <w:lastRenderedPageBreak/>
        <w:t xml:space="preserve">are under the assumption that the variables follow a normal distribution while the latter test is a non-parametric test in which the assumption of normality is not required. The variables in this thesis, follow clearly a non-normal distribution as indicated by the Jarcque-Bera and Kurtosis tests, which is in favor for the Mann-Whitney U test. However, research of </w:t>
      </w:r>
      <w:r w:rsidR="00304525" w:rsidRPr="00812E8B">
        <w:rPr>
          <w:color w:val="365F91" w:themeColor="accent1" w:themeShade="BF"/>
          <w:lang w:val="en-US"/>
        </w:rPr>
        <w:t>Ruxton (2006)</w:t>
      </w:r>
      <w:r w:rsidR="001267A5" w:rsidRPr="00812E8B">
        <w:rPr>
          <w:color w:val="365F91" w:themeColor="accent1" w:themeShade="BF"/>
          <w:lang w:val="en-US"/>
        </w:rPr>
        <w:t xml:space="preserve"> </w:t>
      </w:r>
      <w:r w:rsidR="001267A5" w:rsidRPr="00812E8B">
        <w:rPr>
          <w:lang w:val="en-US"/>
        </w:rPr>
        <w:t>suggest</w:t>
      </w:r>
      <w:r w:rsidR="00F8495C" w:rsidRPr="00812E8B">
        <w:rPr>
          <w:lang w:val="en-US"/>
        </w:rPr>
        <w:t>s</w:t>
      </w:r>
      <w:r w:rsidR="001267A5" w:rsidRPr="00812E8B">
        <w:rPr>
          <w:lang w:val="en-US"/>
        </w:rPr>
        <w:t xml:space="preserve"> that in case when the variances between the samples are unequal one should use the Welch’s t-test instead of the Mann-Whitney U test</w:t>
      </w:r>
      <w:r w:rsidR="00F8495C" w:rsidRPr="00812E8B">
        <w:rPr>
          <w:lang w:val="en-US"/>
        </w:rPr>
        <w:t>. Hence, the Welch’s t</w:t>
      </w:r>
      <w:r w:rsidRPr="00812E8B">
        <w:rPr>
          <w:lang w:val="en-US"/>
        </w:rPr>
        <w:t>-test on differences in</w:t>
      </w:r>
      <w:r w:rsidR="00F8495C" w:rsidRPr="00812E8B">
        <w:rPr>
          <w:lang w:val="en-US"/>
        </w:rPr>
        <w:t xml:space="preserve"> means or</w:t>
      </w:r>
      <w:r w:rsidRPr="00812E8B">
        <w:rPr>
          <w:lang w:val="en-US"/>
        </w:rPr>
        <w:t xml:space="preserve"> parameters is used, the appropriate formula is shown below</w:t>
      </w:r>
      <w:r w:rsidR="00D2126E" w:rsidRPr="00812E8B">
        <w:rPr>
          <w:lang w:val="en-US"/>
        </w:rPr>
        <w:t xml:space="preserve"> (see also e.g. </w:t>
      </w:r>
      <w:r w:rsidR="00304525" w:rsidRPr="00812E8B">
        <w:rPr>
          <w:color w:val="365F91" w:themeColor="accent1" w:themeShade="BF"/>
          <w:lang w:val="en-US"/>
        </w:rPr>
        <w:t>Moore, McCabe, Duckworth and Sclove, 2003)</w:t>
      </w:r>
      <w:r w:rsidRPr="00812E8B">
        <w:rPr>
          <w:lang w:val="en-US"/>
        </w:rPr>
        <w:t>:</w:t>
      </w:r>
    </w:p>
    <w:p w:rsidR="00DF256B" w:rsidRPr="00812E8B" w:rsidRDefault="00B4229C" w:rsidP="00D85F01">
      <w:pPr>
        <w:pStyle w:val="NoSpacing"/>
        <w:rPr>
          <w:color w:val="FFFFFF" w:themeColor="background1"/>
          <w:sz w:val="12"/>
          <w:szCs w:val="12"/>
          <w:lang w:val="en-US"/>
        </w:rPr>
      </w:pPr>
      <w:r w:rsidRPr="00812E8B">
        <w:rPr>
          <w:color w:val="FFFFFF" w:themeColor="background1"/>
          <w:sz w:val="12"/>
          <w:szCs w:val="12"/>
          <w:lang w:val="en-US"/>
        </w:rPr>
        <w:t xml:space="preserve">Equation </w:t>
      </w:r>
      <w:r w:rsidR="00D46A7F" w:rsidRPr="00812E8B">
        <w:rPr>
          <w:color w:val="FFFFFF" w:themeColor="background1"/>
          <w:sz w:val="12"/>
          <w:szCs w:val="12"/>
          <w:lang w:val="en-US"/>
        </w:rPr>
        <w:fldChar w:fldCharType="begin"/>
      </w:r>
      <w:r w:rsidRPr="00812E8B">
        <w:rPr>
          <w:color w:val="FFFFFF" w:themeColor="background1"/>
          <w:sz w:val="12"/>
          <w:szCs w:val="12"/>
          <w:lang w:val="en-US"/>
        </w:rPr>
        <w:instrText xml:space="preserve"> SEQ Equation \* ARABIC </w:instrText>
      </w:r>
      <w:r w:rsidR="00D46A7F" w:rsidRPr="00812E8B">
        <w:rPr>
          <w:color w:val="FFFFFF" w:themeColor="background1"/>
          <w:sz w:val="12"/>
          <w:szCs w:val="12"/>
          <w:lang w:val="en-US"/>
        </w:rPr>
        <w:fldChar w:fldCharType="separate"/>
      </w:r>
      <w:r w:rsidR="00DD7D45">
        <w:rPr>
          <w:noProof/>
          <w:color w:val="FFFFFF" w:themeColor="background1"/>
          <w:sz w:val="12"/>
          <w:szCs w:val="12"/>
          <w:lang w:val="en-US"/>
        </w:rPr>
        <w:t>2</w:t>
      </w:r>
      <w:r w:rsidR="00D46A7F" w:rsidRPr="00812E8B">
        <w:rPr>
          <w:color w:val="FFFFFF" w:themeColor="background1"/>
          <w:sz w:val="12"/>
          <w:szCs w:val="12"/>
          <w:lang w:val="en-US"/>
        </w:rPr>
        <w:fldChar w:fldCharType="end"/>
      </w:r>
      <w:r w:rsidRPr="00812E8B">
        <w:rPr>
          <w:color w:val="FFFFFF" w:themeColor="background1"/>
          <w:sz w:val="12"/>
          <w:szCs w:val="12"/>
          <w:lang w:val="en-US"/>
        </w:rPr>
        <w:t xml:space="preserve"> Welch’s t-test</w:t>
      </w:r>
    </w:p>
    <w:p w:rsidR="00DF256B" w:rsidRPr="00812E8B" w:rsidRDefault="00D46A7F" w:rsidP="00DF256B">
      <w:pPr>
        <w:rPr>
          <w:lang w:val="en-US"/>
        </w:rPr>
      </w:pPr>
      <m:oMathPara>
        <m:oMathParaPr>
          <m:jc m:val="left"/>
        </m:oMathParaPr>
        <m:oMath>
          <m:d>
            <m:dPr>
              <m:ctrlPr>
                <w:rPr>
                  <w:rFonts w:ascii="Cambria Math" w:hAnsi="Cambria Math"/>
                  <w:i/>
                  <w:lang w:val="en-US"/>
                </w:rPr>
              </m:ctrlPr>
            </m:dPr>
            <m:e>
              <m:r>
                <w:rPr>
                  <w:rFonts w:ascii="Cambria Math" w:hAnsi="Cambria Math"/>
                  <w:lang w:val="en-US"/>
                </w:rPr>
                <m:t>ii</m:t>
              </m:r>
            </m:e>
          </m:d>
          <m:r>
            <w:rPr>
              <w:rFonts w:ascii="Cambria Math" w:hAnsi="Cambria Math"/>
              <w:lang w:val="en-US"/>
            </w:rPr>
            <m:t xml:space="preserve">    t=       </m:t>
          </m:r>
          <m:f>
            <m:fPr>
              <m:ctrlPr>
                <w:rPr>
                  <w:rFonts w:ascii="Cambria Math" w:hAnsi="Cambria Math"/>
                  <w:i/>
                  <w:lang w:val="en-US"/>
                </w:rPr>
              </m:ctrlPr>
            </m:fPr>
            <m:num>
              <m:d>
                <m:dPr>
                  <m:endChr m:val=""/>
                  <m:ctrlPr>
                    <w:rPr>
                      <w:rFonts w:ascii="Cambria Math" w:hAnsi="Cambria Math"/>
                      <w:i/>
                      <w:lang w:val="en-US"/>
                    </w:rPr>
                  </m:ctrlPr>
                </m:dPr>
                <m:e>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precrisis</m:t>
                      </m:r>
                    </m:sub>
                  </m:sSub>
                </m:e>
              </m:d>
              <m:r>
                <w:rPr>
                  <w:rFonts w:ascii="Cambria Math" w:hAnsi="Cambria Math"/>
                  <w:lang w:val="en-US"/>
                </w:rPr>
                <m:t xml:space="preserve">- </m:t>
              </m:r>
              <m:d>
                <m:dPr>
                  <m:begChr m:val=""/>
                  <m:ctrlPr>
                    <w:rPr>
                      <w:rFonts w:ascii="Cambria Math" w:hAnsi="Cambria Math"/>
                      <w:i/>
                      <w:lang w:val="en-US"/>
                    </w:rPr>
                  </m:ctrlPr>
                </m:dPr>
                <m:e>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crisis</m:t>
                      </m:r>
                    </m:sub>
                  </m:sSub>
                </m:e>
              </m:d>
            </m:num>
            <m:den>
              <m:rad>
                <m:radPr>
                  <m:degHide m:val="on"/>
                  <m:ctrlPr>
                    <w:rPr>
                      <w:rFonts w:ascii="Cambria Math" w:hAnsi="Cambria Math"/>
                      <w:i/>
                      <w:lang w:val="en-US"/>
                    </w:rPr>
                  </m:ctrlPr>
                </m:radPr>
                <m:deg/>
                <m:e>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 xml:space="preserve"> SE</m:t>
                          </m:r>
                        </m:e>
                        <m:sub>
                          <m:r>
                            <w:rPr>
                              <w:rFonts w:ascii="Cambria Math" w:hAnsi="Cambria Math"/>
                              <w:lang w:val="en-US"/>
                            </w:rPr>
                            <m:t>precrisis</m:t>
                          </m:r>
                        </m:sub>
                        <m:sup>
                          <m:r>
                            <w:rPr>
                              <w:rFonts w:ascii="Cambria Math" w:hAnsi="Cambria Math"/>
                              <w:lang w:val="en-US"/>
                            </w:rPr>
                            <m:t>2</m:t>
                          </m:r>
                        </m:sup>
                      </m:sSubSup>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precrisis</m:t>
                          </m:r>
                        </m:sub>
                      </m:sSub>
                    </m:den>
                  </m:f>
                  <m:r>
                    <w:rPr>
                      <w:rFonts w:ascii="Cambria Math" w:hAnsi="Cambria Math"/>
                      <w:lang w:val="en-US"/>
                    </w:rPr>
                    <m:t xml:space="preserve"> + </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 xml:space="preserve"> SE</m:t>
                          </m:r>
                        </m:e>
                        <m:sub>
                          <m:r>
                            <w:rPr>
                              <w:rFonts w:ascii="Cambria Math" w:hAnsi="Cambria Math"/>
                              <w:lang w:val="en-US"/>
                            </w:rPr>
                            <m:t>crisis</m:t>
                          </m:r>
                        </m:sub>
                        <m:sup>
                          <m:r>
                            <w:rPr>
                              <w:rFonts w:ascii="Cambria Math" w:hAnsi="Cambria Math"/>
                              <w:lang w:val="en-US"/>
                            </w:rPr>
                            <m:t>2</m:t>
                          </m:r>
                        </m:sup>
                      </m:sSubSup>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crisis</m:t>
                          </m:r>
                        </m:sub>
                      </m:sSub>
                    </m:den>
                  </m:f>
                </m:e>
              </m:rad>
              <m:r>
                <w:rPr>
                  <w:rFonts w:ascii="Cambria Math" w:hAnsi="Cambria Math"/>
                  <w:lang w:val="en-US"/>
                </w:rPr>
                <m:t xml:space="preserve"> </m:t>
              </m:r>
            </m:den>
          </m:f>
        </m:oMath>
      </m:oMathPara>
    </w:p>
    <w:p w:rsidR="00F8495C" w:rsidRPr="00812E8B" w:rsidRDefault="00F8495C" w:rsidP="00F8495C">
      <w:pPr>
        <w:pStyle w:val="NoSpacing"/>
        <w:spacing w:line="276" w:lineRule="auto"/>
        <w:jc w:val="both"/>
        <w:rPr>
          <w:lang w:val="en-US"/>
        </w:rPr>
      </w:pPr>
      <w:r w:rsidRPr="00812E8B">
        <w:rPr>
          <w:lang w:val="en-US"/>
        </w:rPr>
        <w:t xml:space="preserve">Furthermore, equation (ii) allows that the sample size between both samples differs. Since, the real standard deviations for both samples are unknown the standard-errors of both coefficients are used as approximation. Hence, the formula does not follow a t-distribution since both standard deviations are replaced by standard errors </w:t>
      </w:r>
      <w:r w:rsidR="00304525" w:rsidRPr="00812E8B">
        <w:rPr>
          <w:lang w:val="en-US"/>
        </w:rPr>
        <w:t>(</w:t>
      </w:r>
      <w:r w:rsidR="00304525" w:rsidRPr="00812E8B">
        <w:rPr>
          <w:color w:val="365F91" w:themeColor="accent1" w:themeShade="BF"/>
          <w:lang w:val="en-US"/>
        </w:rPr>
        <w:t>Moore et al., 2003)</w:t>
      </w:r>
      <w:r w:rsidRPr="00812E8B">
        <w:rPr>
          <w:lang w:val="en-US"/>
        </w:rPr>
        <w:t xml:space="preserve">. The distribution follows a t distribution with k of degrees of freedom. </w:t>
      </w:r>
      <w:r w:rsidR="00D2126E" w:rsidRPr="00812E8B">
        <w:rPr>
          <w:lang w:val="en-US"/>
        </w:rPr>
        <w:t xml:space="preserve">According to </w:t>
      </w:r>
      <w:r w:rsidR="00304525" w:rsidRPr="00812E8B">
        <w:rPr>
          <w:color w:val="365F91" w:themeColor="accent1" w:themeShade="BF"/>
          <w:lang w:val="en-US"/>
        </w:rPr>
        <w:t>Moore et al. (2003)</w:t>
      </w:r>
      <w:r w:rsidR="00D2126E" w:rsidRPr="00812E8B">
        <w:rPr>
          <w:color w:val="365F91" w:themeColor="accent1" w:themeShade="BF"/>
          <w:lang w:val="en-US"/>
        </w:rPr>
        <w:t xml:space="preserve"> </w:t>
      </w:r>
      <w:r w:rsidR="00D2126E" w:rsidRPr="00812E8B">
        <w:rPr>
          <w:lang w:val="en-US"/>
        </w:rPr>
        <w:t>t</w:t>
      </w:r>
      <w:r w:rsidRPr="00812E8B">
        <w:rPr>
          <w:lang w:val="en-US"/>
        </w:rPr>
        <w:t xml:space="preserve">he degrees of freedom could be approximated by </w:t>
      </w:r>
      <w:r w:rsidR="00D2126E" w:rsidRPr="00812E8B">
        <w:rPr>
          <w:lang w:val="en-US"/>
        </w:rPr>
        <w:t xml:space="preserve">using the Satterthwaite formula, which </w:t>
      </w:r>
      <w:r w:rsidRPr="00812E8B">
        <w:rPr>
          <w:lang w:val="en-US"/>
        </w:rPr>
        <w:t>is shown here below:</w:t>
      </w:r>
    </w:p>
    <w:p w:rsidR="00F8495C" w:rsidRPr="00812E8B" w:rsidRDefault="00F8495C" w:rsidP="00F8495C">
      <w:pPr>
        <w:pStyle w:val="NoSpacing"/>
        <w:rPr>
          <w:color w:val="FFFFFF" w:themeColor="background1"/>
          <w:sz w:val="8"/>
          <w:szCs w:val="8"/>
          <w:lang w:val="en-US"/>
        </w:rPr>
      </w:pPr>
      <w:r w:rsidRPr="00812E8B">
        <w:rPr>
          <w:rStyle w:val="NoSpacingChar"/>
          <w:color w:val="FFFFFF" w:themeColor="background1"/>
          <w:sz w:val="12"/>
          <w:szCs w:val="12"/>
          <w:lang w:val="en-US"/>
        </w:rPr>
        <w:t>Equation</w:t>
      </w:r>
      <w:r w:rsidRPr="00812E8B">
        <w:rPr>
          <w:rStyle w:val="NoSpacingChar"/>
          <w:color w:val="FFFFFF" w:themeColor="background1"/>
          <w:sz w:val="8"/>
          <w:szCs w:val="8"/>
          <w:lang w:val="en-US"/>
        </w:rPr>
        <w:t xml:space="preserve"> </w:t>
      </w:r>
      <w:r w:rsidR="00D46A7F" w:rsidRPr="00812E8B">
        <w:rPr>
          <w:rStyle w:val="NoSpacingChar"/>
          <w:color w:val="FFFFFF" w:themeColor="background1"/>
          <w:sz w:val="8"/>
          <w:szCs w:val="8"/>
          <w:lang w:val="en-US"/>
        </w:rPr>
        <w:fldChar w:fldCharType="begin"/>
      </w:r>
      <w:r w:rsidRPr="00812E8B">
        <w:rPr>
          <w:rStyle w:val="NoSpacingChar"/>
          <w:color w:val="FFFFFF" w:themeColor="background1"/>
          <w:sz w:val="8"/>
          <w:szCs w:val="8"/>
          <w:lang w:val="en-US"/>
        </w:rPr>
        <w:instrText xml:space="preserve"> SEQ Equation \* ARABIC </w:instrText>
      </w:r>
      <w:r w:rsidR="00D46A7F" w:rsidRPr="00812E8B">
        <w:rPr>
          <w:rStyle w:val="NoSpacingChar"/>
          <w:color w:val="FFFFFF" w:themeColor="background1"/>
          <w:sz w:val="8"/>
          <w:szCs w:val="8"/>
          <w:lang w:val="en-US"/>
        </w:rPr>
        <w:fldChar w:fldCharType="separate"/>
      </w:r>
      <w:r w:rsidR="00DD7D45">
        <w:rPr>
          <w:rStyle w:val="NoSpacingChar"/>
          <w:noProof/>
          <w:color w:val="FFFFFF" w:themeColor="background1"/>
          <w:sz w:val="8"/>
          <w:szCs w:val="8"/>
          <w:lang w:val="en-US"/>
        </w:rPr>
        <w:t>3</w:t>
      </w:r>
      <w:r w:rsidR="00D46A7F" w:rsidRPr="00812E8B">
        <w:rPr>
          <w:rStyle w:val="NoSpacingChar"/>
          <w:color w:val="FFFFFF" w:themeColor="background1"/>
          <w:sz w:val="8"/>
          <w:szCs w:val="8"/>
          <w:lang w:val="en-US"/>
        </w:rPr>
        <w:fldChar w:fldCharType="end"/>
      </w:r>
      <w:r w:rsidRPr="00812E8B">
        <w:rPr>
          <w:rStyle w:val="NoSpacingChar"/>
          <w:color w:val="FFFFFF" w:themeColor="background1"/>
          <w:sz w:val="8"/>
          <w:szCs w:val="8"/>
          <w:lang w:val="en-US"/>
        </w:rPr>
        <w:t xml:space="preserve"> Satterthwaite approximation</w:t>
      </w:r>
      <w:r w:rsidRPr="00812E8B">
        <w:rPr>
          <w:color w:val="FFFFFF" w:themeColor="background1"/>
          <w:sz w:val="8"/>
          <w:szCs w:val="8"/>
          <w:lang w:val="en-US"/>
        </w:rPr>
        <w:t xml:space="preserve"> of degrees of freedom</w:t>
      </w:r>
    </w:p>
    <w:p w:rsidR="00F8495C" w:rsidRPr="00812E8B" w:rsidRDefault="00D46A7F" w:rsidP="00F8495C">
      <w:pPr>
        <w:pStyle w:val="NoSpacing"/>
        <w:spacing w:line="276" w:lineRule="auto"/>
        <w:jc w:val="both"/>
        <w:rPr>
          <w:lang w:val="en-US"/>
        </w:rPr>
      </w:pPr>
      <m:oMathPara>
        <m:oMathParaPr>
          <m:jc m:val="left"/>
        </m:oMathParaPr>
        <m:oMath>
          <m:d>
            <m:dPr>
              <m:ctrlPr>
                <w:rPr>
                  <w:rFonts w:ascii="Cambria Math" w:hAnsi="Cambria Math"/>
                  <w:i/>
                  <w:lang w:val="en-US"/>
                </w:rPr>
              </m:ctrlPr>
            </m:dPr>
            <m:e>
              <m:r>
                <w:rPr>
                  <w:rFonts w:ascii="Cambria Math" w:hAnsi="Cambria Math"/>
                  <w:lang w:val="en-US"/>
                </w:rPr>
                <m:t>iii</m:t>
              </m:r>
            </m:e>
          </m:d>
          <m:r>
            <w:rPr>
              <w:rFonts w:ascii="Cambria Math" w:hAnsi="Cambria Math"/>
              <w:lang w:val="en-US"/>
            </w:rPr>
            <m:t xml:space="preserve">   Df= </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 xml:space="preserve"> SE</m:t>
                          </m:r>
                        </m:e>
                        <m:sub>
                          <m:r>
                            <w:rPr>
                              <w:rFonts w:ascii="Cambria Math" w:hAnsi="Cambria Math"/>
                              <w:lang w:val="en-US"/>
                            </w:rPr>
                            <m:t>precrisis</m:t>
                          </m:r>
                        </m:sub>
                        <m:sup>
                          <m:r>
                            <w:rPr>
                              <w:rFonts w:ascii="Cambria Math" w:hAnsi="Cambria Math"/>
                              <w:lang w:val="en-US"/>
                            </w:rPr>
                            <m:t>2</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precrisis</m:t>
                          </m:r>
                        </m:sub>
                      </m:sSub>
                      <m:r>
                        <w:rPr>
                          <w:rFonts w:ascii="Cambria Math" w:hAnsi="Cambria Math"/>
                          <w:lang w:val="en-US"/>
                        </w:rPr>
                        <m:t xml:space="preserve"> + </m:t>
                      </m:r>
                      <m:sSubSup>
                        <m:sSubSupPr>
                          <m:ctrlPr>
                            <w:rPr>
                              <w:rFonts w:ascii="Cambria Math" w:hAnsi="Cambria Math"/>
                              <w:i/>
                              <w:lang w:val="en-US"/>
                            </w:rPr>
                          </m:ctrlPr>
                        </m:sSubSupPr>
                        <m:e>
                          <m:r>
                            <w:rPr>
                              <w:rFonts w:ascii="Cambria Math" w:hAnsi="Cambria Math"/>
                              <w:lang w:val="en-US"/>
                            </w:rPr>
                            <m:t xml:space="preserve"> SE</m:t>
                          </m:r>
                        </m:e>
                        <m:sub>
                          <m:r>
                            <w:rPr>
                              <w:rFonts w:ascii="Cambria Math" w:hAnsi="Cambria Math"/>
                              <w:lang w:val="en-US"/>
                            </w:rPr>
                            <m:t>crisis</m:t>
                          </m:r>
                        </m:sub>
                        <m:sup>
                          <m:r>
                            <w:rPr>
                              <w:rFonts w:ascii="Cambria Math" w:hAnsi="Cambria Math"/>
                              <w:lang w:val="en-US"/>
                            </w:rPr>
                            <m:t>2</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crisis</m:t>
                          </m:r>
                        </m:sub>
                      </m:sSub>
                    </m:e>
                  </m:d>
                </m:e>
                <m:sup>
                  <m:r>
                    <w:rPr>
                      <w:rFonts w:ascii="Cambria Math" w:hAnsi="Cambria Math"/>
                      <w:lang w:val="en-US"/>
                    </w:rPr>
                    <m:t>2</m:t>
                  </m:r>
                </m:sup>
              </m:sSup>
              <m:r>
                <w:rPr>
                  <w:rFonts w:ascii="Cambria Math" w:hAnsi="Cambria Math"/>
                  <w:lang w:val="en-US"/>
                </w:rPr>
                <m:t xml:space="preserve"> </m:t>
              </m:r>
            </m:num>
            <m:den>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 xml:space="preserve"> SE</m:t>
                      </m:r>
                    </m:e>
                    <m:sub>
                      <m:r>
                        <w:rPr>
                          <w:rFonts w:ascii="Cambria Math" w:hAnsi="Cambria Math"/>
                          <w:lang w:val="en-US"/>
                        </w:rPr>
                        <m:t>precrisis</m:t>
                      </m:r>
                    </m:sub>
                    <m:sup>
                      <m:r>
                        <w:rPr>
                          <w:rFonts w:ascii="Cambria Math" w:hAnsi="Cambria Math"/>
                          <w:lang w:val="en-US"/>
                        </w:rPr>
                        <m:t>2</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precrisis</m:t>
                      </m:r>
                    </m:sub>
                  </m:sSub>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precrisis</m:t>
                      </m:r>
                    </m:sub>
                  </m:sSub>
                  <m:r>
                    <w:rPr>
                      <w:rFonts w:ascii="Cambria Math" w:hAnsi="Cambria Math"/>
                      <w:lang w:val="en-US"/>
                    </w:rPr>
                    <m:t>-1</m:t>
                  </m:r>
                </m:e>
              </m:d>
              <m:r>
                <w:rPr>
                  <w:rFonts w:ascii="Cambria Math" w:hAnsi="Cambria Math"/>
                  <w:lang w:val="en-US"/>
                </w:rPr>
                <m:t xml:space="preserve"> + </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 xml:space="preserve"> SE</m:t>
                      </m:r>
                    </m:e>
                    <m:sub>
                      <m:r>
                        <w:rPr>
                          <w:rFonts w:ascii="Cambria Math" w:hAnsi="Cambria Math"/>
                          <w:lang w:val="en-US"/>
                        </w:rPr>
                        <m:t>crisis</m:t>
                      </m:r>
                    </m:sub>
                    <m:sup>
                      <m:r>
                        <w:rPr>
                          <w:rFonts w:ascii="Cambria Math" w:hAnsi="Cambria Math"/>
                          <w:lang w:val="en-US"/>
                        </w:rPr>
                        <m:t>2</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crisis</m:t>
                      </m:r>
                    </m:sub>
                  </m:sSub>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crisis</m:t>
                      </m:r>
                    </m:sub>
                  </m:sSub>
                  <m:r>
                    <w:rPr>
                      <w:rFonts w:ascii="Cambria Math" w:hAnsi="Cambria Math"/>
                      <w:lang w:val="en-US"/>
                    </w:rPr>
                    <m:t>-1</m:t>
                  </m:r>
                </m:e>
              </m:d>
            </m:den>
          </m:f>
        </m:oMath>
      </m:oMathPara>
    </w:p>
    <w:p w:rsidR="00F8495C" w:rsidRPr="00812E8B" w:rsidRDefault="00F8495C" w:rsidP="00F8495C">
      <w:pPr>
        <w:pStyle w:val="NoSpacing"/>
        <w:rPr>
          <w:lang w:val="en-US"/>
        </w:rPr>
      </w:pPr>
    </w:p>
    <w:p w:rsidR="00D85F01" w:rsidRPr="00812E8B" w:rsidRDefault="00F8495C" w:rsidP="00D85F01">
      <w:pPr>
        <w:pStyle w:val="NoSpacing"/>
        <w:spacing w:line="276" w:lineRule="auto"/>
        <w:jc w:val="both"/>
        <w:rPr>
          <w:lang w:val="en-US"/>
        </w:rPr>
      </w:pPr>
      <w:r w:rsidRPr="00812E8B">
        <w:rPr>
          <w:lang w:val="en-US"/>
        </w:rPr>
        <w:t xml:space="preserve">The t-statistics for the comparison in means are presented in table </w:t>
      </w:r>
      <w:r w:rsidR="00107DF8" w:rsidRPr="00812E8B">
        <w:rPr>
          <w:lang w:val="en-US"/>
        </w:rPr>
        <w:t>11</w:t>
      </w:r>
      <w:r w:rsidRPr="00812E8B">
        <w:rPr>
          <w:lang w:val="en-US"/>
        </w:rPr>
        <w:t xml:space="preserve"> while the p-values are only reported in the main text in table 4.  </w:t>
      </w:r>
    </w:p>
    <w:p w:rsidR="00107DF8" w:rsidRPr="00812E8B" w:rsidRDefault="00107DF8" w:rsidP="00FB0A28">
      <w:pPr>
        <w:pStyle w:val="NoSpacing"/>
        <w:spacing w:line="276" w:lineRule="auto"/>
        <w:jc w:val="both"/>
        <w:rPr>
          <w:lang w:val="en-US"/>
        </w:rPr>
      </w:pPr>
    </w:p>
    <w:p w:rsidR="00FB0A28" w:rsidRPr="00812E8B" w:rsidRDefault="00FB0A28" w:rsidP="00FB0A28">
      <w:pPr>
        <w:pStyle w:val="Heading2"/>
        <w:rPr>
          <w:color w:val="auto"/>
          <w:lang w:val="en-US"/>
        </w:rPr>
      </w:pPr>
      <w:bookmarkStart w:id="63" w:name="_Toc306359666"/>
      <w:r w:rsidRPr="00812E8B">
        <w:rPr>
          <w:color w:val="auto"/>
          <w:lang w:val="en-US"/>
        </w:rPr>
        <w:t>V. D</w:t>
      </w:r>
      <w:r w:rsidR="00937B13" w:rsidRPr="00812E8B">
        <w:rPr>
          <w:color w:val="auto"/>
          <w:sz w:val="20"/>
          <w:szCs w:val="20"/>
          <w:lang w:val="en-US"/>
        </w:rPr>
        <w:t>YNAMIC PANEL DATA ESTIMATION</w:t>
      </w:r>
      <w:bookmarkEnd w:id="63"/>
    </w:p>
    <w:p w:rsidR="00FB0A28" w:rsidRPr="00812E8B" w:rsidRDefault="00FB0A28" w:rsidP="00D85F01">
      <w:pPr>
        <w:pStyle w:val="NoSpacing"/>
        <w:spacing w:line="276" w:lineRule="auto"/>
        <w:jc w:val="both"/>
        <w:rPr>
          <w:lang w:val="en-US"/>
        </w:rPr>
      </w:pPr>
      <w:r w:rsidRPr="00812E8B">
        <w:rPr>
          <w:lang w:val="en-US"/>
        </w:rPr>
        <w:t xml:space="preserve">In addition to the removal of outliers and the calculation methods of the t-test on mean differences, this paragraph describe more formally how the two-step System GMM method and robustness checks are implemented in the Stata software. </w:t>
      </w:r>
    </w:p>
    <w:p w:rsidR="00FB0A28" w:rsidRPr="00812E8B" w:rsidRDefault="00FB0A28" w:rsidP="00FB0A28">
      <w:pPr>
        <w:pStyle w:val="NoSpacing"/>
        <w:rPr>
          <w:lang w:val="en-US"/>
        </w:rPr>
      </w:pPr>
    </w:p>
    <w:p w:rsidR="00107DF8" w:rsidRPr="00812E8B" w:rsidRDefault="00107DF8" w:rsidP="00107DF8">
      <w:pPr>
        <w:pStyle w:val="Heading3"/>
        <w:rPr>
          <w:color w:val="auto"/>
          <w:sz w:val="19"/>
          <w:szCs w:val="19"/>
          <w:lang w:val="en-US"/>
        </w:rPr>
      </w:pPr>
      <w:r w:rsidRPr="00812E8B">
        <w:rPr>
          <w:color w:val="auto"/>
          <w:lang w:val="en-US"/>
        </w:rPr>
        <w:t>I</w:t>
      </w:r>
      <w:r w:rsidR="00937B13" w:rsidRPr="00812E8B">
        <w:rPr>
          <w:color w:val="auto"/>
          <w:sz w:val="19"/>
          <w:szCs w:val="19"/>
          <w:lang w:val="en-US"/>
        </w:rPr>
        <w:t>MPLEMENTING THE TWO-STEP GMM ESTIMATOR IN STATA</w:t>
      </w:r>
    </w:p>
    <w:p w:rsidR="00107DF8" w:rsidRPr="00812E8B" w:rsidRDefault="00107DF8" w:rsidP="00107DF8">
      <w:pPr>
        <w:pStyle w:val="NoSpacing"/>
        <w:spacing w:line="276" w:lineRule="auto"/>
        <w:jc w:val="both"/>
        <w:rPr>
          <w:lang w:val="en-US"/>
        </w:rPr>
      </w:pPr>
      <w:r w:rsidRPr="00812E8B">
        <w:rPr>
          <w:lang w:val="en-US"/>
        </w:rPr>
        <w:t xml:space="preserve">Throughout this thesis, it is mentioned that the empirical results are obtained using the state of the art two-step System GMM estimator using the forward orthogonal method. The methodology is implemented in the Stata (StataCorp) statistical software package using the following command: </w:t>
      </w:r>
    </w:p>
    <w:p w:rsidR="00007EA9" w:rsidRPr="00812E8B" w:rsidRDefault="00007EA9" w:rsidP="00007EA9">
      <w:pPr>
        <w:pStyle w:val="NoSpacing"/>
        <w:spacing w:line="360" w:lineRule="auto"/>
        <w:jc w:val="both"/>
        <w:rPr>
          <w:lang w:val="en-US"/>
        </w:rPr>
      </w:pPr>
    </w:p>
    <w:p w:rsidR="00107DF8" w:rsidRPr="00812E8B" w:rsidRDefault="00107DF8" w:rsidP="00107DF8">
      <w:pPr>
        <w:pStyle w:val="NoSpacing"/>
        <w:pBdr>
          <w:bottom w:val="single" w:sz="4" w:space="1" w:color="auto"/>
        </w:pBdr>
        <w:spacing w:line="180" w:lineRule="auto"/>
        <w:jc w:val="both"/>
        <w:rPr>
          <w:lang w:val="en-US"/>
        </w:rPr>
      </w:pPr>
      <w:r w:rsidRPr="00812E8B">
        <w:rPr>
          <w:lang w:val="en-US"/>
        </w:rPr>
        <w:t>Main model: Two-step system GMM with forward orthogonal deviations</w:t>
      </w:r>
    </w:p>
    <w:p w:rsidR="00107DF8" w:rsidRPr="00812E8B" w:rsidRDefault="00107DF8" w:rsidP="00107DF8">
      <w:pPr>
        <w:pStyle w:val="NoSpacing"/>
        <w:tabs>
          <w:tab w:val="left" w:pos="8364"/>
        </w:tabs>
        <w:spacing w:line="276" w:lineRule="auto"/>
        <w:ind w:left="567" w:right="850"/>
        <w:jc w:val="both"/>
        <w:rPr>
          <w:i/>
          <w:lang w:val="en-US"/>
        </w:rPr>
      </w:pPr>
      <w:r w:rsidRPr="00812E8B">
        <w:rPr>
          <w:i/>
          <w:lang w:val="en-US"/>
        </w:rPr>
        <w:t>xtabond2 roaa L.roaa eqtas deptfund lossrev liqfund fundcost nonint costinc growth hhindex size stakeholder government gdp tax interest, gmm(L.roaa eqtas) gmm(deptfund lossrev liqfund fundcost nonint costinc growth size tax, lag(1 1)) iv(hhindex stakeholder government gdp interest) small robust orthogonal twostep</w:t>
      </w:r>
    </w:p>
    <w:p w:rsidR="00107DF8" w:rsidRPr="00812E8B" w:rsidRDefault="00107DF8" w:rsidP="00107DF8">
      <w:pPr>
        <w:pStyle w:val="NoSpacing"/>
        <w:spacing w:line="276" w:lineRule="auto"/>
        <w:jc w:val="both"/>
        <w:rPr>
          <w:lang w:val="en-US"/>
        </w:rPr>
      </w:pPr>
    </w:p>
    <w:p w:rsidR="00303CF2" w:rsidRPr="00812E8B" w:rsidRDefault="00107DF8" w:rsidP="00303CF2">
      <w:pPr>
        <w:pStyle w:val="NoSpacing"/>
        <w:spacing w:line="276" w:lineRule="auto"/>
        <w:jc w:val="both"/>
        <w:rPr>
          <w:lang w:val="en-US"/>
        </w:rPr>
      </w:pPr>
      <w:r w:rsidRPr="00812E8B">
        <w:rPr>
          <w:lang w:val="en-US"/>
        </w:rPr>
        <w:t xml:space="preserve">Using the abovementioned command will give the same results as </w:t>
      </w:r>
      <w:r w:rsidRPr="006B2E20">
        <w:rPr>
          <w:lang w:val="en-US"/>
        </w:rPr>
        <w:t xml:space="preserve">presented in table 6. For </w:t>
      </w:r>
      <w:r w:rsidRPr="00812E8B">
        <w:rPr>
          <w:lang w:val="en-US"/>
        </w:rPr>
        <w:t xml:space="preserve">the pre-determined variables only the first lags is used as instrument while for the potential endogenous </w:t>
      </w:r>
      <w:r w:rsidRPr="00812E8B">
        <w:rPr>
          <w:lang w:val="en-US"/>
        </w:rPr>
        <w:lastRenderedPageBreak/>
        <w:t>variables (equity-to-asset ratio and lagged profitability) up from two lags is used. The variables in brackets after the ‘</w:t>
      </w:r>
      <w:r w:rsidRPr="00812E8B">
        <w:rPr>
          <w:i/>
          <w:lang w:val="en-US"/>
        </w:rPr>
        <w:t>ivstykle’</w:t>
      </w:r>
      <w:r w:rsidRPr="00812E8B">
        <w:rPr>
          <w:lang w:val="en-US"/>
        </w:rPr>
        <w:t xml:space="preserve"> command are not instrumented but are used in observed values without</w:t>
      </w:r>
      <w:r w:rsidR="00303CF2" w:rsidRPr="00812E8B">
        <w:rPr>
          <w:lang w:val="en-US"/>
        </w:rPr>
        <w:t xml:space="preserve"> transformation. Note that the command </w:t>
      </w:r>
      <w:r w:rsidR="00303CF2" w:rsidRPr="00812E8B">
        <w:rPr>
          <w:i/>
          <w:lang w:val="en-US"/>
        </w:rPr>
        <w:t>small</w:t>
      </w:r>
      <w:r w:rsidR="00303CF2" w:rsidRPr="00812E8B">
        <w:rPr>
          <w:lang w:val="en-US"/>
        </w:rPr>
        <w:t xml:space="preserve"> generates the t-statistics instead of z-statistics and that the option </w:t>
      </w:r>
      <w:r w:rsidR="00303CF2" w:rsidRPr="00812E8B">
        <w:rPr>
          <w:i/>
          <w:lang w:val="en-US"/>
        </w:rPr>
        <w:t>orthogonal</w:t>
      </w:r>
      <w:r w:rsidR="00303CF2" w:rsidRPr="00812E8B">
        <w:rPr>
          <w:lang w:val="en-US"/>
        </w:rPr>
        <w:t xml:space="preserve"> tells the program to use the forward orthogonal deviations instead of the first differences as instruments. </w:t>
      </w:r>
      <w:r w:rsidR="00303CF2" w:rsidRPr="00812E8B">
        <w:rPr>
          <w:i/>
          <w:lang w:val="en-US"/>
        </w:rPr>
        <w:t>Robust</w:t>
      </w:r>
      <w:r w:rsidR="00303CF2" w:rsidRPr="00812E8B">
        <w:rPr>
          <w:lang w:val="en-US"/>
        </w:rPr>
        <w:t xml:space="preserve"> is included in the command to generate the Windmeijer adjusted standard errors in the two-step estimator. Finally, the straightforward command </w:t>
      </w:r>
      <w:r w:rsidR="00303CF2" w:rsidRPr="00812E8B">
        <w:rPr>
          <w:i/>
          <w:lang w:val="en-US"/>
        </w:rPr>
        <w:t>twostep</w:t>
      </w:r>
      <w:r w:rsidR="00303CF2" w:rsidRPr="00812E8B">
        <w:rPr>
          <w:lang w:val="en-US"/>
        </w:rPr>
        <w:t xml:space="preserve"> gives the two-step System GMM results instead of the one-step results.</w:t>
      </w:r>
    </w:p>
    <w:p w:rsidR="00D2126E" w:rsidRPr="00812E8B" w:rsidRDefault="00D2126E" w:rsidP="00D85F01">
      <w:pPr>
        <w:pStyle w:val="NoSpacing"/>
        <w:spacing w:line="276" w:lineRule="auto"/>
        <w:jc w:val="both"/>
        <w:rPr>
          <w:lang w:val="en-US"/>
        </w:rPr>
      </w:pPr>
    </w:p>
    <w:p w:rsidR="00107DF8" w:rsidRPr="00812E8B" w:rsidRDefault="00107DF8" w:rsidP="00107DF8">
      <w:pPr>
        <w:pStyle w:val="Caption"/>
        <w:rPr>
          <w:rFonts w:eastAsiaTheme="majorEastAsia"/>
          <w:bCs w:val="0"/>
          <w:lang w:val="en-US"/>
        </w:rPr>
      </w:pPr>
      <w:r w:rsidRPr="00812E8B">
        <w:rPr>
          <w:lang w:val="en-US"/>
        </w:rPr>
        <w:t xml:space="preserve">Table </w:t>
      </w:r>
      <w:r w:rsidR="00D46A7F" w:rsidRPr="00812E8B">
        <w:rPr>
          <w:lang w:val="en-US"/>
        </w:rPr>
        <w:fldChar w:fldCharType="begin"/>
      </w:r>
      <w:r w:rsidRPr="00812E8B">
        <w:rPr>
          <w:lang w:val="en-US"/>
        </w:rPr>
        <w:instrText xml:space="preserve"> SEQ Table \* ARABIC </w:instrText>
      </w:r>
      <w:r w:rsidR="00D46A7F" w:rsidRPr="00812E8B">
        <w:rPr>
          <w:lang w:val="en-US"/>
        </w:rPr>
        <w:fldChar w:fldCharType="separate"/>
      </w:r>
      <w:r w:rsidR="00DD7D45">
        <w:rPr>
          <w:noProof/>
          <w:lang w:val="en-US"/>
        </w:rPr>
        <w:t>11</w:t>
      </w:r>
      <w:r w:rsidR="00D46A7F" w:rsidRPr="00812E8B">
        <w:rPr>
          <w:lang w:val="en-US"/>
        </w:rPr>
        <w:fldChar w:fldCharType="end"/>
      </w:r>
      <w:r w:rsidRPr="00812E8B">
        <w:rPr>
          <w:lang w:val="en-US"/>
        </w:rPr>
        <w:t xml:space="preserve"> </w:t>
      </w:r>
      <w:r w:rsidRPr="00812E8B">
        <w:rPr>
          <w:lang w:val="en-US"/>
        </w:rPr>
        <w:br/>
      </w:r>
      <w:r w:rsidRPr="00812E8B">
        <w:rPr>
          <w:b w:val="0"/>
          <w:color w:val="auto"/>
          <w:lang w:val="en-US"/>
        </w:rPr>
        <w:t>Calculations of mean differences between the subsamples</w:t>
      </w:r>
    </w:p>
    <w:tbl>
      <w:tblPr>
        <w:tblStyle w:val="Lichtearcering1"/>
        <w:tblW w:w="9076" w:type="dxa"/>
        <w:tblInd w:w="108" w:type="dxa"/>
        <w:tblLook w:val="04A0"/>
      </w:tblPr>
      <w:tblGrid>
        <w:gridCol w:w="3119"/>
        <w:gridCol w:w="1275"/>
        <w:gridCol w:w="1276"/>
        <w:gridCol w:w="1277"/>
        <w:gridCol w:w="933"/>
        <w:gridCol w:w="993"/>
        <w:gridCol w:w="203"/>
      </w:tblGrid>
      <w:tr w:rsidR="00107DF8" w:rsidRPr="00812E8B" w:rsidTr="00107DF8">
        <w:trPr>
          <w:cnfStyle w:val="100000000000"/>
        </w:trPr>
        <w:tc>
          <w:tcPr>
            <w:cnfStyle w:val="001000000000"/>
            <w:tcW w:w="3119" w:type="dxa"/>
            <w:shd w:val="clear" w:color="auto" w:fill="auto"/>
          </w:tcPr>
          <w:p w:rsidR="00107DF8" w:rsidRPr="00812E8B" w:rsidRDefault="00107DF8" w:rsidP="00D85F01">
            <w:pPr>
              <w:pStyle w:val="NoSpacing"/>
              <w:spacing w:line="276" w:lineRule="auto"/>
              <w:jc w:val="both"/>
              <w:rPr>
                <w:rFonts w:eastAsiaTheme="majorEastAsia"/>
                <w:bCs w:val="0"/>
                <w:lang w:val="en-US"/>
              </w:rPr>
            </w:pPr>
          </w:p>
        </w:tc>
        <w:tc>
          <w:tcPr>
            <w:tcW w:w="1275" w:type="dxa"/>
            <w:shd w:val="clear" w:color="auto" w:fill="auto"/>
          </w:tcPr>
          <w:p w:rsidR="00107DF8" w:rsidRPr="00812E8B" w:rsidRDefault="00107DF8" w:rsidP="00D85F01">
            <w:pPr>
              <w:pStyle w:val="NoSpacing"/>
              <w:spacing w:line="276" w:lineRule="auto"/>
              <w:jc w:val="both"/>
              <w:cnfStyle w:val="100000000000"/>
              <w:rPr>
                <w:rFonts w:eastAsiaTheme="majorEastAsia"/>
                <w:b w:val="0"/>
                <w:bCs w:val="0"/>
                <w:lang w:val="en-US"/>
              </w:rPr>
            </w:pPr>
            <w:r w:rsidRPr="00812E8B">
              <w:rPr>
                <w:rFonts w:eastAsiaTheme="majorEastAsia"/>
                <w:b w:val="0"/>
                <w:bCs w:val="0"/>
                <w:lang w:val="en-US"/>
              </w:rPr>
              <w:t>Difference in mean</w:t>
            </w:r>
          </w:p>
        </w:tc>
        <w:tc>
          <w:tcPr>
            <w:tcW w:w="1276" w:type="dxa"/>
            <w:shd w:val="clear" w:color="auto" w:fill="auto"/>
          </w:tcPr>
          <w:p w:rsidR="00107DF8" w:rsidRPr="00812E8B" w:rsidRDefault="00107DF8" w:rsidP="00D85F01">
            <w:pPr>
              <w:pStyle w:val="NoSpacing"/>
              <w:spacing w:line="276" w:lineRule="auto"/>
              <w:jc w:val="both"/>
              <w:cnfStyle w:val="100000000000"/>
              <w:rPr>
                <w:rFonts w:eastAsiaTheme="majorEastAsia"/>
                <w:b w:val="0"/>
                <w:bCs w:val="0"/>
                <w:lang w:val="en-US"/>
              </w:rPr>
            </w:pPr>
            <w:r w:rsidRPr="00812E8B">
              <w:rPr>
                <w:rFonts w:eastAsiaTheme="majorEastAsia"/>
                <w:b w:val="0"/>
                <w:bCs w:val="0"/>
                <w:lang w:val="en-US"/>
              </w:rPr>
              <w:t>Standard error comb</w:t>
            </w:r>
          </w:p>
        </w:tc>
        <w:tc>
          <w:tcPr>
            <w:tcW w:w="1277" w:type="dxa"/>
            <w:shd w:val="clear" w:color="auto" w:fill="auto"/>
          </w:tcPr>
          <w:p w:rsidR="00107DF8" w:rsidRPr="00812E8B" w:rsidRDefault="00107DF8" w:rsidP="00D85F01">
            <w:pPr>
              <w:pStyle w:val="NoSpacing"/>
              <w:spacing w:line="276" w:lineRule="auto"/>
              <w:jc w:val="both"/>
              <w:cnfStyle w:val="100000000000"/>
              <w:rPr>
                <w:rFonts w:eastAsiaTheme="majorEastAsia"/>
                <w:b w:val="0"/>
                <w:bCs w:val="0"/>
                <w:lang w:val="en-US"/>
              </w:rPr>
            </w:pPr>
            <w:r w:rsidRPr="00812E8B">
              <w:rPr>
                <w:rFonts w:eastAsiaTheme="majorEastAsia"/>
                <w:b w:val="0"/>
                <w:bCs w:val="0"/>
                <w:lang w:val="en-US"/>
              </w:rPr>
              <w:t>Satterth-waite d.f.</w:t>
            </w:r>
          </w:p>
        </w:tc>
        <w:tc>
          <w:tcPr>
            <w:tcW w:w="933" w:type="dxa"/>
            <w:shd w:val="clear" w:color="auto" w:fill="auto"/>
          </w:tcPr>
          <w:p w:rsidR="00107DF8" w:rsidRPr="00812E8B" w:rsidRDefault="00107DF8" w:rsidP="00580FFF">
            <w:pPr>
              <w:pStyle w:val="NoSpacing"/>
              <w:spacing w:line="276" w:lineRule="auto"/>
              <w:jc w:val="center"/>
              <w:cnfStyle w:val="100000000000"/>
              <w:rPr>
                <w:rFonts w:eastAsiaTheme="majorEastAsia"/>
                <w:bCs w:val="0"/>
                <w:lang w:val="en-US"/>
              </w:rPr>
            </w:pPr>
            <w:r w:rsidRPr="00812E8B">
              <w:rPr>
                <w:rFonts w:eastAsiaTheme="majorEastAsia"/>
                <w:b w:val="0"/>
                <w:bCs w:val="0"/>
                <w:lang w:val="en-US"/>
              </w:rPr>
              <w:t>T-statistic</w:t>
            </w:r>
          </w:p>
        </w:tc>
        <w:tc>
          <w:tcPr>
            <w:tcW w:w="1196" w:type="dxa"/>
            <w:gridSpan w:val="2"/>
            <w:shd w:val="clear" w:color="auto" w:fill="auto"/>
          </w:tcPr>
          <w:p w:rsidR="00107DF8" w:rsidRPr="00812E8B" w:rsidRDefault="00107DF8" w:rsidP="00580FFF">
            <w:pPr>
              <w:pStyle w:val="NoSpacing"/>
              <w:spacing w:line="276" w:lineRule="auto"/>
              <w:cnfStyle w:val="100000000000"/>
              <w:rPr>
                <w:rFonts w:eastAsiaTheme="majorEastAsia"/>
                <w:b w:val="0"/>
                <w:bCs w:val="0"/>
                <w:lang w:val="en-US"/>
              </w:rPr>
            </w:pPr>
            <w:r w:rsidRPr="00812E8B">
              <w:rPr>
                <w:rFonts w:eastAsiaTheme="majorEastAsia"/>
                <w:b w:val="0"/>
                <w:bCs w:val="0"/>
                <w:lang w:val="en-US"/>
              </w:rPr>
              <w:t>P-value</w:t>
            </w:r>
          </w:p>
        </w:tc>
      </w:tr>
      <w:tr w:rsidR="00107DF8" w:rsidRPr="00812E8B" w:rsidTr="00107DF8">
        <w:trPr>
          <w:gridAfter w:val="1"/>
          <w:cnfStyle w:val="000000100000"/>
          <w:wAfter w:w="203" w:type="dxa"/>
        </w:trPr>
        <w:tc>
          <w:tcPr>
            <w:cnfStyle w:val="001000000000"/>
            <w:tcW w:w="3119" w:type="dxa"/>
            <w:shd w:val="clear" w:color="auto" w:fill="auto"/>
          </w:tcPr>
          <w:p w:rsidR="00107DF8" w:rsidRPr="00812E8B" w:rsidRDefault="00107DF8" w:rsidP="00893066">
            <w:pPr>
              <w:pStyle w:val="NoSpacing"/>
              <w:spacing w:line="276" w:lineRule="auto"/>
              <w:ind w:left="34"/>
              <w:jc w:val="both"/>
              <w:rPr>
                <w:rFonts w:eastAsiaTheme="majorEastAsia"/>
                <w:b w:val="0"/>
                <w:bCs w:val="0"/>
                <w:lang w:val="en-US"/>
              </w:rPr>
            </w:pPr>
            <w:r w:rsidRPr="00812E8B">
              <w:rPr>
                <w:rFonts w:eastAsiaTheme="majorEastAsia"/>
                <w:b w:val="0"/>
                <w:bCs w:val="0"/>
                <w:lang w:val="en-US"/>
              </w:rPr>
              <w:t xml:space="preserve">Dependent variable </w:t>
            </w:r>
          </w:p>
        </w:tc>
        <w:tc>
          <w:tcPr>
            <w:tcW w:w="1275" w:type="dxa"/>
            <w:shd w:val="clear" w:color="auto" w:fill="auto"/>
          </w:tcPr>
          <w:p w:rsidR="00107DF8" w:rsidRPr="00812E8B" w:rsidRDefault="00107DF8" w:rsidP="00D85F01">
            <w:pPr>
              <w:pStyle w:val="NoSpacing"/>
              <w:spacing w:line="276" w:lineRule="auto"/>
              <w:jc w:val="both"/>
              <w:cnfStyle w:val="000000100000"/>
              <w:rPr>
                <w:rFonts w:eastAsiaTheme="majorEastAsia"/>
                <w:bCs/>
                <w:lang w:val="en-US"/>
              </w:rPr>
            </w:pPr>
          </w:p>
        </w:tc>
        <w:tc>
          <w:tcPr>
            <w:tcW w:w="1276" w:type="dxa"/>
            <w:shd w:val="clear" w:color="auto" w:fill="auto"/>
          </w:tcPr>
          <w:p w:rsidR="00107DF8" w:rsidRPr="00812E8B" w:rsidRDefault="00107DF8" w:rsidP="00D85F01">
            <w:pPr>
              <w:pStyle w:val="NoSpacing"/>
              <w:spacing w:line="276" w:lineRule="auto"/>
              <w:jc w:val="both"/>
              <w:cnfStyle w:val="000000100000"/>
              <w:rPr>
                <w:rFonts w:eastAsiaTheme="majorEastAsia"/>
                <w:bCs/>
                <w:lang w:val="en-US"/>
              </w:rPr>
            </w:pPr>
          </w:p>
        </w:tc>
        <w:tc>
          <w:tcPr>
            <w:tcW w:w="1277" w:type="dxa"/>
            <w:shd w:val="clear" w:color="auto" w:fill="auto"/>
          </w:tcPr>
          <w:p w:rsidR="00107DF8" w:rsidRPr="00812E8B" w:rsidRDefault="00107DF8" w:rsidP="00D85F01">
            <w:pPr>
              <w:pStyle w:val="NoSpacing"/>
              <w:spacing w:line="276" w:lineRule="auto"/>
              <w:jc w:val="both"/>
              <w:cnfStyle w:val="000000100000"/>
              <w:rPr>
                <w:rFonts w:eastAsiaTheme="majorEastAsia"/>
                <w:bCs/>
                <w:lang w:val="en-US"/>
              </w:rPr>
            </w:pPr>
          </w:p>
        </w:tc>
        <w:tc>
          <w:tcPr>
            <w:tcW w:w="933" w:type="dxa"/>
            <w:shd w:val="clear" w:color="auto" w:fill="auto"/>
          </w:tcPr>
          <w:p w:rsidR="00107DF8" w:rsidRPr="00812E8B" w:rsidRDefault="00107DF8" w:rsidP="003A6C1C">
            <w:pPr>
              <w:pStyle w:val="NoSpacing"/>
              <w:spacing w:line="276" w:lineRule="auto"/>
              <w:jc w:val="both"/>
              <w:cnfStyle w:val="000000100000"/>
              <w:rPr>
                <w:rFonts w:eastAsiaTheme="majorEastAsia"/>
                <w:bCs/>
                <w:lang w:val="en-US"/>
              </w:rPr>
            </w:pP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r>
      <w:tr w:rsidR="00107DF8" w:rsidRPr="00812E8B" w:rsidTr="00107DF8">
        <w:trPr>
          <w:gridAfter w:val="1"/>
          <w:wAfter w:w="203" w:type="dxa"/>
        </w:trPr>
        <w:tc>
          <w:tcPr>
            <w:cnfStyle w:val="001000000000"/>
            <w:tcW w:w="3119" w:type="dxa"/>
            <w:shd w:val="clear" w:color="auto" w:fill="auto"/>
          </w:tcPr>
          <w:p w:rsidR="00107DF8" w:rsidRPr="00812E8B" w:rsidRDefault="00107DF8" w:rsidP="00F8495C">
            <w:pPr>
              <w:pStyle w:val="NoSpacing"/>
              <w:spacing w:line="276" w:lineRule="auto"/>
              <w:ind w:left="284"/>
              <w:jc w:val="both"/>
              <w:rPr>
                <w:rFonts w:eastAsiaTheme="majorEastAsia"/>
                <w:b w:val="0"/>
                <w:bCs w:val="0"/>
                <w:lang w:val="en-US"/>
              </w:rPr>
            </w:pPr>
            <w:r w:rsidRPr="00812E8B">
              <w:rPr>
                <w:rFonts w:eastAsiaTheme="majorEastAsia"/>
                <w:b w:val="0"/>
                <w:bCs w:val="0"/>
                <w:lang w:val="en-US"/>
              </w:rPr>
              <w:t>Return on average assets</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0.2034</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0.0436</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1043.21</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4.66</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0.000</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34"/>
              <w:rPr>
                <w:b w:val="0"/>
                <w:lang w:val="en-US"/>
              </w:rPr>
            </w:pPr>
            <w:r w:rsidRPr="00812E8B">
              <w:rPr>
                <w:b w:val="0"/>
                <w:lang w:val="en-US"/>
              </w:rPr>
              <w:t>Bank-specific variables</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color w:val="auto"/>
                <w:lang w:val="en-US"/>
              </w:rPr>
            </w:pPr>
            <w:r w:rsidRPr="00812E8B">
              <w:rPr>
                <w:b w:val="0"/>
                <w:color w:val="auto"/>
                <w:lang w:val="en-US"/>
              </w:rPr>
              <w:t>Equity to total assets</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-0.3750</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0.1527</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1644.60</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-2.46</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0.014</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ight="-189"/>
              <w:rPr>
                <w:b w:val="0"/>
                <w:color w:val="auto"/>
                <w:lang w:val="en-US"/>
              </w:rPr>
            </w:pPr>
            <w:r w:rsidRPr="00812E8B">
              <w:rPr>
                <w:b w:val="0"/>
                <w:color w:val="auto"/>
                <w:lang w:val="en-US"/>
              </w:rPr>
              <w:t>Customer deposits/ funding</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-1.4843</w:t>
            </w: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1.2032</w:t>
            </w: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1783.92</w:t>
            </w: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-1.23</w:t>
            </w: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0.218</w:t>
            </w: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color w:val="auto"/>
                <w:lang w:val="en-US"/>
              </w:rPr>
            </w:pPr>
            <w:r w:rsidRPr="00812E8B">
              <w:rPr>
                <w:b w:val="0"/>
                <w:color w:val="auto"/>
                <w:lang w:val="en-US"/>
              </w:rPr>
              <w:t>Loan loss provision</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-8.8872</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1.9250</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1055.28</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-4.62</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0.000</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color w:val="auto"/>
                <w:lang w:val="en-US"/>
              </w:rPr>
            </w:pPr>
            <w:r w:rsidRPr="00812E8B">
              <w:rPr>
                <w:b w:val="0"/>
                <w:color w:val="auto"/>
                <w:lang w:val="en-US"/>
              </w:rPr>
              <w:t>Liquid assets to deposits</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2.7098</w:t>
            </w: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3.0931</w:t>
            </w: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1789.60</w:t>
            </w: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0.88</w:t>
            </w: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0.381</w:t>
            </w: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Interest expense deposits</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0.0036</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0.1329</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1672.64</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0.03</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0.978</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color w:val="auto"/>
                <w:lang w:val="en-US"/>
              </w:rPr>
            </w:pPr>
            <w:r w:rsidRPr="00812E8B">
              <w:rPr>
                <w:b w:val="0"/>
                <w:color w:val="auto"/>
                <w:lang w:val="en-US"/>
              </w:rPr>
              <w:t>Non-interest income</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2.0007</w:t>
            </w: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2.2889</w:t>
            </w: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1025.03</w:t>
            </w: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0.87</w:t>
            </w: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0.382</w:t>
            </w: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335EFC" w:rsidP="00893066">
            <w:pPr>
              <w:pStyle w:val="NoSpacing"/>
              <w:spacing w:line="276" w:lineRule="auto"/>
              <w:ind w:left="252"/>
              <w:rPr>
                <w:b w:val="0"/>
                <w:color w:val="auto"/>
                <w:lang w:val="en-US"/>
              </w:rPr>
            </w:pPr>
            <w:r w:rsidRPr="00812E8B">
              <w:rPr>
                <w:b w:val="0"/>
                <w:color w:val="auto"/>
                <w:lang w:val="en-US"/>
              </w:rPr>
              <w:t>Cost-to-income ratio</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-0.4919</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1.2746</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1191.96</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-0.39</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0.700</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Growth of loans</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0.9219</w:t>
            </w: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2.1822</w:t>
            </w: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1472.20</w:t>
            </w: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0.42</w:t>
            </w: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0.673</w:t>
            </w: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34"/>
              <w:rPr>
                <w:b w:val="0"/>
                <w:lang w:val="en-US"/>
              </w:rPr>
            </w:pPr>
            <w:r w:rsidRPr="00812E8B">
              <w:rPr>
                <w:b w:val="0"/>
                <w:lang w:val="en-US"/>
              </w:rPr>
              <w:t>Industry-specific variables</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ight="-99"/>
              <w:rPr>
                <w:b w:val="0"/>
                <w:lang w:val="en-US"/>
              </w:rPr>
            </w:pPr>
            <w:r w:rsidRPr="00812E8B">
              <w:rPr>
                <w:b w:val="0"/>
                <w:lang w:val="en-US"/>
              </w:rPr>
              <w:t>Herfindahl-Hischman index</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-59.8380</w:t>
            </w: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17.0292</w:t>
            </w: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1900.97</w:t>
            </w: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-3.51</w:t>
            </w: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0.001</w:t>
            </w: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Logarithm of total assets</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-0.0960</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0.0990</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1696.22</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-0.97</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0.332</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Dummy stakeholder</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-0.0855</w:t>
            </w: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0.0214</w:t>
            </w: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1809.29</w:t>
            </w: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-3.99</w:t>
            </w: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0.000</w:t>
            </w: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Dummy government</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-0.0001</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0.0115</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1852.52</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-0.01</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0.992</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34"/>
              <w:rPr>
                <w:b w:val="0"/>
                <w:lang w:val="en-US"/>
              </w:rPr>
            </w:pPr>
            <w:r w:rsidRPr="00812E8B">
              <w:rPr>
                <w:b w:val="0"/>
                <w:lang w:val="en-US"/>
              </w:rPr>
              <w:t>Macroeconomic variables</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Real GDP growth</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2.8297</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0.1175</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1181.30</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24.08</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0.000</w:t>
            </w:r>
          </w:p>
        </w:tc>
      </w:tr>
      <w:tr w:rsidR="00107DF8" w:rsidRPr="00812E8B" w:rsidTr="00107DF8">
        <w:trPr>
          <w:gridAfter w:val="1"/>
          <w:cnfStyle w:val="000000100000"/>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Effective tax rate</w:t>
            </w:r>
          </w:p>
        </w:tc>
        <w:tc>
          <w:tcPr>
            <w:tcW w:w="1275"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1.7999</w:t>
            </w:r>
          </w:p>
        </w:tc>
        <w:tc>
          <w:tcPr>
            <w:tcW w:w="1276"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2.4693</w:t>
            </w:r>
          </w:p>
        </w:tc>
        <w:tc>
          <w:tcPr>
            <w:tcW w:w="1277"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1665.91</w:t>
            </w:r>
          </w:p>
        </w:tc>
        <w:tc>
          <w:tcPr>
            <w:tcW w:w="93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0.73</w:t>
            </w:r>
          </w:p>
        </w:tc>
        <w:tc>
          <w:tcPr>
            <w:tcW w:w="993" w:type="dxa"/>
            <w:shd w:val="clear" w:color="auto" w:fill="auto"/>
          </w:tcPr>
          <w:p w:rsidR="00107DF8" w:rsidRPr="00812E8B" w:rsidRDefault="00107DF8" w:rsidP="00107DF8">
            <w:pPr>
              <w:pStyle w:val="NoSpacing"/>
              <w:spacing w:line="276" w:lineRule="auto"/>
              <w:jc w:val="center"/>
              <w:cnfStyle w:val="000000100000"/>
              <w:rPr>
                <w:rFonts w:eastAsiaTheme="majorEastAsia"/>
                <w:bCs/>
                <w:lang w:val="en-US"/>
              </w:rPr>
            </w:pPr>
            <w:r w:rsidRPr="00812E8B">
              <w:rPr>
                <w:rFonts w:eastAsiaTheme="majorEastAsia"/>
                <w:bCs/>
                <w:lang w:val="en-US"/>
              </w:rPr>
              <w:t>0.466</w:t>
            </w:r>
          </w:p>
        </w:tc>
      </w:tr>
      <w:tr w:rsidR="00107DF8" w:rsidRPr="00812E8B" w:rsidTr="00107DF8">
        <w:trPr>
          <w:gridAfter w:val="1"/>
          <w:wAfter w:w="203" w:type="dxa"/>
        </w:trPr>
        <w:tc>
          <w:tcPr>
            <w:cnfStyle w:val="001000000000"/>
            <w:tcW w:w="3119" w:type="dxa"/>
            <w:shd w:val="clear" w:color="auto" w:fill="auto"/>
            <w:vAlign w:val="bottom"/>
          </w:tcPr>
          <w:p w:rsidR="00107DF8" w:rsidRPr="00812E8B" w:rsidRDefault="00107DF8" w:rsidP="00893066">
            <w:pPr>
              <w:pStyle w:val="NoSpacing"/>
              <w:spacing w:line="276" w:lineRule="auto"/>
              <w:ind w:left="252"/>
              <w:rPr>
                <w:b w:val="0"/>
                <w:lang w:val="en-US"/>
              </w:rPr>
            </w:pPr>
            <w:r w:rsidRPr="00812E8B">
              <w:rPr>
                <w:b w:val="0"/>
                <w:lang w:val="en-US"/>
              </w:rPr>
              <w:t>Term structure interest</w:t>
            </w:r>
          </w:p>
        </w:tc>
        <w:tc>
          <w:tcPr>
            <w:tcW w:w="1275"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0.6257</w:t>
            </w:r>
          </w:p>
        </w:tc>
        <w:tc>
          <w:tcPr>
            <w:tcW w:w="1276"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0.0384</w:t>
            </w:r>
          </w:p>
        </w:tc>
        <w:tc>
          <w:tcPr>
            <w:tcW w:w="1277"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1044.85</w:t>
            </w:r>
          </w:p>
        </w:tc>
        <w:tc>
          <w:tcPr>
            <w:tcW w:w="93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16.30</w:t>
            </w:r>
          </w:p>
        </w:tc>
        <w:tc>
          <w:tcPr>
            <w:tcW w:w="993" w:type="dxa"/>
            <w:shd w:val="clear" w:color="auto" w:fill="auto"/>
          </w:tcPr>
          <w:p w:rsidR="00107DF8" w:rsidRPr="00812E8B" w:rsidRDefault="00107DF8" w:rsidP="00107DF8">
            <w:pPr>
              <w:pStyle w:val="NoSpacing"/>
              <w:spacing w:line="276" w:lineRule="auto"/>
              <w:jc w:val="center"/>
              <w:cnfStyle w:val="000000000000"/>
              <w:rPr>
                <w:rFonts w:eastAsiaTheme="majorEastAsia"/>
                <w:bCs/>
                <w:lang w:val="en-US"/>
              </w:rPr>
            </w:pPr>
            <w:r w:rsidRPr="00812E8B">
              <w:rPr>
                <w:rFonts w:eastAsiaTheme="majorEastAsia"/>
                <w:bCs/>
                <w:lang w:val="en-US"/>
              </w:rPr>
              <w:t>0.000</w:t>
            </w:r>
          </w:p>
        </w:tc>
      </w:tr>
    </w:tbl>
    <w:p w:rsidR="00007EA9" w:rsidRPr="00812E8B" w:rsidRDefault="00580FFF" w:rsidP="00580FFF">
      <w:pPr>
        <w:pStyle w:val="NoSpacing"/>
        <w:spacing w:line="276" w:lineRule="auto"/>
        <w:ind w:right="141"/>
        <w:jc w:val="both"/>
        <w:rPr>
          <w:sz w:val="20"/>
          <w:szCs w:val="20"/>
          <w:lang w:val="en-US"/>
        </w:rPr>
      </w:pPr>
      <w:r w:rsidRPr="00812E8B">
        <w:rPr>
          <w:sz w:val="20"/>
          <w:szCs w:val="20"/>
          <w:lang w:val="en-US"/>
        </w:rPr>
        <w:t xml:space="preserve">The table reports the calculation of the Welch’s test on mean differences between the pre-crisis and crisis subsample. The p-values are also presented in table 4 for the descriptive statistics. </w:t>
      </w:r>
    </w:p>
    <w:p w:rsidR="00580FFF" w:rsidRPr="00812E8B" w:rsidRDefault="00580FFF" w:rsidP="00580FFF">
      <w:pPr>
        <w:pStyle w:val="NoSpacing"/>
        <w:rPr>
          <w:lang w:val="en-US"/>
        </w:rPr>
      </w:pPr>
    </w:p>
    <w:p w:rsidR="005924E9" w:rsidRPr="00812E8B" w:rsidRDefault="005924E9" w:rsidP="005924E9">
      <w:pPr>
        <w:pStyle w:val="Heading3"/>
        <w:rPr>
          <w:color w:val="auto"/>
          <w:lang w:val="en-US"/>
        </w:rPr>
      </w:pPr>
      <w:r w:rsidRPr="00812E8B">
        <w:rPr>
          <w:color w:val="auto"/>
          <w:lang w:val="en-US"/>
        </w:rPr>
        <w:t>I</w:t>
      </w:r>
      <w:r w:rsidR="00937B13" w:rsidRPr="00812E8B">
        <w:rPr>
          <w:color w:val="auto"/>
          <w:sz w:val="19"/>
          <w:szCs w:val="19"/>
          <w:lang w:val="en-US"/>
        </w:rPr>
        <w:t>MPLEMENTING ROBUSTNESS CHECKS IN STATA</w:t>
      </w:r>
    </w:p>
    <w:p w:rsidR="00316810" w:rsidRPr="00812E8B" w:rsidRDefault="00316810" w:rsidP="00FD6C0A">
      <w:pPr>
        <w:pStyle w:val="NoSpacing"/>
        <w:spacing w:line="276" w:lineRule="auto"/>
        <w:jc w:val="both"/>
        <w:rPr>
          <w:lang w:val="en-US"/>
        </w:rPr>
      </w:pPr>
      <w:r w:rsidRPr="00812E8B">
        <w:rPr>
          <w:lang w:val="en-US"/>
        </w:rPr>
        <w:t>Furthermore, several robustness checks are performed to test whether the results from the initial two-step System GMM regression are valid explanations for the true unobserved coefficients. Chapter six already mentioned that the robustness checks either relate to an adaption of the sample or to a change in the regression method. This paragraph only elaborates the implementation of regression techniques and does not describe changes in the sample since these adaptions are rather straightforward.</w:t>
      </w:r>
      <w:r w:rsidR="00672923" w:rsidRPr="00812E8B">
        <w:rPr>
          <w:lang w:val="en-US"/>
        </w:rPr>
        <w:t xml:space="preserve"> Besides, model 3 in table 7 is not further elaborated since the model is identically </w:t>
      </w:r>
      <w:r w:rsidR="00672923" w:rsidRPr="00812E8B">
        <w:rPr>
          <w:lang w:val="en-US"/>
        </w:rPr>
        <w:lastRenderedPageBreak/>
        <w:t xml:space="preserve">the same as described here above with the exception that the option </w:t>
      </w:r>
      <w:r w:rsidR="00672923" w:rsidRPr="00812E8B">
        <w:rPr>
          <w:i/>
          <w:lang w:val="en-US"/>
        </w:rPr>
        <w:t>lag(1 1)</w:t>
      </w:r>
      <w:r w:rsidR="00672923" w:rsidRPr="00812E8B">
        <w:rPr>
          <w:lang w:val="en-US"/>
        </w:rPr>
        <w:t xml:space="preserve"> is removed in the command for Stata and hence all available lags are used</w:t>
      </w:r>
      <w:r w:rsidR="006E51BD" w:rsidRPr="00812E8B">
        <w:rPr>
          <w:lang w:val="en-US"/>
        </w:rPr>
        <w:t xml:space="preserve"> for the predetermined variables</w:t>
      </w:r>
      <w:r w:rsidR="00672923" w:rsidRPr="00812E8B">
        <w:rPr>
          <w:lang w:val="en-US"/>
        </w:rPr>
        <w:t xml:space="preserve">. </w:t>
      </w:r>
    </w:p>
    <w:p w:rsidR="00580FFF" w:rsidRPr="00812E8B" w:rsidRDefault="00580FFF" w:rsidP="00FD6C0A">
      <w:pPr>
        <w:pStyle w:val="NoSpacing"/>
        <w:spacing w:line="276" w:lineRule="auto"/>
        <w:jc w:val="both"/>
        <w:rPr>
          <w:lang w:val="en-US"/>
        </w:rPr>
      </w:pPr>
    </w:p>
    <w:p w:rsidR="004900AA" w:rsidRPr="00812E8B" w:rsidRDefault="006E51BD" w:rsidP="00FD6C0A">
      <w:pPr>
        <w:pStyle w:val="NoSpacing"/>
        <w:spacing w:line="276" w:lineRule="auto"/>
        <w:jc w:val="both"/>
        <w:rPr>
          <w:rFonts w:cstheme="minorHAnsi"/>
          <w:lang w:val="en-US"/>
        </w:rPr>
      </w:pPr>
      <w:r w:rsidRPr="00812E8B">
        <w:rPr>
          <w:lang w:val="en-US"/>
        </w:rPr>
        <w:t>For the first robustness check (model 1) the</w:t>
      </w:r>
      <w:r w:rsidR="00CF1991" w:rsidRPr="00812E8B">
        <w:rPr>
          <w:lang w:val="en-US"/>
        </w:rPr>
        <w:t xml:space="preserve"> panel data is estimated with a pooled </w:t>
      </w:r>
      <w:r w:rsidR="00316810" w:rsidRPr="00812E8B">
        <w:rPr>
          <w:lang w:val="en-US"/>
        </w:rPr>
        <w:t>ordinary least squares regression</w:t>
      </w:r>
      <w:r w:rsidR="00CF1991" w:rsidRPr="00812E8B">
        <w:rPr>
          <w:lang w:val="en-US"/>
        </w:rPr>
        <w:t xml:space="preserve">. </w:t>
      </w:r>
      <w:r w:rsidR="00672923" w:rsidRPr="00812E8B">
        <w:rPr>
          <w:lang w:val="en-US"/>
        </w:rPr>
        <w:t xml:space="preserve">The OLS </w:t>
      </w:r>
      <w:r w:rsidR="00CF1991" w:rsidRPr="00812E8B">
        <w:rPr>
          <w:lang w:val="en-US"/>
        </w:rPr>
        <w:t xml:space="preserve">regression </w:t>
      </w:r>
      <w:r w:rsidR="00672923" w:rsidRPr="00812E8B">
        <w:rPr>
          <w:lang w:val="en-US"/>
        </w:rPr>
        <w:t xml:space="preserve">estimates </w:t>
      </w:r>
      <w:r w:rsidR="00CF1991" w:rsidRPr="00812E8B">
        <w:rPr>
          <w:lang w:val="en-US"/>
        </w:rPr>
        <w:t xml:space="preserve">only one equation (in contrary to the two-step System GMM) </w:t>
      </w:r>
      <w:r w:rsidR="00672923" w:rsidRPr="00812E8B">
        <w:rPr>
          <w:lang w:val="en-US"/>
        </w:rPr>
        <w:t>in which</w:t>
      </w:r>
      <w:r w:rsidR="00CF1991" w:rsidRPr="00812E8B">
        <w:rPr>
          <w:lang w:val="en-US"/>
        </w:rPr>
        <w:t xml:space="preserve"> all data is stacked together. Pooling all the data into one simple equation implicitly assumes</w:t>
      </w:r>
      <w:r w:rsidR="00B33EAD" w:rsidRPr="00812E8B">
        <w:rPr>
          <w:lang w:val="en-US"/>
        </w:rPr>
        <w:t xml:space="preserve"> that the relationships are constant over time and over the cross-sectional observations</w:t>
      </w:r>
      <w:r w:rsidR="00672923" w:rsidRPr="00812E8B">
        <w:rPr>
          <w:lang w:val="en-US"/>
        </w:rPr>
        <w:t xml:space="preserve"> </w:t>
      </w:r>
      <w:r w:rsidR="0010765B" w:rsidRPr="00812E8B">
        <w:rPr>
          <w:color w:val="365F91" w:themeColor="accent1" w:themeShade="BF"/>
          <w:lang w:val="en-US"/>
        </w:rPr>
        <w:t>(Brooks, 2008)</w:t>
      </w:r>
      <w:r w:rsidR="00B33EAD" w:rsidRPr="00812E8B">
        <w:rPr>
          <w:lang w:val="en-US"/>
        </w:rPr>
        <w:t xml:space="preserve">. There are some other </w:t>
      </w:r>
      <w:r w:rsidR="00A41FC2" w:rsidRPr="00812E8B">
        <w:rPr>
          <w:lang w:val="en-US"/>
        </w:rPr>
        <w:t>approaches</w:t>
      </w:r>
      <w:r w:rsidR="00B33EAD" w:rsidRPr="00812E8B">
        <w:rPr>
          <w:lang w:val="en-US"/>
        </w:rPr>
        <w:t xml:space="preserve"> that are very similar to normal OLS but that </w:t>
      </w:r>
      <w:r w:rsidR="00A41FC2" w:rsidRPr="00812E8B">
        <w:rPr>
          <w:lang w:val="en-US"/>
        </w:rPr>
        <w:t>do</w:t>
      </w:r>
      <w:r w:rsidR="00B33EAD" w:rsidRPr="00812E8B">
        <w:rPr>
          <w:lang w:val="en-US"/>
        </w:rPr>
        <w:t xml:space="preserve"> not assume a constant relationship between variables over time and ove</w:t>
      </w:r>
      <w:r w:rsidR="00DA1D91" w:rsidRPr="00812E8B">
        <w:rPr>
          <w:lang w:val="en-US"/>
        </w:rPr>
        <w:t xml:space="preserve">r cross-sectional observations. </w:t>
      </w:r>
      <w:r w:rsidR="00B33EAD" w:rsidRPr="00812E8B">
        <w:rPr>
          <w:lang w:val="en-US"/>
        </w:rPr>
        <w:t>These approaches are classified into fixed effects and random effects models</w:t>
      </w:r>
      <w:r w:rsidR="004900AA" w:rsidRPr="00812E8B">
        <w:rPr>
          <w:lang w:val="en-US"/>
        </w:rPr>
        <w:t xml:space="preserve"> </w:t>
      </w:r>
      <w:r w:rsidR="0010765B" w:rsidRPr="00812E8B">
        <w:rPr>
          <w:color w:val="365F91" w:themeColor="accent1" w:themeShade="BF"/>
          <w:lang w:val="en-US"/>
        </w:rPr>
        <w:t xml:space="preserve">(Baltagi, </w:t>
      </w:r>
      <w:r w:rsidR="00304525" w:rsidRPr="00812E8B">
        <w:rPr>
          <w:color w:val="365F91" w:themeColor="accent1" w:themeShade="BF"/>
          <w:lang w:val="en-US"/>
        </w:rPr>
        <w:t>2005)</w:t>
      </w:r>
      <w:r w:rsidR="00B33EAD" w:rsidRPr="00812E8B">
        <w:rPr>
          <w:lang w:val="en-US"/>
        </w:rPr>
        <w:t xml:space="preserve">. The first model eliminates the bank-specific effect  </w:t>
      </w:r>
      <m:oMath>
        <m:sSub>
          <m:sSubPr>
            <m:ctrlPr>
              <w:rPr>
                <w:rFonts w:ascii="Cambria Math" w:hAnsi="Cambria Math"/>
                <w:bCs/>
                <w:i/>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oMath>
      <w:r w:rsidR="00B33EAD" w:rsidRPr="00812E8B">
        <w:rPr>
          <w:lang w:val="en-US"/>
        </w:rPr>
        <w:t xml:space="preserve"> from the error item</w:t>
      </w:r>
      <w:r w:rsidR="00D31F45" w:rsidRPr="00812E8B">
        <w:rPr>
          <w:lang w:val="en-US"/>
        </w:rPr>
        <w:t xml:space="preserve"> by adding </w:t>
      </w:r>
      <w:r w:rsidR="00B33EAD" w:rsidRPr="00812E8B">
        <w:rPr>
          <w:lang w:val="en-US"/>
        </w:rPr>
        <w:t>dummy variables for each cross-sectional observation</w:t>
      </w:r>
      <w:r w:rsidR="00D31F45" w:rsidRPr="00812E8B">
        <w:rPr>
          <w:lang w:val="en-US"/>
        </w:rPr>
        <w:t xml:space="preserve"> in the main regression.</w:t>
      </w:r>
      <w:r w:rsidRPr="00812E8B">
        <w:rPr>
          <w:lang w:val="en-US"/>
        </w:rPr>
        <w:t xml:space="preserve"> Since, th</w:t>
      </w:r>
      <w:r w:rsidR="00D31F45" w:rsidRPr="00812E8B">
        <w:rPr>
          <w:lang w:val="en-US"/>
        </w:rPr>
        <w:t xml:space="preserve">is fixed effects model </w:t>
      </w:r>
      <w:r w:rsidRPr="00812E8B">
        <w:rPr>
          <w:lang w:val="en-US"/>
        </w:rPr>
        <w:t>uses</w:t>
      </w:r>
      <w:r w:rsidR="00D31F45" w:rsidRPr="00812E8B">
        <w:rPr>
          <w:lang w:val="en-US"/>
        </w:rPr>
        <w:t xml:space="preserve"> dummy variables i</w:t>
      </w:r>
      <w:r w:rsidRPr="00812E8B">
        <w:rPr>
          <w:lang w:val="en-US"/>
        </w:rPr>
        <w:t>t i</w:t>
      </w:r>
      <w:r w:rsidR="00D31F45" w:rsidRPr="00812E8B">
        <w:rPr>
          <w:lang w:val="en-US"/>
        </w:rPr>
        <w:t>s often referred to as the</w:t>
      </w:r>
      <w:r w:rsidR="00A41FC2" w:rsidRPr="00812E8B">
        <w:rPr>
          <w:lang w:val="en-US"/>
        </w:rPr>
        <w:t xml:space="preserve"> least squares dummy variable (LSDV) estimator</w:t>
      </w:r>
      <w:r w:rsidR="00B33EAD" w:rsidRPr="00812E8B">
        <w:rPr>
          <w:lang w:val="en-US"/>
        </w:rPr>
        <w:t>.</w:t>
      </w:r>
      <w:r w:rsidR="00A41FC2" w:rsidRPr="00812E8B">
        <w:rPr>
          <w:lang w:val="en-US"/>
        </w:rPr>
        <w:t xml:space="preserve"> In the LSDV </w:t>
      </w:r>
      <w:r w:rsidR="00031D00" w:rsidRPr="00812E8B">
        <w:rPr>
          <w:lang w:val="en-US"/>
        </w:rPr>
        <w:t>model,</w:t>
      </w:r>
      <w:r w:rsidRPr="00812E8B">
        <w:rPr>
          <w:lang w:val="en-US"/>
        </w:rPr>
        <w:t xml:space="preserve"> the dummy variables are used as intercepts for each cross-sectional observation</w:t>
      </w:r>
      <w:r w:rsidR="00A41FC2" w:rsidRPr="00812E8B">
        <w:rPr>
          <w:lang w:val="en-US"/>
        </w:rPr>
        <w:t xml:space="preserve"> </w:t>
      </w:r>
      <w:r w:rsidRPr="00812E8B">
        <w:rPr>
          <w:lang w:val="en-US"/>
        </w:rPr>
        <w:t>and</w:t>
      </w:r>
      <w:r w:rsidR="00A41FC2" w:rsidRPr="00812E8B">
        <w:rPr>
          <w:lang w:val="en-US"/>
        </w:rPr>
        <w:t xml:space="preserve"> may differ between cross-sections but not over time </w:t>
      </w:r>
      <w:r w:rsidR="0010765B" w:rsidRPr="00812E8B">
        <w:rPr>
          <w:color w:val="365F91" w:themeColor="accent1" w:themeShade="BF"/>
          <w:lang w:val="en-US"/>
        </w:rPr>
        <w:t>(Brooks, 2008)</w:t>
      </w:r>
      <w:r w:rsidR="00A41FC2" w:rsidRPr="00812E8B">
        <w:rPr>
          <w:lang w:val="en-US"/>
        </w:rPr>
        <w:t xml:space="preserve">. Note that when the number of banks is large there are many </w:t>
      </w:r>
      <w:r w:rsidRPr="00812E8B">
        <w:rPr>
          <w:lang w:val="en-US"/>
        </w:rPr>
        <w:t xml:space="preserve">dummy </w:t>
      </w:r>
      <w:r w:rsidR="00A41FC2" w:rsidRPr="00812E8B">
        <w:rPr>
          <w:lang w:val="en-US"/>
        </w:rPr>
        <w:t xml:space="preserve">coefficients to be estimated, therefore a within transformation </w:t>
      </w:r>
      <w:r w:rsidR="00D31F45" w:rsidRPr="00812E8B">
        <w:rPr>
          <w:lang w:val="en-US"/>
        </w:rPr>
        <w:t xml:space="preserve">could be </w:t>
      </w:r>
      <w:r w:rsidR="00A41FC2" w:rsidRPr="00812E8B">
        <w:rPr>
          <w:lang w:val="en-US"/>
        </w:rPr>
        <w:t xml:space="preserve">used to </w:t>
      </w:r>
      <w:r w:rsidR="00D31F45" w:rsidRPr="00812E8B">
        <w:rPr>
          <w:lang w:val="en-US"/>
        </w:rPr>
        <w:t>run the fixed effects regression</w:t>
      </w:r>
      <w:r w:rsidR="00A41FC2" w:rsidRPr="00812E8B">
        <w:rPr>
          <w:lang w:val="en-US"/>
        </w:rPr>
        <w:t>. The within groups transformation is mathematically the same as the LSDV method only</w:t>
      </w:r>
      <w:r w:rsidR="00031D00" w:rsidRPr="00812E8B">
        <w:rPr>
          <w:lang w:val="en-US"/>
        </w:rPr>
        <w:t xml:space="preserve"> the degrees of freedom differs</w:t>
      </w:r>
      <w:r w:rsidR="00D31F45" w:rsidRPr="00812E8B">
        <w:rPr>
          <w:lang w:val="en-US"/>
        </w:rPr>
        <w:t>;</w:t>
      </w:r>
      <w:r w:rsidR="00031D00" w:rsidRPr="00812E8B">
        <w:rPr>
          <w:lang w:val="en-US"/>
        </w:rPr>
        <w:t xml:space="preserve"> for the slope coefficients both methods p</w:t>
      </w:r>
      <w:r w:rsidR="00031D00" w:rsidRPr="00F815CD">
        <w:rPr>
          <w:lang w:val="en-US"/>
        </w:rPr>
        <w:t>roduce the same results.</w:t>
      </w:r>
      <w:r w:rsidR="00A41FC2" w:rsidRPr="00F815CD">
        <w:rPr>
          <w:lang w:val="en-US"/>
        </w:rPr>
        <w:t xml:space="preserve"> To simplify the calculations in Stata the within-group methods is used. </w:t>
      </w:r>
      <w:r w:rsidR="00031D00" w:rsidRPr="00F815CD">
        <w:rPr>
          <w:lang w:val="en-US"/>
        </w:rPr>
        <w:t xml:space="preserve">Besides, </w:t>
      </w:r>
      <w:r w:rsidR="00D31F45" w:rsidRPr="00F815CD">
        <w:rPr>
          <w:lang w:val="en-US"/>
        </w:rPr>
        <w:t>the other</w:t>
      </w:r>
      <w:r w:rsidR="00031D00" w:rsidRPr="00F815CD">
        <w:rPr>
          <w:lang w:val="en-US"/>
        </w:rPr>
        <w:t xml:space="preserve"> panel data technique </w:t>
      </w:r>
      <w:r w:rsidR="00D31F45" w:rsidRPr="00F815CD">
        <w:rPr>
          <w:lang w:val="en-US"/>
        </w:rPr>
        <w:t xml:space="preserve">that could be applied to the model is </w:t>
      </w:r>
      <w:r w:rsidR="00031D00" w:rsidRPr="00F815CD">
        <w:rPr>
          <w:lang w:val="en-US"/>
        </w:rPr>
        <w:t>the random effects model. In contrary to the fixed effects model, the random effects model could incorporate time-invariant variables (such as ownership)</w:t>
      </w:r>
      <w:r w:rsidR="00D31F45" w:rsidRPr="00F815CD">
        <w:rPr>
          <w:lang w:val="en-US"/>
        </w:rPr>
        <w:t xml:space="preserve"> since </w:t>
      </w:r>
      <w:r w:rsidR="00F815CD" w:rsidRPr="00F815CD">
        <w:rPr>
          <w:lang w:val="en-US"/>
        </w:rPr>
        <w:t>the</w:t>
      </w:r>
      <w:r w:rsidR="00D31F45" w:rsidRPr="00F815CD">
        <w:rPr>
          <w:lang w:val="en-US"/>
        </w:rPr>
        <w:t xml:space="preserve"> time-invariant variabl</w:t>
      </w:r>
      <w:r w:rsidR="00F815CD" w:rsidRPr="00F815CD">
        <w:rPr>
          <w:lang w:val="en-US"/>
        </w:rPr>
        <w:t xml:space="preserve">es are not absorbed by the intercept. </w:t>
      </w:r>
      <w:r w:rsidRPr="00812E8B">
        <w:rPr>
          <w:lang w:val="en-US"/>
        </w:rPr>
        <w:t xml:space="preserve">Under the random effects model there are some additional assumptions that should hold in order to give reliable results. The random effect model assumes that the new error item is not correlated with the explanatory variables, independent of the individual observation error item and has a constant variance. </w:t>
      </w:r>
      <w:r w:rsidR="00141CE6" w:rsidRPr="00812E8B">
        <w:rPr>
          <w:lang w:val="en-US"/>
        </w:rPr>
        <w:t>The first assumption could be tested using the Hausman test. Results for this test do not reject the null hypothesis of correlation between the unique errors and the explanatory variables. The Hausman test indicates that a random effect is preferred but s</w:t>
      </w:r>
      <w:r w:rsidRPr="00812E8B">
        <w:rPr>
          <w:lang w:val="en-US"/>
        </w:rPr>
        <w:t xml:space="preserve">ince the latter two assumptions are </w:t>
      </w:r>
      <w:r w:rsidR="00141CE6" w:rsidRPr="00812E8B">
        <w:rPr>
          <w:lang w:val="en-US"/>
        </w:rPr>
        <w:t>possibly violated,</w:t>
      </w:r>
      <w:r w:rsidRPr="00812E8B">
        <w:rPr>
          <w:lang w:val="en-US"/>
        </w:rPr>
        <w:t xml:space="preserve"> </w:t>
      </w:r>
      <w:r w:rsidR="0068154E" w:rsidRPr="00812E8B">
        <w:rPr>
          <w:lang w:val="en-US"/>
        </w:rPr>
        <w:t>this thesis opts</w:t>
      </w:r>
      <w:r w:rsidRPr="00812E8B">
        <w:rPr>
          <w:lang w:val="en-US"/>
        </w:rPr>
        <w:t xml:space="preserve"> for the fixed effects model. </w:t>
      </w:r>
      <w:r w:rsidR="0068154E" w:rsidRPr="00812E8B">
        <w:rPr>
          <w:lang w:val="en-US"/>
        </w:rPr>
        <w:t xml:space="preserve">Moreover, the coefficients of the random effects model should be the same with OLS but more efficient only when the additional assumptions hold. </w:t>
      </w:r>
      <w:r w:rsidR="00141CE6" w:rsidRPr="00812E8B">
        <w:rPr>
          <w:rFonts w:cstheme="minorHAnsi"/>
          <w:lang w:val="en-US"/>
        </w:rPr>
        <w:t>Finally, the S</w:t>
      </w:r>
      <w:r w:rsidR="004900AA" w:rsidRPr="00812E8B">
        <w:rPr>
          <w:rFonts w:cstheme="minorHAnsi"/>
          <w:lang w:val="en-US"/>
        </w:rPr>
        <w:t>tata command</w:t>
      </w:r>
      <w:r w:rsidR="00141CE6" w:rsidRPr="00812E8B">
        <w:rPr>
          <w:rFonts w:cstheme="minorHAnsi"/>
          <w:lang w:val="en-US"/>
        </w:rPr>
        <w:t>s</w:t>
      </w:r>
      <w:r w:rsidR="004900AA" w:rsidRPr="00812E8B">
        <w:rPr>
          <w:rFonts w:cstheme="minorHAnsi"/>
          <w:lang w:val="en-US"/>
        </w:rPr>
        <w:t xml:space="preserve"> that </w:t>
      </w:r>
      <w:r w:rsidR="00141CE6" w:rsidRPr="00812E8B">
        <w:rPr>
          <w:rFonts w:cstheme="minorHAnsi"/>
          <w:lang w:val="en-US"/>
        </w:rPr>
        <w:t>are</w:t>
      </w:r>
      <w:r w:rsidR="004900AA" w:rsidRPr="00812E8B">
        <w:rPr>
          <w:rFonts w:cstheme="minorHAnsi"/>
          <w:lang w:val="en-US"/>
        </w:rPr>
        <w:t xml:space="preserve"> used to present the model </w:t>
      </w:r>
      <w:r w:rsidR="00141CE6" w:rsidRPr="00812E8B">
        <w:rPr>
          <w:rFonts w:cstheme="minorHAnsi"/>
          <w:lang w:val="en-US"/>
        </w:rPr>
        <w:t xml:space="preserve">for OLS and fixed effects (within) estimation are: </w:t>
      </w:r>
    </w:p>
    <w:p w:rsidR="00141CE6" w:rsidRPr="00812E8B" w:rsidRDefault="00141CE6" w:rsidP="00FD6C0A">
      <w:pPr>
        <w:pStyle w:val="NoSpacing"/>
        <w:spacing w:line="276" w:lineRule="auto"/>
        <w:jc w:val="both"/>
        <w:rPr>
          <w:rFonts w:cstheme="minorHAnsi"/>
          <w:lang w:val="en-US"/>
        </w:rPr>
      </w:pPr>
    </w:p>
    <w:p w:rsidR="0028727E" w:rsidRPr="00812E8B" w:rsidRDefault="0028727E" w:rsidP="0028727E">
      <w:pPr>
        <w:pStyle w:val="NoSpacing"/>
        <w:pBdr>
          <w:bottom w:val="single" w:sz="4" w:space="1" w:color="auto"/>
        </w:pBdr>
        <w:spacing w:line="180" w:lineRule="auto"/>
        <w:jc w:val="both"/>
        <w:rPr>
          <w:lang w:val="en-US"/>
        </w:rPr>
      </w:pPr>
      <w:r w:rsidRPr="00812E8B">
        <w:rPr>
          <w:lang w:val="en-US"/>
        </w:rPr>
        <w:t>Model 1: Ordinary least squares</w:t>
      </w:r>
    </w:p>
    <w:p w:rsidR="0028727E" w:rsidRPr="00812E8B" w:rsidRDefault="0028727E" w:rsidP="0028727E">
      <w:pPr>
        <w:pStyle w:val="NoSpacing"/>
        <w:spacing w:line="276" w:lineRule="auto"/>
        <w:ind w:left="567" w:right="850"/>
        <w:jc w:val="both"/>
        <w:rPr>
          <w:rFonts w:eastAsia="Calibri" w:cstheme="minorHAnsi"/>
          <w:i/>
          <w:lang w:val="en-US" w:eastAsia="en-US"/>
        </w:rPr>
      </w:pPr>
      <w:r w:rsidRPr="00812E8B">
        <w:rPr>
          <w:rFonts w:eastAsia="Calibri" w:cstheme="minorHAnsi"/>
          <w:i/>
          <w:lang w:val="en-US" w:eastAsia="en-US"/>
        </w:rPr>
        <w:t>regress roaa eqtas deptfund lossrev liqfund fundcost nonint costinc growth hhindex size stakeholder government gdp tax interest , vce(robust)</w:t>
      </w:r>
    </w:p>
    <w:p w:rsidR="00107DF8" w:rsidRPr="00812E8B" w:rsidRDefault="00107DF8" w:rsidP="00107DF8">
      <w:pPr>
        <w:pStyle w:val="NoSpacing"/>
        <w:spacing w:line="276" w:lineRule="auto"/>
        <w:ind w:right="850"/>
        <w:jc w:val="both"/>
        <w:rPr>
          <w:rFonts w:cstheme="minorHAnsi"/>
          <w:lang w:val="en-US"/>
        </w:rPr>
      </w:pPr>
    </w:p>
    <w:p w:rsidR="0028727E" w:rsidRPr="00812E8B" w:rsidRDefault="0028727E" w:rsidP="0028727E">
      <w:pPr>
        <w:pStyle w:val="NoSpacing"/>
        <w:pBdr>
          <w:bottom w:val="single" w:sz="4" w:space="1" w:color="auto"/>
        </w:pBdr>
        <w:spacing w:line="180" w:lineRule="auto"/>
        <w:jc w:val="both"/>
        <w:rPr>
          <w:sz w:val="8"/>
          <w:szCs w:val="8"/>
          <w:lang w:val="en-US"/>
        </w:rPr>
      </w:pPr>
    </w:p>
    <w:p w:rsidR="0028727E" w:rsidRPr="00812E8B" w:rsidRDefault="0028727E" w:rsidP="0028727E">
      <w:pPr>
        <w:pStyle w:val="NoSpacing"/>
        <w:pBdr>
          <w:bottom w:val="single" w:sz="4" w:space="1" w:color="auto"/>
        </w:pBdr>
        <w:spacing w:line="180" w:lineRule="auto"/>
        <w:jc w:val="both"/>
        <w:rPr>
          <w:lang w:val="en-US"/>
        </w:rPr>
      </w:pPr>
      <w:r w:rsidRPr="00812E8B">
        <w:rPr>
          <w:lang w:val="en-US"/>
        </w:rPr>
        <w:t>Model 2: Fixed effects model</w:t>
      </w:r>
    </w:p>
    <w:p w:rsidR="0028727E" w:rsidRPr="00812E8B" w:rsidRDefault="0028727E" w:rsidP="0028727E">
      <w:pPr>
        <w:pStyle w:val="NoSpacing"/>
        <w:spacing w:line="276" w:lineRule="auto"/>
        <w:ind w:left="567" w:right="850"/>
        <w:jc w:val="both"/>
        <w:rPr>
          <w:rFonts w:cstheme="minorHAnsi"/>
          <w:i/>
          <w:lang w:val="en-US"/>
        </w:rPr>
      </w:pPr>
      <w:r w:rsidRPr="00812E8B">
        <w:rPr>
          <w:rFonts w:cstheme="minorHAnsi"/>
          <w:bCs/>
          <w:i/>
          <w:lang w:val="en-US"/>
        </w:rPr>
        <w:t>xtreg roaa eqtas deptfund lossrev liqfund fundcost nonint costinc growth hhindex size stakeholder government gdp tax interest, fe robust</w:t>
      </w:r>
    </w:p>
    <w:p w:rsidR="004900AA" w:rsidRPr="00812E8B" w:rsidRDefault="004900AA" w:rsidP="00FD6C0A">
      <w:pPr>
        <w:pStyle w:val="NoSpacing"/>
        <w:spacing w:line="276" w:lineRule="auto"/>
        <w:jc w:val="both"/>
        <w:rPr>
          <w:lang w:val="en-US"/>
        </w:rPr>
      </w:pPr>
    </w:p>
    <w:p w:rsidR="00580FFF" w:rsidRPr="00812E8B" w:rsidRDefault="00580FFF" w:rsidP="00FD6C0A">
      <w:pPr>
        <w:pStyle w:val="NoSpacing"/>
        <w:spacing w:line="276" w:lineRule="auto"/>
        <w:jc w:val="both"/>
        <w:rPr>
          <w:lang w:val="en-US"/>
        </w:rPr>
      </w:pPr>
    </w:p>
    <w:p w:rsidR="00DA1D91" w:rsidRPr="00812E8B" w:rsidRDefault="00DA1D91" w:rsidP="00FD6C0A">
      <w:pPr>
        <w:pStyle w:val="NoSpacing"/>
        <w:spacing w:line="276" w:lineRule="auto"/>
        <w:jc w:val="both"/>
        <w:rPr>
          <w:color w:val="244061" w:themeColor="accent1" w:themeShade="80"/>
          <w:lang w:val="en-US"/>
        </w:rPr>
      </w:pPr>
      <w:r w:rsidRPr="00812E8B">
        <w:rPr>
          <w:lang w:val="en-US"/>
        </w:rPr>
        <w:t xml:space="preserve">Note that the lagged dependent variable is not incorporated in the model since </w:t>
      </w:r>
      <w:r w:rsidR="00304525" w:rsidRPr="00812E8B">
        <w:rPr>
          <w:color w:val="365F91" w:themeColor="accent1" w:themeShade="BF"/>
          <w:lang w:val="en-US"/>
        </w:rPr>
        <w:t>Roodman (2009)</w:t>
      </w:r>
      <w:r w:rsidRPr="00812E8B">
        <w:rPr>
          <w:lang w:val="en-US"/>
        </w:rPr>
        <w:t xml:space="preserve"> among </w:t>
      </w:r>
      <w:r w:rsidRPr="00812E8B">
        <w:rPr>
          <w:rFonts w:cstheme="minorHAnsi"/>
          <w:lang w:val="en-US"/>
        </w:rPr>
        <w:t xml:space="preserve">others, find that fixed effects and OLS give severe bias in coefficient estimates. Incorporating </w:t>
      </w:r>
      <w:r w:rsidRPr="00812E8B">
        <w:rPr>
          <w:rFonts w:cstheme="minorHAnsi"/>
          <w:lang w:val="en-US"/>
        </w:rPr>
        <w:lastRenderedPageBreak/>
        <w:t>the lagged dependent variable introduce a trend-stationary process in the model. The Levin-Lin-Chu test for unit root for unbalanced panel data could not reject the null hypothesis of unit root, indicating that the regression is non-stationary</w:t>
      </w:r>
      <w:r w:rsidR="00296E00" w:rsidRPr="00812E8B">
        <w:rPr>
          <w:rFonts w:cstheme="minorHAnsi"/>
          <w:lang w:val="en-US"/>
        </w:rPr>
        <w:t xml:space="preserve"> (p-value 0.8644)</w:t>
      </w:r>
      <w:r w:rsidRPr="00812E8B">
        <w:rPr>
          <w:rFonts w:cstheme="minorHAnsi"/>
          <w:lang w:val="en-US"/>
        </w:rPr>
        <w:t xml:space="preserve">. Hence, incorporating the lagged dependent variable will lead to a spurious regression </w:t>
      </w:r>
      <w:r w:rsidR="00304525" w:rsidRPr="00812E8B">
        <w:rPr>
          <w:rFonts w:cstheme="minorHAnsi"/>
          <w:color w:val="244061" w:themeColor="accent1" w:themeShade="80"/>
          <w:lang w:val="en-US"/>
        </w:rPr>
        <w:t>(Brooks, 2008)</w:t>
      </w:r>
      <w:r w:rsidRPr="00812E8B">
        <w:rPr>
          <w:rFonts w:cstheme="minorHAnsi"/>
          <w:color w:val="244061" w:themeColor="accent1" w:themeShade="80"/>
          <w:lang w:val="en-US"/>
        </w:rPr>
        <w:t xml:space="preserve">. </w:t>
      </w:r>
      <w:r w:rsidRPr="00812E8B">
        <w:rPr>
          <w:rFonts w:cstheme="minorHAnsi"/>
          <w:lang w:val="en-US"/>
        </w:rPr>
        <w:t xml:space="preserve">The unit root could be deleted by first-differentiating the model and is also be done using the two-step System GMM technique. </w:t>
      </w:r>
    </w:p>
    <w:p w:rsidR="00B46A9C" w:rsidRPr="00812E8B" w:rsidRDefault="00B46A9C" w:rsidP="00FD6C0A">
      <w:pPr>
        <w:pStyle w:val="NoSpacing"/>
        <w:spacing w:line="276" w:lineRule="auto"/>
        <w:jc w:val="both"/>
        <w:rPr>
          <w:lang w:val="en-US"/>
        </w:rPr>
      </w:pPr>
    </w:p>
    <w:p w:rsidR="00B713D5" w:rsidRPr="00812E8B" w:rsidRDefault="00316810" w:rsidP="00FD6C0A">
      <w:pPr>
        <w:pStyle w:val="NoSpacing"/>
        <w:spacing w:line="276" w:lineRule="auto"/>
        <w:jc w:val="both"/>
        <w:rPr>
          <w:lang w:val="en-US"/>
        </w:rPr>
      </w:pPr>
      <w:r w:rsidRPr="00812E8B">
        <w:rPr>
          <w:lang w:val="en-US"/>
        </w:rPr>
        <w:t xml:space="preserve">In contrary to GMM, there are several assumptions </w:t>
      </w:r>
      <w:r w:rsidR="00B713D5" w:rsidRPr="00812E8B">
        <w:rPr>
          <w:lang w:val="en-US"/>
        </w:rPr>
        <w:t xml:space="preserve">underlying the OLS and fixed effects model, regarding the distribution of the </w:t>
      </w:r>
      <w:r w:rsidR="0068154E" w:rsidRPr="00812E8B">
        <w:rPr>
          <w:lang w:val="en-US"/>
        </w:rPr>
        <w:t>sample that</w:t>
      </w:r>
      <w:r w:rsidR="00B713D5" w:rsidRPr="00812E8B">
        <w:rPr>
          <w:lang w:val="en-US"/>
        </w:rPr>
        <w:t xml:space="preserve"> makes the coefficients Best Linear Unbiased Estimators</w:t>
      </w:r>
      <w:r w:rsidR="0068154E" w:rsidRPr="00812E8B">
        <w:rPr>
          <w:lang w:val="en-US"/>
        </w:rPr>
        <w:t xml:space="preserve"> (BLUE)</w:t>
      </w:r>
      <w:r w:rsidR="00B713D5" w:rsidRPr="00812E8B">
        <w:rPr>
          <w:lang w:val="en-US"/>
        </w:rPr>
        <w:t xml:space="preserve">. The assumptions are; average of the error items equals zero  </w:t>
      </w:r>
      <m:oMath>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t</m:t>
                </m:r>
              </m:sub>
            </m:sSub>
          </m:e>
        </m:d>
        <m:r>
          <w:rPr>
            <w:rFonts w:ascii="Cambria Math" w:hAnsi="Cambria Math"/>
            <w:lang w:val="en-US"/>
          </w:rPr>
          <m:t>=0</m:t>
        </m:r>
      </m:oMath>
      <w:r w:rsidR="00B713D5" w:rsidRPr="00812E8B">
        <w:rPr>
          <w:lang w:val="en-US"/>
        </w:rPr>
        <w:t>, constant variance of the error items</w:t>
      </w:r>
      <w:r w:rsidR="009B7870" w:rsidRPr="00812E8B">
        <w:rPr>
          <w:lang w:val="en-US"/>
        </w:rPr>
        <w:t xml:space="preserve"> (homoscedastic)</w:t>
      </w:r>
      <w:r w:rsidR="00B713D5" w:rsidRPr="00812E8B">
        <w:rPr>
          <w:lang w:val="en-US"/>
        </w:rPr>
        <w:t xml:space="preserve">, errors are uncorrelated, </w:t>
      </w:r>
      <w:r w:rsidR="009B7870" w:rsidRPr="00812E8B">
        <w:rPr>
          <w:lang w:val="en-US"/>
        </w:rPr>
        <w:t>the explanatory variables are non-stochastic (</w:t>
      </w:r>
      <w:r w:rsidR="00D31C2C" w:rsidRPr="00812E8B">
        <w:rPr>
          <w:lang w:val="en-US"/>
        </w:rPr>
        <w:t>the values are determinable and repeatable with new samples</w:t>
      </w:r>
      <w:r w:rsidR="009B7870" w:rsidRPr="00812E8B">
        <w:rPr>
          <w:lang w:val="en-US"/>
        </w:rPr>
        <w:t xml:space="preserve">) </w:t>
      </w:r>
      <w:r w:rsidR="00B713D5" w:rsidRPr="00812E8B">
        <w:rPr>
          <w:lang w:val="en-US"/>
        </w:rPr>
        <w:t>disturbance</w:t>
      </w:r>
      <w:r w:rsidR="00D31C2C" w:rsidRPr="00812E8B">
        <w:rPr>
          <w:lang w:val="en-US"/>
        </w:rPr>
        <w:t xml:space="preserve">s </w:t>
      </w:r>
      <w:r w:rsidR="00B713D5" w:rsidRPr="00812E8B">
        <w:rPr>
          <w:lang w:val="en-US"/>
        </w:rPr>
        <w:t>are normally distributed in the sample</w:t>
      </w:r>
      <w:r w:rsidR="00D31C2C" w:rsidRPr="00812E8B">
        <w:rPr>
          <w:lang w:val="en-US"/>
        </w:rPr>
        <w:t xml:space="preserve">. </w:t>
      </w:r>
    </w:p>
    <w:p w:rsidR="00B713D5" w:rsidRPr="00812E8B" w:rsidRDefault="00B713D5" w:rsidP="00FD6C0A">
      <w:pPr>
        <w:pStyle w:val="NoSpacing"/>
        <w:spacing w:line="276" w:lineRule="auto"/>
        <w:jc w:val="both"/>
        <w:rPr>
          <w:lang w:val="en-US"/>
        </w:rPr>
      </w:pPr>
    </w:p>
    <w:p w:rsidR="009C3753" w:rsidRPr="00812E8B" w:rsidRDefault="00B713D5" w:rsidP="00FD6C0A">
      <w:pPr>
        <w:pStyle w:val="NoSpacing"/>
        <w:spacing w:line="276" w:lineRule="auto"/>
        <w:jc w:val="both"/>
        <w:rPr>
          <w:lang w:val="en-US"/>
        </w:rPr>
      </w:pPr>
      <w:r w:rsidRPr="00812E8B">
        <w:rPr>
          <w:lang w:val="en-US"/>
        </w:rPr>
        <w:t xml:space="preserve">First assumption cannot be violated when constant is added </w:t>
      </w:r>
      <w:r w:rsidR="00D31C2C" w:rsidRPr="00812E8B">
        <w:rPr>
          <w:lang w:val="en-US"/>
        </w:rPr>
        <w:t>to the model , which is the case in equation (i</w:t>
      </w:r>
      <w:r w:rsidRPr="00812E8B">
        <w:rPr>
          <w:lang w:val="en-US"/>
        </w:rPr>
        <w:t>)</w:t>
      </w:r>
      <w:r w:rsidR="00D31C2C" w:rsidRPr="00812E8B">
        <w:rPr>
          <w:lang w:val="en-US"/>
        </w:rPr>
        <w:t xml:space="preserve">. Hence, the assumption is not violated and </w:t>
      </w:r>
      <w:r w:rsidRPr="00812E8B">
        <w:rPr>
          <w:lang w:val="en-US"/>
        </w:rPr>
        <w:t xml:space="preserve">does not result in biased parameters. If </w:t>
      </w:r>
      <w:r w:rsidR="009B7870" w:rsidRPr="00812E8B">
        <w:rPr>
          <w:lang w:val="en-US"/>
        </w:rPr>
        <w:t>second assumption or third assumption is violated then</w:t>
      </w:r>
      <w:r w:rsidR="00D31C2C" w:rsidRPr="00812E8B">
        <w:rPr>
          <w:lang w:val="en-US"/>
        </w:rPr>
        <w:t xml:space="preserve"> the </w:t>
      </w:r>
      <w:r w:rsidR="009B7870" w:rsidRPr="00812E8B">
        <w:rPr>
          <w:lang w:val="en-US"/>
        </w:rPr>
        <w:t xml:space="preserve">parameters </w:t>
      </w:r>
      <w:r w:rsidR="00D31C2C" w:rsidRPr="00812E8B">
        <w:rPr>
          <w:lang w:val="en-US"/>
        </w:rPr>
        <w:t xml:space="preserve">are </w:t>
      </w:r>
      <w:r w:rsidR="009B7870" w:rsidRPr="00812E8B">
        <w:rPr>
          <w:lang w:val="en-US"/>
        </w:rPr>
        <w:t>still unbiased and consistent but the standard errors are wrong.</w:t>
      </w:r>
      <w:r w:rsidR="00D31C2C" w:rsidRPr="00812E8B">
        <w:rPr>
          <w:lang w:val="en-US"/>
        </w:rPr>
        <w:t xml:space="preserve"> In our sample it is likely that there is heteroscedasticity and autocorrelation in the error items, since this is the first place why this thesis opt for the System GMM technique anyway. Hence, for both standard errors a correction is made using the </w:t>
      </w:r>
      <w:r w:rsidR="00D31C2C" w:rsidRPr="00812E8B">
        <w:rPr>
          <w:i/>
          <w:lang w:val="en-US"/>
        </w:rPr>
        <w:t xml:space="preserve">robust </w:t>
      </w:r>
      <w:r w:rsidR="00D31C2C" w:rsidRPr="00812E8B">
        <w:rPr>
          <w:lang w:val="en-US"/>
        </w:rPr>
        <w:t xml:space="preserve">option to make the hypothesis rejection area more conservative. The assumption of non-stochastic explanatory variables </w:t>
      </w:r>
      <w:r w:rsidR="00580FFF" w:rsidRPr="00812E8B">
        <w:rPr>
          <w:lang w:val="en-US"/>
        </w:rPr>
        <w:t xml:space="preserve">does often not hold in economic data series </w:t>
      </w:r>
      <w:r w:rsidR="00580FFF" w:rsidRPr="00812E8B">
        <w:rPr>
          <w:color w:val="365F91" w:themeColor="accent1" w:themeShade="BF"/>
          <w:lang w:val="en-US"/>
        </w:rPr>
        <w:t>(Brooks, 2008)</w:t>
      </w:r>
      <w:r w:rsidR="00580FFF" w:rsidRPr="00812E8B">
        <w:rPr>
          <w:lang w:val="en-US"/>
        </w:rPr>
        <w:t>. However, violation of assumption four does not necessarily result in biased coefficients, this is only the case when there is a correlation</w:t>
      </w:r>
      <w:r w:rsidR="00D31C2C" w:rsidRPr="00812E8B">
        <w:rPr>
          <w:lang w:val="en-US"/>
        </w:rPr>
        <w:t xml:space="preserve"> between the explanatory variables and the error item. </w:t>
      </w:r>
      <w:r w:rsidR="00580FFF" w:rsidRPr="00812E8B">
        <w:rPr>
          <w:lang w:val="en-US"/>
        </w:rPr>
        <w:t>When the robustness checks are performed using O</w:t>
      </w:r>
      <w:r w:rsidR="00D31C2C" w:rsidRPr="00812E8B">
        <w:rPr>
          <w:lang w:val="en-US"/>
        </w:rPr>
        <w:t>LS and</w:t>
      </w:r>
      <w:r w:rsidR="00580FFF" w:rsidRPr="00812E8B">
        <w:rPr>
          <w:lang w:val="en-US"/>
        </w:rPr>
        <w:t xml:space="preserve"> the</w:t>
      </w:r>
      <w:r w:rsidR="00D31C2C" w:rsidRPr="00812E8B">
        <w:rPr>
          <w:lang w:val="en-US"/>
        </w:rPr>
        <w:t xml:space="preserve"> fixed effects model equation</w:t>
      </w:r>
      <w:r w:rsidR="00580FFF" w:rsidRPr="00812E8B">
        <w:rPr>
          <w:lang w:val="en-US"/>
        </w:rPr>
        <w:t xml:space="preserve"> a correlation with the error item can be observed by incorporating the lagged profitability as discussed in the theoretical section. Hence, as already discussed, equation</w:t>
      </w:r>
      <w:r w:rsidR="00D31C2C" w:rsidRPr="00812E8B">
        <w:rPr>
          <w:lang w:val="en-US"/>
        </w:rPr>
        <w:t xml:space="preserve"> (i) is adapted and</w:t>
      </w:r>
      <w:r w:rsidR="00580FFF" w:rsidRPr="00812E8B">
        <w:rPr>
          <w:lang w:val="en-US"/>
        </w:rPr>
        <w:t xml:space="preserve"> the variable of </w:t>
      </w:r>
      <w:r w:rsidR="00D31C2C" w:rsidRPr="00812E8B">
        <w:rPr>
          <w:lang w:val="en-US"/>
        </w:rPr>
        <w:t>lagged profitability is dropped from the equation.</w:t>
      </w:r>
      <w:r w:rsidR="00580FFF" w:rsidRPr="00812E8B">
        <w:rPr>
          <w:lang w:val="en-US"/>
        </w:rPr>
        <w:t xml:space="preserve"> Furthermore, t</w:t>
      </w:r>
      <w:r w:rsidR="0068154E" w:rsidRPr="00812E8B">
        <w:rPr>
          <w:lang w:val="en-US"/>
        </w:rPr>
        <w:t xml:space="preserve">he assumption of normality is also violated in the panel data of European banks. The Jarque-Bera test, skewness and kurtosis are not reported in table 4 but all three test clearly reject a normal distribution of the data. When the errors follow a non-normal </w:t>
      </w:r>
      <w:r w:rsidR="00C66A6D" w:rsidRPr="00812E8B">
        <w:rPr>
          <w:lang w:val="en-US"/>
        </w:rPr>
        <w:t>distribution,</w:t>
      </w:r>
      <w:r w:rsidR="0068154E" w:rsidRPr="00812E8B">
        <w:rPr>
          <w:lang w:val="en-US"/>
        </w:rPr>
        <w:t xml:space="preserve"> the parameters are no longer BLUE (Best Linear Unbiased Estimator) since the estimates are not most efficient. Particularly, in small samples the </w:t>
      </w:r>
      <w:r w:rsidR="00304525" w:rsidRPr="00812E8B">
        <w:rPr>
          <w:lang w:val="en-US"/>
        </w:rPr>
        <w:t xml:space="preserve">standard errors will be biased. </w:t>
      </w:r>
      <w:r w:rsidR="00D31C2C" w:rsidRPr="00812E8B">
        <w:rPr>
          <w:lang w:val="en-US"/>
        </w:rPr>
        <w:t xml:space="preserve">Finally, according to </w:t>
      </w:r>
      <w:r w:rsidR="00304525" w:rsidRPr="00812E8B">
        <w:rPr>
          <w:color w:val="365F91" w:themeColor="accent1" w:themeShade="BF"/>
          <w:lang w:val="en-US"/>
        </w:rPr>
        <w:t>Brooks (2008)</w:t>
      </w:r>
      <w:r w:rsidR="00D31C2C" w:rsidRPr="00812E8B">
        <w:rPr>
          <w:lang w:val="en-US"/>
        </w:rPr>
        <w:t xml:space="preserve"> there is also a more implicit assumption underlying OLS; that the explanatory variables are uncorrelat</w:t>
      </w:r>
      <w:r w:rsidR="00EF63B2" w:rsidRPr="00812E8B">
        <w:rPr>
          <w:lang w:val="en-US"/>
        </w:rPr>
        <w:t xml:space="preserve">ed with each other (orthogonal). Deleting an orthogonal variable would not change the coefficient estimates on the other variables. There </w:t>
      </w:r>
      <w:r w:rsidR="00316810" w:rsidRPr="00812E8B">
        <w:rPr>
          <w:lang w:val="en-US"/>
        </w:rPr>
        <w:t>is no indication for multicollinearity as presented by the low correlation between the independent variables</w:t>
      </w:r>
      <w:r w:rsidR="00EF63B2" w:rsidRPr="00812E8B">
        <w:rPr>
          <w:lang w:val="en-US"/>
        </w:rPr>
        <w:t xml:space="preserve"> in presented in table 5</w:t>
      </w:r>
      <w:r w:rsidR="00316810" w:rsidRPr="00812E8B">
        <w:rPr>
          <w:lang w:val="en-US"/>
        </w:rPr>
        <w:t xml:space="preserve">. </w:t>
      </w:r>
      <w:r w:rsidR="00B46A9C" w:rsidRPr="00812E8B">
        <w:rPr>
          <w:rFonts w:cstheme="minorHAnsi"/>
          <w:lang w:val="en-US"/>
        </w:rPr>
        <w:t>The problem of multicollinearity does not affect the explanatory value of the model as a whole it only affect the coefficient estimates of the highly correlated explanatory variables.</w:t>
      </w:r>
    </w:p>
    <w:p w:rsidR="00316810" w:rsidRPr="00812E8B" w:rsidRDefault="00316810" w:rsidP="00FD6C0A">
      <w:pPr>
        <w:pStyle w:val="NoSpacing"/>
        <w:spacing w:line="276" w:lineRule="auto"/>
        <w:jc w:val="both"/>
        <w:rPr>
          <w:lang w:val="en-US"/>
        </w:rPr>
      </w:pPr>
    </w:p>
    <w:p w:rsidR="00EF5662" w:rsidRPr="00812E8B" w:rsidRDefault="00EF5662" w:rsidP="00836111">
      <w:pPr>
        <w:rPr>
          <w:rFonts w:ascii="Calibri" w:eastAsia="Times New Roman" w:hAnsi="Calibri" w:cs="Calibri"/>
          <w:b/>
          <w:bCs/>
          <w:lang w:val="en-US"/>
        </w:rPr>
        <w:sectPr w:rsidR="00EF5662" w:rsidRPr="00812E8B" w:rsidSect="00E00914">
          <w:headerReference w:type="default" r:id="rId44"/>
          <w:endnotePr>
            <w:numFmt w:val="decimal"/>
          </w:endnotePr>
          <w:pgSz w:w="11906" w:h="16838"/>
          <w:pgMar w:top="1417" w:right="1417" w:bottom="1417" w:left="1417" w:header="708" w:footer="708" w:gutter="0"/>
          <w:cols w:space="708"/>
          <w:docGrid w:linePitch="360"/>
        </w:sectPr>
      </w:pPr>
      <w:r w:rsidRPr="00812E8B">
        <w:rPr>
          <w:lang w:val="en-US"/>
        </w:rPr>
        <w:t xml:space="preserve"> </w:t>
      </w:r>
    </w:p>
    <w:p w:rsidR="00836111" w:rsidRPr="00812E8B" w:rsidRDefault="00836111" w:rsidP="00E55B9D">
      <w:pPr>
        <w:pStyle w:val="NoSpacing"/>
        <w:rPr>
          <w:sz w:val="2"/>
          <w:szCs w:val="2"/>
          <w:lang w:val="en-US"/>
        </w:rPr>
      </w:pPr>
    </w:p>
    <w:sectPr w:rsidR="00836111" w:rsidRPr="00812E8B" w:rsidSect="00836B6D">
      <w:headerReference w:type="default" r:id="rId45"/>
      <w:headerReference w:type="first" r:id="rId46"/>
      <w:endnotePr>
        <w:numFmt w:val="decimal"/>
      </w:endnotePr>
      <w:pgSz w:w="11906" w:h="16838"/>
      <w:pgMar w:top="579"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B31" w:rsidRDefault="00ED4B31" w:rsidP="006D7CF6">
      <w:pPr>
        <w:spacing w:after="0" w:line="240" w:lineRule="auto"/>
      </w:pPr>
      <w:r>
        <w:separator/>
      </w:r>
    </w:p>
  </w:endnote>
  <w:endnote w:type="continuationSeparator" w:id="0">
    <w:p w:rsidR="00ED4B31" w:rsidRDefault="00ED4B31" w:rsidP="006D7CF6">
      <w:pPr>
        <w:spacing w:after="0" w:line="240" w:lineRule="auto"/>
      </w:pPr>
      <w:r>
        <w:continuationSeparator/>
      </w:r>
    </w:p>
  </w:endnote>
  <w:endnote w:id="1">
    <w:p w:rsidR="00A9490E" w:rsidRPr="000B3059" w:rsidRDefault="00A9490E" w:rsidP="00DD7D45">
      <w:pPr>
        <w:pStyle w:val="Heading1"/>
        <w:jc w:val="left"/>
        <w:rPr>
          <w:color w:val="auto"/>
          <w:lang w:val="en-US"/>
        </w:rPr>
      </w:pPr>
      <w:r w:rsidRPr="000B3059">
        <w:rPr>
          <w:color w:val="auto"/>
          <w:lang w:val="en-US"/>
        </w:rPr>
        <w:t>N</w:t>
      </w:r>
      <w:r w:rsidRPr="004C6A5F">
        <w:rPr>
          <w:color w:val="auto"/>
          <w:sz w:val="30"/>
          <w:szCs w:val="30"/>
          <w:lang w:val="en-US"/>
        </w:rPr>
        <w:t>OTES</w:t>
      </w:r>
      <w:bookmarkStart w:id="10" w:name="_GoBack"/>
      <w:bookmarkEnd w:id="10"/>
    </w:p>
    <w:p w:rsidR="00A9490E" w:rsidRPr="00EB13D7" w:rsidRDefault="00A9490E" w:rsidP="00304525">
      <w:pPr>
        <w:pStyle w:val="EndnoteText"/>
        <w:spacing w:line="276" w:lineRule="auto"/>
        <w:rPr>
          <w:sz w:val="16"/>
          <w:szCs w:val="16"/>
          <w:lang w:val="en-US"/>
        </w:rPr>
      </w:pPr>
    </w:p>
    <w:p w:rsidR="00A9490E" w:rsidRPr="00A26437" w:rsidRDefault="00A9490E" w:rsidP="00DC57FA">
      <w:pPr>
        <w:pStyle w:val="EndnoteText"/>
        <w:spacing w:line="276" w:lineRule="auto"/>
        <w:jc w:val="both"/>
        <w:rPr>
          <w:lang w:val="en-US"/>
        </w:rPr>
      </w:pPr>
      <w:r>
        <w:rPr>
          <w:rStyle w:val="EndnoteReference"/>
        </w:rPr>
        <w:endnoteRef/>
      </w:r>
      <w:r w:rsidRPr="000B3059">
        <w:rPr>
          <w:lang w:val="en-US"/>
        </w:rPr>
        <w:t xml:space="preserve"> Following </w:t>
      </w:r>
      <w:r w:rsidRPr="001B30EB">
        <w:rPr>
          <w:noProof/>
          <w:color w:val="365F91" w:themeColor="accent1" w:themeShade="BF"/>
          <w:lang w:val="en-US"/>
        </w:rPr>
        <w:t xml:space="preserve">Saunders </w:t>
      </w:r>
      <w:r>
        <w:rPr>
          <w:noProof/>
          <w:color w:val="365F91" w:themeColor="accent1" w:themeShade="BF"/>
          <w:lang w:val="en-US"/>
        </w:rPr>
        <w:t>and</w:t>
      </w:r>
      <w:r w:rsidRPr="001B30EB">
        <w:rPr>
          <w:noProof/>
          <w:color w:val="365F91" w:themeColor="accent1" w:themeShade="BF"/>
          <w:lang w:val="en-US"/>
        </w:rPr>
        <w:t xml:space="preserve"> Cornett </w:t>
      </w:r>
      <w:r>
        <w:rPr>
          <w:noProof/>
          <w:color w:val="365F91" w:themeColor="accent1" w:themeShade="BF"/>
          <w:lang w:val="en-US"/>
        </w:rPr>
        <w:t>(</w:t>
      </w:r>
      <w:r w:rsidRPr="001B30EB">
        <w:rPr>
          <w:noProof/>
          <w:color w:val="365F91" w:themeColor="accent1" w:themeShade="BF"/>
          <w:lang w:val="en-US"/>
        </w:rPr>
        <w:t>2008)</w:t>
      </w:r>
      <w:r w:rsidRPr="000B3059">
        <w:rPr>
          <w:lang w:val="en-US"/>
        </w:rPr>
        <w:t xml:space="preserve">, liquidity risk refers to the risk that an asset cannot be converted into cash or that the conversion is costly. Furthermore, they state that price risk refers to the risk that the sale price will be lower than the purchase price of an asset. </w:t>
      </w:r>
      <w:r>
        <w:rPr>
          <w:lang w:val="en-US"/>
        </w:rPr>
        <w:t>Finally according to their theoretical framework, cr</w:t>
      </w:r>
      <w:r w:rsidRPr="000B3059">
        <w:rPr>
          <w:lang w:val="en-US"/>
        </w:rPr>
        <w:t xml:space="preserve">edit risk is the risk that borrowers are unable to repay the loans. </w:t>
      </w:r>
    </w:p>
  </w:endnote>
  <w:endnote w:id="2">
    <w:p w:rsidR="00A9490E" w:rsidRPr="000B3059" w:rsidRDefault="00A9490E" w:rsidP="00DC57FA">
      <w:pPr>
        <w:pStyle w:val="EndnoteText"/>
        <w:spacing w:line="276" w:lineRule="auto"/>
        <w:jc w:val="both"/>
        <w:rPr>
          <w:color w:val="FF0000"/>
          <w:lang w:val="en-US"/>
        </w:rPr>
      </w:pPr>
      <w:r w:rsidRPr="00A26437">
        <w:rPr>
          <w:rStyle w:val="EndnoteReference"/>
        </w:rPr>
        <w:endnoteRef/>
      </w:r>
      <w:r w:rsidRPr="00A26437">
        <w:rPr>
          <w:lang w:val="en-US"/>
        </w:rPr>
        <w:t xml:space="preserve"> In general, many </w:t>
      </w:r>
      <w:r w:rsidRPr="00A26437">
        <w:rPr>
          <w:lang/>
        </w:rPr>
        <w:t xml:space="preserve">practitioners believe that the introduction of Basel III will shift the focus of banks more and more to retail funding. In </w:t>
      </w:r>
      <w:r>
        <w:rPr>
          <w:lang/>
        </w:rPr>
        <w:t>Basel III</w:t>
      </w:r>
      <w:r w:rsidRPr="00A26437">
        <w:rPr>
          <w:lang/>
        </w:rPr>
        <w:t>, retail funding (i.e. customer deposits and current accounts) is thought to be more stable relativ</w:t>
      </w:r>
      <w:r>
        <w:rPr>
          <w:lang/>
        </w:rPr>
        <w:t>ely to other sources of funding and a higher amount of these funding resources</w:t>
      </w:r>
      <w:r w:rsidRPr="00A26437">
        <w:rPr>
          <w:lang/>
        </w:rPr>
        <w:t xml:space="preserve"> will positively influence the NSFR and LCR ratio. Furthermore, this could lead to a lower gap between loans to customers and customer deposits when banks reduce their wholesale funding reliance and return to their core banking activities.</w:t>
      </w:r>
    </w:p>
  </w:endnote>
  <w:endnote w:id="3">
    <w:p w:rsidR="00A9490E" w:rsidRPr="000B3059" w:rsidRDefault="00A9490E" w:rsidP="00DC57FA">
      <w:pPr>
        <w:pStyle w:val="EndnoteText"/>
        <w:spacing w:line="276" w:lineRule="auto"/>
        <w:jc w:val="both"/>
        <w:rPr>
          <w:lang w:val="en-US"/>
        </w:rPr>
      </w:pPr>
      <w:r>
        <w:rPr>
          <w:rStyle w:val="EndnoteReference"/>
        </w:rPr>
        <w:endnoteRef/>
      </w:r>
      <w:r w:rsidRPr="000B3059">
        <w:rPr>
          <w:lang w:val="en-US"/>
        </w:rPr>
        <w:t xml:space="preserve"> This thesis does not make a clear distinction between corporate governance and ownership structure, as the distinction does not alter results nor affect the research design. The term ‘governance’ can relate to the internal board structure of a firm or relate to the external structure of bondholders and shareholders (debt and equity financing), of which the latter is also captured by ownership structure </w:t>
      </w:r>
      <w:r w:rsidRPr="001B30EB">
        <w:rPr>
          <w:noProof/>
          <w:color w:val="365F91" w:themeColor="accent1" w:themeShade="BF"/>
          <w:lang w:val="en-US"/>
        </w:rPr>
        <w:t>(Gillan, 2006)</w:t>
      </w:r>
      <w:r w:rsidRPr="000B3059">
        <w:rPr>
          <w:lang w:val="en-US"/>
        </w:rPr>
        <w:t>,</w:t>
      </w:r>
    </w:p>
  </w:endnote>
  <w:endnote w:id="4">
    <w:p w:rsidR="00A9490E" w:rsidRPr="000B3059" w:rsidRDefault="00A9490E" w:rsidP="00DC57FA">
      <w:pPr>
        <w:pStyle w:val="EndnoteText"/>
        <w:spacing w:line="276" w:lineRule="auto"/>
        <w:jc w:val="both"/>
        <w:rPr>
          <w:lang w:val="en-US"/>
        </w:rPr>
      </w:pPr>
      <w:r>
        <w:rPr>
          <w:rStyle w:val="EndnoteReference"/>
        </w:rPr>
        <w:endnoteRef/>
      </w:r>
      <w:r w:rsidRPr="000B3059">
        <w:rPr>
          <w:lang w:val="en-US"/>
        </w:rPr>
        <w:t xml:space="preserve"> The distortion of debt financing is graphically </w:t>
      </w:r>
      <w:r w:rsidRPr="00A33F81">
        <w:rPr>
          <w:lang w:val="en-US"/>
        </w:rPr>
        <w:t xml:space="preserve">represented by equation (ii); the </w:t>
      </w:r>
      <w:r w:rsidRPr="000B3059">
        <w:rPr>
          <w:lang w:val="en-US"/>
        </w:rPr>
        <w:t>first two fractions reflects the return on assets (net profit margin and asset turnover) while the latter fraction, the equity multiplier, captures the financial leverage effect. The equity multiplier implies that a higher financial leverage, represented by a lower equity denominator, will lead to a higher ROE, ceteris paribus. Thus, financial leverage distorts ROE as profitability measure because an overleveraged balance sheet will likely give a higher ROE ratio.</w:t>
      </w:r>
    </w:p>
    <w:p w:rsidR="00A9490E" w:rsidRPr="000B3059" w:rsidRDefault="00A9490E" w:rsidP="00A11298">
      <w:pPr>
        <w:pStyle w:val="EndnoteText"/>
        <w:jc w:val="both"/>
        <w:rPr>
          <w:sz w:val="16"/>
          <w:szCs w:val="16"/>
          <w:lang w:val="en-US"/>
        </w:rPr>
      </w:pPr>
    </w:p>
    <w:p w:rsidR="00A9490E" w:rsidRPr="000B3059" w:rsidRDefault="00A9490E" w:rsidP="00A11298">
      <w:pPr>
        <w:pStyle w:val="EndnoteText"/>
        <w:jc w:val="both"/>
        <w:rPr>
          <w:sz w:val="22"/>
          <w:szCs w:val="22"/>
          <w:lang w:val="en-US"/>
        </w:rPr>
      </w:pPr>
      <w:r w:rsidRPr="000B3059">
        <w:rPr>
          <w:sz w:val="22"/>
          <w:szCs w:val="22"/>
          <w:lang w:val="en-US"/>
        </w:rPr>
        <w:t xml:space="preserve"> (ii)  </w:t>
      </w:r>
      <m:oMath>
        <m:r>
          <w:rPr>
            <w:rFonts w:ascii="Cambria Math" w:hAnsi="Cambria Math"/>
            <w:sz w:val="22"/>
            <w:szCs w:val="22"/>
          </w:rPr>
          <m:t>ROE</m:t>
        </m:r>
        <m:r>
          <w:rPr>
            <w:rFonts w:ascii="Cambria Math" w:hAnsi="Cambria Math"/>
            <w:sz w:val="22"/>
            <w:szCs w:val="22"/>
            <w:lang w:val="en-US"/>
          </w:rPr>
          <m:t xml:space="preserve">=  </m:t>
        </m:r>
        <m:d>
          <m:dPr>
            <m:endChr m:val=""/>
            <m:ctrlPr>
              <w:rPr>
                <w:rFonts w:ascii="Cambria Math" w:hAnsi="Cambria Math"/>
                <w:b/>
                <w:i/>
                <w:sz w:val="22"/>
                <w:szCs w:val="22"/>
              </w:rPr>
            </m:ctrlPr>
          </m:dPr>
          <m:e>
            <m:f>
              <m:fPr>
                <m:ctrlPr>
                  <w:rPr>
                    <w:rFonts w:ascii="Cambria Math" w:hAnsi="Cambria Math"/>
                    <w:b/>
                    <w:i/>
                    <w:sz w:val="22"/>
                    <w:szCs w:val="22"/>
                  </w:rPr>
                </m:ctrlPr>
              </m:fPr>
              <m:num>
                <m:r>
                  <w:rPr>
                    <w:rFonts w:ascii="Cambria Math" w:hAnsi="Cambria Math"/>
                    <w:sz w:val="22"/>
                    <w:szCs w:val="22"/>
                  </w:rPr>
                  <m:t>net</m:t>
                </m:r>
                <m:r>
                  <w:rPr>
                    <w:rFonts w:ascii="Cambria Math" w:hAnsi="Cambria Math"/>
                    <w:sz w:val="22"/>
                    <w:szCs w:val="22"/>
                    <w:lang w:val="en-US"/>
                  </w:rPr>
                  <m:t xml:space="preserve"> </m:t>
                </m:r>
                <m:r>
                  <w:rPr>
                    <w:rFonts w:ascii="Cambria Math" w:hAnsi="Cambria Math"/>
                    <w:sz w:val="22"/>
                    <w:szCs w:val="22"/>
                  </w:rPr>
                  <m:t>income</m:t>
                </m:r>
              </m:num>
              <m:den>
                <m:r>
                  <w:rPr>
                    <w:rFonts w:ascii="Cambria Math" w:hAnsi="Cambria Math"/>
                    <w:sz w:val="22"/>
                    <w:szCs w:val="22"/>
                  </w:rPr>
                  <m:t>sales</m:t>
                </m:r>
              </m:den>
            </m:f>
          </m:e>
        </m:d>
        <m:r>
          <w:rPr>
            <w:rFonts w:ascii="Cambria Math" w:hAnsi="Cambria Math"/>
            <w:sz w:val="22"/>
            <w:szCs w:val="22"/>
            <w:lang w:val="en-US"/>
          </w:rPr>
          <m:t xml:space="preserve">× </m:t>
        </m:r>
        <m:d>
          <m:dPr>
            <m:begChr m:val=""/>
            <m:ctrlPr>
              <w:rPr>
                <w:rFonts w:ascii="Cambria Math" w:hAnsi="Cambria Math"/>
                <w:b/>
                <w:i/>
                <w:sz w:val="22"/>
                <w:szCs w:val="22"/>
              </w:rPr>
            </m:ctrlPr>
          </m:dPr>
          <m:e>
            <m:f>
              <m:fPr>
                <m:ctrlPr>
                  <w:rPr>
                    <w:rFonts w:ascii="Cambria Math" w:hAnsi="Cambria Math"/>
                    <w:b/>
                    <w:i/>
                    <w:sz w:val="22"/>
                    <w:szCs w:val="22"/>
                  </w:rPr>
                </m:ctrlPr>
              </m:fPr>
              <m:num>
                <m:r>
                  <w:rPr>
                    <w:rFonts w:ascii="Cambria Math" w:hAnsi="Cambria Math"/>
                    <w:sz w:val="22"/>
                    <w:szCs w:val="22"/>
                  </w:rPr>
                  <m:t>sales</m:t>
                </m:r>
              </m:num>
              <m:den>
                <m:r>
                  <w:rPr>
                    <w:rFonts w:ascii="Cambria Math" w:hAnsi="Cambria Math"/>
                    <w:sz w:val="22"/>
                    <w:szCs w:val="22"/>
                  </w:rPr>
                  <m:t>total</m:t>
                </m:r>
                <m:r>
                  <w:rPr>
                    <w:rFonts w:ascii="Cambria Math" w:hAnsi="Cambria Math"/>
                    <w:sz w:val="22"/>
                    <w:szCs w:val="22"/>
                    <w:lang w:val="en-US"/>
                  </w:rPr>
                  <m:t xml:space="preserve"> </m:t>
                </m:r>
                <m:r>
                  <w:rPr>
                    <w:rFonts w:ascii="Cambria Math" w:hAnsi="Cambria Math"/>
                    <w:sz w:val="22"/>
                    <w:szCs w:val="22"/>
                  </w:rPr>
                  <m:t>assets</m:t>
                </m:r>
              </m:den>
            </m:f>
          </m:e>
        </m:d>
        <m:r>
          <w:rPr>
            <w:rFonts w:ascii="Cambria Math" w:hAnsi="Cambria Math"/>
            <w:sz w:val="22"/>
            <w:szCs w:val="22"/>
            <w:lang w:val="en-US"/>
          </w:rPr>
          <m:t xml:space="preserve"> × </m:t>
        </m:r>
        <m:f>
          <m:fPr>
            <m:ctrlPr>
              <w:rPr>
                <w:rFonts w:ascii="Cambria Math" w:hAnsi="Cambria Math"/>
                <w:b/>
                <w:i/>
                <w:sz w:val="22"/>
                <w:szCs w:val="22"/>
              </w:rPr>
            </m:ctrlPr>
          </m:fPr>
          <m:num>
            <m:r>
              <w:rPr>
                <w:rFonts w:ascii="Cambria Math" w:hAnsi="Cambria Math"/>
                <w:sz w:val="22"/>
                <w:szCs w:val="22"/>
              </w:rPr>
              <m:t>total</m:t>
            </m:r>
            <m:r>
              <w:rPr>
                <w:rFonts w:ascii="Cambria Math" w:hAnsi="Cambria Math"/>
                <w:sz w:val="22"/>
                <w:szCs w:val="22"/>
                <w:lang w:val="en-US"/>
              </w:rPr>
              <m:t xml:space="preserve"> </m:t>
            </m:r>
            <m:r>
              <w:rPr>
                <w:rFonts w:ascii="Cambria Math" w:hAnsi="Cambria Math"/>
                <w:sz w:val="22"/>
                <w:szCs w:val="22"/>
              </w:rPr>
              <m:t>assets</m:t>
            </m:r>
          </m:num>
          <m:den>
            <m:r>
              <w:rPr>
                <w:rFonts w:ascii="Cambria Math" w:hAnsi="Cambria Math"/>
                <w:sz w:val="22"/>
                <w:szCs w:val="22"/>
              </w:rPr>
              <m:t>total</m:t>
            </m:r>
            <m:r>
              <w:rPr>
                <w:rFonts w:ascii="Cambria Math" w:hAnsi="Cambria Math"/>
                <w:sz w:val="22"/>
                <w:szCs w:val="22"/>
                <w:lang w:val="en-US"/>
              </w:rPr>
              <m:t xml:space="preserve"> </m:t>
            </m:r>
            <m:r>
              <w:rPr>
                <w:rFonts w:ascii="Cambria Math" w:hAnsi="Cambria Math"/>
                <w:sz w:val="22"/>
                <w:szCs w:val="22"/>
              </w:rPr>
              <m:t>equity</m:t>
            </m:r>
          </m:den>
        </m:f>
        <m:r>
          <w:rPr>
            <w:rFonts w:ascii="Cambria Math" w:hAnsi="Cambria Math"/>
            <w:sz w:val="22"/>
            <w:szCs w:val="22"/>
            <w:lang w:val="en-US"/>
          </w:rPr>
          <m:t xml:space="preserve">      </m:t>
        </m:r>
        <m:r>
          <w:rPr>
            <w:rFonts w:ascii="Cambria Math" w:hAnsi="Cambria Math"/>
            <w:sz w:val="22"/>
            <w:szCs w:val="22"/>
          </w:rPr>
          <m:t>or</m:t>
        </m:r>
        <m:r>
          <w:rPr>
            <w:rFonts w:ascii="Cambria Math" w:hAnsi="Cambria Math"/>
            <w:sz w:val="22"/>
            <w:szCs w:val="22"/>
            <w:lang w:val="en-US"/>
          </w:rPr>
          <m:t xml:space="preserve">    </m:t>
        </m:r>
        <m:r>
          <w:rPr>
            <w:rFonts w:ascii="Cambria Math" w:hAnsi="Cambria Math"/>
            <w:sz w:val="22"/>
            <w:szCs w:val="22"/>
          </w:rPr>
          <m:t>ROE</m:t>
        </m:r>
        <m:r>
          <w:rPr>
            <w:rFonts w:ascii="Cambria Math" w:hAnsi="Cambria Math"/>
            <w:sz w:val="22"/>
            <w:szCs w:val="22"/>
            <w:lang w:val="en-US"/>
          </w:rPr>
          <m:t>=</m:t>
        </m:r>
        <m:r>
          <w:rPr>
            <w:rFonts w:ascii="Cambria Math" w:hAnsi="Cambria Math"/>
            <w:sz w:val="22"/>
            <w:szCs w:val="22"/>
          </w:rPr>
          <m:t>ROA</m:t>
        </m:r>
        <m:r>
          <w:rPr>
            <w:rFonts w:ascii="Cambria Math" w:hAnsi="Cambria Math"/>
            <w:sz w:val="22"/>
            <w:szCs w:val="22"/>
            <w:lang w:val="en-US"/>
          </w:rPr>
          <m:t xml:space="preserve"> ×  </m:t>
        </m:r>
        <m:f>
          <m:fPr>
            <m:ctrlPr>
              <w:rPr>
                <w:rFonts w:ascii="Cambria Math" w:hAnsi="Cambria Math"/>
                <w:b/>
                <w:i/>
                <w:sz w:val="22"/>
                <w:szCs w:val="22"/>
              </w:rPr>
            </m:ctrlPr>
          </m:fPr>
          <m:num>
            <m:r>
              <w:rPr>
                <w:rFonts w:ascii="Cambria Math" w:hAnsi="Cambria Math"/>
                <w:sz w:val="22"/>
                <w:szCs w:val="22"/>
              </w:rPr>
              <m:t>total</m:t>
            </m:r>
            <m:r>
              <w:rPr>
                <w:rFonts w:ascii="Cambria Math" w:hAnsi="Cambria Math"/>
                <w:sz w:val="22"/>
                <w:szCs w:val="22"/>
                <w:lang w:val="en-US"/>
              </w:rPr>
              <m:t xml:space="preserve"> </m:t>
            </m:r>
            <m:r>
              <w:rPr>
                <w:rFonts w:ascii="Cambria Math" w:hAnsi="Cambria Math"/>
                <w:sz w:val="22"/>
                <w:szCs w:val="22"/>
              </w:rPr>
              <m:t>assets</m:t>
            </m:r>
          </m:num>
          <m:den>
            <m:r>
              <w:rPr>
                <w:rFonts w:ascii="Cambria Math" w:hAnsi="Cambria Math"/>
                <w:sz w:val="22"/>
                <w:szCs w:val="22"/>
              </w:rPr>
              <m:t>total</m:t>
            </m:r>
            <m:r>
              <w:rPr>
                <w:rFonts w:ascii="Cambria Math" w:hAnsi="Cambria Math"/>
                <w:sz w:val="22"/>
                <w:szCs w:val="22"/>
                <w:lang w:val="en-US"/>
              </w:rPr>
              <m:t xml:space="preserve"> </m:t>
            </m:r>
            <m:r>
              <w:rPr>
                <w:rFonts w:ascii="Cambria Math" w:hAnsi="Cambria Math"/>
                <w:sz w:val="22"/>
                <w:szCs w:val="22"/>
              </w:rPr>
              <m:t>equity</m:t>
            </m:r>
          </m:den>
        </m:f>
        <m:r>
          <w:rPr>
            <w:rFonts w:ascii="Cambria Math" w:hAnsi="Cambria Math"/>
            <w:sz w:val="22"/>
            <w:szCs w:val="22"/>
            <w:lang w:val="en-US"/>
          </w:rPr>
          <m:t xml:space="preserve"> </m:t>
        </m:r>
      </m:oMath>
    </w:p>
    <w:p w:rsidR="00A9490E" w:rsidRPr="000B3059" w:rsidRDefault="00A9490E">
      <w:pPr>
        <w:pStyle w:val="EndnoteText"/>
        <w:rPr>
          <w:sz w:val="16"/>
          <w:szCs w:val="16"/>
          <w:lang w:val="en-US"/>
        </w:rPr>
      </w:pPr>
      <w:r w:rsidRPr="000B3059">
        <w:rPr>
          <w:sz w:val="16"/>
          <w:szCs w:val="16"/>
          <w:lang w:val="en-US"/>
        </w:rPr>
        <w:t xml:space="preserve"> </w:t>
      </w:r>
    </w:p>
  </w:endnote>
  <w:endnote w:id="5">
    <w:p w:rsidR="00A9490E" w:rsidRPr="00DC57FA" w:rsidRDefault="00A9490E" w:rsidP="00DC57FA">
      <w:pPr>
        <w:pStyle w:val="EndnoteText"/>
        <w:spacing w:line="276" w:lineRule="auto"/>
        <w:jc w:val="both"/>
        <w:rPr>
          <w:lang w:val="en-US"/>
        </w:rPr>
      </w:pPr>
      <w:r>
        <w:rPr>
          <w:rStyle w:val="EndnoteReference"/>
        </w:rPr>
        <w:endnoteRef/>
      </w:r>
      <w:r w:rsidRPr="000B3059">
        <w:rPr>
          <w:lang w:val="en-US"/>
        </w:rPr>
        <w:t xml:space="preserve"> According to the </w:t>
      </w:r>
      <w:r w:rsidRPr="001B30EB">
        <w:rPr>
          <w:noProof/>
          <w:color w:val="365F91"/>
          <w:lang w:val="en-US"/>
        </w:rPr>
        <w:t xml:space="preserve">European Central Bank </w:t>
      </w:r>
      <w:r>
        <w:rPr>
          <w:noProof/>
          <w:color w:val="365F91"/>
          <w:lang w:val="en-US"/>
        </w:rPr>
        <w:t>(</w:t>
      </w:r>
      <w:r w:rsidRPr="001B30EB">
        <w:rPr>
          <w:noProof/>
          <w:color w:val="365F91"/>
          <w:lang w:val="en-US"/>
        </w:rPr>
        <w:t>2010)</w:t>
      </w:r>
      <w:r w:rsidRPr="000B3059">
        <w:rPr>
          <w:lang w:val="en-US"/>
        </w:rPr>
        <w:t xml:space="preserve"> ROE is an inadequate measure of profitability during times of high volatility. Banks with high ROE ratios performed particularly poor during the financial crisis (a period of high volatility) due to the need for rapid leverage adjustments. Banks with high ROE ratios tend to have a low equity base, which is highly unfavorable in times of uncertainty when losses appear. According to the </w:t>
      </w:r>
      <w:r>
        <w:rPr>
          <w:noProof/>
          <w:color w:val="365F91" w:themeColor="accent1" w:themeShade="BF"/>
          <w:lang w:val="en-US"/>
        </w:rPr>
        <w:t>European Central Bank</w:t>
      </w:r>
      <w:r w:rsidRPr="001B30EB">
        <w:rPr>
          <w:noProof/>
          <w:color w:val="365F91" w:themeColor="accent1" w:themeShade="BF"/>
          <w:lang w:val="en-US"/>
        </w:rPr>
        <w:t xml:space="preserve"> </w:t>
      </w:r>
      <w:r>
        <w:rPr>
          <w:noProof/>
          <w:color w:val="365F91" w:themeColor="accent1" w:themeShade="BF"/>
          <w:lang w:val="en-US"/>
        </w:rPr>
        <w:t>(</w:t>
      </w:r>
      <w:r w:rsidRPr="001B30EB">
        <w:rPr>
          <w:noProof/>
          <w:color w:val="365F91" w:themeColor="accent1" w:themeShade="BF"/>
          <w:lang w:val="en-US"/>
        </w:rPr>
        <w:t>2010)</w:t>
      </w:r>
      <w:r w:rsidRPr="000B3059">
        <w:rPr>
          <w:lang w:val="en-US"/>
        </w:rPr>
        <w:t xml:space="preserve"> the financial crisis indicated that ROE failed to separate profitable banks from non</w:t>
      </w:r>
      <w:r>
        <w:rPr>
          <w:lang w:val="en-US"/>
        </w:rPr>
        <w:t xml:space="preserve">-performing banks; thus, </w:t>
      </w:r>
      <w:r w:rsidRPr="000B3059">
        <w:rPr>
          <w:lang w:val="en-US"/>
        </w:rPr>
        <w:t>ROE is only a short-term measure by estimating the profitability at a particular moment in time.</w:t>
      </w:r>
    </w:p>
  </w:endnote>
  <w:endnote w:id="6">
    <w:p w:rsidR="00A9490E" w:rsidRPr="000B3059" w:rsidRDefault="00A9490E" w:rsidP="00DC57FA">
      <w:pPr>
        <w:pStyle w:val="EndnoteText"/>
        <w:spacing w:line="276" w:lineRule="auto"/>
        <w:jc w:val="both"/>
        <w:rPr>
          <w:lang w:val="en-US"/>
        </w:rPr>
      </w:pPr>
      <w:r>
        <w:rPr>
          <w:rStyle w:val="EndnoteReference"/>
        </w:rPr>
        <w:endnoteRef/>
      </w:r>
      <w:r w:rsidRPr="000B3059">
        <w:rPr>
          <w:lang w:val="en-US"/>
        </w:rPr>
        <w:t xml:space="preserve"> The economic value added is a concept very similar to the net present value (NPV) of an investment. In contrary to the NPV</w:t>
      </w:r>
      <w:r>
        <w:rPr>
          <w:lang w:val="en-US"/>
        </w:rPr>
        <w:t>,</w:t>
      </w:r>
      <w:r w:rsidRPr="000B3059">
        <w:rPr>
          <w:lang w:val="en-US"/>
        </w:rPr>
        <w:t xml:space="preserve"> EVA measures year to year return by calculating the difference between the cash flows on the invested funds minus the weighted cost of capital (both equity and debt financing) times total invested capital. Within the banking sector the risk-adjusted return on capital (RAROC) is commonly used to measure the profit in relationship to the risks</w:t>
      </w:r>
      <w:r>
        <w:rPr>
          <w:lang w:val="en-US"/>
        </w:rPr>
        <w:t xml:space="preserve"> of a bank</w:t>
      </w:r>
      <w:r w:rsidRPr="000B3059">
        <w:rPr>
          <w:lang w:val="en-US"/>
        </w:rPr>
        <w:t>.</w:t>
      </w:r>
    </w:p>
  </w:endnote>
  <w:endnote w:id="7">
    <w:p w:rsidR="00A9490E" w:rsidRPr="00FD0E28" w:rsidRDefault="00A9490E" w:rsidP="00DC57FA">
      <w:pPr>
        <w:pStyle w:val="EndnoteText"/>
        <w:spacing w:line="276" w:lineRule="auto"/>
        <w:jc w:val="both"/>
        <w:rPr>
          <w:lang w:val="en-US"/>
        </w:rPr>
      </w:pPr>
      <w:r>
        <w:rPr>
          <w:rStyle w:val="EndnoteReference"/>
        </w:rPr>
        <w:endnoteRef/>
      </w:r>
      <w:r w:rsidRPr="00FD0E28">
        <w:rPr>
          <w:lang w:val="en-US"/>
        </w:rPr>
        <w:t xml:space="preserve"> </w:t>
      </w:r>
      <w:r>
        <w:rPr>
          <w:lang w:val="en-US"/>
        </w:rPr>
        <w:t>Hitherto, the theoretical chapters mentioned that regulation sets minimum capital requirements to safeguard the continuity of a bank by holding a considerable amount of Tier 1 and Tier 2 capital, also referred to as the capitalization of a bank. The capitalization of a bank is calculated on a risk-weighted basis, the amount of capital (equity for regulatory purposes) is divided by the risk-weighted assets of a bank. Hence, the term capitalization differs from the leverage structure (that is the inverse of the equity-to-asset ratio; an risk-independent metric). Since data on the equity-to-asset ratio is publicly available for all banks this ratio is used instead of the regulatory ratios that are not available for every bank for the whole period.</w:t>
      </w:r>
    </w:p>
  </w:endnote>
  <w:endnote w:id="8">
    <w:p w:rsidR="00A9490E" w:rsidRPr="000B3059" w:rsidRDefault="00A9490E" w:rsidP="00DC57FA">
      <w:pPr>
        <w:pStyle w:val="EndnoteText"/>
        <w:spacing w:line="276" w:lineRule="auto"/>
        <w:jc w:val="both"/>
        <w:rPr>
          <w:lang w:val="en-US"/>
        </w:rPr>
      </w:pPr>
      <w:r>
        <w:rPr>
          <w:rStyle w:val="EndnoteReference"/>
        </w:rPr>
        <w:endnoteRef/>
      </w:r>
      <w:r w:rsidRPr="000B3059">
        <w:rPr>
          <w:lang w:val="en-US"/>
        </w:rPr>
        <w:t xml:space="preserve"> A higher capital ratio can be a signal of better profitability because weaker banks cannot afford to hold the same equity without further deteriorating their earnings. Secondly, higher capital ratios lower the costs of financial distress, as banks can more easily absorb potential shortfalls and losses.</w:t>
      </w:r>
    </w:p>
  </w:endnote>
  <w:endnote w:id="9">
    <w:p w:rsidR="00A9490E" w:rsidRPr="000B3059" w:rsidRDefault="00A9490E" w:rsidP="00304525">
      <w:pPr>
        <w:pStyle w:val="EndnoteText"/>
        <w:spacing w:line="276" w:lineRule="auto"/>
        <w:jc w:val="both"/>
        <w:rPr>
          <w:lang w:val="en-US"/>
        </w:rPr>
      </w:pPr>
      <w:r>
        <w:rPr>
          <w:rStyle w:val="EndnoteReference"/>
        </w:rPr>
        <w:endnoteRef/>
      </w:r>
      <w:r w:rsidRPr="000B3059">
        <w:rPr>
          <w:lang w:val="en-US"/>
        </w:rPr>
        <w:t xml:space="preserve"> Derivatives are excluded from total funding as these are mainly used for hedging purposes and are not a real source of funding.</w:t>
      </w:r>
    </w:p>
  </w:endnote>
  <w:endnote w:id="10">
    <w:p w:rsidR="00A9490E" w:rsidRPr="00016C7B" w:rsidRDefault="00A9490E" w:rsidP="00304525">
      <w:pPr>
        <w:pStyle w:val="EndnoteText"/>
        <w:spacing w:line="276" w:lineRule="auto"/>
        <w:jc w:val="both"/>
        <w:rPr>
          <w:lang w:val="en-US"/>
        </w:rPr>
      </w:pPr>
      <w:r>
        <w:rPr>
          <w:rStyle w:val="EndnoteReference"/>
        </w:rPr>
        <w:endnoteRef/>
      </w:r>
      <w:r>
        <w:rPr>
          <w:lang w:val="en-US"/>
        </w:rPr>
        <w:t xml:space="preserve"> The </w:t>
      </w:r>
      <w:r w:rsidRPr="00016C7B">
        <w:rPr>
          <w:lang w:val="en-US"/>
        </w:rPr>
        <w:t xml:space="preserve">Euro Interbank Offered Rate </w:t>
      </w:r>
      <w:r>
        <w:rPr>
          <w:lang w:val="en-US"/>
        </w:rPr>
        <w:t xml:space="preserve">(EURIBOR) is often a good reference interest rate for banks. EURIBOR is the rate for which European prime banks are willing to offer term deposits to each other within the EMU zone. Since EURIBOR interest rates are only available up to a maturity of 12-months the reference yield curve for longer maturity is extrapolated from the Euro interest rate swap curve for longer maturities. This interest rate swap curve denoted in Euros is used to obtain data for the 10-years maturity. </w:t>
      </w:r>
    </w:p>
  </w:endnote>
  <w:endnote w:id="11">
    <w:p w:rsidR="00A9490E" w:rsidRPr="000B3059" w:rsidRDefault="00A9490E" w:rsidP="00304525">
      <w:pPr>
        <w:pStyle w:val="EndnoteText"/>
        <w:spacing w:line="276" w:lineRule="auto"/>
        <w:jc w:val="both"/>
        <w:rPr>
          <w:lang w:val="en-US"/>
        </w:rPr>
      </w:pPr>
      <w:r>
        <w:rPr>
          <w:rStyle w:val="EndnoteReference"/>
        </w:rPr>
        <w:endnoteRef/>
      </w:r>
      <w:r w:rsidRPr="000B3059">
        <w:rPr>
          <w:lang w:val="en-US"/>
        </w:rPr>
        <w:t xml:space="preserve"> Heterogeneity across banks likely interacts with the disturbance term [i.e.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it</m:t>
                </m:r>
              </m:sub>
            </m:sSub>
            <m:sSub>
              <m:sSubPr>
                <m:ctrlPr>
                  <w:rPr>
                    <w:rFonts w:ascii="Cambria Math" w:hAnsi="Cambria Math"/>
                    <w:i/>
                  </w:rPr>
                </m:ctrlPr>
              </m:sSubPr>
              <m:e>
                <m:r>
                  <w:rPr>
                    <w:rFonts w:ascii="Cambria Math" w:hAnsi="Cambria Math"/>
                  </w:rPr>
                  <m:t>u</m:t>
                </m:r>
              </m:e>
              <m:sub>
                <m:r>
                  <w:rPr>
                    <w:rFonts w:ascii="Cambria Math" w:hAnsi="Cambria Math"/>
                  </w:rPr>
                  <m:t>it</m:t>
                </m:r>
              </m:sub>
            </m:sSub>
          </m:e>
        </m:d>
        <m:r>
          <w:rPr>
            <w:rFonts w:ascii="Cambria Math" w:hAnsi="Cambria Math"/>
            <w:lang w:val="en-US"/>
          </w:rPr>
          <m:t>≠0</m:t>
        </m:r>
      </m:oMath>
      <w:r w:rsidRPr="000B3059">
        <w:rPr>
          <w:lang w:val="en-US"/>
        </w:rPr>
        <w:t>]</w:t>
      </w:r>
      <w:r>
        <w:rPr>
          <w:lang w:val="en-US"/>
        </w:rPr>
        <w:t xml:space="preserve">, following </w:t>
      </w:r>
      <w:r>
        <w:rPr>
          <w:noProof/>
          <w:color w:val="365F91" w:themeColor="accent1" w:themeShade="BF"/>
          <w:lang w:val="en-US"/>
        </w:rPr>
        <w:t>Baltagi (</w:t>
      </w:r>
      <w:r w:rsidRPr="0010765B">
        <w:rPr>
          <w:noProof/>
          <w:color w:val="365F91" w:themeColor="accent1" w:themeShade="BF"/>
          <w:lang w:val="en-US"/>
        </w:rPr>
        <w:t>2005)</w:t>
      </w:r>
      <w:r w:rsidRPr="0010765B">
        <w:rPr>
          <w:color w:val="365F91" w:themeColor="accent1" w:themeShade="BF"/>
          <w:lang w:val="en-US"/>
        </w:rPr>
        <w:t xml:space="preserve"> </w:t>
      </w:r>
      <w:r w:rsidRPr="000B3059">
        <w:rPr>
          <w:lang w:val="en-US"/>
        </w:rPr>
        <w:t>leading to inconsistent and biased ordinary least square estimators</w:t>
      </w:r>
      <w:r>
        <w:rPr>
          <w:lang w:val="en-US"/>
        </w:rPr>
        <w:t>/</w:t>
      </w:r>
      <w:r w:rsidRPr="000B3059">
        <w:rPr>
          <w:lang w:val="en-US"/>
        </w:rPr>
        <w:t xml:space="preserve"> </w:t>
      </w:r>
    </w:p>
  </w:endnote>
  <w:endnote w:id="12">
    <w:p w:rsidR="00A9490E" w:rsidRPr="00FC573C" w:rsidRDefault="00A9490E" w:rsidP="00304525">
      <w:pPr>
        <w:pStyle w:val="EndnoteText"/>
        <w:spacing w:line="276" w:lineRule="auto"/>
        <w:jc w:val="both"/>
        <w:rPr>
          <w:lang w:val="en-US"/>
        </w:rPr>
      </w:pPr>
      <w:r>
        <w:rPr>
          <w:rStyle w:val="EndnoteReference"/>
        </w:rPr>
        <w:endnoteRef/>
      </w:r>
      <w:r w:rsidRPr="000B3059">
        <w:rPr>
          <w:lang w:val="en-US"/>
        </w:rPr>
        <w:t xml:space="preserve"> According to </w:t>
      </w:r>
      <w:r w:rsidRPr="001B30EB">
        <w:rPr>
          <w:noProof/>
          <w:color w:val="365F91" w:themeColor="accent1" w:themeShade="BF"/>
          <w:lang w:val="en-US"/>
        </w:rPr>
        <w:t>Baltagi</w:t>
      </w:r>
      <w:r>
        <w:rPr>
          <w:noProof/>
          <w:color w:val="365F91" w:themeColor="accent1" w:themeShade="BF"/>
          <w:lang w:val="en-US"/>
        </w:rPr>
        <w:t xml:space="preserve"> (</w:t>
      </w:r>
      <w:r w:rsidRPr="001B30EB">
        <w:rPr>
          <w:noProof/>
          <w:color w:val="365F91" w:themeColor="accent1" w:themeShade="BF"/>
          <w:lang w:val="en-US"/>
        </w:rPr>
        <w:t>2005)</w:t>
      </w:r>
      <w:r w:rsidRPr="000B3059">
        <w:rPr>
          <w:color w:val="365F91" w:themeColor="accent1" w:themeShade="BF"/>
          <w:lang w:val="en-US"/>
        </w:rPr>
        <w:t xml:space="preserve"> </w:t>
      </w:r>
      <w:r w:rsidRPr="000B3059">
        <w:rPr>
          <w:lang w:val="en-US"/>
        </w:rPr>
        <w:t xml:space="preserve">the disturbance term </w:t>
      </w:r>
      <w:r>
        <w:rPr>
          <w:lang w:val="en-US"/>
        </w:rPr>
        <w:t>in panel data</w:t>
      </w:r>
      <w:r w:rsidRPr="000B3059">
        <w:rPr>
          <w:lang w:val="en-US"/>
        </w:rPr>
        <w:t xml:space="preserve"> could be either a one-way or two-way error. The methodology in this analysis incorporate</w:t>
      </w:r>
      <w:r>
        <w:rPr>
          <w:lang w:val="en-US"/>
        </w:rPr>
        <w:t>s</w:t>
      </w:r>
      <w:r w:rsidRPr="000B3059">
        <w:rPr>
          <w:lang w:val="en-US"/>
        </w:rPr>
        <w:t xml:space="preserve"> a one-way error disturbance terms since the analysis assumes that there is no time-specific error but only a cross-sectional error relating to the unobserved </w:t>
      </w:r>
      <w:r>
        <w:rPr>
          <w:lang w:val="en-US"/>
        </w:rPr>
        <w:t>characteristics between banks.</w:t>
      </w:r>
    </w:p>
  </w:endnote>
  <w:endnote w:id="13">
    <w:p w:rsidR="00A9490E" w:rsidRPr="000B3059" w:rsidRDefault="00A9490E" w:rsidP="00304525">
      <w:pPr>
        <w:pStyle w:val="EndnoteText"/>
        <w:spacing w:line="276" w:lineRule="auto"/>
        <w:jc w:val="both"/>
        <w:rPr>
          <w:lang w:val="en-US"/>
        </w:rPr>
      </w:pPr>
      <w:r>
        <w:rPr>
          <w:rStyle w:val="EndnoteReference"/>
        </w:rPr>
        <w:endnoteRef/>
      </w:r>
      <w:r w:rsidRPr="000B3059">
        <w:rPr>
          <w:lang w:val="en-US"/>
        </w:rPr>
        <w:t xml:space="preserve"> An additional assumption of the System GMM estimator is that the correlation between the error item and the explanatory variables in levels is constant over time </w:t>
      </w:r>
      <w:r w:rsidRPr="00304525">
        <w:rPr>
          <w:noProof/>
          <w:color w:val="365F91" w:themeColor="accent1" w:themeShade="BF"/>
          <w:lang w:val="en-US"/>
        </w:rPr>
        <w:t>(Roodman, 2009)</w:t>
      </w:r>
      <w:r w:rsidRPr="00304525">
        <w:rPr>
          <w:color w:val="365F91" w:themeColor="accent1" w:themeShade="BF"/>
          <w:lang w:val="en-US"/>
        </w:rPr>
        <w:t>.</w:t>
      </w:r>
    </w:p>
  </w:endnote>
  <w:endnote w:id="14">
    <w:p w:rsidR="00A9490E" w:rsidRPr="000B3059" w:rsidRDefault="00A9490E" w:rsidP="00304525">
      <w:pPr>
        <w:pStyle w:val="EndnoteText"/>
        <w:spacing w:line="276" w:lineRule="auto"/>
        <w:jc w:val="both"/>
        <w:rPr>
          <w:lang w:val="en-US"/>
        </w:rPr>
      </w:pPr>
      <w:r>
        <w:rPr>
          <w:rStyle w:val="EndnoteReference"/>
        </w:rPr>
        <w:endnoteRef/>
      </w:r>
      <w:r w:rsidRPr="000B3059">
        <w:rPr>
          <w:lang w:val="en-US"/>
        </w:rPr>
        <w:t xml:space="preserve"> Orthogonal deviations subtract the average of all future available observations of a contemporaneous one as instrument instead of subtracting the previous observation of a variable. System GMM only holds under the assumption that changes in the instrumental variables (the transformed variables) are uncorrelated with the fixed effect </w:t>
      </w:r>
      <w:r w:rsidRPr="00304525">
        <w:rPr>
          <w:noProof/>
          <w:color w:val="365F91" w:themeColor="accent1" w:themeShade="BF"/>
          <w:lang w:val="en-US"/>
        </w:rPr>
        <w:t>(Roodman, 2009)</w:t>
      </w:r>
      <w:r w:rsidRPr="000B3059">
        <w:rPr>
          <w:lang w:val="en-US"/>
        </w:rPr>
        <w:t>.</w:t>
      </w:r>
    </w:p>
  </w:endnote>
  <w:endnote w:id="15">
    <w:p w:rsidR="00A9490E" w:rsidRPr="000B3059" w:rsidRDefault="00A9490E" w:rsidP="00304525">
      <w:pPr>
        <w:pStyle w:val="EndnoteText"/>
        <w:spacing w:line="276" w:lineRule="auto"/>
        <w:jc w:val="both"/>
        <w:rPr>
          <w:lang w:val="en-US"/>
        </w:rPr>
      </w:pPr>
      <w:r>
        <w:rPr>
          <w:rStyle w:val="EndnoteReference"/>
        </w:rPr>
        <w:endnoteRef/>
      </w:r>
      <w:r w:rsidRPr="000B3059">
        <w:rPr>
          <w:lang w:val="en-US"/>
        </w:rPr>
        <w:t xml:space="preserve"> Traditionally, the German banking sector is organized into a three-pillar structure in which public sector banks (‘Sparkasse’ and ‘Landesbanken’), co-operative banks and commercial banks operate in the same sector. The public sector banks and co-operative banks are mostly separate legal entities with an umbrella organization or brand. Nevertheless, the</w:t>
      </w:r>
      <w:r>
        <w:rPr>
          <w:lang w:val="en-US"/>
        </w:rPr>
        <w:t xml:space="preserve"> financial accounts of the</w:t>
      </w:r>
      <w:r w:rsidRPr="000B3059">
        <w:rPr>
          <w:lang w:val="en-US"/>
        </w:rPr>
        <w:t>se banks are not consolidated on an aggregate level. Thus, this analysis does only take into account banks</w:t>
      </w:r>
      <w:r>
        <w:rPr>
          <w:lang w:val="en-US"/>
        </w:rPr>
        <w:t xml:space="preserve"> with total assets exceeding EUR 10 billion to </w:t>
      </w:r>
      <w:r w:rsidRPr="000B3059">
        <w:rPr>
          <w:lang w:val="en-US"/>
        </w:rPr>
        <w:t>avoid the inclusion of many small</w:t>
      </w:r>
      <w:r>
        <w:rPr>
          <w:lang w:val="en-US"/>
        </w:rPr>
        <w:t xml:space="preserve"> and similar German banks.</w:t>
      </w:r>
    </w:p>
  </w:endnote>
  <w:endnote w:id="16">
    <w:p w:rsidR="00A9490E" w:rsidRPr="000B3059" w:rsidRDefault="00A9490E" w:rsidP="00304525">
      <w:pPr>
        <w:pStyle w:val="EndnoteText"/>
        <w:spacing w:line="276" w:lineRule="auto"/>
        <w:jc w:val="both"/>
        <w:rPr>
          <w:lang w:val="en-US"/>
        </w:rPr>
      </w:pPr>
      <w:r>
        <w:rPr>
          <w:rStyle w:val="EndnoteReference"/>
        </w:rPr>
        <w:endnoteRef/>
      </w:r>
      <w:r w:rsidRPr="000B3059">
        <w:rPr>
          <w:lang w:val="en-US"/>
        </w:rPr>
        <w:t>The interquartile range and z-score method indicate outliers whenever an</w:t>
      </w:r>
      <w:r>
        <w:rPr>
          <w:lang w:val="en-US"/>
        </w:rPr>
        <w:t xml:space="preserve"> </w:t>
      </w:r>
      <w:r w:rsidRPr="000B3059">
        <w:rPr>
          <w:lang w:val="en-US"/>
        </w:rPr>
        <w:t xml:space="preserve">observation outranges a predefined interval. The z-score method indicates an observation as an outlier whenever the z-score (observation minus the mean, divided by the standard deviation) is larger than three. The interquartile range method indicate outliers whenever the observations is beyond one point five or three times the interquartile range minus quartile one or plus quartile three. The interquartile range is defined as quartile three minus quartile one. </w:t>
      </w:r>
    </w:p>
  </w:endnote>
  <w:endnote w:id="17">
    <w:p w:rsidR="00A9490E" w:rsidRPr="002B0029" w:rsidRDefault="00A9490E" w:rsidP="00304525">
      <w:pPr>
        <w:pStyle w:val="EndnoteText"/>
        <w:spacing w:line="276" w:lineRule="auto"/>
        <w:jc w:val="both"/>
        <w:rPr>
          <w:rFonts w:cstheme="minorHAnsi"/>
          <w:lang w:val="en-US"/>
        </w:rPr>
      </w:pPr>
      <w:r>
        <w:rPr>
          <w:rStyle w:val="EndnoteReference"/>
        </w:rPr>
        <w:endnoteRef/>
      </w:r>
      <w:r w:rsidRPr="000B3059">
        <w:rPr>
          <w:lang w:val="en-US"/>
        </w:rPr>
        <w:t xml:space="preserve"> In contrary to </w:t>
      </w:r>
      <w:r>
        <w:rPr>
          <w:noProof/>
          <w:color w:val="365F91" w:themeColor="accent1" w:themeShade="BF"/>
          <w:lang w:val="en-US"/>
        </w:rPr>
        <w:t>García-Herrero et al.</w:t>
      </w:r>
      <w:r w:rsidRPr="001B30EB">
        <w:rPr>
          <w:noProof/>
          <w:color w:val="365F91" w:themeColor="accent1" w:themeShade="BF"/>
          <w:lang w:val="en-US"/>
        </w:rPr>
        <w:t xml:space="preserve"> </w:t>
      </w:r>
      <w:r>
        <w:rPr>
          <w:noProof/>
          <w:color w:val="365F91" w:themeColor="accent1" w:themeShade="BF"/>
          <w:lang w:val="en-US"/>
        </w:rPr>
        <w:t>(</w:t>
      </w:r>
      <w:r w:rsidRPr="001B30EB">
        <w:rPr>
          <w:noProof/>
          <w:color w:val="365F91" w:themeColor="accent1" w:themeShade="BF"/>
          <w:lang w:val="en-US"/>
        </w:rPr>
        <w:t>2009)</w:t>
      </w:r>
      <w:r w:rsidRPr="000B3059">
        <w:rPr>
          <w:lang w:val="en-US"/>
        </w:rPr>
        <w:t xml:space="preserve"> observations are not deleted when they are indicated by the z-</w:t>
      </w:r>
      <w:r w:rsidRPr="002B0029">
        <w:rPr>
          <w:rFonts w:cstheme="minorHAnsi"/>
          <w:lang w:val="en-US"/>
        </w:rPr>
        <w:t xml:space="preserve">score method or when observations are </w:t>
      </w:r>
      <w:r>
        <w:rPr>
          <w:rFonts w:cstheme="minorHAnsi"/>
          <w:lang w:val="en-US"/>
        </w:rPr>
        <w:t xml:space="preserve">within </w:t>
      </w:r>
      <w:r w:rsidRPr="002B0029">
        <w:rPr>
          <w:rFonts w:cstheme="minorHAnsi"/>
          <w:lang w:val="en-US"/>
        </w:rPr>
        <w:t>the 1</w:t>
      </w:r>
      <w:r w:rsidRPr="002B0029">
        <w:rPr>
          <w:rFonts w:cstheme="minorHAnsi"/>
          <w:vertAlign w:val="superscript"/>
          <w:lang w:val="en-US"/>
        </w:rPr>
        <w:t>st</w:t>
      </w:r>
      <w:r w:rsidRPr="002B0029">
        <w:rPr>
          <w:rFonts w:cstheme="minorHAnsi"/>
          <w:lang w:val="en-US"/>
        </w:rPr>
        <w:t xml:space="preserve"> or 99</w:t>
      </w:r>
      <w:r w:rsidRPr="002B0029">
        <w:rPr>
          <w:rFonts w:cstheme="minorHAnsi"/>
          <w:vertAlign w:val="superscript"/>
          <w:lang w:val="en-US"/>
        </w:rPr>
        <w:t>th</w:t>
      </w:r>
      <w:r w:rsidRPr="002B0029">
        <w:rPr>
          <w:rFonts w:cstheme="minorHAnsi"/>
          <w:lang w:val="en-US"/>
        </w:rPr>
        <w:t xml:space="preserve"> percentiles. Deleting these observations will improve the explanatory value of the model and giving more significant results but the findings are not necessarily representative for the sample, it merely reflect the mean population.    </w:t>
      </w:r>
    </w:p>
  </w:endnote>
  <w:endnote w:id="18">
    <w:p w:rsidR="00A9490E" w:rsidRPr="00A26437" w:rsidRDefault="00A9490E" w:rsidP="00304525">
      <w:pPr>
        <w:pStyle w:val="Default"/>
        <w:spacing w:line="276" w:lineRule="auto"/>
        <w:jc w:val="both"/>
        <w:rPr>
          <w:rFonts w:asciiTheme="minorHAnsi" w:eastAsiaTheme="minorEastAsia" w:hAnsiTheme="minorHAnsi" w:cstheme="minorHAnsi"/>
          <w:color w:val="auto"/>
          <w:sz w:val="20"/>
          <w:szCs w:val="20"/>
        </w:rPr>
      </w:pPr>
      <w:r w:rsidRPr="002B0029">
        <w:rPr>
          <w:rStyle w:val="EndnoteReference"/>
          <w:rFonts w:asciiTheme="minorHAnsi" w:hAnsiTheme="minorHAnsi" w:cstheme="minorHAnsi"/>
          <w:color w:val="auto"/>
          <w:sz w:val="20"/>
          <w:szCs w:val="20"/>
        </w:rPr>
        <w:endnoteRef/>
      </w:r>
      <w:r w:rsidRPr="002B0029">
        <w:rPr>
          <w:rFonts w:asciiTheme="minorHAnsi" w:hAnsiTheme="minorHAnsi" w:cstheme="minorHAnsi"/>
          <w:color w:val="auto"/>
          <w:sz w:val="20"/>
          <w:szCs w:val="20"/>
        </w:rPr>
        <w:t xml:space="preserve"> </w:t>
      </w:r>
      <w:r w:rsidRPr="002B0029">
        <w:rPr>
          <w:rFonts w:asciiTheme="minorHAnsi" w:eastAsiaTheme="minorEastAsia" w:hAnsiTheme="minorHAnsi" w:cstheme="minorHAnsi"/>
          <w:color w:val="auto"/>
          <w:sz w:val="20"/>
          <w:szCs w:val="20"/>
        </w:rPr>
        <w:t>The collapse option</w:t>
      </w:r>
      <w:r>
        <w:rPr>
          <w:rFonts w:asciiTheme="minorHAnsi" w:eastAsiaTheme="minorEastAsia" w:hAnsiTheme="minorHAnsi" w:cstheme="minorHAnsi"/>
          <w:color w:val="auto"/>
          <w:sz w:val="20"/>
          <w:szCs w:val="20"/>
        </w:rPr>
        <w:t xml:space="preserve"> could be used to limit the instrumental matrix, which is quartic to T </w:t>
      </w:r>
      <w:r w:rsidRPr="00C91212">
        <w:rPr>
          <w:rFonts w:asciiTheme="minorHAnsi" w:eastAsiaTheme="minorEastAsia" w:hAnsiTheme="minorHAnsi" w:cstheme="minorHAnsi"/>
          <w:noProof/>
          <w:color w:val="365F91" w:themeColor="accent1" w:themeShade="BF"/>
          <w:sz w:val="20"/>
          <w:szCs w:val="20"/>
        </w:rPr>
        <w:t>(Roodman, 200</w:t>
      </w:r>
      <w:r>
        <w:rPr>
          <w:rFonts w:asciiTheme="minorHAnsi" w:eastAsiaTheme="minorEastAsia" w:hAnsiTheme="minorHAnsi" w:cstheme="minorHAnsi"/>
          <w:noProof/>
          <w:color w:val="365F91" w:themeColor="accent1" w:themeShade="BF"/>
          <w:sz w:val="20"/>
          <w:szCs w:val="20"/>
        </w:rPr>
        <w:t>8</w:t>
      </w:r>
      <w:r w:rsidRPr="00C91212">
        <w:rPr>
          <w:rFonts w:asciiTheme="minorHAnsi" w:eastAsiaTheme="minorEastAsia" w:hAnsiTheme="minorHAnsi" w:cstheme="minorHAnsi"/>
          <w:noProof/>
          <w:color w:val="365F91" w:themeColor="accent1" w:themeShade="BF"/>
          <w:sz w:val="20"/>
          <w:szCs w:val="20"/>
        </w:rPr>
        <w:t>)</w:t>
      </w:r>
      <w:r>
        <w:rPr>
          <w:rFonts w:asciiTheme="minorHAnsi" w:eastAsiaTheme="minorEastAsia" w:hAnsiTheme="minorHAnsi" w:cstheme="minorHAnsi"/>
          <w:color w:val="auto"/>
          <w:sz w:val="20"/>
          <w:szCs w:val="20"/>
        </w:rPr>
        <w:t>,</w:t>
      </w:r>
      <w:r w:rsidRPr="00A26437">
        <w:rPr>
          <w:rFonts w:asciiTheme="minorHAnsi" w:eastAsiaTheme="minorEastAsia" w:hAnsiTheme="minorHAnsi" w:cstheme="minorHAnsi"/>
          <w:color w:val="auto"/>
          <w:sz w:val="20"/>
          <w:szCs w:val="20"/>
        </w:rPr>
        <w:t xml:space="preserve"> </w:t>
      </w:r>
      <w:r>
        <w:rPr>
          <w:rFonts w:asciiTheme="minorHAnsi" w:eastAsiaTheme="minorEastAsia" w:hAnsiTheme="minorHAnsi" w:cstheme="minorHAnsi"/>
          <w:color w:val="auto"/>
          <w:sz w:val="20"/>
          <w:szCs w:val="20"/>
        </w:rPr>
        <w:t xml:space="preserve">as calculated by the Stata software. This option prevents Stata to overestimate the model when the number of instruments is larger than the number of banks, preventing the instrument proliferation bias. However, using the collapse option will reduce the efficiency of the model. Therefore this thesis prefers to reduce the number of lags. </w:t>
      </w:r>
    </w:p>
  </w:endnote>
  <w:endnote w:id="19">
    <w:p w:rsidR="00A9490E" w:rsidRPr="002B0029" w:rsidRDefault="00A9490E" w:rsidP="00304525">
      <w:pPr>
        <w:pStyle w:val="EndnoteText"/>
        <w:spacing w:line="276" w:lineRule="auto"/>
        <w:jc w:val="both"/>
        <w:rPr>
          <w:rFonts w:cstheme="minorHAnsi"/>
          <w:lang w:val="en-US"/>
        </w:rPr>
      </w:pPr>
      <w:r w:rsidRPr="002B0029">
        <w:rPr>
          <w:rStyle w:val="EndnoteReference"/>
          <w:rFonts w:cstheme="minorHAnsi"/>
        </w:rPr>
        <w:endnoteRef/>
      </w:r>
      <w:r w:rsidRPr="002B0029">
        <w:rPr>
          <w:rFonts w:cstheme="minorHAnsi"/>
          <w:lang w:val="en-US"/>
        </w:rPr>
        <w:t xml:space="preserve"> Note that in the coding process the banks that received government support are not tracked as government owned banks, incorporating these banks probably result in a significant negative coefficient during the crisis. Namely, the bad performing banks are most likely to be supported by capital i</w:t>
      </w:r>
      <w:r>
        <w:rPr>
          <w:rFonts w:cstheme="minorHAnsi"/>
          <w:lang w:val="en-US"/>
        </w:rPr>
        <w:t xml:space="preserve">njections from the government. </w:t>
      </w:r>
    </w:p>
  </w:endnote>
  <w:endnote w:id="20">
    <w:p w:rsidR="00A9490E" w:rsidRPr="00755F48" w:rsidRDefault="00A9490E" w:rsidP="00304525">
      <w:pPr>
        <w:pStyle w:val="EndnoteText"/>
        <w:spacing w:line="276" w:lineRule="auto"/>
        <w:jc w:val="both"/>
        <w:rPr>
          <w:lang w:val="en-US"/>
        </w:rPr>
      </w:pPr>
      <w:r>
        <w:rPr>
          <w:rStyle w:val="EndnoteReference"/>
        </w:rPr>
        <w:endnoteRef/>
      </w:r>
      <w:r w:rsidRPr="00755F48">
        <w:rPr>
          <w:lang w:val="en-US"/>
        </w:rPr>
        <w:t xml:space="preserve"> </w:t>
      </w:r>
      <w:r>
        <w:rPr>
          <w:lang w:val="en-US"/>
        </w:rPr>
        <w:t xml:space="preserve">The positive parameter by </w:t>
      </w:r>
      <w:r w:rsidRPr="00304525">
        <w:rPr>
          <w:noProof/>
          <w:color w:val="365F91" w:themeColor="accent1" w:themeShade="BF"/>
          <w:lang w:val="en-US"/>
        </w:rPr>
        <w:t>García-Herrero et al. (2009)</w:t>
      </w:r>
      <w:r w:rsidRPr="00304525">
        <w:rPr>
          <w:color w:val="365F91" w:themeColor="accent1" w:themeShade="BF"/>
          <w:lang w:val="en-US"/>
        </w:rPr>
        <w:t xml:space="preserve"> </w:t>
      </w:r>
      <w:r>
        <w:rPr>
          <w:lang w:val="en-US"/>
        </w:rPr>
        <w:t>is found in China. In this country, the banking sector is likely to be more regulated; bank growth probably lead to extra costs hereby lowering the profitability.</w:t>
      </w:r>
    </w:p>
  </w:endnote>
  <w:endnote w:id="21">
    <w:p w:rsidR="00A9490E" w:rsidRPr="007F5A0C" w:rsidRDefault="00A9490E" w:rsidP="00304525">
      <w:pPr>
        <w:pStyle w:val="EndnoteText"/>
        <w:spacing w:line="276" w:lineRule="auto"/>
        <w:jc w:val="both"/>
        <w:rPr>
          <w:lang w:val="en-US"/>
        </w:rPr>
      </w:pPr>
      <w:r>
        <w:rPr>
          <w:rStyle w:val="EndnoteReference"/>
        </w:rPr>
        <w:endnoteRef/>
      </w:r>
      <w:r w:rsidRPr="007F5A0C">
        <w:rPr>
          <w:lang w:val="en-US"/>
        </w:rPr>
        <w:t xml:space="preserve"> </w:t>
      </w:r>
      <w:r>
        <w:rPr>
          <w:lang w:val="en-US"/>
        </w:rPr>
        <w:t>The exploratory conclusion is further strengthened by the opinion of several individuals that banks are too powerful in today’s economy. Increasing concentration would lead to undesirable outcomes that probably give rise to an increase in political costs.</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B31" w:rsidRDefault="00ED4B31" w:rsidP="006D7CF6">
      <w:pPr>
        <w:spacing w:after="0" w:line="240" w:lineRule="auto"/>
      </w:pPr>
      <w:r>
        <w:separator/>
      </w:r>
    </w:p>
  </w:footnote>
  <w:footnote w:type="continuationSeparator" w:id="0">
    <w:p w:rsidR="00ED4B31" w:rsidRDefault="00ED4B31" w:rsidP="006D7C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4E4AD4">
    <w:pPr>
      <w:pStyle w:val="Header"/>
      <w:tabs>
        <w:tab w:val="clear" w:pos="4536"/>
        <w:tab w:val="clear" w:pos="9072"/>
        <w:tab w:val="left" w:pos="466"/>
        <w:tab w:val="left" w:pos="1800"/>
      </w:tabs>
    </w:pPr>
    <w:r>
      <w:fldChar w:fldCharType="begin"/>
    </w:r>
    <w:r w:rsidR="00A9490E">
      <w:instrText xml:space="preserve"> PAGE   \* MERGEFORMAT </w:instrText>
    </w:r>
    <w:r>
      <w:fldChar w:fldCharType="separate"/>
    </w:r>
    <w:r w:rsidR="00A9490E">
      <w:rPr>
        <w:noProof/>
      </w:rPr>
      <w:t>2</w:t>
    </w:r>
    <w:r>
      <w:rPr>
        <w:noProof/>
      </w:rPr>
      <w:fldChar w:fldCharType="end"/>
    </w:r>
    <w:r>
      <w:pict>
        <v:rect id="_x0000_i1025" style="width:0;height:1.5pt" o:hralign="center" o:hrstd="t" o:hr="t" fillcolor="#a7a6aa" stroked="f"/>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BC7621" w:rsidRDefault="00D46A7F">
    <w:pPr>
      <w:pStyle w:val="Header"/>
      <w:rPr>
        <w:lang w:val="en-US"/>
      </w:rPr>
    </w:pPr>
    <w:r>
      <w:fldChar w:fldCharType="begin"/>
    </w:r>
    <w:r w:rsidR="00A9490E" w:rsidRPr="00BC7621">
      <w:rPr>
        <w:lang w:val="en-US"/>
      </w:rPr>
      <w:instrText xml:space="preserve"> PAGE   \* MERGEFORMAT </w:instrText>
    </w:r>
    <w:r>
      <w:fldChar w:fldCharType="separate"/>
    </w:r>
    <w:r w:rsidR="00067BCC">
      <w:rPr>
        <w:noProof/>
        <w:lang w:val="en-US"/>
      </w:rPr>
      <w:t>26</w:t>
    </w:r>
    <w:r>
      <w:rPr>
        <w:noProof/>
      </w:rPr>
      <w:fldChar w:fldCharType="end"/>
    </w:r>
    <w:r w:rsidR="00A9490E" w:rsidRPr="00BC7621">
      <w:rPr>
        <w:lang w:val="en-US"/>
      </w:rPr>
      <w:t xml:space="preserve"> </w:t>
    </w:r>
    <w:r w:rsidR="00A9490E" w:rsidRPr="00BC7621">
      <w:rPr>
        <w:lang w:val="en-US"/>
      </w:rPr>
      <w:tab/>
    </w:r>
    <w:r w:rsidR="00A9490E" w:rsidRPr="00BC7621">
      <w:rPr>
        <w:lang w:val="en-US"/>
      </w:rPr>
      <w:tab/>
    </w:r>
    <w:r w:rsidR="00A9490E">
      <w:rPr>
        <w:lang w:val="en-US"/>
      </w:rPr>
      <w:t>Hypothesis and d</w:t>
    </w:r>
    <w:r w:rsidR="00A9490E" w:rsidRPr="00BC7621">
      <w:rPr>
        <w:lang w:val="en-US"/>
      </w:rPr>
      <w:t>eterminants selection</w:t>
    </w:r>
  </w:p>
  <w:p w:rsidR="00A9490E" w:rsidRDefault="00D46A7F">
    <w:pPr>
      <w:pStyle w:val="Header"/>
    </w:pPr>
    <w:r>
      <w:pict>
        <v:rect id="_x0000_i1033" style="width:0;height:1.5pt" o:hralign="center" o:hrstd="t" o:hr="t" fillcolor="#a7a6aa" stroked="f"/>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640375"/>
      <w:docPartObj>
        <w:docPartGallery w:val="Page Numbers (Top of Page)"/>
        <w:docPartUnique/>
      </w:docPartObj>
    </w:sdtPr>
    <w:sdtContent>
      <w:p w:rsidR="00A9490E" w:rsidRPr="00ED4C6D" w:rsidRDefault="00D46A7F" w:rsidP="00ED4C6D">
        <w:pPr>
          <w:pStyle w:val="Header"/>
          <w:tabs>
            <w:tab w:val="clear" w:pos="4536"/>
            <w:tab w:val="clear" w:pos="9072"/>
            <w:tab w:val="left" w:pos="1800"/>
          </w:tabs>
          <w:rPr>
            <w:lang w:val="en-US"/>
          </w:rPr>
        </w:pPr>
        <w:r>
          <w:fldChar w:fldCharType="begin"/>
        </w:r>
        <w:r w:rsidR="00A9490E" w:rsidRPr="00ED4C6D">
          <w:rPr>
            <w:lang w:val="en-US"/>
          </w:rPr>
          <w:instrText>PAGE   \* MERGEFORMAT</w:instrText>
        </w:r>
        <w:r>
          <w:fldChar w:fldCharType="separate"/>
        </w:r>
        <w:r w:rsidR="00067BCC">
          <w:rPr>
            <w:noProof/>
            <w:lang w:val="en-US"/>
          </w:rPr>
          <w:t>24</w:t>
        </w:r>
        <w:r>
          <w:fldChar w:fldCharType="end"/>
        </w:r>
        <w:r w:rsidR="00A9490E" w:rsidRPr="00ED4C6D">
          <w:rPr>
            <w:lang w:val="en-US"/>
          </w:rPr>
          <w:t xml:space="preserve"> </w:t>
        </w:r>
        <w:r w:rsidR="00A9490E" w:rsidRPr="00ED4C6D">
          <w:rPr>
            <w:lang w:val="en-US"/>
          </w:rPr>
          <w:tab/>
        </w:r>
        <w:r w:rsidR="00A9490E" w:rsidRPr="00ED4C6D">
          <w:rPr>
            <w:lang w:val="en-US"/>
          </w:rPr>
          <w:tab/>
        </w:r>
        <w:r w:rsidR="00A9490E" w:rsidRPr="00ED4C6D">
          <w:rPr>
            <w:lang w:val="en-US"/>
          </w:rPr>
          <w:tab/>
        </w:r>
        <w:r w:rsidR="00A9490E" w:rsidRPr="00ED4C6D">
          <w:rPr>
            <w:lang w:val="en-US"/>
          </w:rPr>
          <w:tab/>
        </w:r>
        <w:r w:rsidR="00A9490E">
          <w:rPr>
            <w:lang w:val="en-US"/>
          </w:rPr>
          <w:tab/>
        </w:r>
        <w:r w:rsidR="00A9490E">
          <w:rPr>
            <w:lang w:val="en-US"/>
          </w:rPr>
          <w:tab/>
          <w:t xml:space="preserve">            </w:t>
        </w:r>
        <w:r w:rsidR="00A9490E" w:rsidRPr="00ED4C6D">
          <w:rPr>
            <w:lang w:val="en-US"/>
          </w:rPr>
          <w:t>Hypothesis and determinants selection</w:t>
        </w:r>
      </w:p>
    </w:sdtContent>
  </w:sdt>
  <w:p w:rsidR="00A9490E" w:rsidRPr="00ED4C6D" w:rsidRDefault="00D46A7F" w:rsidP="005B2B6F">
    <w:pPr>
      <w:pStyle w:val="Header"/>
      <w:tabs>
        <w:tab w:val="clear" w:pos="4536"/>
        <w:tab w:val="clear" w:pos="9072"/>
        <w:tab w:val="left" w:pos="1800"/>
      </w:tabs>
      <w:rPr>
        <w:lang w:val="en-US"/>
      </w:rPr>
    </w:pPr>
    <w:r>
      <w:pict>
        <v:rect id="_x0000_i1034" style="width:0;height:1.5pt" o:hralign="center" o:hrstd="t" o:hr="t" fillcolor="#a7a6aa" stroked="f"/>
      </w:pict>
    </w:r>
  </w:p>
  <w:p w:rsidR="00A9490E" w:rsidRPr="00ED4C6D" w:rsidRDefault="00A9490E" w:rsidP="005B2B6F">
    <w:pPr>
      <w:pStyle w:val="Header"/>
      <w:tabs>
        <w:tab w:val="clear" w:pos="4536"/>
        <w:tab w:val="clear" w:pos="9072"/>
        <w:tab w:val="left" w:pos="1800"/>
      </w:tabs>
      <w:rPr>
        <w:lang w:val="en-US"/>
      </w:rPr>
    </w:pPr>
    <w:r w:rsidRPr="00ED4C6D">
      <w:rPr>
        <w:lang w:val="en-US"/>
      </w:rPr>
      <w:tab/>
    </w:r>
  </w:p>
  <w:p w:rsidR="00A9490E" w:rsidRPr="00ED4C6D" w:rsidRDefault="00A9490E">
    <w:pPr>
      <w:pStyle w:val="Header"/>
      <w:rPr>
        <w:lang w:val="en-US"/>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49660"/>
      <w:docPartObj>
        <w:docPartGallery w:val="Page Numbers (Top of Page)"/>
        <w:docPartUnique/>
      </w:docPartObj>
    </w:sdtPr>
    <w:sdtContent>
      <w:p w:rsidR="00A9490E" w:rsidRPr="00482FB7" w:rsidRDefault="00D46A7F" w:rsidP="00D911B8">
        <w:pPr>
          <w:pStyle w:val="Header"/>
          <w:tabs>
            <w:tab w:val="clear" w:pos="4536"/>
            <w:tab w:val="clear" w:pos="9072"/>
            <w:tab w:val="left" w:pos="1800"/>
          </w:tabs>
          <w:rPr>
            <w:lang w:val="en-US"/>
          </w:rPr>
        </w:pPr>
        <w:r>
          <w:fldChar w:fldCharType="begin"/>
        </w:r>
        <w:r w:rsidR="00A9490E" w:rsidRPr="00482FB7">
          <w:rPr>
            <w:lang w:val="en-US"/>
          </w:rPr>
          <w:instrText>PAGE   \* MERGEFORMAT</w:instrText>
        </w:r>
        <w:r>
          <w:fldChar w:fldCharType="separate"/>
        </w:r>
        <w:r w:rsidR="00067BCC">
          <w:rPr>
            <w:noProof/>
            <w:lang w:val="en-US"/>
          </w:rPr>
          <w:t>37</w:t>
        </w:r>
        <w:r>
          <w:fldChar w:fldCharType="end"/>
        </w:r>
        <w:r w:rsidR="00A9490E" w:rsidRPr="00482FB7">
          <w:rPr>
            <w:lang w:val="en-US"/>
          </w:rPr>
          <w:t xml:space="preserve"> </w:t>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t xml:space="preserve">        Research design and data</w:t>
        </w:r>
      </w:p>
    </w:sdtContent>
  </w:sdt>
  <w:p w:rsidR="00A9490E" w:rsidRPr="00482FB7" w:rsidRDefault="00D46A7F" w:rsidP="005B2B6F">
    <w:pPr>
      <w:pStyle w:val="Header"/>
      <w:tabs>
        <w:tab w:val="clear" w:pos="4536"/>
        <w:tab w:val="clear" w:pos="9072"/>
        <w:tab w:val="left" w:pos="1800"/>
      </w:tabs>
      <w:rPr>
        <w:lang w:val="en-US"/>
      </w:rPr>
    </w:pPr>
    <w:r>
      <w:pict>
        <v:rect id="_x0000_i1035" style="width:0;height:1.5pt" o:hralign="center" o:hrstd="t" o:hr="t" fillcolor="#a7a6aa" stroked="f"/>
      </w:pict>
    </w:r>
  </w:p>
  <w:p w:rsidR="00A9490E" w:rsidRPr="00482FB7" w:rsidRDefault="00A9490E" w:rsidP="005B2B6F">
    <w:pPr>
      <w:pStyle w:val="Header"/>
      <w:tabs>
        <w:tab w:val="clear" w:pos="4536"/>
        <w:tab w:val="clear" w:pos="9072"/>
        <w:tab w:val="left" w:pos="1800"/>
      </w:tabs>
      <w:rPr>
        <w:lang w:val="en-US"/>
      </w:rPr>
    </w:pPr>
    <w:r w:rsidRPr="00482FB7">
      <w:rPr>
        <w:lang w:val="en-US"/>
      </w:rPr>
      <w:tab/>
    </w:r>
  </w:p>
  <w:p w:rsidR="00A9490E" w:rsidRPr="00482FB7" w:rsidRDefault="00A9490E">
    <w:pPr>
      <w:pStyle w:val="Header"/>
      <w:rPr>
        <w:lang w:val="en-US"/>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pPr>
      <w:pStyle w:val="Header"/>
    </w:pPr>
    <w:r>
      <w:fldChar w:fldCharType="begin"/>
    </w:r>
    <w:r w:rsidR="00A9490E">
      <w:instrText xml:space="preserve"> PAGE   \* MERGEFORMAT </w:instrText>
    </w:r>
    <w:r>
      <w:fldChar w:fldCharType="separate"/>
    </w:r>
    <w:r w:rsidR="00067BCC">
      <w:rPr>
        <w:noProof/>
      </w:rPr>
      <w:t>27</w:t>
    </w:r>
    <w:r>
      <w:rPr>
        <w:noProof/>
      </w:rPr>
      <w:fldChar w:fldCharType="end"/>
    </w:r>
  </w:p>
  <w:p w:rsidR="00A9490E" w:rsidRDefault="00D46A7F">
    <w:pPr>
      <w:pStyle w:val="Header"/>
    </w:pPr>
    <w:r>
      <w:pict>
        <v:rect id="_x0000_i1036" style="width:0;height:1.5pt" o:hralign="center" o:hrstd="t" o:hr="t" fillcolor="#a7a6aa" stroked="f"/>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B035B3" w:rsidRDefault="00D46A7F" w:rsidP="00E00914">
    <w:pPr>
      <w:pStyle w:val="Header"/>
      <w:rPr>
        <w:lang w:val="en-US"/>
      </w:rPr>
    </w:pPr>
    <w:r>
      <w:fldChar w:fldCharType="begin"/>
    </w:r>
    <w:r w:rsidR="00A9490E" w:rsidRPr="00B035B3">
      <w:rPr>
        <w:lang w:val="en-US"/>
      </w:rPr>
      <w:instrText xml:space="preserve"> PAGE   \* MERGEFORMAT </w:instrText>
    </w:r>
    <w:r>
      <w:fldChar w:fldCharType="separate"/>
    </w:r>
    <w:r w:rsidR="00067BCC">
      <w:rPr>
        <w:noProof/>
        <w:lang w:val="en-US"/>
      </w:rPr>
      <w:t>33</w:t>
    </w:r>
    <w:r>
      <w:rPr>
        <w:noProof/>
      </w:rPr>
      <w:fldChar w:fldCharType="end"/>
    </w:r>
    <w:r w:rsidR="00A9490E" w:rsidRPr="00B035B3">
      <w:rPr>
        <w:lang w:val="en-US"/>
      </w:rPr>
      <w:tab/>
    </w:r>
    <w:r w:rsidR="00A9490E" w:rsidRPr="00B035B3">
      <w:rPr>
        <w:lang w:val="en-US"/>
      </w:rPr>
      <w:tab/>
      <w:t xml:space="preserve">                  </w:t>
    </w:r>
    <w:r w:rsidR="00A9490E">
      <w:rPr>
        <w:lang w:val="en-US"/>
      </w:rPr>
      <w:t xml:space="preserve">           </w:t>
    </w:r>
    <w:r w:rsidR="00A9490E">
      <w:rPr>
        <w:lang w:val="en-US"/>
      </w:rPr>
      <w:tab/>
    </w:r>
    <w:r w:rsidR="00A9490E">
      <w:rPr>
        <w:lang w:val="en-US"/>
      </w:rPr>
      <w:tab/>
    </w:r>
    <w:r w:rsidR="00A9490E">
      <w:rPr>
        <w:lang w:val="en-US"/>
      </w:rPr>
      <w:tab/>
      <w:t xml:space="preserve">    </w:t>
    </w:r>
    <w:r w:rsidR="00A9490E" w:rsidRPr="00B035B3">
      <w:rPr>
        <w:lang w:val="en-US"/>
      </w:rPr>
      <w:t>Rese</w:t>
    </w:r>
    <w:r w:rsidR="00A9490E">
      <w:rPr>
        <w:lang w:val="en-US"/>
      </w:rPr>
      <w:t>arch design and data</w:t>
    </w:r>
  </w:p>
  <w:p w:rsidR="00A9490E" w:rsidRDefault="00D46A7F">
    <w:pPr>
      <w:pStyle w:val="Header"/>
    </w:pPr>
    <w:r>
      <w:pict>
        <v:rect id="_x0000_i1037" style="width:0;height:1.5pt" o:hralign="center" o:hrstd="t" o:hr="t" fillcolor="#a7a6aa" stroked="f"/>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E00914">
    <w:pPr>
      <w:pStyle w:val="Header"/>
    </w:pPr>
    <w:r>
      <w:fldChar w:fldCharType="begin"/>
    </w:r>
    <w:r w:rsidR="00A9490E">
      <w:instrText xml:space="preserve"> PAGE   \* MERGEFORMAT </w:instrText>
    </w:r>
    <w:r>
      <w:fldChar w:fldCharType="separate"/>
    </w:r>
    <w:r w:rsidR="00067BCC">
      <w:rPr>
        <w:noProof/>
      </w:rPr>
      <w:t>34</w:t>
    </w:r>
    <w:r>
      <w:rPr>
        <w:noProof/>
      </w:rPr>
      <w:fldChar w:fldCharType="end"/>
    </w:r>
    <w:r w:rsidR="00A9490E">
      <w:t xml:space="preserve">                          </w:t>
    </w:r>
    <w:r w:rsidR="00A9490E">
      <w:tab/>
    </w:r>
    <w:r w:rsidR="00A9490E">
      <w:tab/>
      <w:t xml:space="preserve">         Research design and data </w:t>
    </w:r>
  </w:p>
  <w:p w:rsidR="00A9490E" w:rsidRDefault="00D46A7F">
    <w:pPr>
      <w:pStyle w:val="Header"/>
    </w:pPr>
    <w:r>
      <w:pict>
        <v:rect id="_x0000_i1038" style="width:0;height:1.5pt" o:hralign="center" o:hrstd="t" o:hr="t" fillcolor="#a7a6aa" stroked="f"/>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6B2E20" w:rsidRDefault="00D46A7F" w:rsidP="004E6ABB">
    <w:pPr>
      <w:pStyle w:val="Header"/>
      <w:tabs>
        <w:tab w:val="left" w:pos="7742"/>
      </w:tabs>
      <w:rPr>
        <w:lang w:val="en-US"/>
      </w:rPr>
    </w:pPr>
    <w:r>
      <w:fldChar w:fldCharType="begin"/>
    </w:r>
    <w:r w:rsidR="00A9490E" w:rsidRPr="006B2E20">
      <w:rPr>
        <w:lang w:val="en-US"/>
      </w:rPr>
      <w:instrText xml:space="preserve"> PAGE   \* MERGEFORMAT </w:instrText>
    </w:r>
    <w:r>
      <w:fldChar w:fldCharType="separate"/>
    </w:r>
    <w:r w:rsidR="00067BCC">
      <w:rPr>
        <w:noProof/>
        <w:lang w:val="en-US"/>
      </w:rPr>
      <w:t>35</w:t>
    </w:r>
    <w:r>
      <w:rPr>
        <w:noProof/>
      </w:rPr>
      <w:fldChar w:fldCharType="end"/>
    </w:r>
    <w:r w:rsidR="00A9490E" w:rsidRPr="006B2E20">
      <w:rPr>
        <w:lang w:val="en-US"/>
      </w:rPr>
      <w:t xml:space="preserve">           </w:t>
    </w:r>
    <w:r w:rsidR="00A9490E">
      <w:rPr>
        <w:lang w:val="en-US"/>
      </w:rPr>
      <w:t xml:space="preserve">         </w:t>
    </w:r>
    <w:r w:rsidR="00A9490E">
      <w:rPr>
        <w:lang w:val="en-US"/>
      </w:rPr>
      <w:tab/>
    </w:r>
    <w:r w:rsidR="00A9490E">
      <w:rPr>
        <w:lang w:val="en-US"/>
      </w:rPr>
      <w:tab/>
    </w:r>
    <w:r w:rsidR="00A9490E">
      <w:rPr>
        <w:lang w:val="en-US"/>
      </w:rPr>
      <w:tab/>
      <w:t xml:space="preserve">         </w:t>
    </w:r>
    <w:r w:rsidR="00A9490E">
      <w:rPr>
        <w:lang w:val="en-US"/>
      </w:rPr>
      <w:tab/>
    </w:r>
    <w:r w:rsidR="00A9490E">
      <w:rPr>
        <w:lang w:val="en-US"/>
      </w:rPr>
      <w:tab/>
      <w:t xml:space="preserve">                    </w:t>
    </w:r>
    <w:r w:rsidR="00A9490E" w:rsidRPr="006B2E20">
      <w:rPr>
        <w:lang w:val="en-US"/>
      </w:rPr>
      <w:t xml:space="preserve"> Research design and data</w:t>
    </w:r>
  </w:p>
  <w:p w:rsidR="00A9490E" w:rsidRPr="006B2E20" w:rsidRDefault="00D46A7F">
    <w:pPr>
      <w:pStyle w:val="Header"/>
      <w:rPr>
        <w:lang w:val="en-US"/>
      </w:rPr>
    </w:pPr>
    <w:r>
      <w:pict>
        <v:rect id="_x0000_i1039" style="width:0;height:1.5pt" o:hralign="center" o:hrstd="t" o:hr="t" fillcolor="#a7a6aa" stroked="f"/>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pPr>
      <w:pStyle w:val="Header"/>
    </w:pPr>
    <w:r>
      <w:fldChar w:fldCharType="begin"/>
    </w:r>
    <w:r w:rsidR="00A9490E">
      <w:instrText xml:space="preserve"> PAGE   \* MERGEFORMAT </w:instrText>
    </w:r>
    <w:r>
      <w:fldChar w:fldCharType="separate"/>
    </w:r>
    <w:r w:rsidR="00067BCC">
      <w:rPr>
        <w:noProof/>
      </w:rPr>
      <w:t>36</w:t>
    </w:r>
    <w:r>
      <w:rPr>
        <w:noProof/>
      </w:rPr>
      <w:fldChar w:fldCharType="end"/>
    </w:r>
    <w:r w:rsidR="00A9490E">
      <w:rPr>
        <w:noProof/>
      </w:rPr>
      <w:t xml:space="preserve">   </w:t>
    </w:r>
    <w:r w:rsidR="00A9490E">
      <w:rPr>
        <w:noProof/>
      </w:rPr>
      <w:tab/>
    </w:r>
    <w:r w:rsidR="00A9490E">
      <w:rPr>
        <w:noProof/>
      </w:rPr>
      <w:tab/>
      <w:t>Research desgin and data</w:t>
    </w:r>
  </w:p>
  <w:p w:rsidR="00A9490E" w:rsidRDefault="00D46A7F">
    <w:pPr>
      <w:pStyle w:val="Header"/>
    </w:pPr>
    <w:r>
      <w:pict>
        <v:rect id="_x0000_i1040" style="width:0;height:1.5pt" o:hralign="center" o:hrstd="t" o:hr="t" fillcolor="#a7a6aa" stroked="f"/>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375814"/>
      <w:docPartObj>
        <w:docPartGallery w:val="Page Numbers (Top of Page)"/>
        <w:docPartUnique/>
      </w:docPartObj>
    </w:sdtPr>
    <w:sdtContent>
      <w:p w:rsidR="00A9490E" w:rsidRPr="00482FB7" w:rsidRDefault="00D46A7F" w:rsidP="00D911B8">
        <w:pPr>
          <w:pStyle w:val="Header"/>
          <w:tabs>
            <w:tab w:val="clear" w:pos="4536"/>
            <w:tab w:val="clear" w:pos="9072"/>
            <w:tab w:val="left" w:pos="1800"/>
          </w:tabs>
          <w:rPr>
            <w:lang w:val="en-US"/>
          </w:rPr>
        </w:pPr>
        <w:r>
          <w:fldChar w:fldCharType="begin"/>
        </w:r>
        <w:r w:rsidR="00A9490E" w:rsidRPr="00482FB7">
          <w:rPr>
            <w:lang w:val="en-US"/>
          </w:rPr>
          <w:instrText>PAGE   \* MERGEFORMAT</w:instrText>
        </w:r>
        <w:r>
          <w:fldChar w:fldCharType="separate"/>
        </w:r>
        <w:r w:rsidR="00067BCC">
          <w:rPr>
            <w:noProof/>
            <w:lang w:val="en-US"/>
          </w:rPr>
          <w:t>48</w:t>
        </w:r>
        <w:r>
          <w:fldChar w:fldCharType="end"/>
        </w:r>
        <w:r w:rsidR="00A9490E" w:rsidRPr="00482FB7">
          <w:rPr>
            <w:lang w:val="en-US"/>
          </w:rPr>
          <w:t xml:space="preserve"> </w:t>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r>
        <w:r w:rsidR="00A9490E" w:rsidRPr="00482FB7">
          <w:rPr>
            <w:lang w:val="en-US"/>
          </w:rPr>
          <w:tab/>
          <w:t xml:space="preserve">        </w:t>
        </w:r>
        <w:r w:rsidR="00A9490E">
          <w:rPr>
            <w:lang w:val="en-US"/>
          </w:rPr>
          <w:t xml:space="preserve">                Empirical results</w:t>
        </w:r>
      </w:p>
    </w:sdtContent>
  </w:sdt>
  <w:p w:rsidR="00A9490E" w:rsidRPr="00482FB7" w:rsidRDefault="00D46A7F" w:rsidP="005B2B6F">
    <w:pPr>
      <w:pStyle w:val="Header"/>
      <w:tabs>
        <w:tab w:val="clear" w:pos="4536"/>
        <w:tab w:val="clear" w:pos="9072"/>
        <w:tab w:val="left" w:pos="1800"/>
      </w:tabs>
      <w:rPr>
        <w:lang w:val="en-US"/>
      </w:rPr>
    </w:pPr>
    <w:r>
      <w:pict>
        <v:rect id="_x0000_i1041" style="width:0;height:1.5pt" o:hralign="center" o:hrstd="t" o:hr="t" fillcolor="#a7a6aa" stroked="f"/>
      </w:pict>
    </w:r>
  </w:p>
  <w:p w:rsidR="00A9490E" w:rsidRPr="00482FB7" w:rsidRDefault="00A9490E" w:rsidP="005B2B6F">
    <w:pPr>
      <w:pStyle w:val="Header"/>
      <w:tabs>
        <w:tab w:val="clear" w:pos="4536"/>
        <w:tab w:val="clear" w:pos="9072"/>
        <w:tab w:val="left" w:pos="1800"/>
      </w:tabs>
      <w:rPr>
        <w:lang w:val="en-US"/>
      </w:rPr>
    </w:pPr>
    <w:r w:rsidRPr="00482FB7">
      <w:rPr>
        <w:lang w:val="en-US"/>
      </w:rPr>
      <w:tab/>
    </w:r>
  </w:p>
  <w:p w:rsidR="00A9490E" w:rsidRPr="00482FB7" w:rsidRDefault="00A9490E">
    <w:pPr>
      <w:pStyle w:val="Header"/>
      <w:rPr>
        <w:lang w:val="en-US"/>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4E6ABB">
    <w:pPr>
      <w:pStyle w:val="Header"/>
      <w:tabs>
        <w:tab w:val="left" w:pos="7742"/>
      </w:tabs>
    </w:pPr>
    <w:r>
      <w:fldChar w:fldCharType="begin"/>
    </w:r>
    <w:r w:rsidR="00A9490E">
      <w:instrText xml:space="preserve"> PAGE   \* MERGEFORMAT </w:instrText>
    </w:r>
    <w:r>
      <w:fldChar w:fldCharType="separate"/>
    </w:r>
    <w:r w:rsidR="00067BCC">
      <w:rPr>
        <w:noProof/>
      </w:rPr>
      <w:t>38</w:t>
    </w:r>
    <w:r>
      <w:rPr>
        <w:noProof/>
      </w:rPr>
      <w:fldChar w:fldCharType="end"/>
    </w:r>
    <w:r w:rsidR="00A9490E">
      <w:t xml:space="preserve"> </w:t>
    </w:r>
  </w:p>
  <w:p w:rsidR="00A9490E" w:rsidRDefault="00D46A7F">
    <w:pPr>
      <w:pStyle w:val="Header"/>
    </w:pPr>
    <w:r>
      <w:pict>
        <v:rect id="_x0000_i1042" style="width:0;height:1.5pt" o:hralign="center" o:hrstd="t" o:hr="t" fillcolor="#a7a6aa"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4E4AD4">
    <w:pPr>
      <w:pStyle w:val="Header"/>
      <w:tabs>
        <w:tab w:val="clear" w:pos="4536"/>
        <w:tab w:val="clear" w:pos="9072"/>
        <w:tab w:val="left" w:pos="466"/>
        <w:tab w:val="left" w:pos="1800"/>
      </w:tabs>
    </w:pPr>
    <w:r>
      <w:fldChar w:fldCharType="begin"/>
    </w:r>
    <w:r w:rsidR="00A9490E">
      <w:instrText xml:space="preserve"> PAGE   \* MERGEFORMAT </w:instrText>
    </w:r>
    <w:r>
      <w:fldChar w:fldCharType="separate"/>
    </w:r>
    <w:r w:rsidR="00067BCC">
      <w:rPr>
        <w:noProof/>
      </w:rPr>
      <w:t>ii</w:t>
    </w:r>
    <w:r>
      <w:rPr>
        <w:noProof/>
      </w:rPr>
      <w:fldChar w:fldCharType="end"/>
    </w:r>
    <w:r>
      <w:pict>
        <v:rect id="_x0000_i1026" style="width:0;height:1.5pt" o:hralign="center" o:hrstd="t" o:hr="t" fillcolor="#a7a6aa" stroked="f"/>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A9490E">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E00914">
    <w:pPr>
      <w:pStyle w:val="Header"/>
    </w:pPr>
    <w:r>
      <w:fldChar w:fldCharType="begin"/>
    </w:r>
    <w:r w:rsidR="00A9490E">
      <w:instrText xml:space="preserve"> PAGE   \* MERGEFORMAT </w:instrText>
    </w:r>
    <w:r>
      <w:fldChar w:fldCharType="separate"/>
    </w:r>
    <w:r w:rsidR="00067BCC">
      <w:rPr>
        <w:noProof/>
      </w:rPr>
      <w:t>42</w:t>
    </w:r>
    <w:r>
      <w:rPr>
        <w:noProof/>
      </w:rPr>
      <w:fldChar w:fldCharType="end"/>
    </w:r>
    <w:r w:rsidR="00A9490E">
      <w:tab/>
    </w:r>
    <w:r w:rsidR="00A9490E">
      <w:tab/>
      <w:t xml:space="preserve">                    Empirical results</w:t>
    </w:r>
  </w:p>
  <w:p w:rsidR="00A9490E" w:rsidRDefault="00D46A7F">
    <w:pPr>
      <w:pStyle w:val="Header"/>
    </w:pPr>
    <w:r>
      <w:pict>
        <v:rect id="_x0000_i1043" style="width:0;height:1.5pt" o:hralign="center" o:hrstd="t" o:hr="t" fillcolor="#a7a6aa" stroked="f"/>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A9490E">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113A13" w:rsidRDefault="00D46A7F" w:rsidP="00E00914">
    <w:pPr>
      <w:pStyle w:val="Header"/>
      <w:rPr>
        <w:lang w:val="en-US"/>
      </w:rPr>
    </w:pPr>
    <w:r>
      <w:fldChar w:fldCharType="begin"/>
    </w:r>
    <w:r w:rsidR="00A9490E" w:rsidRPr="00113A13">
      <w:rPr>
        <w:lang w:val="en-US"/>
      </w:rPr>
      <w:instrText xml:space="preserve"> PAGE   \* MERGEFORMAT </w:instrText>
    </w:r>
    <w:r>
      <w:fldChar w:fldCharType="separate"/>
    </w:r>
    <w:r w:rsidR="00067BCC">
      <w:rPr>
        <w:noProof/>
        <w:lang w:val="en-US"/>
      </w:rPr>
      <w:t>47</w:t>
    </w:r>
    <w:r>
      <w:rPr>
        <w:noProof/>
      </w:rPr>
      <w:fldChar w:fldCharType="end"/>
    </w:r>
    <w:r w:rsidR="00A9490E" w:rsidRPr="00113A13">
      <w:rPr>
        <w:lang w:val="en-US"/>
      </w:rPr>
      <w:t xml:space="preserve">        </w:t>
    </w:r>
    <w:r w:rsidR="00A9490E">
      <w:rPr>
        <w:lang w:val="en-US"/>
      </w:rPr>
      <w:t xml:space="preserve">                     </w:t>
    </w:r>
    <w:r w:rsidR="00A9490E">
      <w:rPr>
        <w:lang w:val="en-US"/>
      </w:rPr>
      <w:tab/>
    </w:r>
    <w:r w:rsidR="00A9490E">
      <w:rPr>
        <w:lang w:val="en-US"/>
      </w:rPr>
      <w:tab/>
      <w:t xml:space="preserve">        </w:t>
    </w:r>
    <w:r w:rsidR="00A9490E" w:rsidRPr="00113A13">
      <w:rPr>
        <w:lang w:val="en-US"/>
      </w:rPr>
      <w:t>Empirical results</w:t>
    </w:r>
  </w:p>
  <w:p w:rsidR="00A9490E" w:rsidRDefault="00D46A7F">
    <w:pPr>
      <w:pStyle w:val="Header"/>
    </w:pPr>
    <w:r>
      <w:pict>
        <v:rect id="_x0000_i1044" style="width:0;height:1.5pt" o:hralign="center" o:hrstd="t" o:hr="t" fillcolor="#a7a6aa" stroked="f"/>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113A13" w:rsidRDefault="00D46A7F" w:rsidP="00D911B8">
    <w:pPr>
      <w:pStyle w:val="Header"/>
      <w:tabs>
        <w:tab w:val="clear" w:pos="4536"/>
        <w:tab w:val="clear" w:pos="9072"/>
        <w:tab w:val="left" w:pos="1294"/>
        <w:tab w:val="left" w:pos="1800"/>
      </w:tabs>
      <w:rPr>
        <w:lang w:val="en-US"/>
      </w:rPr>
    </w:pPr>
    <w:sdt>
      <w:sdtPr>
        <w:id w:val="134619625"/>
        <w:docPartObj>
          <w:docPartGallery w:val="Page Numbers (Top of Page)"/>
          <w:docPartUnique/>
        </w:docPartObj>
      </w:sdtPr>
      <w:sdtContent>
        <w:r>
          <w:fldChar w:fldCharType="begin"/>
        </w:r>
        <w:r w:rsidR="00A9490E" w:rsidRPr="00113A13">
          <w:rPr>
            <w:lang w:val="en-US"/>
          </w:rPr>
          <w:instrText>PAGE   \* MERGEFORMAT</w:instrText>
        </w:r>
        <w:r>
          <w:fldChar w:fldCharType="separate"/>
        </w:r>
        <w:r w:rsidR="00067BCC">
          <w:rPr>
            <w:noProof/>
            <w:lang w:val="en-US"/>
          </w:rPr>
          <w:t>52</w:t>
        </w:r>
        <w:r>
          <w:rPr>
            <w:noProof/>
          </w:rPr>
          <w:fldChar w:fldCharType="end"/>
        </w:r>
        <w:r w:rsidR="00A9490E">
          <w:rPr>
            <w:lang w:val="en-US"/>
          </w:rPr>
          <w:t xml:space="preserve"> </w:t>
        </w:r>
        <w:r w:rsidR="00A9490E">
          <w:rPr>
            <w:lang w:val="en-US"/>
          </w:rPr>
          <w:tab/>
        </w:r>
        <w:r w:rsidR="00A9490E">
          <w:rPr>
            <w:lang w:val="en-US"/>
          </w:rPr>
          <w:tab/>
        </w:r>
        <w:r w:rsidR="00A9490E">
          <w:rPr>
            <w:lang w:val="en-US"/>
          </w:rPr>
          <w:tab/>
        </w:r>
        <w:r w:rsidR="00A9490E">
          <w:rPr>
            <w:lang w:val="en-US"/>
          </w:rPr>
          <w:tab/>
        </w:r>
        <w:r w:rsidR="00A9490E">
          <w:rPr>
            <w:lang w:val="en-US"/>
          </w:rPr>
          <w:tab/>
        </w:r>
        <w:r w:rsidR="00A9490E">
          <w:rPr>
            <w:lang w:val="en-US"/>
          </w:rPr>
          <w:tab/>
        </w:r>
        <w:r w:rsidR="00A9490E">
          <w:rPr>
            <w:lang w:val="en-US"/>
          </w:rPr>
          <w:tab/>
        </w:r>
        <w:r w:rsidR="00A9490E">
          <w:rPr>
            <w:lang w:val="en-US"/>
          </w:rPr>
          <w:tab/>
        </w:r>
        <w:r w:rsidR="00A9490E">
          <w:rPr>
            <w:lang w:val="en-US"/>
          </w:rPr>
          <w:tab/>
          <w:t xml:space="preserve">      Summary and conclusions</w:t>
        </w:r>
      </w:sdtContent>
    </w:sdt>
  </w:p>
  <w:p w:rsidR="00A9490E" w:rsidRDefault="00D46A7F" w:rsidP="005B2B6F">
    <w:pPr>
      <w:pStyle w:val="Header"/>
      <w:tabs>
        <w:tab w:val="clear" w:pos="4536"/>
        <w:tab w:val="clear" w:pos="9072"/>
        <w:tab w:val="left" w:pos="1800"/>
      </w:tabs>
    </w:pPr>
    <w:r>
      <w:pict>
        <v:rect id="_x0000_i1045"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pPr>
      <w:pStyle w:val="Header"/>
    </w:pPr>
    <w:r>
      <w:fldChar w:fldCharType="begin"/>
    </w:r>
    <w:r w:rsidR="00A9490E">
      <w:instrText xml:space="preserve"> PAGE   \* MERGEFORMAT </w:instrText>
    </w:r>
    <w:r>
      <w:fldChar w:fldCharType="separate"/>
    </w:r>
    <w:r w:rsidR="00067BCC">
      <w:rPr>
        <w:noProof/>
      </w:rPr>
      <w:t>49</w:t>
    </w:r>
    <w:r>
      <w:rPr>
        <w:noProof/>
      </w:rPr>
      <w:fldChar w:fldCharType="end"/>
    </w:r>
  </w:p>
  <w:p w:rsidR="00A9490E" w:rsidRDefault="00D46A7F">
    <w:pPr>
      <w:pStyle w:val="Header"/>
    </w:pPr>
    <w:r>
      <w:pict>
        <v:rect id="_x0000_i1046" style="width:0;height:1.5pt" o:hralign="center" o:hrstd="t" o:hr="t" fillcolor="#a7a6aa" stroked="f"/>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D911B8">
    <w:pPr>
      <w:pStyle w:val="Header"/>
      <w:tabs>
        <w:tab w:val="clear" w:pos="4536"/>
        <w:tab w:val="clear" w:pos="9072"/>
        <w:tab w:val="left" w:pos="1294"/>
        <w:tab w:val="left" w:pos="1800"/>
      </w:tabs>
    </w:pPr>
    <w:sdt>
      <w:sdtPr>
        <w:id w:val="871030368"/>
        <w:docPartObj>
          <w:docPartGallery w:val="Page Numbers (Top of Page)"/>
          <w:docPartUnique/>
        </w:docPartObj>
      </w:sdtPr>
      <w:sdtContent>
        <w:r>
          <w:fldChar w:fldCharType="begin"/>
        </w:r>
        <w:r w:rsidR="00A9490E">
          <w:instrText>PAGE   \* MERGEFORMAT</w:instrText>
        </w:r>
        <w:r>
          <w:fldChar w:fldCharType="separate"/>
        </w:r>
        <w:r w:rsidR="00067BCC">
          <w:rPr>
            <w:noProof/>
          </w:rPr>
          <w:t>56</w:t>
        </w:r>
        <w:r>
          <w:rPr>
            <w:noProof/>
          </w:rPr>
          <w:fldChar w:fldCharType="end"/>
        </w:r>
        <w:r w:rsidR="00A9490E">
          <w:t xml:space="preserve"> </w:t>
        </w:r>
        <w:r w:rsidR="00A9490E">
          <w:tab/>
        </w:r>
        <w:r w:rsidR="00A9490E">
          <w:tab/>
        </w:r>
        <w:r w:rsidR="00A9490E">
          <w:tab/>
        </w:r>
        <w:r w:rsidR="00A9490E">
          <w:tab/>
        </w:r>
        <w:r w:rsidR="00A9490E">
          <w:tab/>
        </w:r>
        <w:r w:rsidR="00A9490E">
          <w:tab/>
        </w:r>
        <w:r w:rsidR="00A9490E">
          <w:tab/>
        </w:r>
        <w:r w:rsidR="00A9490E">
          <w:tab/>
        </w:r>
        <w:r w:rsidR="00A9490E">
          <w:tab/>
        </w:r>
        <w:r w:rsidR="00A9490E">
          <w:tab/>
        </w:r>
        <w:r w:rsidR="00A9490E">
          <w:tab/>
          <w:t xml:space="preserve">   References</w:t>
        </w:r>
      </w:sdtContent>
    </w:sdt>
  </w:p>
  <w:p w:rsidR="00A9490E" w:rsidRDefault="00D46A7F" w:rsidP="005B2B6F">
    <w:pPr>
      <w:pStyle w:val="Header"/>
      <w:tabs>
        <w:tab w:val="clear" w:pos="4536"/>
        <w:tab w:val="clear" w:pos="9072"/>
        <w:tab w:val="left" w:pos="1800"/>
      </w:tabs>
    </w:pPr>
    <w:r>
      <w:pict>
        <v:rect id="_x0000_i1047"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EA6" w:rsidRDefault="00D46A7F">
    <w:pPr>
      <w:pStyle w:val="Header"/>
      <w:rPr>
        <w:noProof/>
      </w:rPr>
    </w:pPr>
    <w:r>
      <w:fldChar w:fldCharType="begin"/>
    </w:r>
    <w:r w:rsidR="00A9490E">
      <w:instrText xml:space="preserve"> PAGE   \* MERGEFORMAT </w:instrText>
    </w:r>
    <w:r>
      <w:fldChar w:fldCharType="separate"/>
    </w:r>
    <w:r w:rsidR="00067BCC">
      <w:rPr>
        <w:noProof/>
      </w:rPr>
      <w:t>57</w:t>
    </w:r>
    <w:r>
      <w:rPr>
        <w:noProof/>
      </w:rPr>
      <w:fldChar w:fldCharType="end"/>
    </w:r>
  </w:p>
  <w:p w:rsidR="00A9490E" w:rsidRDefault="00D46A7F">
    <w:pPr>
      <w:pStyle w:val="Header"/>
      <w:rPr>
        <w:noProof/>
      </w:rPr>
    </w:pPr>
    <w:r>
      <w:pict>
        <v:rect id="_x0000_i1048" style="width:0;height:1.5pt" o:hralign="center" o:hrstd="t" o:hr="t" fillcolor="#a7a6aa" stroked="f"/>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D911B8">
    <w:pPr>
      <w:pStyle w:val="Header"/>
      <w:tabs>
        <w:tab w:val="clear" w:pos="4536"/>
        <w:tab w:val="clear" w:pos="9072"/>
        <w:tab w:val="left" w:pos="1294"/>
        <w:tab w:val="left" w:pos="1800"/>
      </w:tabs>
    </w:pPr>
    <w:sdt>
      <w:sdtPr>
        <w:id w:val="-988561955"/>
        <w:docPartObj>
          <w:docPartGallery w:val="Page Numbers (Top of Page)"/>
          <w:docPartUnique/>
        </w:docPartObj>
      </w:sdtPr>
      <w:sdtContent>
        <w:r>
          <w:fldChar w:fldCharType="begin"/>
        </w:r>
        <w:r w:rsidR="00A9490E">
          <w:instrText>PAGE   \* MERGEFORMAT</w:instrText>
        </w:r>
        <w:r>
          <w:fldChar w:fldCharType="separate"/>
        </w:r>
        <w:r w:rsidR="00067BCC">
          <w:rPr>
            <w:noProof/>
          </w:rPr>
          <w:t>60</w:t>
        </w:r>
        <w:r>
          <w:rPr>
            <w:noProof/>
          </w:rPr>
          <w:fldChar w:fldCharType="end"/>
        </w:r>
        <w:r w:rsidR="00A9490E">
          <w:t xml:space="preserve"> </w:t>
        </w:r>
        <w:r w:rsidR="00A9490E">
          <w:tab/>
        </w:r>
        <w:r w:rsidR="00A9490E">
          <w:tab/>
        </w:r>
        <w:r w:rsidR="00A9490E">
          <w:tab/>
        </w:r>
        <w:r w:rsidR="00A9490E">
          <w:tab/>
        </w:r>
        <w:r w:rsidR="00A9490E">
          <w:tab/>
        </w:r>
        <w:r w:rsidR="00A9490E">
          <w:tab/>
        </w:r>
        <w:r w:rsidR="00A9490E">
          <w:tab/>
        </w:r>
        <w:r w:rsidR="00A9490E">
          <w:tab/>
        </w:r>
        <w:r w:rsidR="00A9490E">
          <w:tab/>
        </w:r>
        <w:r w:rsidR="00A9490E">
          <w:tab/>
        </w:r>
        <w:r w:rsidR="00A9490E">
          <w:tab/>
          <w:t xml:space="preserve">    Appendices</w:t>
        </w:r>
      </w:sdtContent>
    </w:sdt>
  </w:p>
  <w:p w:rsidR="00A9490E" w:rsidRDefault="00D46A7F" w:rsidP="005B2B6F">
    <w:pPr>
      <w:pStyle w:val="Header"/>
      <w:tabs>
        <w:tab w:val="clear" w:pos="4536"/>
        <w:tab w:val="clear" w:pos="9072"/>
        <w:tab w:val="left" w:pos="1800"/>
      </w:tabs>
    </w:pPr>
    <w:r>
      <w:pict>
        <v:rect id="_x0000_i1049"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D911B8">
    <w:pPr>
      <w:pStyle w:val="Header"/>
      <w:tabs>
        <w:tab w:val="clear" w:pos="4536"/>
        <w:tab w:val="clear" w:pos="9072"/>
        <w:tab w:val="left" w:pos="1294"/>
        <w:tab w:val="left" w:pos="1800"/>
      </w:tabs>
    </w:pPr>
    <w:sdt>
      <w:sdtPr>
        <w:id w:val="480515875"/>
        <w:docPartObj>
          <w:docPartGallery w:val="Page Numbers (Top of Page)"/>
          <w:docPartUnique/>
        </w:docPartObj>
      </w:sdtPr>
      <w:sdtContent>
        <w:r>
          <w:fldChar w:fldCharType="begin"/>
        </w:r>
        <w:r w:rsidR="00A9490E">
          <w:instrText>PAGE   \* MERGEFORMAT</w:instrText>
        </w:r>
        <w:r>
          <w:fldChar w:fldCharType="separate"/>
        </w:r>
        <w:r w:rsidR="00067BCC">
          <w:rPr>
            <w:noProof/>
          </w:rPr>
          <w:t>66</w:t>
        </w:r>
        <w:r>
          <w:rPr>
            <w:noProof/>
          </w:rPr>
          <w:fldChar w:fldCharType="end"/>
        </w:r>
        <w:r w:rsidR="00A9490E">
          <w:t xml:space="preserve"> </w:t>
        </w:r>
        <w:r w:rsidR="00A9490E">
          <w:tab/>
        </w:r>
        <w:r w:rsidR="00A9490E">
          <w:tab/>
        </w:r>
        <w:r w:rsidR="00A9490E">
          <w:tab/>
        </w:r>
        <w:r w:rsidR="00A9490E">
          <w:tab/>
        </w:r>
        <w:r w:rsidR="00A9490E">
          <w:tab/>
        </w:r>
        <w:r w:rsidR="00A9490E">
          <w:tab/>
        </w:r>
        <w:r w:rsidR="00A9490E">
          <w:tab/>
        </w:r>
        <w:r w:rsidR="00A9490E">
          <w:tab/>
        </w:r>
        <w:r w:rsidR="00A9490E">
          <w:tab/>
        </w:r>
        <w:r w:rsidR="00A9490E">
          <w:tab/>
        </w:r>
        <w:r w:rsidR="00A9490E">
          <w:tab/>
          <w:t xml:space="preserve">                                                                           </w:t>
        </w:r>
        <w:r w:rsidR="003C7CA5">
          <w:t xml:space="preserve">                            Appendices</w:t>
        </w:r>
      </w:sdtContent>
    </w:sdt>
  </w:p>
  <w:p w:rsidR="00A9490E" w:rsidRDefault="00D46A7F" w:rsidP="005B2B6F">
    <w:pPr>
      <w:pStyle w:val="Header"/>
      <w:tabs>
        <w:tab w:val="clear" w:pos="4536"/>
        <w:tab w:val="clear" w:pos="9072"/>
        <w:tab w:val="left" w:pos="1800"/>
      </w:tabs>
    </w:pPr>
    <w:r>
      <w:pict>
        <v:rect id="_x0000_i1050"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4E4AD4">
    <w:pPr>
      <w:pStyle w:val="Header"/>
      <w:tabs>
        <w:tab w:val="clear" w:pos="4536"/>
        <w:tab w:val="clear" w:pos="9072"/>
        <w:tab w:val="left" w:pos="466"/>
        <w:tab w:val="left" w:pos="1800"/>
      </w:tabs>
    </w:pPr>
    <w:r>
      <w:fldChar w:fldCharType="begin"/>
    </w:r>
    <w:r w:rsidR="00A9490E">
      <w:instrText xml:space="preserve"> PAGE   \* MERGEFORMAT </w:instrText>
    </w:r>
    <w:r>
      <w:fldChar w:fldCharType="separate"/>
    </w:r>
    <w:r w:rsidR="00067BCC">
      <w:rPr>
        <w:noProof/>
      </w:rPr>
      <w:t>vi</w:t>
    </w:r>
    <w:r>
      <w:rPr>
        <w:noProof/>
      </w:rPr>
      <w:fldChar w:fldCharType="end"/>
    </w:r>
    <w:r>
      <w:pict>
        <v:rect id="_x0000_i1027" style="width:0;height:1.5pt" o:hralign="center" o:hrstd="t" o:hr="t" fillcolor="#a7a6aa" stroked="f"/>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D911B8">
    <w:pPr>
      <w:pStyle w:val="Header"/>
      <w:tabs>
        <w:tab w:val="clear" w:pos="4536"/>
        <w:tab w:val="clear" w:pos="9072"/>
        <w:tab w:val="left" w:pos="1294"/>
        <w:tab w:val="left" w:pos="1800"/>
      </w:tabs>
    </w:pPr>
    <w:sdt>
      <w:sdtPr>
        <w:id w:val="1481956591"/>
        <w:docPartObj>
          <w:docPartGallery w:val="Page Numbers (Top of Page)"/>
          <w:docPartUnique/>
        </w:docPartObj>
      </w:sdtPr>
      <w:sdtContent>
        <w:r>
          <w:fldChar w:fldCharType="begin"/>
        </w:r>
        <w:r w:rsidR="00A9490E">
          <w:instrText>PAGE   \* MERGEFORMAT</w:instrText>
        </w:r>
        <w:r>
          <w:fldChar w:fldCharType="separate"/>
        </w:r>
        <w:r w:rsidR="00067BCC">
          <w:rPr>
            <w:noProof/>
          </w:rPr>
          <w:t>71</w:t>
        </w:r>
        <w:r>
          <w:rPr>
            <w:noProof/>
          </w:rPr>
          <w:fldChar w:fldCharType="end"/>
        </w:r>
        <w:r w:rsidR="003C7CA5">
          <w:t xml:space="preserve"> </w:t>
        </w:r>
        <w:r w:rsidR="003C7CA5">
          <w:tab/>
        </w:r>
        <w:r w:rsidR="003C7CA5">
          <w:tab/>
        </w:r>
        <w:r w:rsidR="003C7CA5">
          <w:tab/>
        </w:r>
        <w:r w:rsidR="003C7CA5">
          <w:tab/>
        </w:r>
        <w:r w:rsidR="003C7CA5">
          <w:tab/>
        </w:r>
        <w:r w:rsidR="003C7CA5">
          <w:tab/>
        </w:r>
        <w:r w:rsidR="003C7CA5">
          <w:tab/>
        </w:r>
        <w:r w:rsidR="003C7CA5">
          <w:tab/>
        </w:r>
        <w:r w:rsidR="003C7CA5">
          <w:tab/>
        </w:r>
        <w:r w:rsidR="003C7CA5">
          <w:tab/>
        </w:r>
        <w:r w:rsidR="003C7CA5">
          <w:tab/>
          <w:t xml:space="preserve">   Appendices</w:t>
        </w:r>
      </w:sdtContent>
    </w:sdt>
  </w:p>
  <w:p w:rsidR="00A9490E" w:rsidRDefault="00D46A7F" w:rsidP="005B2B6F">
    <w:pPr>
      <w:pStyle w:val="Header"/>
      <w:tabs>
        <w:tab w:val="clear" w:pos="4536"/>
        <w:tab w:val="clear" w:pos="9072"/>
        <w:tab w:val="left" w:pos="1800"/>
      </w:tabs>
    </w:pPr>
    <w:r>
      <w:pict>
        <v:rect id="_x0000_i1051"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rsidP="00D911B8">
    <w:pPr>
      <w:pStyle w:val="Header"/>
      <w:tabs>
        <w:tab w:val="clear" w:pos="4536"/>
        <w:tab w:val="clear" w:pos="9072"/>
        <w:tab w:val="left" w:pos="1294"/>
        <w:tab w:val="left" w:pos="1800"/>
      </w:tabs>
    </w:pPr>
    <w:sdt>
      <w:sdtPr>
        <w:id w:val="349144"/>
        <w:docPartObj>
          <w:docPartGallery w:val="Page Numbers (Top of Page)"/>
          <w:docPartUnique/>
        </w:docPartObj>
      </w:sdtPr>
      <w:sdtContent>
        <w:r>
          <w:fldChar w:fldCharType="begin"/>
        </w:r>
        <w:r w:rsidR="00A9490E">
          <w:instrText>PAGE   \* MERGEFORMAT</w:instrText>
        </w:r>
        <w:r>
          <w:fldChar w:fldCharType="separate"/>
        </w:r>
        <w:r w:rsidR="00067BCC">
          <w:rPr>
            <w:noProof/>
          </w:rPr>
          <w:t>73</w:t>
        </w:r>
        <w:r>
          <w:rPr>
            <w:noProof/>
          </w:rPr>
          <w:fldChar w:fldCharType="end"/>
        </w:r>
        <w:r w:rsidR="00A9490E">
          <w:t xml:space="preserve"> </w:t>
        </w:r>
        <w:r w:rsidR="00A9490E">
          <w:tab/>
        </w:r>
        <w:r w:rsidR="00A9490E">
          <w:tab/>
        </w:r>
        <w:r w:rsidR="00A9490E">
          <w:tab/>
        </w:r>
        <w:r w:rsidR="00A9490E">
          <w:tab/>
        </w:r>
        <w:r w:rsidR="00A9490E">
          <w:tab/>
        </w:r>
        <w:r w:rsidR="00A9490E">
          <w:tab/>
        </w:r>
        <w:r w:rsidR="00A9490E">
          <w:tab/>
        </w:r>
        <w:r w:rsidR="00A9490E">
          <w:tab/>
        </w:r>
        <w:r w:rsidR="00A9490E">
          <w:tab/>
        </w:r>
        <w:r w:rsidR="00A9490E">
          <w:tab/>
        </w:r>
        <w:r w:rsidR="00A9490E">
          <w:tab/>
          <w:t xml:space="preserve">             Notes</w:t>
        </w:r>
      </w:sdtContent>
    </w:sdt>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EA6" w:rsidRDefault="00D46A7F">
    <w:pPr>
      <w:pStyle w:val="Header"/>
      <w:rPr>
        <w:noProof/>
      </w:rPr>
    </w:pPr>
    <w:r>
      <w:fldChar w:fldCharType="begin"/>
    </w:r>
    <w:r w:rsidR="007D2EA6">
      <w:instrText xml:space="preserve"> PAGE   \* MERGEFORMAT </w:instrText>
    </w:r>
    <w:r>
      <w:fldChar w:fldCharType="separate"/>
    </w:r>
    <w:r w:rsidR="00067BCC">
      <w:rPr>
        <w:noProof/>
      </w:rPr>
      <w:t>72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pPr>
      <w:pStyle w:val="Header"/>
    </w:pPr>
    <w:r>
      <w:fldChar w:fldCharType="begin"/>
    </w:r>
    <w:r w:rsidR="00A9490E">
      <w:instrText xml:space="preserve"> PAGE   \* MERGEFORMAT </w:instrText>
    </w:r>
    <w:r>
      <w:fldChar w:fldCharType="separate"/>
    </w:r>
    <w:r w:rsidR="00A9490E">
      <w:rPr>
        <w:noProof/>
      </w:rPr>
      <w:t>iv</w:t>
    </w:r>
    <w:r>
      <w:rPr>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9F2FAF" w:rsidRDefault="00D46A7F" w:rsidP="00D911B8">
    <w:pPr>
      <w:pStyle w:val="Header"/>
      <w:tabs>
        <w:tab w:val="clear" w:pos="4536"/>
        <w:tab w:val="clear" w:pos="9072"/>
        <w:tab w:val="left" w:pos="1800"/>
      </w:tabs>
    </w:pPr>
    <w:sdt>
      <w:sdtPr>
        <w:id w:val="-916165437"/>
        <w:docPartObj>
          <w:docPartGallery w:val="Page Numbers (Top of Page)"/>
          <w:docPartUnique/>
        </w:docPartObj>
      </w:sdtPr>
      <w:sdtContent>
        <w:r>
          <w:fldChar w:fldCharType="begin"/>
        </w:r>
        <w:r w:rsidR="00A9490E">
          <w:instrText xml:space="preserve"> PAGE   \* MERGEFORMAT </w:instrText>
        </w:r>
        <w:r>
          <w:fldChar w:fldCharType="separate"/>
        </w:r>
        <w:r w:rsidR="00067BCC">
          <w:rPr>
            <w:noProof/>
          </w:rPr>
          <w:t>4</w:t>
        </w:r>
        <w:r>
          <w:rPr>
            <w:noProof/>
          </w:rPr>
          <w:fldChar w:fldCharType="end"/>
        </w:r>
        <w:r w:rsidR="00A9490E" w:rsidRPr="009F2FAF">
          <w:tab/>
        </w:r>
        <w:r w:rsidR="00A9490E" w:rsidRPr="009F2FAF">
          <w:tab/>
        </w:r>
        <w:r w:rsidR="00A9490E" w:rsidRPr="009F2FAF">
          <w:tab/>
        </w:r>
        <w:r w:rsidR="00A9490E" w:rsidRPr="009F2FAF">
          <w:tab/>
        </w:r>
        <w:r w:rsidR="00A9490E" w:rsidRPr="009F2FAF">
          <w:tab/>
        </w:r>
        <w:r w:rsidR="00A9490E" w:rsidRPr="009F2FAF">
          <w:tab/>
        </w:r>
        <w:r w:rsidR="00A9490E" w:rsidRPr="009F2FAF">
          <w:tab/>
        </w:r>
        <w:r w:rsidR="00A9490E" w:rsidRPr="009F2FAF">
          <w:tab/>
        </w:r>
        <w:r w:rsidR="00A9490E" w:rsidRPr="009F2FAF">
          <w:tab/>
        </w:r>
        <w:r w:rsidR="00A9490E" w:rsidRPr="009F2FAF">
          <w:tab/>
          <w:t>Introduction</w:t>
        </w:r>
      </w:sdtContent>
    </w:sdt>
  </w:p>
  <w:p w:rsidR="00A9490E" w:rsidRDefault="00D46A7F" w:rsidP="005B2B6F">
    <w:pPr>
      <w:pStyle w:val="Header"/>
      <w:tabs>
        <w:tab w:val="clear" w:pos="4536"/>
        <w:tab w:val="clear" w:pos="9072"/>
        <w:tab w:val="left" w:pos="1800"/>
      </w:tabs>
    </w:pPr>
    <w:r>
      <w:pict>
        <v:rect id="_x0000_i1028"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446674"/>
      <w:docPartObj>
        <w:docPartGallery w:val="Page Numbers (Top of Page)"/>
        <w:docPartUnique/>
      </w:docPartObj>
    </w:sdtPr>
    <w:sdtContent>
      <w:p w:rsidR="00A9490E" w:rsidRDefault="00A9490E" w:rsidP="007B2CB1">
        <w:pPr>
          <w:pStyle w:val="Header"/>
          <w:spacing w:line="360" w:lineRule="auto"/>
        </w:pPr>
        <w:r>
          <w:t>1</w:t>
        </w:r>
      </w:p>
      <w:p w:rsidR="00A9490E" w:rsidRDefault="00D46A7F">
        <w:pPr>
          <w:pStyle w:val="Header"/>
        </w:pPr>
        <w:r>
          <w:pict>
            <v:rect id="_x0000_i1029" style="width:0;height:1.5pt" o:hralign="center" o:hrstd="t" o:hr="t" fillcolor="#a7a6aa" stroked="f"/>
          </w:pict>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BC7621" w:rsidRDefault="00D46A7F" w:rsidP="00D911B8">
    <w:pPr>
      <w:pStyle w:val="Header"/>
      <w:tabs>
        <w:tab w:val="clear" w:pos="4536"/>
        <w:tab w:val="clear" w:pos="9072"/>
        <w:tab w:val="left" w:pos="1800"/>
      </w:tabs>
      <w:rPr>
        <w:lang w:val="en-US"/>
      </w:rPr>
    </w:pPr>
    <w:sdt>
      <w:sdtPr>
        <w:id w:val="-495961194"/>
        <w:docPartObj>
          <w:docPartGallery w:val="Page Numbers (Top of Page)"/>
          <w:docPartUnique/>
        </w:docPartObj>
      </w:sdtPr>
      <w:sdtContent>
        <w:r>
          <w:fldChar w:fldCharType="begin"/>
        </w:r>
        <w:r w:rsidR="00A9490E" w:rsidRPr="00BC7621">
          <w:rPr>
            <w:lang w:val="en-US"/>
          </w:rPr>
          <w:instrText>PAGE   \* MERGEFORMAT</w:instrText>
        </w:r>
        <w:r>
          <w:fldChar w:fldCharType="separate"/>
        </w:r>
        <w:r w:rsidR="00067BCC">
          <w:rPr>
            <w:noProof/>
            <w:lang w:val="en-US"/>
          </w:rPr>
          <w:t>11</w:t>
        </w:r>
        <w:r>
          <w:fldChar w:fldCharType="end"/>
        </w:r>
        <w:r w:rsidR="00A9490E" w:rsidRPr="00BC7621">
          <w:rPr>
            <w:lang w:val="en-US"/>
          </w:rPr>
          <w:t xml:space="preserve"> </w:t>
        </w:r>
        <w:r w:rsidR="00A9490E" w:rsidRPr="00BC7621">
          <w:rPr>
            <w:lang w:val="en-US"/>
          </w:rPr>
          <w:tab/>
        </w:r>
        <w:r w:rsidR="00A9490E" w:rsidRPr="00BC7621">
          <w:rPr>
            <w:lang w:val="en-US"/>
          </w:rPr>
          <w:tab/>
        </w:r>
        <w:r w:rsidR="00A9490E" w:rsidRPr="00BC7621">
          <w:rPr>
            <w:lang w:val="en-US"/>
          </w:rPr>
          <w:tab/>
        </w:r>
        <w:r w:rsidR="00A9490E" w:rsidRPr="00BC7621">
          <w:rPr>
            <w:lang w:val="en-US"/>
          </w:rPr>
          <w:tab/>
        </w:r>
        <w:r w:rsidR="00A9490E" w:rsidRPr="00BC7621">
          <w:rPr>
            <w:lang w:val="en-US"/>
          </w:rPr>
          <w:tab/>
        </w:r>
        <w:r w:rsidR="00A9490E" w:rsidRPr="00BC7621">
          <w:rPr>
            <w:lang w:val="en-US"/>
          </w:rPr>
          <w:tab/>
        </w:r>
        <w:r w:rsidR="00A9490E" w:rsidRPr="00BC7621">
          <w:rPr>
            <w:lang w:val="en-US"/>
          </w:rPr>
          <w:tab/>
        </w:r>
        <w:r w:rsidR="00A9490E" w:rsidRPr="00BC7621">
          <w:rPr>
            <w:lang w:val="en-US"/>
          </w:rPr>
          <w:tab/>
          <w:t xml:space="preserve">           Theoretical background</w:t>
        </w:r>
      </w:sdtContent>
    </w:sdt>
  </w:p>
  <w:p w:rsidR="00A9490E" w:rsidRDefault="00D46A7F" w:rsidP="005B2B6F">
    <w:pPr>
      <w:pStyle w:val="Header"/>
      <w:tabs>
        <w:tab w:val="clear" w:pos="4536"/>
        <w:tab w:val="clear" w:pos="9072"/>
        <w:tab w:val="left" w:pos="1800"/>
      </w:tabs>
    </w:pPr>
    <w:r>
      <w:pict>
        <v:rect id="_x0000_i1030"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Default="00D46A7F">
    <w:pPr>
      <w:pStyle w:val="Header"/>
    </w:pPr>
    <w:r>
      <w:fldChar w:fldCharType="begin"/>
    </w:r>
    <w:r w:rsidR="00A9490E">
      <w:instrText xml:space="preserve"> PAGE   \* MERGEFORMAT </w:instrText>
    </w:r>
    <w:r>
      <w:fldChar w:fldCharType="separate"/>
    </w:r>
    <w:r w:rsidR="00067BCC">
      <w:rPr>
        <w:noProof/>
      </w:rPr>
      <w:t>5</w:t>
    </w:r>
    <w:r>
      <w:rPr>
        <w:noProof/>
      </w:rPr>
      <w:fldChar w:fldCharType="end"/>
    </w:r>
  </w:p>
  <w:p w:rsidR="00A9490E" w:rsidRDefault="00D46A7F">
    <w:pPr>
      <w:pStyle w:val="Header"/>
    </w:pPr>
    <w:r>
      <w:pict>
        <v:rect id="_x0000_i1031" style="width:0;height:1.5pt" o:hralign="center" o:hrstd="t" o:hr="t" fillcolor="#a7a6aa" stroked="f"/>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E" w:rsidRPr="00BC7621" w:rsidRDefault="00D46A7F" w:rsidP="00D911B8">
    <w:pPr>
      <w:pStyle w:val="Header"/>
      <w:tabs>
        <w:tab w:val="clear" w:pos="4536"/>
        <w:tab w:val="clear" w:pos="9072"/>
        <w:tab w:val="left" w:pos="1800"/>
      </w:tabs>
      <w:rPr>
        <w:lang w:val="en-US"/>
      </w:rPr>
    </w:pPr>
    <w:sdt>
      <w:sdtPr>
        <w:id w:val="-150291944"/>
        <w:docPartObj>
          <w:docPartGallery w:val="Page Numbers (Top of Page)"/>
          <w:docPartUnique/>
        </w:docPartObj>
      </w:sdtPr>
      <w:sdtContent>
        <w:r>
          <w:fldChar w:fldCharType="begin"/>
        </w:r>
        <w:r w:rsidR="00A9490E" w:rsidRPr="00BC7621">
          <w:rPr>
            <w:lang w:val="en-US"/>
          </w:rPr>
          <w:instrText>PAGE   \* MERGEFORMAT</w:instrText>
        </w:r>
        <w:r>
          <w:fldChar w:fldCharType="separate"/>
        </w:r>
        <w:r w:rsidR="00067BCC">
          <w:rPr>
            <w:noProof/>
            <w:lang w:val="en-US"/>
          </w:rPr>
          <w:t>18</w:t>
        </w:r>
        <w:r>
          <w:fldChar w:fldCharType="end"/>
        </w:r>
        <w:r w:rsidR="00A9490E" w:rsidRPr="00BC7621">
          <w:rPr>
            <w:lang w:val="en-US"/>
          </w:rPr>
          <w:t xml:space="preserve"> </w:t>
        </w:r>
        <w:r w:rsidR="00A9490E" w:rsidRPr="00BC7621">
          <w:rPr>
            <w:lang w:val="en-US"/>
          </w:rPr>
          <w:tab/>
        </w:r>
        <w:r w:rsidR="00A9490E" w:rsidRPr="00BC7621">
          <w:rPr>
            <w:lang w:val="en-US"/>
          </w:rPr>
          <w:tab/>
        </w:r>
        <w:r w:rsidR="00A9490E" w:rsidRPr="00BC7621">
          <w:rPr>
            <w:lang w:val="en-US"/>
          </w:rPr>
          <w:tab/>
        </w:r>
        <w:r w:rsidR="00A9490E" w:rsidRPr="00BC7621">
          <w:rPr>
            <w:lang w:val="en-US"/>
          </w:rPr>
          <w:tab/>
        </w:r>
        <w:r w:rsidR="00A9490E" w:rsidRPr="00BC7621">
          <w:rPr>
            <w:lang w:val="en-US"/>
          </w:rPr>
          <w:tab/>
        </w:r>
        <w:r w:rsidR="00A9490E" w:rsidRPr="00BC7621">
          <w:rPr>
            <w:lang w:val="en-US"/>
          </w:rPr>
          <w:tab/>
          <w:t xml:space="preserve">                  </w:t>
        </w:r>
        <w:r w:rsidR="00A9490E" w:rsidRPr="00BC7621">
          <w:rPr>
            <w:lang w:val="en-US"/>
          </w:rPr>
          <w:tab/>
        </w:r>
        <w:r w:rsidR="00A9490E" w:rsidRPr="00BC7621">
          <w:rPr>
            <w:lang w:val="en-US"/>
          </w:rPr>
          <w:tab/>
          <w:t xml:space="preserve">         Literature review</w:t>
        </w:r>
      </w:sdtContent>
    </w:sdt>
  </w:p>
  <w:p w:rsidR="00A9490E" w:rsidRDefault="00D46A7F" w:rsidP="005B2B6F">
    <w:pPr>
      <w:pStyle w:val="Header"/>
      <w:tabs>
        <w:tab w:val="clear" w:pos="4536"/>
        <w:tab w:val="clear" w:pos="9072"/>
        <w:tab w:val="left" w:pos="1800"/>
      </w:tabs>
    </w:pPr>
    <w:r>
      <w:pict>
        <v:rect id="_x0000_i1032" style="width:0;height:1.5pt" o:hralign="center" o:hrstd="t" o:hr="t" fillcolor="#a7a6aa" stroked="f"/>
      </w:pict>
    </w:r>
  </w:p>
  <w:p w:rsidR="00A9490E" w:rsidRDefault="00A9490E" w:rsidP="005B2B6F">
    <w:pPr>
      <w:pStyle w:val="Header"/>
      <w:tabs>
        <w:tab w:val="clear" w:pos="4536"/>
        <w:tab w:val="clear" w:pos="9072"/>
        <w:tab w:val="left" w:pos="1800"/>
      </w:tabs>
    </w:pPr>
    <w:r>
      <w:tab/>
    </w:r>
  </w:p>
  <w:p w:rsidR="00A9490E" w:rsidRDefault="00A949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D334A"/>
    <w:multiLevelType w:val="multilevel"/>
    <w:tmpl w:val="CEB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B86995"/>
    <w:multiLevelType w:val="multilevel"/>
    <w:tmpl w:val="AEC2E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14D7432"/>
    <w:multiLevelType w:val="multilevel"/>
    <w:tmpl w:val="D968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2A770DE"/>
    <w:multiLevelType w:val="hybridMultilevel"/>
    <w:tmpl w:val="9B545C50"/>
    <w:lvl w:ilvl="0" w:tplc="D208F5D6">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C77BD"/>
    <w:multiLevelType w:val="multilevel"/>
    <w:tmpl w:val="C5805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4124"/>
  </w:hdrShapeDefaults>
  <w:footnotePr>
    <w:footnote w:id="-1"/>
    <w:footnote w:id="0"/>
  </w:footnotePr>
  <w:endnotePr>
    <w:numFmt w:val="decimal"/>
    <w:endnote w:id="-1"/>
    <w:endnote w:id="0"/>
  </w:endnotePr>
  <w:compat>
    <w:useFELayout/>
  </w:compat>
  <w:rsids>
    <w:rsidRoot w:val="00F12DCE"/>
    <w:rsid w:val="0000021F"/>
    <w:rsid w:val="0000133A"/>
    <w:rsid w:val="0000184A"/>
    <w:rsid w:val="000024E7"/>
    <w:rsid w:val="000036FE"/>
    <w:rsid w:val="00004467"/>
    <w:rsid w:val="00004628"/>
    <w:rsid w:val="0000584D"/>
    <w:rsid w:val="00005BF5"/>
    <w:rsid w:val="00007EA9"/>
    <w:rsid w:val="000103B7"/>
    <w:rsid w:val="00010678"/>
    <w:rsid w:val="00010B06"/>
    <w:rsid w:val="00010D4C"/>
    <w:rsid w:val="0001109A"/>
    <w:rsid w:val="00012F36"/>
    <w:rsid w:val="0001365F"/>
    <w:rsid w:val="000147B6"/>
    <w:rsid w:val="00014C86"/>
    <w:rsid w:val="00014D2C"/>
    <w:rsid w:val="000166B1"/>
    <w:rsid w:val="00016C7B"/>
    <w:rsid w:val="00016ED8"/>
    <w:rsid w:val="0002380E"/>
    <w:rsid w:val="00023A3A"/>
    <w:rsid w:val="00023D38"/>
    <w:rsid w:val="00026D7B"/>
    <w:rsid w:val="000304A7"/>
    <w:rsid w:val="00030938"/>
    <w:rsid w:val="00031BD2"/>
    <w:rsid w:val="00031D00"/>
    <w:rsid w:val="00031FF2"/>
    <w:rsid w:val="000331E1"/>
    <w:rsid w:val="00034660"/>
    <w:rsid w:val="000348BA"/>
    <w:rsid w:val="0003548F"/>
    <w:rsid w:val="00041C23"/>
    <w:rsid w:val="00045901"/>
    <w:rsid w:val="00050CF6"/>
    <w:rsid w:val="000527FB"/>
    <w:rsid w:val="00053960"/>
    <w:rsid w:val="00054B44"/>
    <w:rsid w:val="000555CA"/>
    <w:rsid w:val="000556BD"/>
    <w:rsid w:val="00055D1E"/>
    <w:rsid w:val="000576C9"/>
    <w:rsid w:val="000577F1"/>
    <w:rsid w:val="0006234A"/>
    <w:rsid w:val="00062449"/>
    <w:rsid w:val="00062BDC"/>
    <w:rsid w:val="00063C93"/>
    <w:rsid w:val="000647DF"/>
    <w:rsid w:val="00064BE5"/>
    <w:rsid w:val="00064C4E"/>
    <w:rsid w:val="00065722"/>
    <w:rsid w:val="00065A8F"/>
    <w:rsid w:val="000670DF"/>
    <w:rsid w:val="00067B31"/>
    <w:rsid w:val="00067BCC"/>
    <w:rsid w:val="00070B51"/>
    <w:rsid w:val="00073720"/>
    <w:rsid w:val="0007521D"/>
    <w:rsid w:val="0007696C"/>
    <w:rsid w:val="00077716"/>
    <w:rsid w:val="000777EE"/>
    <w:rsid w:val="00077930"/>
    <w:rsid w:val="00080D3C"/>
    <w:rsid w:val="000829D3"/>
    <w:rsid w:val="00083155"/>
    <w:rsid w:val="000843B5"/>
    <w:rsid w:val="00084E4A"/>
    <w:rsid w:val="00085F46"/>
    <w:rsid w:val="000861D2"/>
    <w:rsid w:val="00087BF5"/>
    <w:rsid w:val="00087C21"/>
    <w:rsid w:val="00087DEA"/>
    <w:rsid w:val="00087E58"/>
    <w:rsid w:val="0009234D"/>
    <w:rsid w:val="00094DAA"/>
    <w:rsid w:val="000957D8"/>
    <w:rsid w:val="000A00BE"/>
    <w:rsid w:val="000A0330"/>
    <w:rsid w:val="000A0722"/>
    <w:rsid w:val="000A1763"/>
    <w:rsid w:val="000A1DBF"/>
    <w:rsid w:val="000A28EB"/>
    <w:rsid w:val="000A2E64"/>
    <w:rsid w:val="000A4923"/>
    <w:rsid w:val="000A7BC0"/>
    <w:rsid w:val="000B15F8"/>
    <w:rsid w:val="000B180C"/>
    <w:rsid w:val="000B3059"/>
    <w:rsid w:val="000B590C"/>
    <w:rsid w:val="000B5991"/>
    <w:rsid w:val="000B66BA"/>
    <w:rsid w:val="000B711A"/>
    <w:rsid w:val="000B7134"/>
    <w:rsid w:val="000B7FFC"/>
    <w:rsid w:val="000C0BC3"/>
    <w:rsid w:val="000C0EF1"/>
    <w:rsid w:val="000C25BE"/>
    <w:rsid w:val="000C3421"/>
    <w:rsid w:val="000C350A"/>
    <w:rsid w:val="000C3DC8"/>
    <w:rsid w:val="000C572A"/>
    <w:rsid w:val="000C66BE"/>
    <w:rsid w:val="000C6EB0"/>
    <w:rsid w:val="000D1791"/>
    <w:rsid w:val="000D36D5"/>
    <w:rsid w:val="000D43B5"/>
    <w:rsid w:val="000D4A5A"/>
    <w:rsid w:val="000D4CAC"/>
    <w:rsid w:val="000D592C"/>
    <w:rsid w:val="000D6B18"/>
    <w:rsid w:val="000D6BFF"/>
    <w:rsid w:val="000D79D2"/>
    <w:rsid w:val="000E054F"/>
    <w:rsid w:val="000E0FDE"/>
    <w:rsid w:val="000E13C7"/>
    <w:rsid w:val="000E1730"/>
    <w:rsid w:val="000E1869"/>
    <w:rsid w:val="000E191F"/>
    <w:rsid w:val="000E2427"/>
    <w:rsid w:val="000E3059"/>
    <w:rsid w:val="000E33AA"/>
    <w:rsid w:val="000E373C"/>
    <w:rsid w:val="000E5C1F"/>
    <w:rsid w:val="000E5CDC"/>
    <w:rsid w:val="000E7492"/>
    <w:rsid w:val="000F042F"/>
    <w:rsid w:val="000F17F0"/>
    <w:rsid w:val="000F180A"/>
    <w:rsid w:val="000F2315"/>
    <w:rsid w:val="000F28FC"/>
    <w:rsid w:val="000F2B7E"/>
    <w:rsid w:val="000F3566"/>
    <w:rsid w:val="000F388F"/>
    <w:rsid w:val="000F5080"/>
    <w:rsid w:val="000F5F9D"/>
    <w:rsid w:val="001009C4"/>
    <w:rsid w:val="00100D3B"/>
    <w:rsid w:val="0010218A"/>
    <w:rsid w:val="00102B13"/>
    <w:rsid w:val="0010377C"/>
    <w:rsid w:val="00103AE6"/>
    <w:rsid w:val="00103D82"/>
    <w:rsid w:val="00106F93"/>
    <w:rsid w:val="001073C2"/>
    <w:rsid w:val="0010765B"/>
    <w:rsid w:val="0010773E"/>
    <w:rsid w:val="00107DF8"/>
    <w:rsid w:val="00110806"/>
    <w:rsid w:val="0011117C"/>
    <w:rsid w:val="001111B4"/>
    <w:rsid w:val="001114CA"/>
    <w:rsid w:val="00112097"/>
    <w:rsid w:val="00112430"/>
    <w:rsid w:val="00113483"/>
    <w:rsid w:val="00113A13"/>
    <w:rsid w:val="00115AE4"/>
    <w:rsid w:val="00115F4F"/>
    <w:rsid w:val="00120699"/>
    <w:rsid w:val="00120833"/>
    <w:rsid w:val="00120D1E"/>
    <w:rsid w:val="00121C5C"/>
    <w:rsid w:val="00122138"/>
    <w:rsid w:val="001232A2"/>
    <w:rsid w:val="00123BA7"/>
    <w:rsid w:val="001240EB"/>
    <w:rsid w:val="00126256"/>
    <w:rsid w:val="001267A5"/>
    <w:rsid w:val="001275D6"/>
    <w:rsid w:val="00127685"/>
    <w:rsid w:val="00127B46"/>
    <w:rsid w:val="00131798"/>
    <w:rsid w:val="0013326D"/>
    <w:rsid w:val="0013554E"/>
    <w:rsid w:val="0013603A"/>
    <w:rsid w:val="0013705C"/>
    <w:rsid w:val="001379BA"/>
    <w:rsid w:val="001410CA"/>
    <w:rsid w:val="0014154A"/>
    <w:rsid w:val="00141CE6"/>
    <w:rsid w:val="00142517"/>
    <w:rsid w:val="00143346"/>
    <w:rsid w:val="00143802"/>
    <w:rsid w:val="00146B7D"/>
    <w:rsid w:val="0014757F"/>
    <w:rsid w:val="001476A3"/>
    <w:rsid w:val="001504A3"/>
    <w:rsid w:val="0015076E"/>
    <w:rsid w:val="00150FF7"/>
    <w:rsid w:val="00151770"/>
    <w:rsid w:val="001519A9"/>
    <w:rsid w:val="001545C1"/>
    <w:rsid w:val="00154ADD"/>
    <w:rsid w:val="001554FD"/>
    <w:rsid w:val="00160973"/>
    <w:rsid w:val="00160C7A"/>
    <w:rsid w:val="00161487"/>
    <w:rsid w:val="00162398"/>
    <w:rsid w:val="00163A4A"/>
    <w:rsid w:val="00163CB4"/>
    <w:rsid w:val="00164890"/>
    <w:rsid w:val="001649E5"/>
    <w:rsid w:val="0016707C"/>
    <w:rsid w:val="0016742B"/>
    <w:rsid w:val="001702F1"/>
    <w:rsid w:val="001705D0"/>
    <w:rsid w:val="00171139"/>
    <w:rsid w:val="0017274B"/>
    <w:rsid w:val="00172CDA"/>
    <w:rsid w:val="001733D3"/>
    <w:rsid w:val="00173AD6"/>
    <w:rsid w:val="001741BD"/>
    <w:rsid w:val="0017429D"/>
    <w:rsid w:val="00174869"/>
    <w:rsid w:val="00174F7D"/>
    <w:rsid w:val="00176084"/>
    <w:rsid w:val="0017690A"/>
    <w:rsid w:val="001770AA"/>
    <w:rsid w:val="00180327"/>
    <w:rsid w:val="0018039B"/>
    <w:rsid w:val="00181519"/>
    <w:rsid w:val="00182E12"/>
    <w:rsid w:val="0018331D"/>
    <w:rsid w:val="0018375A"/>
    <w:rsid w:val="00184FB3"/>
    <w:rsid w:val="001858B6"/>
    <w:rsid w:val="00187895"/>
    <w:rsid w:val="001902F5"/>
    <w:rsid w:val="00191B61"/>
    <w:rsid w:val="0019243B"/>
    <w:rsid w:val="00192F7F"/>
    <w:rsid w:val="00193229"/>
    <w:rsid w:val="00194246"/>
    <w:rsid w:val="00194725"/>
    <w:rsid w:val="001964E4"/>
    <w:rsid w:val="001A1356"/>
    <w:rsid w:val="001A282A"/>
    <w:rsid w:val="001A2BE0"/>
    <w:rsid w:val="001A66D2"/>
    <w:rsid w:val="001A7604"/>
    <w:rsid w:val="001B0274"/>
    <w:rsid w:val="001B031D"/>
    <w:rsid w:val="001B30EB"/>
    <w:rsid w:val="001B32DE"/>
    <w:rsid w:val="001B3435"/>
    <w:rsid w:val="001B418E"/>
    <w:rsid w:val="001B4549"/>
    <w:rsid w:val="001B5B3D"/>
    <w:rsid w:val="001B797A"/>
    <w:rsid w:val="001C196F"/>
    <w:rsid w:val="001C1FE3"/>
    <w:rsid w:val="001C20F3"/>
    <w:rsid w:val="001C239E"/>
    <w:rsid w:val="001C257C"/>
    <w:rsid w:val="001C27FE"/>
    <w:rsid w:val="001C2BAA"/>
    <w:rsid w:val="001C3A84"/>
    <w:rsid w:val="001C4A14"/>
    <w:rsid w:val="001C4FF5"/>
    <w:rsid w:val="001C51CC"/>
    <w:rsid w:val="001C5A23"/>
    <w:rsid w:val="001C67CD"/>
    <w:rsid w:val="001C6B27"/>
    <w:rsid w:val="001C7057"/>
    <w:rsid w:val="001C7FFE"/>
    <w:rsid w:val="001D03DB"/>
    <w:rsid w:val="001D0FF4"/>
    <w:rsid w:val="001D1B5E"/>
    <w:rsid w:val="001D1BCF"/>
    <w:rsid w:val="001D2249"/>
    <w:rsid w:val="001D308C"/>
    <w:rsid w:val="001D355D"/>
    <w:rsid w:val="001D3D8D"/>
    <w:rsid w:val="001D4A2A"/>
    <w:rsid w:val="001D4FC2"/>
    <w:rsid w:val="001D6687"/>
    <w:rsid w:val="001D71DF"/>
    <w:rsid w:val="001D78C0"/>
    <w:rsid w:val="001D7B94"/>
    <w:rsid w:val="001E14E7"/>
    <w:rsid w:val="001E1FA3"/>
    <w:rsid w:val="001E1FFC"/>
    <w:rsid w:val="001E3290"/>
    <w:rsid w:val="001E32A7"/>
    <w:rsid w:val="001E34A3"/>
    <w:rsid w:val="001E3950"/>
    <w:rsid w:val="001E5F63"/>
    <w:rsid w:val="001E6354"/>
    <w:rsid w:val="001E67D6"/>
    <w:rsid w:val="001F1552"/>
    <w:rsid w:val="001F310F"/>
    <w:rsid w:val="001F6900"/>
    <w:rsid w:val="001F7B18"/>
    <w:rsid w:val="00200632"/>
    <w:rsid w:val="00201890"/>
    <w:rsid w:val="00202D6C"/>
    <w:rsid w:val="00204272"/>
    <w:rsid w:val="002061D8"/>
    <w:rsid w:val="00206562"/>
    <w:rsid w:val="00206867"/>
    <w:rsid w:val="00206DFA"/>
    <w:rsid w:val="00210C86"/>
    <w:rsid w:val="0021233D"/>
    <w:rsid w:val="00215429"/>
    <w:rsid w:val="00215D84"/>
    <w:rsid w:val="002168EC"/>
    <w:rsid w:val="00217926"/>
    <w:rsid w:val="0022153D"/>
    <w:rsid w:val="00222499"/>
    <w:rsid w:val="00223681"/>
    <w:rsid w:val="002246F8"/>
    <w:rsid w:val="0022484B"/>
    <w:rsid w:val="002250D6"/>
    <w:rsid w:val="00225445"/>
    <w:rsid w:val="00226598"/>
    <w:rsid w:val="00227BA8"/>
    <w:rsid w:val="002314B2"/>
    <w:rsid w:val="002317BD"/>
    <w:rsid w:val="00231B34"/>
    <w:rsid w:val="00231E48"/>
    <w:rsid w:val="00231E8A"/>
    <w:rsid w:val="002339A5"/>
    <w:rsid w:val="00234533"/>
    <w:rsid w:val="00234983"/>
    <w:rsid w:val="00234AE0"/>
    <w:rsid w:val="002355F2"/>
    <w:rsid w:val="002369D1"/>
    <w:rsid w:val="0023756A"/>
    <w:rsid w:val="0023772C"/>
    <w:rsid w:val="002407EF"/>
    <w:rsid w:val="00244ACA"/>
    <w:rsid w:val="0024571B"/>
    <w:rsid w:val="00250305"/>
    <w:rsid w:val="00251D86"/>
    <w:rsid w:val="002526D4"/>
    <w:rsid w:val="00252E75"/>
    <w:rsid w:val="00255E34"/>
    <w:rsid w:val="00257A65"/>
    <w:rsid w:val="0026023E"/>
    <w:rsid w:val="0026191A"/>
    <w:rsid w:val="0026197F"/>
    <w:rsid w:val="00261C37"/>
    <w:rsid w:val="00263A73"/>
    <w:rsid w:val="00265DA8"/>
    <w:rsid w:val="002662F3"/>
    <w:rsid w:val="0027002D"/>
    <w:rsid w:val="00271CDA"/>
    <w:rsid w:val="002720B0"/>
    <w:rsid w:val="0027344A"/>
    <w:rsid w:val="00273C6B"/>
    <w:rsid w:val="00274090"/>
    <w:rsid w:val="0027631B"/>
    <w:rsid w:val="002765F8"/>
    <w:rsid w:val="00276BDA"/>
    <w:rsid w:val="002773DC"/>
    <w:rsid w:val="00280019"/>
    <w:rsid w:val="002810C6"/>
    <w:rsid w:val="00282361"/>
    <w:rsid w:val="00282A3B"/>
    <w:rsid w:val="00282E84"/>
    <w:rsid w:val="0028380C"/>
    <w:rsid w:val="002862CD"/>
    <w:rsid w:val="00286469"/>
    <w:rsid w:val="00286854"/>
    <w:rsid w:val="002870AA"/>
    <w:rsid w:val="0028727E"/>
    <w:rsid w:val="00287677"/>
    <w:rsid w:val="0028782E"/>
    <w:rsid w:val="00290C48"/>
    <w:rsid w:val="00290DE9"/>
    <w:rsid w:val="00291FD5"/>
    <w:rsid w:val="00293CB2"/>
    <w:rsid w:val="0029476F"/>
    <w:rsid w:val="00294F60"/>
    <w:rsid w:val="00295063"/>
    <w:rsid w:val="00295C80"/>
    <w:rsid w:val="00296E00"/>
    <w:rsid w:val="002A15EF"/>
    <w:rsid w:val="002A167E"/>
    <w:rsid w:val="002A2157"/>
    <w:rsid w:val="002A6932"/>
    <w:rsid w:val="002A7022"/>
    <w:rsid w:val="002A785E"/>
    <w:rsid w:val="002B0029"/>
    <w:rsid w:val="002B0E71"/>
    <w:rsid w:val="002B2695"/>
    <w:rsid w:val="002B47C8"/>
    <w:rsid w:val="002B4EFA"/>
    <w:rsid w:val="002B555D"/>
    <w:rsid w:val="002B6D9E"/>
    <w:rsid w:val="002B7529"/>
    <w:rsid w:val="002C070A"/>
    <w:rsid w:val="002C1209"/>
    <w:rsid w:val="002C124E"/>
    <w:rsid w:val="002C21CD"/>
    <w:rsid w:val="002C3E2E"/>
    <w:rsid w:val="002C42DA"/>
    <w:rsid w:val="002C4EE4"/>
    <w:rsid w:val="002C51E3"/>
    <w:rsid w:val="002C5616"/>
    <w:rsid w:val="002C5761"/>
    <w:rsid w:val="002C5A75"/>
    <w:rsid w:val="002D0B63"/>
    <w:rsid w:val="002D25A9"/>
    <w:rsid w:val="002D360C"/>
    <w:rsid w:val="002D48F9"/>
    <w:rsid w:val="002D60F7"/>
    <w:rsid w:val="002D6859"/>
    <w:rsid w:val="002D6F77"/>
    <w:rsid w:val="002D7A25"/>
    <w:rsid w:val="002E00F3"/>
    <w:rsid w:val="002E0B05"/>
    <w:rsid w:val="002E33E2"/>
    <w:rsid w:val="002E4611"/>
    <w:rsid w:val="002E474C"/>
    <w:rsid w:val="002E6068"/>
    <w:rsid w:val="002E6A56"/>
    <w:rsid w:val="002E6BCB"/>
    <w:rsid w:val="002E7238"/>
    <w:rsid w:val="002E7343"/>
    <w:rsid w:val="002E755D"/>
    <w:rsid w:val="002E7614"/>
    <w:rsid w:val="002F380A"/>
    <w:rsid w:val="002F3D2D"/>
    <w:rsid w:val="002F3F31"/>
    <w:rsid w:val="002F6643"/>
    <w:rsid w:val="002F678B"/>
    <w:rsid w:val="002F73F3"/>
    <w:rsid w:val="002F7696"/>
    <w:rsid w:val="003013FB"/>
    <w:rsid w:val="003022E4"/>
    <w:rsid w:val="00303CF2"/>
    <w:rsid w:val="003041F9"/>
    <w:rsid w:val="0030448A"/>
    <w:rsid w:val="00304525"/>
    <w:rsid w:val="0030619F"/>
    <w:rsid w:val="003065C7"/>
    <w:rsid w:val="00306CAE"/>
    <w:rsid w:val="00306F73"/>
    <w:rsid w:val="00307F96"/>
    <w:rsid w:val="00310ADA"/>
    <w:rsid w:val="00310E9D"/>
    <w:rsid w:val="00313E95"/>
    <w:rsid w:val="00313F45"/>
    <w:rsid w:val="00313FBB"/>
    <w:rsid w:val="00314A8A"/>
    <w:rsid w:val="00316810"/>
    <w:rsid w:val="00320185"/>
    <w:rsid w:val="00320B59"/>
    <w:rsid w:val="00321996"/>
    <w:rsid w:val="00324893"/>
    <w:rsid w:val="003253A7"/>
    <w:rsid w:val="0032557F"/>
    <w:rsid w:val="003268ED"/>
    <w:rsid w:val="003279F6"/>
    <w:rsid w:val="00327CF3"/>
    <w:rsid w:val="0033077B"/>
    <w:rsid w:val="003311A6"/>
    <w:rsid w:val="00331B10"/>
    <w:rsid w:val="00332961"/>
    <w:rsid w:val="00335EFC"/>
    <w:rsid w:val="003361D4"/>
    <w:rsid w:val="00336212"/>
    <w:rsid w:val="0033742A"/>
    <w:rsid w:val="00337B3D"/>
    <w:rsid w:val="00340780"/>
    <w:rsid w:val="00340844"/>
    <w:rsid w:val="00340F9B"/>
    <w:rsid w:val="003412BF"/>
    <w:rsid w:val="0034367B"/>
    <w:rsid w:val="00343975"/>
    <w:rsid w:val="00344C02"/>
    <w:rsid w:val="003471E6"/>
    <w:rsid w:val="00347D07"/>
    <w:rsid w:val="00347FDF"/>
    <w:rsid w:val="00351ED7"/>
    <w:rsid w:val="0035229A"/>
    <w:rsid w:val="0035278A"/>
    <w:rsid w:val="0035323A"/>
    <w:rsid w:val="0035541C"/>
    <w:rsid w:val="00355756"/>
    <w:rsid w:val="00360189"/>
    <w:rsid w:val="00360F04"/>
    <w:rsid w:val="00362448"/>
    <w:rsid w:val="003624A0"/>
    <w:rsid w:val="00363053"/>
    <w:rsid w:val="00363153"/>
    <w:rsid w:val="00363515"/>
    <w:rsid w:val="00363768"/>
    <w:rsid w:val="003667F9"/>
    <w:rsid w:val="00366EF2"/>
    <w:rsid w:val="00370D8C"/>
    <w:rsid w:val="00371637"/>
    <w:rsid w:val="00371ED9"/>
    <w:rsid w:val="00372BA3"/>
    <w:rsid w:val="00372CE0"/>
    <w:rsid w:val="003733EA"/>
    <w:rsid w:val="00373466"/>
    <w:rsid w:val="00373D40"/>
    <w:rsid w:val="0037409B"/>
    <w:rsid w:val="00374122"/>
    <w:rsid w:val="00374592"/>
    <w:rsid w:val="00375312"/>
    <w:rsid w:val="003755E2"/>
    <w:rsid w:val="0037596D"/>
    <w:rsid w:val="00376F17"/>
    <w:rsid w:val="00377A6F"/>
    <w:rsid w:val="00380241"/>
    <w:rsid w:val="00381261"/>
    <w:rsid w:val="00381B83"/>
    <w:rsid w:val="00381ED5"/>
    <w:rsid w:val="00381FEF"/>
    <w:rsid w:val="0038276E"/>
    <w:rsid w:val="003828BD"/>
    <w:rsid w:val="00382AC0"/>
    <w:rsid w:val="0038360C"/>
    <w:rsid w:val="0038366D"/>
    <w:rsid w:val="00386066"/>
    <w:rsid w:val="00386A5D"/>
    <w:rsid w:val="00387C09"/>
    <w:rsid w:val="00390444"/>
    <w:rsid w:val="003908F3"/>
    <w:rsid w:val="00390DFC"/>
    <w:rsid w:val="003920F1"/>
    <w:rsid w:val="00393AA1"/>
    <w:rsid w:val="003952AC"/>
    <w:rsid w:val="00395E6F"/>
    <w:rsid w:val="003967B9"/>
    <w:rsid w:val="003A0F5E"/>
    <w:rsid w:val="003A19E0"/>
    <w:rsid w:val="003A1C78"/>
    <w:rsid w:val="003A20FF"/>
    <w:rsid w:val="003A26C5"/>
    <w:rsid w:val="003A3A48"/>
    <w:rsid w:val="003A4373"/>
    <w:rsid w:val="003A505B"/>
    <w:rsid w:val="003A5AFC"/>
    <w:rsid w:val="003A6C1C"/>
    <w:rsid w:val="003A73C5"/>
    <w:rsid w:val="003A7B12"/>
    <w:rsid w:val="003B22BE"/>
    <w:rsid w:val="003B2651"/>
    <w:rsid w:val="003B2DD7"/>
    <w:rsid w:val="003B6865"/>
    <w:rsid w:val="003B7CC2"/>
    <w:rsid w:val="003C0656"/>
    <w:rsid w:val="003C0AB5"/>
    <w:rsid w:val="003C15BA"/>
    <w:rsid w:val="003C1985"/>
    <w:rsid w:val="003C41BA"/>
    <w:rsid w:val="003C4557"/>
    <w:rsid w:val="003C4874"/>
    <w:rsid w:val="003C4C89"/>
    <w:rsid w:val="003C5A53"/>
    <w:rsid w:val="003C5B1A"/>
    <w:rsid w:val="003C73FE"/>
    <w:rsid w:val="003C784B"/>
    <w:rsid w:val="003C7CA5"/>
    <w:rsid w:val="003D0DE7"/>
    <w:rsid w:val="003D1E58"/>
    <w:rsid w:val="003D1E99"/>
    <w:rsid w:val="003D211B"/>
    <w:rsid w:val="003D292D"/>
    <w:rsid w:val="003D2C36"/>
    <w:rsid w:val="003D4AB0"/>
    <w:rsid w:val="003D5374"/>
    <w:rsid w:val="003D5AC8"/>
    <w:rsid w:val="003D6C24"/>
    <w:rsid w:val="003E011F"/>
    <w:rsid w:val="003E0FB7"/>
    <w:rsid w:val="003E1F4A"/>
    <w:rsid w:val="003E2A75"/>
    <w:rsid w:val="003E307E"/>
    <w:rsid w:val="003E560F"/>
    <w:rsid w:val="003E5CEC"/>
    <w:rsid w:val="003E5EEF"/>
    <w:rsid w:val="003E6116"/>
    <w:rsid w:val="003E75F9"/>
    <w:rsid w:val="003F0DB9"/>
    <w:rsid w:val="003F1493"/>
    <w:rsid w:val="003F242C"/>
    <w:rsid w:val="003F2EF4"/>
    <w:rsid w:val="003F3106"/>
    <w:rsid w:val="003F3715"/>
    <w:rsid w:val="003F49DF"/>
    <w:rsid w:val="003F5578"/>
    <w:rsid w:val="003F5C0E"/>
    <w:rsid w:val="003F6CA0"/>
    <w:rsid w:val="003F7ACC"/>
    <w:rsid w:val="00400C13"/>
    <w:rsid w:val="00402815"/>
    <w:rsid w:val="0040305B"/>
    <w:rsid w:val="0040382F"/>
    <w:rsid w:val="00403D70"/>
    <w:rsid w:val="004058A6"/>
    <w:rsid w:val="00406538"/>
    <w:rsid w:val="00406A4C"/>
    <w:rsid w:val="004071A2"/>
    <w:rsid w:val="00407903"/>
    <w:rsid w:val="0041053E"/>
    <w:rsid w:val="0041084E"/>
    <w:rsid w:val="0041086C"/>
    <w:rsid w:val="00411C6F"/>
    <w:rsid w:val="004120C2"/>
    <w:rsid w:val="00412915"/>
    <w:rsid w:val="00412E36"/>
    <w:rsid w:val="00413EC5"/>
    <w:rsid w:val="0041488E"/>
    <w:rsid w:val="00420116"/>
    <w:rsid w:val="0042102E"/>
    <w:rsid w:val="00422D9A"/>
    <w:rsid w:val="00423323"/>
    <w:rsid w:val="00423B7C"/>
    <w:rsid w:val="00423D85"/>
    <w:rsid w:val="00424780"/>
    <w:rsid w:val="00425BDF"/>
    <w:rsid w:val="00426F60"/>
    <w:rsid w:val="00427284"/>
    <w:rsid w:val="00427BEE"/>
    <w:rsid w:val="00431511"/>
    <w:rsid w:val="0043218C"/>
    <w:rsid w:val="004331F4"/>
    <w:rsid w:val="004332CB"/>
    <w:rsid w:val="0043417A"/>
    <w:rsid w:val="00436604"/>
    <w:rsid w:val="00437A29"/>
    <w:rsid w:val="00440381"/>
    <w:rsid w:val="00440B61"/>
    <w:rsid w:val="00440FD0"/>
    <w:rsid w:val="00441FC6"/>
    <w:rsid w:val="004420AC"/>
    <w:rsid w:val="00442E31"/>
    <w:rsid w:val="00442FE3"/>
    <w:rsid w:val="00443E2C"/>
    <w:rsid w:val="00444FE9"/>
    <w:rsid w:val="004457A7"/>
    <w:rsid w:val="00447390"/>
    <w:rsid w:val="00447F92"/>
    <w:rsid w:val="00450144"/>
    <w:rsid w:val="00450C46"/>
    <w:rsid w:val="00450CF6"/>
    <w:rsid w:val="00451A69"/>
    <w:rsid w:val="00451E0E"/>
    <w:rsid w:val="00452202"/>
    <w:rsid w:val="00453D4A"/>
    <w:rsid w:val="00454136"/>
    <w:rsid w:val="00455E81"/>
    <w:rsid w:val="00456CED"/>
    <w:rsid w:val="004571EC"/>
    <w:rsid w:val="0046221D"/>
    <w:rsid w:val="00462632"/>
    <w:rsid w:val="00462860"/>
    <w:rsid w:val="004635B7"/>
    <w:rsid w:val="00464B52"/>
    <w:rsid w:val="00466A86"/>
    <w:rsid w:val="004717B5"/>
    <w:rsid w:val="00471E70"/>
    <w:rsid w:val="004725E7"/>
    <w:rsid w:val="00472D57"/>
    <w:rsid w:val="0047456F"/>
    <w:rsid w:val="00474CE8"/>
    <w:rsid w:val="00475E2E"/>
    <w:rsid w:val="00476482"/>
    <w:rsid w:val="00477FA1"/>
    <w:rsid w:val="00481250"/>
    <w:rsid w:val="00482FB7"/>
    <w:rsid w:val="004834AF"/>
    <w:rsid w:val="00483631"/>
    <w:rsid w:val="0048382D"/>
    <w:rsid w:val="00483CBB"/>
    <w:rsid w:val="00483DDB"/>
    <w:rsid w:val="004854A3"/>
    <w:rsid w:val="00485D2C"/>
    <w:rsid w:val="00486578"/>
    <w:rsid w:val="00487CB4"/>
    <w:rsid w:val="004900AA"/>
    <w:rsid w:val="00492892"/>
    <w:rsid w:val="00495705"/>
    <w:rsid w:val="004958A1"/>
    <w:rsid w:val="00495CDC"/>
    <w:rsid w:val="004977FD"/>
    <w:rsid w:val="00497C00"/>
    <w:rsid w:val="004A0298"/>
    <w:rsid w:val="004A0ED1"/>
    <w:rsid w:val="004A1F39"/>
    <w:rsid w:val="004A2244"/>
    <w:rsid w:val="004A339C"/>
    <w:rsid w:val="004A3831"/>
    <w:rsid w:val="004A41B3"/>
    <w:rsid w:val="004A43E0"/>
    <w:rsid w:val="004A5CC0"/>
    <w:rsid w:val="004A750A"/>
    <w:rsid w:val="004B0B7C"/>
    <w:rsid w:val="004B0FE6"/>
    <w:rsid w:val="004B231E"/>
    <w:rsid w:val="004B24A0"/>
    <w:rsid w:val="004B3403"/>
    <w:rsid w:val="004B6913"/>
    <w:rsid w:val="004B7BFF"/>
    <w:rsid w:val="004C1C76"/>
    <w:rsid w:val="004C1F6C"/>
    <w:rsid w:val="004C2198"/>
    <w:rsid w:val="004C2413"/>
    <w:rsid w:val="004C4157"/>
    <w:rsid w:val="004C42DF"/>
    <w:rsid w:val="004C46D8"/>
    <w:rsid w:val="004C4D8A"/>
    <w:rsid w:val="004C4E17"/>
    <w:rsid w:val="004C52F6"/>
    <w:rsid w:val="004C6466"/>
    <w:rsid w:val="004C6A5F"/>
    <w:rsid w:val="004D278E"/>
    <w:rsid w:val="004D2C38"/>
    <w:rsid w:val="004D395A"/>
    <w:rsid w:val="004D4378"/>
    <w:rsid w:val="004D4A02"/>
    <w:rsid w:val="004D575D"/>
    <w:rsid w:val="004D593B"/>
    <w:rsid w:val="004D60D8"/>
    <w:rsid w:val="004D672E"/>
    <w:rsid w:val="004D6A1C"/>
    <w:rsid w:val="004E2296"/>
    <w:rsid w:val="004E29E0"/>
    <w:rsid w:val="004E3FB5"/>
    <w:rsid w:val="004E43A8"/>
    <w:rsid w:val="004E491B"/>
    <w:rsid w:val="004E4AD4"/>
    <w:rsid w:val="004E4B59"/>
    <w:rsid w:val="004E6694"/>
    <w:rsid w:val="004E6ABB"/>
    <w:rsid w:val="004E6B09"/>
    <w:rsid w:val="004F07E3"/>
    <w:rsid w:val="004F175A"/>
    <w:rsid w:val="004F2468"/>
    <w:rsid w:val="004F2562"/>
    <w:rsid w:val="004F3C24"/>
    <w:rsid w:val="004F495B"/>
    <w:rsid w:val="004F4DAD"/>
    <w:rsid w:val="004F60E6"/>
    <w:rsid w:val="004F6AFA"/>
    <w:rsid w:val="004F6E63"/>
    <w:rsid w:val="00500CFE"/>
    <w:rsid w:val="00501911"/>
    <w:rsid w:val="00502BB6"/>
    <w:rsid w:val="00502BB8"/>
    <w:rsid w:val="00503086"/>
    <w:rsid w:val="00503363"/>
    <w:rsid w:val="005049F0"/>
    <w:rsid w:val="00505303"/>
    <w:rsid w:val="0050648F"/>
    <w:rsid w:val="00506687"/>
    <w:rsid w:val="00506DF6"/>
    <w:rsid w:val="005079E2"/>
    <w:rsid w:val="0051258D"/>
    <w:rsid w:val="00512C9A"/>
    <w:rsid w:val="00512CFF"/>
    <w:rsid w:val="0051381A"/>
    <w:rsid w:val="00513D74"/>
    <w:rsid w:val="0051408B"/>
    <w:rsid w:val="00514714"/>
    <w:rsid w:val="00515B73"/>
    <w:rsid w:val="00515BF3"/>
    <w:rsid w:val="00517141"/>
    <w:rsid w:val="0051754B"/>
    <w:rsid w:val="0051759E"/>
    <w:rsid w:val="00520267"/>
    <w:rsid w:val="0052200D"/>
    <w:rsid w:val="00522199"/>
    <w:rsid w:val="005221FD"/>
    <w:rsid w:val="005225FB"/>
    <w:rsid w:val="00522A1D"/>
    <w:rsid w:val="00523B47"/>
    <w:rsid w:val="00525388"/>
    <w:rsid w:val="0052655F"/>
    <w:rsid w:val="00527ACB"/>
    <w:rsid w:val="00530606"/>
    <w:rsid w:val="0053069C"/>
    <w:rsid w:val="005316E3"/>
    <w:rsid w:val="00531A5D"/>
    <w:rsid w:val="00532751"/>
    <w:rsid w:val="0053318D"/>
    <w:rsid w:val="0053417B"/>
    <w:rsid w:val="005407E6"/>
    <w:rsid w:val="005418FD"/>
    <w:rsid w:val="00542B80"/>
    <w:rsid w:val="005438F1"/>
    <w:rsid w:val="0054475E"/>
    <w:rsid w:val="00544F8B"/>
    <w:rsid w:val="005451CD"/>
    <w:rsid w:val="005459A5"/>
    <w:rsid w:val="00546A9D"/>
    <w:rsid w:val="005500D8"/>
    <w:rsid w:val="005508F6"/>
    <w:rsid w:val="00551FB9"/>
    <w:rsid w:val="005520E9"/>
    <w:rsid w:val="00553D18"/>
    <w:rsid w:val="00554056"/>
    <w:rsid w:val="005552A6"/>
    <w:rsid w:val="00555328"/>
    <w:rsid w:val="00555565"/>
    <w:rsid w:val="005556DA"/>
    <w:rsid w:val="00555CF1"/>
    <w:rsid w:val="0055626B"/>
    <w:rsid w:val="005569AB"/>
    <w:rsid w:val="00556E18"/>
    <w:rsid w:val="005572EB"/>
    <w:rsid w:val="00557365"/>
    <w:rsid w:val="005605D5"/>
    <w:rsid w:val="00560AB0"/>
    <w:rsid w:val="00562627"/>
    <w:rsid w:val="0056386C"/>
    <w:rsid w:val="00563C1A"/>
    <w:rsid w:val="00565F1C"/>
    <w:rsid w:val="005667C2"/>
    <w:rsid w:val="00567385"/>
    <w:rsid w:val="00570B7B"/>
    <w:rsid w:val="00571F23"/>
    <w:rsid w:val="00573016"/>
    <w:rsid w:val="00574476"/>
    <w:rsid w:val="005748E3"/>
    <w:rsid w:val="00574FEF"/>
    <w:rsid w:val="0057519C"/>
    <w:rsid w:val="00575798"/>
    <w:rsid w:val="00575E08"/>
    <w:rsid w:val="005764D1"/>
    <w:rsid w:val="005766BA"/>
    <w:rsid w:val="00576EBF"/>
    <w:rsid w:val="00580C58"/>
    <w:rsid w:val="00580FFF"/>
    <w:rsid w:val="00581396"/>
    <w:rsid w:val="00581BF2"/>
    <w:rsid w:val="00583329"/>
    <w:rsid w:val="005859A2"/>
    <w:rsid w:val="00585CBD"/>
    <w:rsid w:val="005861DA"/>
    <w:rsid w:val="00587688"/>
    <w:rsid w:val="005900FC"/>
    <w:rsid w:val="0059052C"/>
    <w:rsid w:val="005922BE"/>
    <w:rsid w:val="005924E9"/>
    <w:rsid w:val="00592D64"/>
    <w:rsid w:val="00594461"/>
    <w:rsid w:val="00594D13"/>
    <w:rsid w:val="00595ABF"/>
    <w:rsid w:val="00596209"/>
    <w:rsid w:val="00596521"/>
    <w:rsid w:val="005969CA"/>
    <w:rsid w:val="0059710D"/>
    <w:rsid w:val="005A0AFF"/>
    <w:rsid w:val="005A0CDE"/>
    <w:rsid w:val="005A2455"/>
    <w:rsid w:val="005A3EF2"/>
    <w:rsid w:val="005A43F8"/>
    <w:rsid w:val="005A4DB2"/>
    <w:rsid w:val="005A4DF4"/>
    <w:rsid w:val="005A4F9C"/>
    <w:rsid w:val="005A5603"/>
    <w:rsid w:val="005A5E84"/>
    <w:rsid w:val="005A60AB"/>
    <w:rsid w:val="005A6B5C"/>
    <w:rsid w:val="005B09EB"/>
    <w:rsid w:val="005B1FAA"/>
    <w:rsid w:val="005B2B6F"/>
    <w:rsid w:val="005B32C2"/>
    <w:rsid w:val="005B3A93"/>
    <w:rsid w:val="005B4507"/>
    <w:rsid w:val="005B4F68"/>
    <w:rsid w:val="005B5899"/>
    <w:rsid w:val="005B5D39"/>
    <w:rsid w:val="005B600E"/>
    <w:rsid w:val="005B60AC"/>
    <w:rsid w:val="005B6F7D"/>
    <w:rsid w:val="005C0DA6"/>
    <w:rsid w:val="005C1F64"/>
    <w:rsid w:val="005C2E47"/>
    <w:rsid w:val="005C2E9B"/>
    <w:rsid w:val="005C3A67"/>
    <w:rsid w:val="005C3E83"/>
    <w:rsid w:val="005C5585"/>
    <w:rsid w:val="005C57D5"/>
    <w:rsid w:val="005C7F19"/>
    <w:rsid w:val="005D0387"/>
    <w:rsid w:val="005D09E7"/>
    <w:rsid w:val="005D2979"/>
    <w:rsid w:val="005D3399"/>
    <w:rsid w:val="005D3440"/>
    <w:rsid w:val="005D4229"/>
    <w:rsid w:val="005D4570"/>
    <w:rsid w:val="005D6586"/>
    <w:rsid w:val="005D71A1"/>
    <w:rsid w:val="005D7F9A"/>
    <w:rsid w:val="005E0FAB"/>
    <w:rsid w:val="005E38C3"/>
    <w:rsid w:val="005E3BAF"/>
    <w:rsid w:val="005E433D"/>
    <w:rsid w:val="005E5581"/>
    <w:rsid w:val="005E5F4C"/>
    <w:rsid w:val="005E7325"/>
    <w:rsid w:val="005E73EF"/>
    <w:rsid w:val="005E7BEC"/>
    <w:rsid w:val="005F0167"/>
    <w:rsid w:val="005F07FA"/>
    <w:rsid w:val="005F08A3"/>
    <w:rsid w:val="005F0A50"/>
    <w:rsid w:val="005F0BCA"/>
    <w:rsid w:val="005F0E0A"/>
    <w:rsid w:val="005F1F58"/>
    <w:rsid w:val="005F4073"/>
    <w:rsid w:val="005F4A48"/>
    <w:rsid w:val="005F4A73"/>
    <w:rsid w:val="005F4B71"/>
    <w:rsid w:val="005F4B87"/>
    <w:rsid w:val="005F538A"/>
    <w:rsid w:val="005F5567"/>
    <w:rsid w:val="005F5E34"/>
    <w:rsid w:val="005F6474"/>
    <w:rsid w:val="005F6849"/>
    <w:rsid w:val="005F6D22"/>
    <w:rsid w:val="005F6F86"/>
    <w:rsid w:val="00601BF5"/>
    <w:rsid w:val="00601CA5"/>
    <w:rsid w:val="00602991"/>
    <w:rsid w:val="006029C5"/>
    <w:rsid w:val="0060401A"/>
    <w:rsid w:val="006049D3"/>
    <w:rsid w:val="00610FAC"/>
    <w:rsid w:val="006112B1"/>
    <w:rsid w:val="00611588"/>
    <w:rsid w:val="006119D0"/>
    <w:rsid w:val="00612061"/>
    <w:rsid w:val="00612B49"/>
    <w:rsid w:val="00612D8D"/>
    <w:rsid w:val="006170A4"/>
    <w:rsid w:val="00617224"/>
    <w:rsid w:val="0061735F"/>
    <w:rsid w:val="00617863"/>
    <w:rsid w:val="006179AD"/>
    <w:rsid w:val="006203B2"/>
    <w:rsid w:val="00621B2E"/>
    <w:rsid w:val="0062281A"/>
    <w:rsid w:val="00623664"/>
    <w:rsid w:val="00623DBD"/>
    <w:rsid w:val="00624860"/>
    <w:rsid w:val="00624BF9"/>
    <w:rsid w:val="0062592D"/>
    <w:rsid w:val="00625AD8"/>
    <w:rsid w:val="00630512"/>
    <w:rsid w:val="00630EBA"/>
    <w:rsid w:val="006317DF"/>
    <w:rsid w:val="00632FB0"/>
    <w:rsid w:val="00633790"/>
    <w:rsid w:val="0063492D"/>
    <w:rsid w:val="00634A7B"/>
    <w:rsid w:val="00634AA3"/>
    <w:rsid w:val="0063705A"/>
    <w:rsid w:val="0063761F"/>
    <w:rsid w:val="00637CB1"/>
    <w:rsid w:val="00640C6C"/>
    <w:rsid w:val="00640CCB"/>
    <w:rsid w:val="00641466"/>
    <w:rsid w:val="00641B3B"/>
    <w:rsid w:val="00641BCE"/>
    <w:rsid w:val="006431B2"/>
    <w:rsid w:val="00644820"/>
    <w:rsid w:val="00645BB0"/>
    <w:rsid w:val="00645F89"/>
    <w:rsid w:val="006464C1"/>
    <w:rsid w:val="00647C89"/>
    <w:rsid w:val="00650100"/>
    <w:rsid w:val="00651B50"/>
    <w:rsid w:val="0065336D"/>
    <w:rsid w:val="00653427"/>
    <w:rsid w:val="00654E1C"/>
    <w:rsid w:val="006550C3"/>
    <w:rsid w:val="006553F3"/>
    <w:rsid w:val="00655A2B"/>
    <w:rsid w:val="006564B2"/>
    <w:rsid w:val="006566AD"/>
    <w:rsid w:val="006567A6"/>
    <w:rsid w:val="00657590"/>
    <w:rsid w:val="00657C62"/>
    <w:rsid w:val="00661148"/>
    <w:rsid w:val="00664D0F"/>
    <w:rsid w:val="00665335"/>
    <w:rsid w:val="00665AF0"/>
    <w:rsid w:val="00665EEA"/>
    <w:rsid w:val="00666720"/>
    <w:rsid w:val="00666A3E"/>
    <w:rsid w:val="00666A51"/>
    <w:rsid w:val="006678F6"/>
    <w:rsid w:val="0067048A"/>
    <w:rsid w:val="006709DA"/>
    <w:rsid w:val="0067107E"/>
    <w:rsid w:val="006713B6"/>
    <w:rsid w:val="006720F1"/>
    <w:rsid w:val="00672923"/>
    <w:rsid w:val="00672D9C"/>
    <w:rsid w:val="006732C0"/>
    <w:rsid w:val="0067334D"/>
    <w:rsid w:val="00674EDD"/>
    <w:rsid w:val="00675910"/>
    <w:rsid w:val="00676D61"/>
    <w:rsid w:val="006777E2"/>
    <w:rsid w:val="00680610"/>
    <w:rsid w:val="00680922"/>
    <w:rsid w:val="00680A63"/>
    <w:rsid w:val="00681055"/>
    <w:rsid w:val="00681173"/>
    <w:rsid w:val="00681225"/>
    <w:rsid w:val="0068154E"/>
    <w:rsid w:val="0068251E"/>
    <w:rsid w:val="0068373D"/>
    <w:rsid w:val="00683DE7"/>
    <w:rsid w:val="00684225"/>
    <w:rsid w:val="00684800"/>
    <w:rsid w:val="006862EE"/>
    <w:rsid w:val="00686B82"/>
    <w:rsid w:val="00686CF2"/>
    <w:rsid w:val="00691838"/>
    <w:rsid w:val="00691C6E"/>
    <w:rsid w:val="00691DDA"/>
    <w:rsid w:val="006920BE"/>
    <w:rsid w:val="0069567B"/>
    <w:rsid w:val="00695772"/>
    <w:rsid w:val="006959E8"/>
    <w:rsid w:val="00695EBA"/>
    <w:rsid w:val="00697F7E"/>
    <w:rsid w:val="006A11EF"/>
    <w:rsid w:val="006A153F"/>
    <w:rsid w:val="006A1550"/>
    <w:rsid w:val="006A18F0"/>
    <w:rsid w:val="006A302E"/>
    <w:rsid w:val="006A45AB"/>
    <w:rsid w:val="006A568F"/>
    <w:rsid w:val="006A5C7D"/>
    <w:rsid w:val="006A75EF"/>
    <w:rsid w:val="006B0CE1"/>
    <w:rsid w:val="006B1161"/>
    <w:rsid w:val="006B13DB"/>
    <w:rsid w:val="006B1B55"/>
    <w:rsid w:val="006B1FFC"/>
    <w:rsid w:val="006B239F"/>
    <w:rsid w:val="006B2E20"/>
    <w:rsid w:val="006B3340"/>
    <w:rsid w:val="006B3A5E"/>
    <w:rsid w:val="006B4982"/>
    <w:rsid w:val="006B52CE"/>
    <w:rsid w:val="006B5531"/>
    <w:rsid w:val="006B58DD"/>
    <w:rsid w:val="006B6B3F"/>
    <w:rsid w:val="006B70D1"/>
    <w:rsid w:val="006B753E"/>
    <w:rsid w:val="006C2944"/>
    <w:rsid w:val="006C2EF1"/>
    <w:rsid w:val="006C53A1"/>
    <w:rsid w:val="006C5767"/>
    <w:rsid w:val="006C5E83"/>
    <w:rsid w:val="006C6AD3"/>
    <w:rsid w:val="006C72D9"/>
    <w:rsid w:val="006D0209"/>
    <w:rsid w:val="006D04DB"/>
    <w:rsid w:val="006D1729"/>
    <w:rsid w:val="006D2078"/>
    <w:rsid w:val="006D22CC"/>
    <w:rsid w:val="006D2AA0"/>
    <w:rsid w:val="006D41ED"/>
    <w:rsid w:val="006D69CA"/>
    <w:rsid w:val="006D6E38"/>
    <w:rsid w:val="006D7CF4"/>
    <w:rsid w:val="006D7CF6"/>
    <w:rsid w:val="006E0B31"/>
    <w:rsid w:val="006E2E92"/>
    <w:rsid w:val="006E3499"/>
    <w:rsid w:val="006E3A9E"/>
    <w:rsid w:val="006E3BD3"/>
    <w:rsid w:val="006E4856"/>
    <w:rsid w:val="006E495B"/>
    <w:rsid w:val="006E51BD"/>
    <w:rsid w:val="006E5884"/>
    <w:rsid w:val="006E58C1"/>
    <w:rsid w:val="006E6EBF"/>
    <w:rsid w:val="006F00BD"/>
    <w:rsid w:val="006F1878"/>
    <w:rsid w:val="006F1E6F"/>
    <w:rsid w:val="006F1FE5"/>
    <w:rsid w:val="006F2821"/>
    <w:rsid w:val="006F384D"/>
    <w:rsid w:val="006F3A7D"/>
    <w:rsid w:val="006F455D"/>
    <w:rsid w:val="006F4D1B"/>
    <w:rsid w:val="006F5052"/>
    <w:rsid w:val="006F5726"/>
    <w:rsid w:val="006F7F45"/>
    <w:rsid w:val="0070154B"/>
    <w:rsid w:val="0070284D"/>
    <w:rsid w:val="00704A6F"/>
    <w:rsid w:val="00704E6C"/>
    <w:rsid w:val="00705F87"/>
    <w:rsid w:val="00706174"/>
    <w:rsid w:val="007119D1"/>
    <w:rsid w:val="00713C2F"/>
    <w:rsid w:val="00714D8E"/>
    <w:rsid w:val="00715864"/>
    <w:rsid w:val="007168D7"/>
    <w:rsid w:val="007179A1"/>
    <w:rsid w:val="00717AC7"/>
    <w:rsid w:val="00717DED"/>
    <w:rsid w:val="00720E1B"/>
    <w:rsid w:val="00721EA8"/>
    <w:rsid w:val="00722990"/>
    <w:rsid w:val="00723229"/>
    <w:rsid w:val="00723938"/>
    <w:rsid w:val="007251CC"/>
    <w:rsid w:val="00726A48"/>
    <w:rsid w:val="0072713C"/>
    <w:rsid w:val="00727B15"/>
    <w:rsid w:val="00730D0F"/>
    <w:rsid w:val="007310FE"/>
    <w:rsid w:val="00731A94"/>
    <w:rsid w:val="007330AB"/>
    <w:rsid w:val="0073321E"/>
    <w:rsid w:val="0073324C"/>
    <w:rsid w:val="00734786"/>
    <w:rsid w:val="00735928"/>
    <w:rsid w:val="0073661D"/>
    <w:rsid w:val="00736F85"/>
    <w:rsid w:val="00737903"/>
    <w:rsid w:val="00737A94"/>
    <w:rsid w:val="00740644"/>
    <w:rsid w:val="00740B86"/>
    <w:rsid w:val="00741703"/>
    <w:rsid w:val="00742B5E"/>
    <w:rsid w:val="00742F4D"/>
    <w:rsid w:val="00743A33"/>
    <w:rsid w:val="0074508B"/>
    <w:rsid w:val="007451D8"/>
    <w:rsid w:val="00745B19"/>
    <w:rsid w:val="00746C82"/>
    <w:rsid w:val="00746D5F"/>
    <w:rsid w:val="00747432"/>
    <w:rsid w:val="00750769"/>
    <w:rsid w:val="00751490"/>
    <w:rsid w:val="0075182F"/>
    <w:rsid w:val="00751F57"/>
    <w:rsid w:val="007529E1"/>
    <w:rsid w:val="00752A3F"/>
    <w:rsid w:val="007544CF"/>
    <w:rsid w:val="00754AC9"/>
    <w:rsid w:val="00755F48"/>
    <w:rsid w:val="007568E4"/>
    <w:rsid w:val="00757005"/>
    <w:rsid w:val="00757B11"/>
    <w:rsid w:val="00757FAD"/>
    <w:rsid w:val="00757FF0"/>
    <w:rsid w:val="00764B8B"/>
    <w:rsid w:val="00770A71"/>
    <w:rsid w:val="007724EA"/>
    <w:rsid w:val="00773B23"/>
    <w:rsid w:val="0077410E"/>
    <w:rsid w:val="007745FB"/>
    <w:rsid w:val="00774725"/>
    <w:rsid w:val="00774DDB"/>
    <w:rsid w:val="00775801"/>
    <w:rsid w:val="00775CB7"/>
    <w:rsid w:val="00776AF3"/>
    <w:rsid w:val="00776B1D"/>
    <w:rsid w:val="00776F1C"/>
    <w:rsid w:val="0077705D"/>
    <w:rsid w:val="0077720D"/>
    <w:rsid w:val="00780168"/>
    <w:rsid w:val="007807B3"/>
    <w:rsid w:val="0078081A"/>
    <w:rsid w:val="0078231E"/>
    <w:rsid w:val="00783294"/>
    <w:rsid w:val="007851ED"/>
    <w:rsid w:val="0078585D"/>
    <w:rsid w:val="007859C0"/>
    <w:rsid w:val="00786DA7"/>
    <w:rsid w:val="00787848"/>
    <w:rsid w:val="00790A4A"/>
    <w:rsid w:val="00790CF1"/>
    <w:rsid w:val="00791124"/>
    <w:rsid w:val="007912B7"/>
    <w:rsid w:val="00791E9C"/>
    <w:rsid w:val="00792683"/>
    <w:rsid w:val="0079349A"/>
    <w:rsid w:val="00793993"/>
    <w:rsid w:val="00794153"/>
    <w:rsid w:val="0079490D"/>
    <w:rsid w:val="0079791D"/>
    <w:rsid w:val="007A0A4A"/>
    <w:rsid w:val="007A1352"/>
    <w:rsid w:val="007A141E"/>
    <w:rsid w:val="007A1663"/>
    <w:rsid w:val="007A20DF"/>
    <w:rsid w:val="007A3422"/>
    <w:rsid w:val="007A44EC"/>
    <w:rsid w:val="007A4B15"/>
    <w:rsid w:val="007A56B1"/>
    <w:rsid w:val="007A579B"/>
    <w:rsid w:val="007A6724"/>
    <w:rsid w:val="007B0F19"/>
    <w:rsid w:val="007B24A1"/>
    <w:rsid w:val="007B2CB1"/>
    <w:rsid w:val="007B3FF9"/>
    <w:rsid w:val="007B4056"/>
    <w:rsid w:val="007B4A1B"/>
    <w:rsid w:val="007B4F6E"/>
    <w:rsid w:val="007B59F7"/>
    <w:rsid w:val="007B67A8"/>
    <w:rsid w:val="007B6E30"/>
    <w:rsid w:val="007B760C"/>
    <w:rsid w:val="007C2E03"/>
    <w:rsid w:val="007C5CB0"/>
    <w:rsid w:val="007C64CA"/>
    <w:rsid w:val="007C6CA7"/>
    <w:rsid w:val="007D0673"/>
    <w:rsid w:val="007D199F"/>
    <w:rsid w:val="007D2561"/>
    <w:rsid w:val="007D2EA6"/>
    <w:rsid w:val="007D386C"/>
    <w:rsid w:val="007D4450"/>
    <w:rsid w:val="007D478B"/>
    <w:rsid w:val="007D4E85"/>
    <w:rsid w:val="007D63D0"/>
    <w:rsid w:val="007D6AB3"/>
    <w:rsid w:val="007D76CD"/>
    <w:rsid w:val="007D7CC2"/>
    <w:rsid w:val="007D7CD9"/>
    <w:rsid w:val="007E2217"/>
    <w:rsid w:val="007E2B63"/>
    <w:rsid w:val="007E2DB8"/>
    <w:rsid w:val="007E314A"/>
    <w:rsid w:val="007E3A54"/>
    <w:rsid w:val="007E413E"/>
    <w:rsid w:val="007E45F4"/>
    <w:rsid w:val="007E58CA"/>
    <w:rsid w:val="007E5B20"/>
    <w:rsid w:val="007E6ECC"/>
    <w:rsid w:val="007E7170"/>
    <w:rsid w:val="007E71E0"/>
    <w:rsid w:val="007E7AB9"/>
    <w:rsid w:val="007F04FA"/>
    <w:rsid w:val="007F10D5"/>
    <w:rsid w:val="007F1875"/>
    <w:rsid w:val="007F2235"/>
    <w:rsid w:val="007F3369"/>
    <w:rsid w:val="007F45C8"/>
    <w:rsid w:val="007F4F81"/>
    <w:rsid w:val="007F5005"/>
    <w:rsid w:val="007F5784"/>
    <w:rsid w:val="007F57A6"/>
    <w:rsid w:val="007F5A0C"/>
    <w:rsid w:val="007F5D55"/>
    <w:rsid w:val="007F5E87"/>
    <w:rsid w:val="007F799E"/>
    <w:rsid w:val="00802395"/>
    <w:rsid w:val="0080256E"/>
    <w:rsid w:val="008027D4"/>
    <w:rsid w:val="008035E8"/>
    <w:rsid w:val="0080426F"/>
    <w:rsid w:val="008062E7"/>
    <w:rsid w:val="00807CF4"/>
    <w:rsid w:val="00810303"/>
    <w:rsid w:val="008105BB"/>
    <w:rsid w:val="0081187D"/>
    <w:rsid w:val="00812E8B"/>
    <w:rsid w:val="00814775"/>
    <w:rsid w:val="008148DF"/>
    <w:rsid w:val="00814FB2"/>
    <w:rsid w:val="008169F2"/>
    <w:rsid w:val="00817824"/>
    <w:rsid w:val="00817FE1"/>
    <w:rsid w:val="008239A2"/>
    <w:rsid w:val="00830491"/>
    <w:rsid w:val="00830499"/>
    <w:rsid w:val="008306C1"/>
    <w:rsid w:val="00830871"/>
    <w:rsid w:val="00830D31"/>
    <w:rsid w:val="00830F54"/>
    <w:rsid w:val="00833039"/>
    <w:rsid w:val="00834776"/>
    <w:rsid w:val="00836111"/>
    <w:rsid w:val="00836159"/>
    <w:rsid w:val="00836B6D"/>
    <w:rsid w:val="0083700C"/>
    <w:rsid w:val="008408A6"/>
    <w:rsid w:val="00843AA2"/>
    <w:rsid w:val="008440AF"/>
    <w:rsid w:val="00844A28"/>
    <w:rsid w:val="00845A71"/>
    <w:rsid w:val="00847FE6"/>
    <w:rsid w:val="008513C5"/>
    <w:rsid w:val="0085153A"/>
    <w:rsid w:val="00851805"/>
    <w:rsid w:val="0085411B"/>
    <w:rsid w:val="0085460F"/>
    <w:rsid w:val="008547DA"/>
    <w:rsid w:val="00854A20"/>
    <w:rsid w:val="00854FF1"/>
    <w:rsid w:val="0085505A"/>
    <w:rsid w:val="00856993"/>
    <w:rsid w:val="00856CA7"/>
    <w:rsid w:val="00860982"/>
    <w:rsid w:val="0086166F"/>
    <w:rsid w:val="00861978"/>
    <w:rsid w:val="008621C2"/>
    <w:rsid w:val="008625A4"/>
    <w:rsid w:val="0086498D"/>
    <w:rsid w:val="00864EB3"/>
    <w:rsid w:val="00865618"/>
    <w:rsid w:val="00866653"/>
    <w:rsid w:val="00866A00"/>
    <w:rsid w:val="00871046"/>
    <w:rsid w:val="00871160"/>
    <w:rsid w:val="00871E86"/>
    <w:rsid w:val="00871FE5"/>
    <w:rsid w:val="00872533"/>
    <w:rsid w:val="00872D1F"/>
    <w:rsid w:val="00872F95"/>
    <w:rsid w:val="00873912"/>
    <w:rsid w:val="00873EED"/>
    <w:rsid w:val="0087474B"/>
    <w:rsid w:val="008759B0"/>
    <w:rsid w:val="00876468"/>
    <w:rsid w:val="00876B62"/>
    <w:rsid w:val="00877268"/>
    <w:rsid w:val="0088084F"/>
    <w:rsid w:val="00881610"/>
    <w:rsid w:val="00884A9C"/>
    <w:rsid w:val="008852B6"/>
    <w:rsid w:val="008872B7"/>
    <w:rsid w:val="008877DA"/>
    <w:rsid w:val="00887954"/>
    <w:rsid w:val="008902D2"/>
    <w:rsid w:val="0089275B"/>
    <w:rsid w:val="00892ACB"/>
    <w:rsid w:val="00892EF6"/>
    <w:rsid w:val="00893066"/>
    <w:rsid w:val="00893A5A"/>
    <w:rsid w:val="00893F84"/>
    <w:rsid w:val="00894604"/>
    <w:rsid w:val="00894825"/>
    <w:rsid w:val="008954E3"/>
    <w:rsid w:val="008956EA"/>
    <w:rsid w:val="00895DFF"/>
    <w:rsid w:val="00895ECC"/>
    <w:rsid w:val="00895F76"/>
    <w:rsid w:val="008961B2"/>
    <w:rsid w:val="00897A51"/>
    <w:rsid w:val="00897F95"/>
    <w:rsid w:val="008A01E3"/>
    <w:rsid w:val="008A1286"/>
    <w:rsid w:val="008A1B72"/>
    <w:rsid w:val="008A2BEB"/>
    <w:rsid w:val="008A39D1"/>
    <w:rsid w:val="008A3D4F"/>
    <w:rsid w:val="008A3E19"/>
    <w:rsid w:val="008A4F60"/>
    <w:rsid w:val="008A5C83"/>
    <w:rsid w:val="008A6688"/>
    <w:rsid w:val="008B02CF"/>
    <w:rsid w:val="008B02F5"/>
    <w:rsid w:val="008B0B3C"/>
    <w:rsid w:val="008B0DF7"/>
    <w:rsid w:val="008B0DF8"/>
    <w:rsid w:val="008B3343"/>
    <w:rsid w:val="008B335C"/>
    <w:rsid w:val="008B3B4F"/>
    <w:rsid w:val="008C05CE"/>
    <w:rsid w:val="008C0B72"/>
    <w:rsid w:val="008C14DC"/>
    <w:rsid w:val="008C2462"/>
    <w:rsid w:val="008C25D0"/>
    <w:rsid w:val="008C438F"/>
    <w:rsid w:val="008D0402"/>
    <w:rsid w:val="008D0F75"/>
    <w:rsid w:val="008D228B"/>
    <w:rsid w:val="008D2467"/>
    <w:rsid w:val="008D2614"/>
    <w:rsid w:val="008D2754"/>
    <w:rsid w:val="008D5357"/>
    <w:rsid w:val="008D777A"/>
    <w:rsid w:val="008D7E7F"/>
    <w:rsid w:val="008D7F81"/>
    <w:rsid w:val="008E0E8C"/>
    <w:rsid w:val="008E276B"/>
    <w:rsid w:val="008E2F1D"/>
    <w:rsid w:val="008E41D2"/>
    <w:rsid w:val="008E4431"/>
    <w:rsid w:val="008E4DBD"/>
    <w:rsid w:val="008E5110"/>
    <w:rsid w:val="008E7852"/>
    <w:rsid w:val="008E7D04"/>
    <w:rsid w:val="008F09BB"/>
    <w:rsid w:val="008F1AC4"/>
    <w:rsid w:val="008F252D"/>
    <w:rsid w:val="008F4871"/>
    <w:rsid w:val="008F5011"/>
    <w:rsid w:val="008F5EB8"/>
    <w:rsid w:val="008F601D"/>
    <w:rsid w:val="008F650F"/>
    <w:rsid w:val="008F6E06"/>
    <w:rsid w:val="008F6E9B"/>
    <w:rsid w:val="008F7E0F"/>
    <w:rsid w:val="009008BC"/>
    <w:rsid w:val="009010A8"/>
    <w:rsid w:val="009011F6"/>
    <w:rsid w:val="00902953"/>
    <w:rsid w:val="00903552"/>
    <w:rsid w:val="00904089"/>
    <w:rsid w:val="0090458B"/>
    <w:rsid w:val="00904BE5"/>
    <w:rsid w:val="0090697B"/>
    <w:rsid w:val="00906BED"/>
    <w:rsid w:val="00906E2B"/>
    <w:rsid w:val="00907018"/>
    <w:rsid w:val="00907BFD"/>
    <w:rsid w:val="009102CB"/>
    <w:rsid w:val="00910745"/>
    <w:rsid w:val="0091131A"/>
    <w:rsid w:val="00912761"/>
    <w:rsid w:val="00914597"/>
    <w:rsid w:val="00915D8A"/>
    <w:rsid w:val="00916C11"/>
    <w:rsid w:val="0091722C"/>
    <w:rsid w:val="0091772D"/>
    <w:rsid w:val="00917A7C"/>
    <w:rsid w:val="00920C27"/>
    <w:rsid w:val="00924884"/>
    <w:rsid w:val="00925388"/>
    <w:rsid w:val="009259C3"/>
    <w:rsid w:val="009261A7"/>
    <w:rsid w:val="009271D2"/>
    <w:rsid w:val="0093004C"/>
    <w:rsid w:val="009300E8"/>
    <w:rsid w:val="009348C8"/>
    <w:rsid w:val="00935524"/>
    <w:rsid w:val="00935787"/>
    <w:rsid w:val="00935B4B"/>
    <w:rsid w:val="00935D8D"/>
    <w:rsid w:val="009360B5"/>
    <w:rsid w:val="00937626"/>
    <w:rsid w:val="009378A4"/>
    <w:rsid w:val="0093797F"/>
    <w:rsid w:val="00937B13"/>
    <w:rsid w:val="00937C86"/>
    <w:rsid w:val="00941304"/>
    <w:rsid w:val="00941B3C"/>
    <w:rsid w:val="00942DC3"/>
    <w:rsid w:val="009432A9"/>
    <w:rsid w:val="00943479"/>
    <w:rsid w:val="00943718"/>
    <w:rsid w:val="00944898"/>
    <w:rsid w:val="00945102"/>
    <w:rsid w:val="00945E23"/>
    <w:rsid w:val="00947DB6"/>
    <w:rsid w:val="00950EFC"/>
    <w:rsid w:val="00951627"/>
    <w:rsid w:val="00952125"/>
    <w:rsid w:val="00953613"/>
    <w:rsid w:val="00953D60"/>
    <w:rsid w:val="00954475"/>
    <w:rsid w:val="009548CC"/>
    <w:rsid w:val="00955C7E"/>
    <w:rsid w:val="0095616D"/>
    <w:rsid w:val="0095688A"/>
    <w:rsid w:val="00960453"/>
    <w:rsid w:val="00961945"/>
    <w:rsid w:val="0096239F"/>
    <w:rsid w:val="00962D92"/>
    <w:rsid w:val="00962DE6"/>
    <w:rsid w:val="00964008"/>
    <w:rsid w:val="00964174"/>
    <w:rsid w:val="00964C32"/>
    <w:rsid w:val="009652C2"/>
    <w:rsid w:val="00965549"/>
    <w:rsid w:val="009656BD"/>
    <w:rsid w:val="00965DE0"/>
    <w:rsid w:val="009663D9"/>
    <w:rsid w:val="009670E3"/>
    <w:rsid w:val="00967847"/>
    <w:rsid w:val="009706AE"/>
    <w:rsid w:val="00970B8C"/>
    <w:rsid w:val="00970ECD"/>
    <w:rsid w:val="00971FD0"/>
    <w:rsid w:val="00972F90"/>
    <w:rsid w:val="009742B5"/>
    <w:rsid w:val="00975869"/>
    <w:rsid w:val="00976297"/>
    <w:rsid w:val="00976B11"/>
    <w:rsid w:val="00980205"/>
    <w:rsid w:val="009802F7"/>
    <w:rsid w:val="0098152B"/>
    <w:rsid w:val="009832BD"/>
    <w:rsid w:val="00983A56"/>
    <w:rsid w:val="00983B4F"/>
    <w:rsid w:val="00984323"/>
    <w:rsid w:val="00985D71"/>
    <w:rsid w:val="00986002"/>
    <w:rsid w:val="009874D4"/>
    <w:rsid w:val="00991044"/>
    <w:rsid w:val="00991602"/>
    <w:rsid w:val="009926EF"/>
    <w:rsid w:val="00992815"/>
    <w:rsid w:val="00992E19"/>
    <w:rsid w:val="0099306B"/>
    <w:rsid w:val="00994586"/>
    <w:rsid w:val="00994BEF"/>
    <w:rsid w:val="0099533C"/>
    <w:rsid w:val="0099574A"/>
    <w:rsid w:val="0099582D"/>
    <w:rsid w:val="009A1DA1"/>
    <w:rsid w:val="009A1F51"/>
    <w:rsid w:val="009A2F0D"/>
    <w:rsid w:val="009A42F4"/>
    <w:rsid w:val="009A699B"/>
    <w:rsid w:val="009B097E"/>
    <w:rsid w:val="009B250C"/>
    <w:rsid w:val="009B30D4"/>
    <w:rsid w:val="009B3C9A"/>
    <w:rsid w:val="009B4913"/>
    <w:rsid w:val="009B613B"/>
    <w:rsid w:val="009B66D4"/>
    <w:rsid w:val="009B7870"/>
    <w:rsid w:val="009B79D5"/>
    <w:rsid w:val="009B7C4B"/>
    <w:rsid w:val="009B7DA8"/>
    <w:rsid w:val="009C0483"/>
    <w:rsid w:val="009C10AF"/>
    <w:rsid w:val="009C2B5C"/>
    <w:rsid w:val="009C2F41"/>
    <w:rsid w:val="009C3753"/>
    <w:rsid w:val="009C55B1"/>
    <w:rsid w:val="009C5BA7"/>
    <w:rsid w:val="009C7C6F"/>
    <w:rsid w:val="009D21C0"/>
    <w:rsid w:val="009D25AA"/>
    <w:rsid w:val="009D2870"/>
    <w:rsid w:val="009D3128"/>
    <w:rsid w:val="009D371C"/>
    <w:rsid w:val="009D501D"/>
    <w:rsid w:val="009D5475"/>
    <w:rsid w:val="009D5616"/>
    <w:rsid w:val="009D65D5"/>
    <w:rsid w:val="009D6E2E"/>
    <w:rsid w:val="009E02B0"/>
    <w:rsid w:val="009E0D8A"/>
    <w:rsid w:val="009E1250"/>
    <w:rsid w:val="009E17FE"/>
    <w:rsid w:val="009E2040"/>
    <w:rsid w:val="009E2131"/>
    <w:rsid w:val="009E35DA"/>
    <w:rsid w:val="009E43B9"/>
    <w:rsid w:val="009E49B7"/>
    <w:rsid w:val="009E6E5B"/>
    <w:rsid w:val="009F1377"/>
    <w:rsid w:val="009F1BEB"/>
    <w:rsid w:val="009F2182"/>
    <w:rsid w:val="009F2FAF"/>
    <w:rsid w:val="009F3108"/>
    <w:rsid w:val="009F34DE"/>
    <w:rsid w:val="009F4287"/>
    <w:rsid w:val="009F6E52"/>
    <w:rsid w:val="009F71E8"/>
    <w:rsid w:val="00A005DC"/>
    <w:rsid w:val="00A0095D"/>
    <w:rsid w:val="00A00FCA"/>
    <w:rsid w:val="00A0107E"/>
    <w:rsid w:val="00A01FD9"/>
    <w:rsid w:val="00A024BA"/>
    <w:rsid w:val="00A0274D"/>
    <w:rsid w:val="00A03F84"/>
    <w:rsid w:val="00A0494C"/>
    <w:rsid w:val="00A05785"/>
    <w:rsid w:val="00A05B44"/>
    <w:rsid w:val="00A05CF5"/>
    <w:rsid w:val="00A06348"/>
    <w:rsid w:val="00A07017"/>
    <w:rsid w:val="00A11298"/>
    <w:rsid w:val="00A12C00"/>
    <w:rsid w:val="00A1333A"/>
    <w:rsid w:val="00A13EEF"/>
    <w:rsid w:val="00A143C8"/>
    <w:rsid w:val="00A1583F"/>
    <w:rsid w:val="00A168E2"/>
    <w:rsid w:val="00A16FF5"/>
    <w:rsid w:val="00A17925"/>
    <w:rsid w:val="00A17DEB"/>
    <w:rsid w:val="00A2250F"/>
    <w:rsid w:val="00A22539"/>
    <w:rsid w:val="00A22E6B"/>
    <w:rsid w:val="00A234A4"/>
    <w:rsid w:val="00A2475E"/>
    <w:rsid w:val="00A24F31"/>
    <w:rsid w:val="00A25157"/>
    <w:rsid w:val="00A25DA7"/>
    <w:rsid w:val="00A26437"/>
    <w:rsid w:val="00A26439"/>
    <w:rsid w:val="00A273EE"/>
    <w:rsid w:val="00A307DE"/>
    <w:rsid w:val="00A31900"/>
    <w:rsid w:val="00A31A27"/>
    <w:rsid w:val="00A31C68"/>
    <w:rsid w:val="00A31CFD"/>
    <w:rsid w:val="00A320A5"/>
    <w:rsid w:val="00A32783"/>
    <w:rsid w:val="00A33F81"/>
    <w:rsid w:val="00A34C99"/>
    <w:rsid w:val="00A362ED"/>
    <w:rsid w:val="00A364EE"/>
    <w:rsid w:val="00A4014B"/>
    <w:rsid w:val="00A413C5"/>
    <w:rsid w:val="00A41FC2"/>
    <w:rsid w:val="00A43B90"/>
    <w:rsid w:val="00A43E23"/>
    <w:rsid w:val="00A451A8"/>
    <w:rsid w:val="00A45712"/>
    <w:rsid w:val="00A46309"/>
    <w:rsid w:val="00A46AF2"/>
    <w:rsid w:val="00A47395"/>
    <w:rsid w:val="00A47A96"/>
    <w:rsid w:val="00A507AF"/>
    <w:rsid w:val="00A50ECA"/>
    <w:rsid w:val="00A52071"/>
    <w:rsid w:val="00A53E52"/>
    <w:rsid w:val="00A54AB6"/>
    <w:rsid w:val="00A56CC6"/>
    <w:rsid w:val="00A5711D"/>
    <w:rsid w:val="00A57DFF"/>
    <w:rsid w:val="00A60421"/>
    <w:rsid w:val="00A606DC"/>
    <w:rsid w:val="00A60880"/>
    <w:rsid w:val="00A60E9D"/>
    <w:rsid w:val="00A60FD5"/>
    <w:rsid w:val="00A6158F"/>
    <w:rsid w:val="00A6222D"/>
    <w:rsid w:val="00A63AC0"/>
    <w:rsid w:val="00A6439C"/>
    <w:rsid w:val="00A64A8C"/>
    <w:rsid w:val="00A64B54"/>
    <w:rsid w:val="00A65872"/>
    <w:rsid w:val="00A661CD"/>
    <w:rsid w:val="00A7057E"/>
    <w:rsid w:val="00A70646"/>
    <w:rsid w:val="00A70A53"/>
    <w:rsid w:val="00A718E5"/>
    <w:rsid w:val="00A7273D"/>
    <w:rsid w:val="00A729FA"/>
    <w:rsid w:val="00A72E37"/>
    <w:rsid w:val="00A7326F"/>
    <w:rsid w:val="00A7380E"/>
    <w:rsid w:val="00A7430D"/>
    <w:rsid w:val="00A760EE"/>
    <w:rsid w:val="00A76BE5"/>
    <w:rsid w:val="00A77630"/>
    <w:rsid w:val="00A83088"/>
    <w:rsid w:val="00A8498B"/>
    <w:rsid w:val="00A84CB7"/>
    <w:rsid w:val="00A85C6F"/>
    <w:rsid w:val="00A87B18"/>
    <w:rsid w:val="00A921BE"/>
    <w:rsid w:val="00A9270E"/>
    <w:rsid w:val="00A937BC"/>
    <w:rsid w:val="00A9490E"/>
    <w:rsid w:val="00A94A8F"/>
    <w:rsid w:val="00A953EA"/>
    <w:rsid w:val="00A95ADF"/>
    <w:rsid w:val="00A963B3"/>
    <w:rsid w:val="00A96F6D"/>
    <w:rsid w:val="00A97035"/>
    <w:rsid w:val="00A971A0"/>
    <w:rsid w:val="00A97CD5"/>
    <w:rsid w:val="00AA2AC6"/>
    <w:rsid w:val="00AA3770"/>
    <w:rsid w:val="00AA3F16"/>
    <w:rsid w:val="00AA5D29"/>
    <w:rsid w:val="00AA69D5"/>
    <w:rsid w:val="00AA6E3F"/>
    <w:rsid w:val="00AA7552"/>
    <w:rsid w:val="00AA7F68"/>
    <w:rsid w:val="00AB04A2"/>
    <w:rsid w:val="00AB0DBB"/>
    <w:rsid w:val="00AB17A7"/>
    <w:rsid w:val="00AB1B03"/>
    <w:rsid w:val="00AB2BA3"/>
    <w:rsid w:val="00AB30B2"/>
    <w:rsid w:val="00AB3133"/>
    <w:rsid w:val="00AB314A"/>
    <w:rsid w:val="00AB3D70"/>
    <w:rsid w:val="00AB632E"/>
    <w:rsid w:val="00AB67DD"/>
    <w:rsid w:val="00AB6A03"/>
    <w:rsid w:val="00AB6E42"/>
    <w:rsid w:val="00AC048E"/>
    <w:rsid w:val="00AC0C84"/>
    <w:rsid w:val="00AC3BEE"/>
    <w:rsid w:val="00AC4358"/>
    <w:rsid w:val="00AC4966"/>
    <w:rsid w:val="00AC5B28"/>
    <w:rsid w:val="00AC5DF2"/>
    <w:rsid w:val="00AC646E"/>
    <w:rsid w:val="00AC7A11"/>
    <w:rsid w:val="00AD27F9"/>
    <w:rsid w:val="00AD3344"/>
    <w:rsid w:val="00AD3E68"/>
    <w:rsid w:val="00AD3F5C"/>
    <w:rsid w:val="00AD43D4"/>
    <w:rsid w:val="00AD49D0"/>
    <w:rsid w:val="00AD4A89"/>
    <w:rsid w:val="00AD600B"/>
    <w:rsid w:val="00AD75EC"/>
    <w:rsid w:val="00AE13D2"/>
    <w:rsid w:val="00AE1CC8"/>
    <w:rsid w:val="00AE21DC"/>
    <w:rsid w:val="00AE22C1"/>
    <w:rsid w:val="00AE2F20"/>
    <w:rsid w:val="00AE324C"/>
    <w:rsid w:val="00AE371C"/>
    <w:rsid w:val="00AE3E73"/>
    <w:rsid w:val="00AE3F8D"/>
    <w:rsid w:val="00AE457C"/>
    <w:rsid w:val="00AE4EB4"/>
    <w:rsid w:val="00AE6F24"/>
    <w:rsid w:val="00AE700C"/>
    <w:rsid w:val="00AF0B23"/>
    <w:rsid w:val="00AF15B5"/>
    <w:rsid w:val="00AF293D"/>
    <w:rsid w:val="00AF3E59"/>
    <w:rsid w:val="00AF4B5A"/>
    <w:rsid w:val="00AF5966"/>
    <w:rsid w:val="00AF6FAA"/>
    <w:rsid w:val="00AF7061"/>
    <w:rsid w:val="00B00222"/>
    <w:rsid w:val="00B0092A"/>
    <w:rsid w:val="00B0206A"/>
    <w:rsid w:val="00B023A1"/>
    <w:rsid w:val="00B035B3"/>
    <w:rsid w:val="00B040ED"/>
    <w:rsid w:val="00B043A3"/>
    <w:rsid w:val="00B04A4C"/>
    <w:rsid w:val="00B04AAD"/>
    <w:rsid w:val="00B05DD7"/>
    <w:rsid w:val="00B065BB"/>
    <w:rsid w:val="00B073CD"/>
    <w:rsid w:val="00B079FD"/>
    <w:rsid w:val="00B12C20"/>
    <w:rsid w:val="00B12FAD"/>
    <w:rsid w:val="00B13BCC"/>
    <w:rsid w:val="00B1434E"/>
    <w:rsid w:val="00B17079"/>
    <w:rsid w:val="00B1779E"/>
    <w:rsid w:val="00B2104E"/>
    <w:rsid w:val="00B215FF"/>
    <w:rsid w:val="00B22599"/>
    <w:rsid w:val="00B22F63"/>
    <w:rsid w:val="00B24B01"/>
    <w:rsid w:val="00B2528A"/>
    <w:rsid w:val="00B25A33"/>
    <w:rsid w:val="00B25C83"/>
    <w:rsid w:val="00B262B6"/>
    <w:rsid w:val="00B30CAA"/>
    <w:rsid w:val="00B32AD2"/>
    <w:rsid w:val="00B3347B"/>
    <w:rsid w:val="00B33797"/>
    <w:rsid w:val="00B33BC2"/>
    <w:rsid w:val="00B33EAD"/>
    <w:rsid w:val="00B35602"/>
    <w:rsid w:val="00B368E5"/>
    <w:rsid w:val="00B36A5D"/>
    <w:rsid w:val="00B36DA7"/>
    <w:rsid w:val="00B36E90"/>
    <w:rsid w:val="00B373DB"/>
    <w:rsid w:val="00B4115A"/>
    <w:rsid w:val="00B4229C"/>
    <w:rsid w:val="00B42FE2"/>
    <w:rsid w:val="00B4321F"/>
    <w:rsid w:val="00B44BE5"/>
    <w:rsid w:val="00B44C32"/>
    <w:rsid w:val="00B466AA"/>
    <w:rsid w:val="00B4686C"/>
    <w:rsid w:val="00B46A9C"/>
    <w:rsid w:val="00B477CF"/>
    <w:rsid w:val="00B47C9B"/>
    <w:rsid w:val="00B547A3"/>
    <w:rsid w:val="00B55375"/>
    <w:rsid w:val="00B568FC"/>
    <w:rsid w:val="00B6037B"/>
    <w:rsid w:val="00B60586"/>
    <w:rsid w:val="00B626F5"/>
    <w:rsid w:val="00B635B3"/>
    <w:rsid w:val="00B6474C"/>
    <w:rsid w:val="00B66EC1"/>
    <w:rsid w:val="00B7033B"/>
    <w:rsid w:val="00B713D5"/>
    <w:rsid w:val="00B725BD"/>
    <w:rsid w:val="00B72FEC"/>
    <w:rsid w:val="00B730EE"/>
    <w:rsid w:val="00B73206"/>
    <w:rsid w:val="00B74EF7"/>
    <w:rsid w:val="00B76CAB"/>
    <w:rsid w:val="00B76F20"/>
    <w:rsid w:val="00B77C18"/>
    <w:rsid w:val="00B77EE6"/>
    <w:rsid w:val="00B80402"/>
    <w:rsid w:val="00B8053F"/>
    <w:rsid w:val="00B80DF2"/>
    <w:rsid w:val="00B81310"/>
    <w:rsid w:val="00B81518"/>
    <w:rsid w:val="00B8164C"/>
    <w:rsid w:val="00B82896"/>
    <w:rsid w:val="00B8334C"/>
    <w:rsid w:val="00B84940"/>
    <w:rsid w:val="00B85C07"/>
    <w:rsid w:val="00B86D95"/>
    <w:rsid w:val="00B86F3C"/>
    <w:rsid w:val="00B9115B"/>
    <w:rsid w:val="00B917BC"/>
    <w:rsid w:val="00B92B94"/>
    <w:rsid w:val="00B93B64"/>
    <w:rsid w:val="00B94835"/>
    <w:rsid w:val="00B949F5"/>
    <w:rsid w:val="00B960CD"/>
    <w:rsid w:val="00B96161"/>
    <w:rsid w:val="00B9753B"/>
    <w:rsid w:val="00BA1027"/>
    <w:rsid w:val="00BA26F6"/>
    <w:rsid w:val="00BA2FCB"/>
    <w:rsid w:val="00BA3EA3"/>
    <w:rsid w:val="00BA51AC"/>
    <w:rsid w:val="00BA52BB"/>
    <w:rsid w:val="00BA59AB"/>
    <w:rsid w:val="00BA6AFE"/>
    <w:rsid w:val="00BA6E95"/>
    <w:rsid w:val="00BB1678"/>
    <w:rsid w:val="00BB1CAE"/>
    <w:rsid w:val="00BB202F"/>
    <w:rsid w:val="00BB20B3"/>
    <w:rsid w:val="00BB22F6"/>
    <w:rsid w:val="00BB2C48"/>
    <w:rsid w:val="00BB5289"/>
    <w:rsid w:val="00BB7D4C"/>
    <w:rsid w:val="00BC05AD"/>
    <w:rsid w:val="00BC0C2C"/>
    <w:rsid w:val="00BC0F28"/>
    <w:rsid w:val="00BC1C60"/>
    <w:rsid w:val="00BC22F5"/>
    <w:rsid w:val="00BC2448"/>
    <w:rsid w:val="00BC27B1"/>
    <w:rsid w:val="00BC43A5"/>
    <w:rsid w:val="00BC726C"/>
    <w:rsid w:val="00BC7621"/>
    <w:rsid w:val="00BC7E3A"/>
    <w:rsid w:val="00BD1DF3"/>
    <w:rsid w:val="00BD3616"/>
    <w:rsid w:val="00BD3CB2"/>
    <w:rsid w:val="00BD4497"/>
    <w:rsid w:val="00BD4826"/>
    <w:rsid w:val="00BD4B31"/>
    <w:rsid w:val="00BD4C76"/>
    <w:rsid w:val="00BD5A8E"/>
    <w:rsid w:val="00BD5C9C"/>
    <w:rsid w:val="00BE178C"/>
    <w:rsid w:val="00BE2449"/>
    <w:rsid w:val="00BE423E"/>
    <w:rsid w:val="00BE4F11"/>
    <w:rsid w:val="00BE69A2"/>
    <w:rsid w:val="00BE734C"/>
    <w:rsid w:val="00BE754C"/>
    <w:rsid w:val="00BE7DA2"/>
    <w:rsid w:val="00BF0086"/>
    <w:rsid w:val="00BF03C8"/>
    <w:rsid w:val="00BF0668"/>
    <w:rsid w:val="00BF1406"/>
    <w:rsid w:val="00BF1D79"/>
    <w:rsid w:val="00BF2140"/>
    <w:rsid w:val="00BF22BA"/>
    <w:rsid w:val="00BF26AA"/>
    <w:rsid w:val="00BF37F0"/>
    <w:rsid w:val="00BF4D0E"/>
    <w:rsid w:val="00BF548B"/>
    <w:rsid w:val="00BF58CA"/>
    <w:rsid w:val="00BF5FE7"/>
    <w:rsid w:val="00C008A4"/>
    <w:rsid w:val="00C01D52"/>
    <w:rsid w:val="00C03168"/>
    <w:rsid w:val="00C04042"/>
    <w:rsid w:val="00C05A44"/>
    <w:rsid w:val="00C069D7"/>
    <w:rsid w:val="00C07156"/>
    <w:rsid w:val="00C11AEE"/>
    <w:rsid w:val="00C11DDD"/>
    <w:rsid w:val="00C121BE"/>
    <w:rsid w:val="00C12E6A"/>
    <w:rsid w:val="00C133C7"/>
    <w:rsid w:val="00C1458A"/>
    <w:rsid w:val="00C16353"/>
    <w:rsid w:val="00C164EA"/>
    <w:rsid w:val="00C166C5"/>
    <w:rsid w:val="00C2097A"/>
    <w:rsid w:val="00C262B7"/>
    <w:rsid w:val="00C27A35"/>
    <w:rsid w:val="00C31071"/>
    <w:rsid w:val="00C31169"/>
    <w:rsid w:val="00C31E39"/>
    <w:rsid w:val="00C3323B"/>
    <w:rsid w:val="00C332EE"/>
    <w:rsid w:val="00C34919"/>
    <w:rsid w:val="00C360B1"/>
    <w:rsid w:val="00C36E14"/>
    <w:rsid w:val="00C37232"/>
    <w:rsid w:val="00C4001B"/>
    <w:rsid w:val="00C40CA8"/>
    <w:rsid w:val="00C41378"/>
    <w:rsid w:val="00C42A7D"/>
    <w:rsid w:val="00C43CB6"/>
    <w:rsid w:val="00C4478B"/>
    <w:rsid w:val="00C451B8"/>
    <w:rsid w:val="00C451DD"/>
    <w:rsid w:val="00C45865"/>
    <w:rsid w:val="00C463B5"/>
    <w:rsid w:val="00C464CE"/>
    <w:rsid w:val="00C468F1"/>
    <w:rsid w:val="00C46F98"/>
    <w:rsid w:val="00C500F1"/>
    <w:rsid w:val="00C5056F"/>
    <w:rsid w:val="00C5129D"/>
    <w:rsid w:val="00C52242"/>
    <w:rsid w:val="00C5397E"/>
    <w:rsid w:val="00C5655C"/>
    <w:rsid w:val="00C5663D"/>
    <w:rsid w:val="00C5712B"/>
    <w:rsid w:val="00C576AF"/>
    <w:rsid w:val="00C57FCD"/>
    <w:rsid w:val="00C6021A"/>
    <w:rsid w:val="00C6096C"/>
    <w:rsid w:val="00C60A9E"/>
    <w:rsid w:val="00C61366"/>
    <w:rsid w:val="00C6170A"/>
    <w:rsid w:val="00C634C3"/>
    <w:rsid w:val="00C63745"/>
    <w:rsid w:val="00C6452E"/>
    <w:rsid w:val="00C6482D"/>
    <w:rsid w:val="00C64F46"/>
    <w:rsid w:val="00C66A6D"/>
    <w:rsid w:val="00C66E72"/>
    <w:rsid w:val="00C677CC"/>
    <w:rsid w:val="00C67A95"/>
    <w:rsid w:val="00C715DC"/>
    <w:rsid w:val="00C72C95"/>
    <w:rsid w:val="00C72F59"/>
    <w:rsid w:val="00C73C2D"/>
    <w:rsid w:val="00C74515"/>
    <w:rsid w:val="00C7675C"/>
    <w:rsid w:val="00C81304"/>
    <w:rsid w:val="00C813AB"/>
    <w:rsid w:val="00C82446"/>
    <w:rsid w:val="00C82EAD"/>
    <w:rsid w:val="00C84043"/>
    <w:rsid w:val="00C84087"/>
    <w:rsid w:val="00C85835"/>
    <w:rsid w:val="00C86EB5"/>
    <w:rsid w:val="00C91212"/>
    <w:rsid w:val="00C92718"/>
    <w:rsid w:val="00C92A10"/>
    <w:rsid w:val="00C94ACC"/>
    <w:rsid w:val="00C95034"/>
    <w:rsid w:val="00C950CF"/>
    <w:rsid w:val="00C96E12"/>
    <w:rsid w:val="00C97C3D"/>
    <w:rsid w:val="00CA053E"/>
    <w:rsid w:val="00CA1ECB"/>
    <w:rsid w:val="00CA2255"/>
    <w:rsid w:val="00CA2752"/>
    <w:rsid w:val="00CA3C02"/>
    <w:rsid w:val="00CA4C31"/>
    <w:rsid w:val="00CA4F45"/>
    <w:rsid w:val="00CA5838"/>
    <w:rsid w:val="00CA624C"/>
    <w:rsid w:val="00CA66D3"/>
    <w:rsid w:val="00CA68DA"/>
    <w:rsid w:val="00CA7201"/>
    <w:rsid w:val="00CA7575"/>
    <w:rsid w:val="00CB075C"/>
    <w:rsid w:val="00CB0992"/>
    <w:rsid w:val="00CB0B71"/>
    <w:rsid w:val="00CB53C3"/>
    <w:rsid w:val="00CB6480"/>
    <w:rsid w:val="00CB6D88"/>
    <w:rsid w:val="00CB710D"/>
    <w:rsid w:val="00CC0E43"/>
    <w:rsid w:val="00CC0FCE"/>
    <w:rsid w:val="00CC1D8D"/>
    <w:rsid w:val="00CC1E21"/>
    <w:rsid w:val="00CC36EC"/>
    <w:rsid w:val="00CC3D24"/>
    <w:rsid w:val="00CC442E"/>
    <w:rsid w:val="00CC49AB"/>
    <w:rsid w:val="00CC4E32"/>
    <w:rsid w:val="00CC4F4C"/>
    <w:rsid w:val="00CC5FFE"/>
    <w:rsid w:val="00CC6F27"/>
    <w:rsid w:val="00CC7506"/>
    <w:rsid w:val="00CC7EF0"/>
    <w:rsid w:val="00CD0D08"/>
    <w:rsid w:val="00CD0DA3"/>
    <w:rsid w:val="00CD1A01"/>
    <w:rsid w:val="00CD3E04"/>
    <w:rsid w:val="00CD4011"/>
    <w:rsid w:val="00CD484B"/>
    <w:rsid w:val="00CD6060"/>
    <w:rsid w:val="00CE0F95"/>
    <w:rsid w:val="00CE195F"/>
    <w:rsid w:val="00CE1B03"/>
    <w:rsid w:val="00CE1C13"/>
    <w:rsid w:val="00CE1D87"/>
    <w:rsid w:val="00CE2BB9"/>
    <w:rsid w:val="00CE2CE9"/>
    <w:rsid w:val="00CE398F"/>
    <w:rsid w:val="00CE3F5D"/>
    <w:rsid w:val="00CE453C"/>
    <w:rsid w:val="00CE4664"/>
    <w:rsid w:val="00CE47E4"/>
    <w:rsid w:val="00CE4EC4"/>
    <w:rsid w:val="00CE4FDE"/>
    <w:rsid w:val="00CE72E3"/>
    <w:rsid w:val="00CE79B3"/>
    <w:rsid w:val="00CF06D4"/>
    <w:rsid w:val="00CF118F"/>
    <w:rsid w:val="00CF1991"/>
    <w:rsid w:val="00CF3AB4"/>
    <w:rsid w:val="00CF402A"/>
    <w:rsid w:val="00CF42BB"/>
    <w:rsid w:val="00CF5220"/>
    <w:rsid w:val="00CF538F"/>
    <w:rsid w:val="00CF67DE"/>
    <w:rsid w:val="00CF72A4"/>
    <w:rsid w:val="00CF7BAA"/>
    <w:rsid w:val="00D003CA"/>
    <w:rsid w:val="00D04800"/>
    <w:rsid w:val="00D06E3C"/>
    <w:rsid w:val="00D07D9E"/>
    <w:rsid w:val="00D10963"/>
    <w:rsid w:val="00D10C0D"/>
    <w:rsid w:val="00D1134D"/>
    <w:rsid w:val="00D11F83"/>
    <w:rsid w:val="00D12E93"/>
    <w:rsid w:val="00D1419C"/>
    <w:rsid w:val="00D147F2"/>
    <w:rsid w:val="00D14C96"/>
    <w:rsid w:val="00D15E6B"/>
    <w:rsid w:val="00D16B7A"/>
    <w:rsid w:val="00D16D73"/>
    <w:rsid w:val="00D17492"/>
    <w:rsid w:val="00D17876"/>
    <w:rsid w:val="00D20880"/>
    <w:rsid w:val="00D2091B"/>
    <w:rsid w:val="00D2126E"/>
    <w:rsid w:val="00D21BA8"/>
    <w:rsid w:val="00D22D1A"/>
    <w:rsid w:val="00D244A9"/>
    <w:rsid w:val="00D24DB0"/>
    <w:rsid w:val="00D24E12"/>
    <w:rsid w:val="00D2503A"/>
    <w:rsid w:val="00D251E4"/>
    <w:rsid w:val="00D2527A"/>
    <w:rsid w:val="00D2653C"/>
    <w:rsid w:val="00D267F1"/>
    <w:rsid w:val="00D2703E"/>
    <w:rsid w:val="00D30AB2"/>
    <w:rsid w:val="00D31A4A"/>
    <w:rsid w:val="00D31C2C"/>
    <w:rsid w:val="00D31F45"/>
    <w:rsid w:val="00D32EAA"/>
    <w:rsid w:val="00D337FE"/>
    <w:rsid w:val="00D338E3"/>
    <w:rsid w:val="00D33CE5"/>
    <w:rsid w:val="00D34F82"/>
    <w:rsid w:val="00D3558C"/>
    <w:rsid w:val="00D355D0"/>
    <w:rsid w:val="00D371E7"/>
    <w:rsid w:val="00D37574"/>
    <w:rsid w:val="00D376D9"/>
    <w:rsid w:val="00D40F0B"/>
    <w:rsid w:val="00D414B5"/>
    <w:rsid w:val="00D425E6"/>
    <w:rsid w:val="00D429D8"/>
    <w:rsid w:val="00D430CD"/>
    <w:rsid w:val="00D435F8"/>
    <w:rsid w:val="00D44A54"/>
    <w:rsid w:val="00D44BF5"/>
    <w:rsid w:val="00D44CF3"/>
    <w:rsid w:val="00D45E00"/>
    <w:rsid w:val="00D46A7F"/>
    <w:rsid w:val="00D46A97"/>
    <w:rsid w:val="00D475D9"/>
    <w:rsid w:val="00D50CE3"/>
    <w:rsid w:val="00D51379"/>
    <w:rsid w:val="00D51DC9"/>
    <w:rsid w:val="00D52D16"/>
    <w:rsid w:val="00D52DAF"/>
    <w:rsid w:val="00D531C6"/>
    <w:rsid w:val="00D53640"/>
    <w:rsid w:val="00D553AC"/>
    <w:rsid w:val="00D55415"/>
    <w:rsid w:val="00D55B03"/>
    <w:rsid w:val="00D56288"/>
    <w:rsid w:val="00D605D3"/>
    <w:rsid w:val="00D61C20"/>
    <w:rsid w:val="00D61C53"/>
    <w:rsid w:val="00D631EA"/>
    <w:rsid w:val="00D6345F"/>
    <w:rsid w:val="00D64112"/>
    <w:rsid w:val="00D645E4"/>
    <w:rsid w:val="00D652D2"/>
    <w:rsid w:val="00D65487"/>
    <w:rsid w:val="00D67E4D"/>
    <w:rsid w:val="00D703B7"/>
    <w:rsid w:val="00D70796"/>
    <w:rsid w:val="00D730ED"/>
    <w:rsid w:val="00D739F1"/>
    <w:rsid w:val="00D7481B"/>
    <w:rsid w:val="00D757A5"/>
    <w:rsid w:val="00D76E31"/>
    <w:rsid w:val="00D81D26"/>
    <w:rsid w:val="00D84043"/>
    <w:rsid w:val="00D85F01"/>
    <w:rsid w:val="00D86661"/>
    <w:rsid w:val="00D871B4"/>
    <w:rsid w:val="00D911B8"/>
    <w:rsid w:val="00D916CC"/>
    <w:rsid w:val="00D917BC"/>
    <w:rsid w:val="00D91EEF"/>
    <w:rsid w:val="00D925FA"/>
    <w:rsid w:val="00D94786"/>
    <w:rsid w:val="00D979F7"/>
    <w:rsid w:val="00D97E80"/>
    <w:rsid w:val="00DA04A4"/>
    <w:rsid w:val="00DA0E5D"/>
    <w:rsid w:val="00DA1D91"/>
    <w:rsid w:val="00DA1E99"/>
    <w:rsid w:val="00DA218C"/>
    <w:rsid w:val="00DA29EC"/>
    <w:rsid w:val="00DA2FAF"/>
    <w:rsid w:val="00DA41F9"/>
    <w:rsid w:val="00DA4CB5"/>
    <w:rsid w:val="00DA650E"/>
    <w:rsid w:val="00DA795A"/>
    <w:rsid w:val="00DB037C"/>
    <w:rsid w:val="00DB0EDD"/>
    <w:rsid w:val="00DB1B5C"/>
    <w:rsid w:val="00DB222F"/>
    <w:rsid w:val="00DB2BA7"/>
    <w:rsid w:val="00DB4287"/>
    <w:rsid w:val="00DB51D7"/>
    <w:rsid w:val="00DB6BC6"/>
    <w:rsid w:val="00DB6BF5"/>
    <w:rsid w:val="00DB7333"/>
    <w:rsid w:val="00DB76E9"/>
    <w:rsid w:val="00DC0186"/>
    <w:rsid w:val="00DC162F"/>
    <w:rsid w:val="00DC3EA1"/>
    <w:rsid w:val="00DC4308"/>
    <w:rsid w:val="00DC45CB"/>
    <w:rsid w:val="00DC57FA"/>
    <w:rsid w:val="00DC64D4"/>
    <w:rsid w:val="00DD0AF4"/>
    <w:rsid w:val="00DD0CA5"/>
    <w:rsid w:val="00DD1F0C"/>
    <w:rsid w:val="00DD2407"/>
    <w:rsid w:val="00DD3173"/>
    <w:rsid w:val="00DD3991"/>
    <w:rsid w:val="00DD4B8A"/>
    <w:rsid w:val="00DD54DC"/>
    <w:rsid w:val="00DD5636"/>
    <w:rsid w:val="00DD5E21"/>
    <w:rsid w:val="00DD5E73"/>
    <w:rsid w:val="00DD728E"/>
    <w:rsid w:val="00DD7B15"/>
    <w:rsid w:val="00DD7D45"/>
    <w:rsid w:val="00DD7DD1"/>
    <w:rsid w:val="00DE0A9D"/>
    <w:rsid w:val="00DE1E84"/>
    <w:rsid w:val="00DE1FF3"/>
    <w:rsid w:val="00DE28C4"/>
    <w:rsid w:val="00DE2C47"/>
    <w:rsid w:val="00DE3B77"/>
    <w:rsid w:val="00DE404C"/>
    <w:rsid w:val="00DE46FD"/>
    <w:rsid w:val="00DE6ABE"/>
    <w:rsid w:val="00DE6DE3"/>
    <w:rsid w:val="00DE760D"/>
    <w:rsid w:val="00DE7C97"/>
    <w:rsid w:val="00DF03A1"/>
    <w:rsid w:val="00DF067B"/>
    <w:rsid w:val="00DF076F"/>
    <w:rsid w:val="00DF1A63"/>
    <w:rsid w:val="00DF1C02"/>
    <w:rsid w:val="00DF256B"/>
    <w:rsid w:val="00DF332D"/>
    <w:rsid w:val="00DF398A"/>
    <w:rsid w:val="00DF432A"/>
    <w:rsid w:val="00DF46F7"/>
    <w:rsid w:val="00DF48E1"/>
    <w:rsid w:val="00DF7540"/>
    <w:rsid w:val="00E00799"/>
    <w:rsid w:val="00E00914"/>
    <w:rsid w:val="00E00D83"/>
    <w:rsid w:val="00E0215D"/>
    <w:rsid w:val="00E0269E"/>
    <w:rsid w:val="00E029DD"/>
    <w:rsid w:val="00E038EE"/>
    <w:rsid w:val="00E039C6"/>
    <w:rsid w:val="00E05508"/>
    <w:rsid w:val="00E0763F"/>
    <w:rsid w:val="00E07C21"/>
    <w:rsid w:val="00E07E11"/>
    <w:rsid w:val="00E07FD9"/>
    <w:rsid w:val="00E12A65"/>
    <w:rsid w:val="00E12ED9"/>
    <w:rsid w:val="00E16755"/>
    <w:rsid w:val="00E16F38"/>
    <w:rsid w:val="00E17BEF"/>
    <w:rsid w:val="00E21CD5"/>
    <w:rsid w:val="00E21D5B"/>
    <w:rsid w:val="00E22CAB"/>
    <w:rsid w:val="00E2347D"/>
    <w:rsid w:val="00E23DF3"/>
    <w:rsid w:val="00E2415E"/>
    <w:rsid w:val="00E2540B"/>
    <w:rsid w:val="00E265CA"/>
    <w:rsid w:val="00E26ECD"/>
    <w:rsid w:val="00E27BDF"/>
    <w:rsid w:val="00E315F0"/>
    <w:rsid w:val="00E323A1"/>
    <w:rsid w:val="00E34060"/>
    <w:rsid w:val="00E34F66"/>
    <w:rsid w:val="00E35AAC"/>
    <w:rsid w:val="00E3600D"/>
    <w:rsid w:val="00E369D3"/>
    <w:rsid w:val="00E37578"/>
    <w:rsid w:val="00E4036D"/>
    <w:rsid w:val="00E40E35"/>
    <w:rsid w:val="00E41A82"/>
    <w:rsid w:val="00E42B71"/>
    <w:rsid w:val="00E46941"/>
    <w:rsid w:val="00E478A4"/>
    <w:rsid w:val="00E511D2"/>
    <w:rsid w:val="00E51262"/>
    <w:rsid w:val="00E52C53"/>
    <w:rsid w:val="00E54465"/>
    <w:rsid w:val="00E54809"/>
    <w:rsid w:val="00E555A8"/>
    <w:rsid w:val="00E55B9D"/>
    <w:rsid w:val="00E57956"/>
    <w:rsid w:val="00E57B6C"/>
    <w:rsid w:val="00E57B75"/>
    <w:rsid w:val="00E60E38"/>
    <w:rsid w:val="00E63497"/>
    <w:rsid w:val="00E66071"/>
    <w:rsid w:val="00E66ED1"/>
    <w:rsid w:val="00E67C72"/>
    <w:rsid w:val="00E701F1"/>
    <w:rsid w:val="00E708D2"/>
    <w:rsid w:val="00E71CE9"/>
    <w:rsid w:val="00E7304C"/>
    <w:rsid w:val="00E7351A"/>
    <w:rsid w:val="00E73DD8"/>
    <w:rsid w:val="00E75AAD"/>
    <w:rsid w:val="00E7625E"/>
    <w:rsid w:val="00E769AB"/>
    <w:rsid w:val="00E77430"/>
    <w:rsid w:val="00E80B01"/>
    <w:rsid w:val="00E81594"/>
    <w:rsid w:val="00E85738"/>
    <w:rsid w:val="00E86451"/>
    <w:rsid w:val="00E868F4"/>
    <w:rsid w:val="00E878B7"/>
    <w:rsid w:val="00E91DFC"/>
    <w:rsid w:val="00E920F5"/>
    <w:rsid w:val="00E92B80"/>
    <w:rsid w:val="00E93192"/>
    <w:rsid w:val="00E93D5A"/>
    <w:rsid w:val="00E93E1E"/>
    <w:rsid w:val="00E94385"/>
    <w:rsid w:val="00E96231"/>
    <w:rsid w:val="00E96624"/>
    <w:rsid w:val="00E97D47"/>
    <w:rsid w:val="00EA075A"/>
    <w:rsid w:val="00EA0B27"/>
    <w:rsid w:val="00EA0D7F"/>
    <w:rsid w:val="00EA0E67"/>
    <w:rsid w:val="00EA16D9"/>
    <w:rsid w:val="00EA33C0"/>
    <w:rsid w:val="00EA47AE"/>
    <w:rsid w:val="00EA4FEF"/>
    <w:rsid w:val="00EA71F4"/>
    <w:rsid w:val="00EA7658"/>
    <w:rsid w:val="00EB074E"/>
    <w:rsid w:val="00EB08A3"/>
    <w:rsid w:val="00EB0B2A"/>
    <w:rsid w:val="00EB1147"/>
    <w:rsid w:val="00EB13D7"/>
    <w:rsid w:val="00EB146F"/>
    <w:rsid w:val="00EB2873"/>
    <w:rsid w:val="00EB3096"/>
    <w:rsid w:val="00EB4DB8"/>
    <w:rsid w:val="00EB5499"/>
    <w:rsid w:val="00EB55B8"/>
    <w:rsid w:val="00EB6368"/>
    <w:rsid w:val="00EB748D"/>
    <w:rsid w:val="00EC01C2"/>
    <w:rsid w:val="00EC0319"/>
    <w:rsid w:val="00EC1B35"/>
    <w:rsid w:val="00EC23D1"/>
    <w:rsid w:val="00EC4775"/>
    <w:rsid w:val="00EC567A"/>
    <w:rsid w:val="00EC607C"/>
    <w:rsid w:val="00EC70D2"/>
    <w:rsid w:val="00ED1BF2"/>
    <w:rsid w:val="00ED41FA"/>
    <w:rsid w:val="00ED4B31"/>
    <w:rsid w:val="00ED4C6D"/>
    <w:rsid w:val="00ED5184"/>
    <w:rsid w:val="00ED5DBF"/>
    <w:rsid w:val="00ED61A2"/>
    <w:rsid w:val="00ED65CE"/>
    <w:rsid w:val="00ED6B5B"/>
    <w:rsid w:val="00ED72C3"/>
    <w:rsid w:val="00ED77AA"/>
    <w:rsid w:val="00ED7B9C"/>
    <w:rsid w:val="00EE0F5B"/>
    <w:rsid w:val="00EE0F9A"/>
    <w:rsid w:val="00EE1DB5"/>
    <w:rsid w:val="00EE24BE"/>
    <w:rsid w:val="00EE3B17"/>
    <w:rsid w:val="00EE43CF"/>
    <w:rsid w:val="00EE499E"/>
    <w:rsid w:val="00EE5532"/>
    <w:rsid w:val="00EE62B3"/>
    <w:rsid w:val="00EE653F"/>
    <w:rsid w:val="00EE6591"/>
    <w:rsid w:val="00EE774D"/>
    <w:rsid w:val="00EF1205"/>
    <w:rsid w:val="00EF217E"/>
    <w:rsid w:val="00EF23C3"/>
    <w:rsid w:val="00EF2D92"/>
    <w:rsid w:val="00EF3000"/>
    <w:rsid w:val="00EF46FB"/>
    <w:rsid w:val="00EF4897"/>
    <w:rsid w:val="00EF5662"/>
    <w:rsid w:val="00EF63B2"/>
    <w:rsid w:val="00EF65BC"/>
    <w:rsid w:val="00EF669C"/>
    <w:rsid w:val="00EF71C9"/>
    <w:rsid w:val="00EF765B"/>
    <w:rsid w:val="00F00241"/>
    <w:rsid w:val="00F00ACB"/>
    <w:rsid w:val="00F01A0C"/>
    <w:rsid w:val="00F048F6"/>
    <w:rsid w:val="00F06180"/>
    <w:rsid w:val="00F0677F"/>
    <w:rsid w:val="00F06EB6"/>
    <w:rsid w:val="00F07079"/>
    <w:rsid w:val="00F07D0C"/>
    <w:rsid w:val="00F07DD7"/>
    <w:rsid w:val="00F11FAC"/>
    <w:rsid w:val="00F124C7"/>
    <w:rsid w:val="00F12DCE"/>
    <w:rsid w:val="00F1346D"/>
    <w:rsid w:val="00F139E4"/>
    <w:rsid w:val="00F14CA1"/>
    <w:rsid w:val="00F14F11"/>
    <w:rsid w:val="00F17070"/>
    <w:rsid w:val="00F1721E"/>
    <w:rsid w:val="00F179F3"/>
    <w:rsid w:val="00F2103B"/>
    <w:rsid w:val="00F223B2"/>
    <w:rsid w:val="00F22DBC"/>
    <w:rsid w:val="00F22F45"/>
    <w:rsid w:val="00F24355"/>
    <w:rsid w:val="00F25C10"/>
    <w:rsid w:val="00F2611C"/>
    <w:rsid w:val="00F27098"/>
    <w:rsid w:val="00F27CDF"/>
    <w:rsid w:val="00F305C4"/>
    <w:rsid w:val="00F30B55"/>
    <w:rsid w:val="00F3174D"/>
    <w:rsid w:val="00F31C79"/>
    <w:rsid w:val="00F3248F"/>
    <w:rsid w:val="00F3367B"/>
    <w:rsid w:val="00F33C32"/>
    <w:rsid w:val="00F33CCD"/>
    <w:rsid w:val="00F34BE7"/>
    <w:rsid w:val="00F3514F"/>
    <w:rsid w:val="00F3793C"/>
    <w:rsid w:val="00F37D46"/>
    <w:rsid w:val="00F40997"/>
    <w:rsid w:val="00F4184D"/>
    <w:rsid w:val="00F43569"/>
    <w:rsid w:val="00F45869"/>
    <w:rsid w:val="00F459B6"/>
    <w:rsid w:val="00F45A8D"/>
    <w:rsid w:val="00F475FE"/>
    <w:rsid w:val="00F50AC4"/>
    <w:rsid w:val="00F521AC"/>
    <w:rsid w:val="00F53530"/>
    <w:rsid w:val="00F54C02"/>
    <w:rsid w:val="00F564A8"/>
    <w:rsid w:val="00F61159"/>
    <w:rsid w:val="00F62A12"/>
    <w:rsid w:val="00F62F00"/>
    <w:rsid w:val="00F64461"/>
    <w:rsid w:val="00F64DE6"/>
    <w:rsid w:val="00F6510F"/>
    <w:rsid w:val="00F6631D"/>
    <w:rsid w:val="00F703E5"/>
    <w:rsid w:val="00F7090E"/>
    <w:rsid w:val="00F724F8"/>
    <w:rsid w:val="00F739C9"/>
    <w:rsid w:val="00F73DCA"/>
    <w:rsid w:val="00F74268"/>
    <w:rsid w:val="00F74D92"/>
    <w:rsid w:val="00F75113"/>
    <w:rsid w:val="00F75CB9"/>
    <w:rsid w:val="00F75D50"/>
    <w:rsid w:val="00F7622B"/>
    <w:rsid w:val="00F7658E"/>
    <w:rsid w:val="00F80045"/>
    <w:rsid w:val="00F80431"/>
    <w:rsid w:val="00F80DEC"/>
    <w:rsid w:val="00F815CD"/>
    <w:rsid w:val="00F81623"/>
    <w:rsid w:val="00F8194A"/>
    <w:rsid w:val="00F82AB4"/>
    <w:rsid w:val="00F82D59"/>
    <w:rsid w:val="00F83A76"/>
    <w:rsid w:val="00F83DAD"/>
    <w:rsid w:val="00F84731"/>
    <w:rsid w:val="00F8495C"/>
    <w:rsid w:val="00F8713A"/>
    <w:rsid w:val="00F91853"/>
    <w:rsid w:val="00F91E46"/>
    <w:rsid w:val="00F93076"/>
    <w:rsid w:val="00F9401E"/>
    <w:rsid w:val="00F94491"/>
    <w:rsid w:val="00F94757"/>
    <w:rsid w:val="00F95487"/>
    <w:rsid w:val="00F95A8A"/>
    <w:rsid w:val="00F97CD4"/>
    <w:rsid w:val="00FA0147"/>
    <w:rsid w:val="00FA0171"/>
    <w:rsid w:val="00FA1C4D"/>
    <w:rsid w:val="00FA2E44"/>
    <w:rsid w:val="00FA3E89"/>
    <w:rsid w:val="00FA4E04"/>
    <w:rsid w:val="00FA7DA9"/>
    <w:rsid w:val="00FB0343"/>
    <w:rsid w:val="00FB0A28"/>
    <w:rsid w:val="00FB123B"/>
    <w:rsid w:val="00FB585A"/>
    <w:rsid w:val="00FB5CAD"/>
    <w:rsid w:val="00FC04A3"/>
    <w:rsid w:val="00FC0FED"/>
    <w:rsid w:val="00FC2B7C"/>
    <w:rsid w:val="00FC2C77"/>
    <w:rsid w:val="00FC474D"/>
    <w:rsid w:val="00FC4976"/>
    <w:rsid w:val="00FC573C"/>
    <w:rsid w:val="00FC796B"/>
    <w:rsid w:val="00FD099C"/>
    <w:rsid w:val="00FD0DA4"/>
    <w:rsid w:val="00FD0E28"/>
    <w:rsid w:val="00FD27A1"/>
    <w:rsid w:val="00FD31B7"/>
    <w:rsid w:val="00FD46A2"/>
    <w:rsid w:val="00FD583F"/>
    <w:rsid w:val="00FD66DE"/>
    <w:rsid w:val="00FD6C0A"/>
    <w:rsid w:val="00FD7829"/>
    <w:rsid w:val="00FD7E44"/>
    <w:rsid w:val="00FE0814"/>
    <w:rsid w:val="00FE10E9"/>
    <w:rsid w:val="00FE1F0B"/>
    <w:rsid w:val="00FE3932"/>
    <w:rsid w:val="00FE3B8A"/>
    <w:rsid w:val="00FE4748"/>
    <w:rsid w:val="00FE4EDC"/>
    <w:rsid w:val="00FE55D3"/>
    <w:rsid w:val="00FE68E7"/>
    <w:rsid w:val="00FE7A6C"/>
    <w:rsid w:val="00FF0A35"/>
    <w:rsid w:val="00FF0F1E"/>
    <w:rsid w:val="00FF1073"/>
    <w:rsid w:val="00FF11E8"/>
    <w:rsid w:val="00FF1574"/>
    <w:rsid w:val="00FF1DC0"/>
    <w:rsid w:val="00FF3425"/>
    <w:rsid w:val="00FF36D4"/>
    <w:rsid w:val="00FF38E2"/>
    <w:rsid w:val="00FF3CFE"/>
    <w:rsid w:val="00FF48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56"/>
  </w:style>
  <w:style w:type="paragraph" w:styleId="Heading1">
    <w:name w:val="heading 1"/>
    <w:basedOn w:val="Normal"/>
    <w:next w:val="Normal"/>
    <w:link w:val="Heading1Char"/>
    <w:uiPriority w:val="9"/>
    <w:qFormat/>
    <w:rsid w:val="000527FB"/>
    <w:pPr>
      <w:keepNext/>
      <w:keepLines/>
      <w:spacing w:before="480" w:after="0"/>
      <w:jc w:val="right"/>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BD5C9C"/>
    <w:pPr>
      <w:keepNext/>
      <w:keepLines/>
      <w:spacing w:before="200" w:after="0"/>
      <w:outlineLvl w:val="1"/>
    </w:pPr>
    <w:rPr>
      <w:rFonts w:asciiTheme="majorHAnsi" w:eastAsiaTheme="majorEastAsia" w:hAnsiTheme="majorHAnsi" w:cstheme="majorBidi"/>
      <w:b/>
      <w:bCs/>
      <w:color w:val="365F91" w:themeColor="accent1" w:themeShade="BF"/>
      <w:sz w:val="24"/>
      <w:szCs w:val="26"/>
    </w:rPr>
  </w:style>
  <w:style w:type="paragraph" w:styleId="Heading3">
    <w:name w:val="heading 3"/>
    <w:basedOn w:val="Normal"/>
    <w:next w:val="Normal"/>
    <w:link w:val="Heading3Char"/>
    <w:uiPriority w:val="9"/>
    <w:unhideWhenUsed/>
    <w:qFormat/>
    <w:rsid w:val="00BD5C9C"/>
    <w:pPr>
      <w:keepNext/>
      <w:keepLines/>
      <w:spacing w:before="200" w:after="0"/>
      <w:outlineLvl w:val="2"/>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2DCE"/>
    <w:pPr>
      <w:spacing w:after="0" w:line="240" w:lineRule="auto"/>
    </w:pPr>
  </w:style>
  <w:style w:type="character" w:customStyle="1" w:styleId="NoSpacingChar">
    <w:name w:val="No Spacing Char"/>
    <w:basedOn w:val="DefaultParagraphFont"/>
    <w:link w:val="NoSpacing"/>
    <w:uiPriority w:val="1"/>
    <w:rsid w:val="00F12DCE"/>
    <w:rPr>
      <w:rFonts w:eastAsiaTheme="minorEastAsia"/>
      <w:lang w:eastAsia="nl-NL"/>
    </w:rPr>
  </w:style>
  <w:style w:type="paragraph" w:styleId="BalloonText">
    <w:name w:val="Balloon Text"/>
    <w:basedOn w:val="Normal"/>
    <w:link w:val="BalloonTextChar"/>
    <w:uiPriority w:val="99"/>
    <w:semiHidden/>
    <w:unhideWhenUsed/>
    <w:rsid w:val="00F12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CE"/>
    <w:rPr>
      <w:rFonts w:ascii="Tahoma" w:hAnsi="Tahoma" w:cs="Tahoma"/>
      <w:sz w:val="16"/>
      <w:szCs w:val="16"/>
    </w:rPr>
  </w:style>
  <w:style w:type="character" w:styleId="Hyperlink">
    <w:name w:val="Hyperlink"/>
    <w:basedOn w:val="DefaultParagraphFont"/>
    <w:uiPriority w:val="99"/>
    <w:unhideWhenUsed/>
    <w:rsid w:val="00F12DCE"/>
    <w:rPr>
      <w:color w:val="0000FF" w:themeColor="hyperlink"/>
      <w:u w:val="single"/>
    </w:rPr>
  </w:style>
  <w:style w:type="character" w:customStyle="1" w:styleId="Heading1Char">
    <w:name w:val="Heading 1 Char"/>
    <w:basedOn w:val="DefaultParagraphFont"/>
    <w:link w:val="Heading1"/>
    <w:uiPriority w:val="9"/>
    <w:rsid w:val="000527FB"/>
    <w:rPr>
      <w:rFonts w:asciiTheme="majorHAnsi" w:eastAsiaTheme="majorEastAsia" w:hAnsiTheme="majorHAnsi" w:cstheme="majorBidi"/>
      <w:b/>
      <w:bCs/>
      <w:color w:val="365F91" w:themeColor="accent1" w:themeShade="BF"/>
      <w:sz w:val="40"/>
      <w:szCs w:val="28"/>
    </w:rPr>
  </w:style>
  <w:style w:type="paragraph" w:styleId="TOCHeading">
    <w:name w:val="TOC Heading"/>
    <w:basedOn w:val="Heading1"/>
    <w:next w:val="Normal"/>
    <w:uiPriority w:val="39"/>
    <w:unhideWhenUsed/>
    <w:qFormat/>
    <w:rsid w:val="0093004C"/>
    <w:pPr>
      <w:outlineLvl w:val="9"/>
    </w:pPr>
  </w:style>
  <w:style w:type="paragraph" w:styleId="TOC1">
    <w:name w:val="toc 1"/>
    <w:basedOn w:val="Normal"/>
    <w:next w:val="Normal"/>
    <w:autoRedefine/>
    <w:uiPriority w:val="39"/>
    <w:unhideWhenUsed/>
    <w:rsid w:val="003E307E"/>
    <w:pPr>
      <w:tabs>
        <w:tab w:val="right" w:leader="dot" w:pos="9062"/>
      </w:tabs>
      <w:spacing w:after="100"/>
      <w:ind w:left="450" w:hanging="284"/>
    </w:pPr>
    <w:rPr>
      <w:b/>
      <w:noProof/>
      <w:color w:val="365F91" w:themeColor="accent1" w:themeShade="BF"/>
      <w:sz w:val="24"/>
      <w:szCs w:val="24"/>
    </w:rPr>
  </w:style>
  <w:style w:type="character" w:customStyle="1" w:styleId="Heading2Char">
    <w:name w:val="Heading 2 Char"/>
    <w:basedOn w:val="DefaultParagraphFont"/>
    <w:link w:val="Heading2"/>
    <w:uiPriority w:val="9"/>
    <w:rsid w:val="00BD5C9C"/>
    <w:rPr>
      <w:rFonts w:asciiTheme="majorHAnsi" w:eastAsiaTheme="majorEastAsia" w:hAnsiTheme="majorHAnsi" w:cstheme="majorBidi"/>
      <w:b/>
      <w:bCs/>
      <w:color w:val="365F91" w:themeColor="accent1" w:themeShade="BF"/>
      <w:sz w:val="24"/>
      <w:szCs w:val="26"/>
    </w:rPr>
  </w:style>
  <w:style w:type="character" w:customStyle="1" w:styleId="Heading3Char">
    <w:name w:val="Heading 3 Char"/>
    <w:basedOn w:val="DefaultParagraphFont"/>
    <w:link w:val="Heading3"/>
    <w:uiPriority w:val="9"/>
    <w:rsid w:val="00BD5C9C"/>
    <w:rPr>
      <w:rFonts w:asciiTheme="majorHAnsi" w:eastAsiaTheme="majorEastAsia" w:hAnsiTheme="majorHAnsi" w:cstheme="majorBidi"/>
      <w:b/>
      <w:bCs/>
      <w:color w:val="365F91" w:themeColor="accent1" w:themeShade="BF"/>
    </w:rPr>
  </w:style>
  <w:style w:type="paragraph" w:styleId="TOC2">
    <w:name w:val="toc 2"/>
    <w:basedOn w:val="Normal"/>
    <w:next w:val="Normal"/>
    <w:autoRedefine/>
    <w:uiPriority w:val="39"/>
    <w:unhideWhenUsed/>
    <w:rsid w:val="006317DF"/>
    <w:pPr>
      <w:tabs>
        <w:tab w:val="right" w:pos="9062"/>
      </w:tabs>
      <w:spacing w:after="100" w:line="300" w:lineRule="auto"/>
      <w:ind w:left="357"/>
      <w:jc w:val="both"/>
    </w:pPr>
  </w:style>
  <w:style w:type="paragraph" w:styleId="TOC3">
    <w:name w:val="toc 3"/>
    <w:basedOn w:val="Normal"/>
    <w:next w:val="Normal"/>
    <w:autoRedefine/>
    <w:uiPriority w:val="39"/>
    <w:unhideWhenUsed/>
    <w:rsid w:val="003E307E"/>
    <w:pPr>
      <w:tabs>
        <w:tab w:val="right" w:pos="9062"/>
      </w:tabs>
      <w:spacing w:after="100"/>
      <w:ind w:left="630"/>
    </w:pPr>
  </w:style>
  <w:style w:type="paragraph" w:styleId="Bibliography">
    <w:name w:val="Bibliography"/>
    <w:basedOn w:val="Normal"/>
    <w:next w:val="Normal"/>
    <w:uiPriority w:val="37"/>
    <w:unhideWhenUsed/>
    <w:rsid w:val="00BD5C9C"/>
  </w:style>
  <w:style w:type="paragraph" w:styleId="Header">
    <w:name w:val="header"/>
    <w:basedOn w:val="Normal"/>
    <w:link w:val="HeaderChar"/>
    <w:uiPriority w:val="99"/>
    <w:unhideWhenUsed/>
    <w:rsid w:val="006D7C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7CF6"/>
  </w:style>
  <w:style w:type="paragraph" w:styleId="Footer">
    <w:name w:val="footer"/>
    <w:basedOn w:val="Normal"/>
    <w:link w:val="FooterChar"/>
    <w:uiPriority w:val="99"/>
    <w:unhideWhenUsed/>
    <w:rsid w:val="006D7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7CF6"/>
  </w:style>
  <w:style w:type="character" w:styleId="Strong">
    <w:name w:val="Strong"/>
    <w:basedOn w:val="DefaultParagraphFont"/>
    <w:uiPriority w:val="22"/>
    <w:qFormat/>
    <w:rsid w:val="005B2B6F"/>
    <w:rPr>
      <w:rFonts w:asciiTheme="minorHAnsi" w:hAnsiTheme="minorHAnsi"/>
      <w:b/>
      <w:bCs/>
      <w:color w:val="FFFFFF" w:themeColor="background1"/>
      <w:sz w:val="40"/>
    </w:rPr>
  </w:style>
  <w:style w:type="character" w:styleId="LineNumber">
    <w:name w:val="line number"/>
    <w:basedOn w:val="DefaultParagraphFont"/>
    <w:uiPriority w:val="99"/>
    <w:semiHidden/>
    <w:unhideWhenUsed/>
    <w:rsid w:val="00B60586"/>
  </w:style>
  <w:style w:type="character" w:styleId="IntenseEmphasis">
    <w:name w:val="Intense Emphasis"/>
    <w:basedOn w:val="DefaultParagraphFont"/>
    <w:uiPriority w:val="21"/>
    <w:qFormat/>
    <w:rsid w:val="005B2B6F"/>
    <w:rPr>
      <w:b/>
      <w:bCs/>
      <w:i/>
      <w:iCs/>
      <w:color w:val="4F81BD" w:themeColor="accent1"/>
    </w:rPr>
  </w:style>
  <w:style w:type="character" w:customStyle="1" w:styleId="searchword">
    <w:name w:val="searchword"/>
    <w:basedOn w:val="DefaultParagraphFont"/>
    <w:rsid w:val="00CE453C"/>
  </w:style>
  <w:style w:type="character" w:styleId="CommentReference">
    <w:name w:val="annotation reference"/>
    <w:basedOn w:val="DefaultParagraphFont"/>
    <w:uiPriority w:val="99"/>
    <w:semiHidden/>
    <w:unhideWhenUsed/>
    <w:rsid w:val="00DA650E"/>
    <w:rPr>
      <w:sz w:val="16"/>
      <w:szCs w:val="16"/>
    </w:rPr>
  </w:style>
  <w:style w:type="paragraph" w:styleId="CommentText">
    <w:name w:val="annotation text"/>
    <w:basedOn w:val="Normal"/>
    <w:link w:val="CommentTextChar"/>
    <w:uiPriority w:val="99"/>
    <w:unhideWhenUsed/>
    <w:rsid w:val="00DA650E"/>
    <w:pPr>
      <w:spacing w:line="240" w:lineRule="auto"/>
    </w:pPr>
    <w:rPr>
      <w:sz w:val="20"/>
      <w:szCs w:val="20"/>
    </w:rPr>
  </w:style>
  <w:style w:type="character" w:customStyle="1" w:styleId="CommentTextChar">
    <w:name w:val="Comment Text Char"/>
    <w:basedOn w:val="DefaultParagraphFont"/>
    <w:link w:val="CommentText"/>
    <w:uiPriority w:val="99"/>
    <w:rsid w:val="00DA650E"/>
    <w:rPr>
      <w:sz w:val="20"/>
      <w:szCs w:val="20"/>
    </w:rPr>
  </w:style>
  <w:style w:type="paragraph" w:styleId="CommentSubject">
    <w:name w:val="annotation subject"/>
    <w:basedOn w:val="CommentText"/>
    <w:next w:val="CommentText"/>
    <w:link w:val="CommentSubjectChar"/>
    <w:uiPriority w:val="99"/>
    <w:semiHidden/>
    <w:unhideWhenUsed/>
    <w:rsid w:val="00DA650E"/>
    <w:rPr>
      <w:b/>
      <w:bCs/>
    </w:rPr>
  </w:style>
  <w:style w:type="character" w:customStyle="1" w:styleId="CommentSubjectChar">
    <w:name w:val="Comment Subject Char"/>
    <w:basedOn w:val="CommentTextChar"/>
    <w:link w:val="CommentSubject"/>
    <w:uiPriority w:val="99"/>
    <w:semiHidden/>
    <w:rsid w:val="00DA650E"/>
    <w:rPr>
      <w:b/>
      <w:bCs/>
      <w:sz w:val="20"/>
      <w:szCs w:val="20"/>
    </w:rPr>
  </w:style>
  <w:style w:type="paragraph" w:styleId="EndnoteText">
    <w:name w:val="endnote text"/>
    <w:basedOn w:val="Normal"/>
    <w:link w:val="EndnoteTextChar"/>
    <w:uiPriority w:val="99"/>
    <w:unhideWhenUsed/>
    <w:rsid w:val="00555CF1"/>
    <w:pPr>
      <w:spacing w:after="0" w:line="240" w:lineRule="auto"/>
    </w:pPr>
    <w:rPr>
      <w:sz w:val="20"/>
      <w:szCs w:val="20"/>
    </w:rPr>
  </w:style>
  <w:style w:type="character" w:customStyle="1" w:styleId="EndnoteTextChar">
    <w:name w:val="Endnote Text Char"/>
    <w:basedOn w:val="DefaultParagraphFont"/>
    <w:link w:val="EndnoteText"/>
    <w:uiPriority w:val="99"/>
    <w:rsid w:val="00555CF1"/>
    <w:rPr>
      <w:sz w:val="20"/>
      <w:szCs w:val="20"/>
    </w:rPr>
  </w:style>
  <w:style w:type="character" w:styleId="EndnoteReference">
    <w:name w:val="endnote reference"/>
    <w:basedOn w:val="DefaultParagraphFont"/>
    <w:uiPriority w:val="99"/>
    <w:semiHidden/>
    <w:unhideWhenUsed/>
    <w:rsid w:val="00555CF1"/>
    <w:rPr>
      <w:vertAlign w:val="superscript"/>
    </w:rPr>
  </w:style>
  <w:style w:type="paragraph" w:styleId="FootnoteText">
    <w:name w:val="footnote text"/>
    <w:basedOn w:val="Normal"/>
    <w:link w:val="FootnoteTextChar"/>
    <w:uiPriority w:val="99"/>
    <w:unhideWhenUsed/>
    <w:rsid w:val="00555CF1"/>
    <w:pPr>
      <w:spacing w:after="0" w:line="240" w:lineRule="auto"/>
    </w:pPr>
    <w:rPr>
      <w:sz w:val="20"/>
      <w:szCs w:val="20"/>
    </w:rPr>
  </w:style>
  <w:style w:type="character" w:customStyle="1" w:styleId="FootnoteTextChar">
    <w:name w:val="Footnote Text Char"/>
    <w:basedOn w:val="DefaultParagraphFont"/>
    <w:link w:val="FootnoteText"/>
    <w:uiPriority w:val="99"/>
    <w:rsid w:val="00555CF1"/>
    <w:rPr>
      <w:sz w:val="20"/>
      <w:szCs w:val="20"/>
    </w:rPr>
  </w:style>
  <w:style w:type="character" w:styleId="FootnoteReference">
    <w:name w:val="footnote reference"/>
    <w:basedOn w:val="DefaultParagraphFont"/>
    <w:uiPriority w:val="99"/>
    <w:semiHidden/>
    <w:unhideWhenUsed/>
    <w:rsid w:val="00555CF1"/>
    <w:rPr>
      <w:vertAlign w:val="superscript"/>
    </w:rPr>
  </w:style>
  <w:style w:type="paragraph" w:styleId="Caption">
    <w:name w:val="caption"/>
    <w:basedOn w:val="Normal"/>
    <w:next w:val="Normal"/>
    <w:uiPriority w:val="35"/>
    <w:unhideWhenUsed/>
    <w:qFormat/>
    <w:rsid w:val="00A937BC"/>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937BC"/>
    <w:pPr>
      <w:spacing w:after="0"/>
    </w:pPr>
  </w:style>
  <w:style w:type="character" w:styleId="Emphasis">
    <w:name w:val="Emphasis"/>
    <w:basedOn w:val="DefaultParagraphFont"/>
    <w:uiPriority w:val="20"/>
    <w:qFormat/>
    <w:rsid w:val="003952AC"/>
    <w:rPr>
      <w:b/>
      <w:bCs/>
      <w:i w:val="0"/>
      <w:iCs w:val="0"/>
    </w:rPr>
  </w:style>
  <w:style w:type="character" w:styleId="FollowedHyperlink">
    <w:name w:val="FollowedHyperlink"/>
    <w:basedOn w:val="DefaultParagraphFont"/>
    <w:uiPriority w:val="99"/>
    <w:semiHidden/>
    <w:unhideWhenUsed/>
    <w:rsid w:val="00A43E23"/>
    <w:rPr>
      <w:color w:val="800080" w:themeColor="followedHyperlink"/>
      <w:u w:val="single"/>
    </w:rPr>
  </w:style>
  <w:style w:type="character" w:styleId="PlaceholderText">
    <w:name w:val="Placeholder Text"/>
    <w:basedOn w:val="DefaultParagraphFont"/>
    <w:uiPriority w:val="99"/>
    <w:semiHidden/>
    <w:rsid w:val="00665EEA"/>
    <w:rPr>
      <w:color w:val="808080"/>
    </w:rPr>
  </w:style>
  <w:style w:type="paragraph" w:styleId="Revision">
    <w:name w:val="Revision"/>
    <w:hidden/>
    <w:uiPriority w:val="99"/>
    <w:semiHidden/>
    <w:rsid w:val="00395E6F"/>
    <w:pPr>
      <w:spacing w:after="0" w:line="240" w:lineRule="auto"/>
    </w:pPr>
  </w:style>
  <w:style w:type="paragraph" w:styleId="DocumentMap">
    <w:name w:val="Document Map"/>
    <w:basedOn w:val="Normal"/>
    <w:link w:val="DocumentMapChar"/>
    <w:uiPriority w:val="99"/>
    <w:semiHidden/>
    <w:unhideWhenUsed/>
    <w:rsid w:val="00DA218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A218C"/>
    <w:rPr>
      <w:rFonts w:ascii="Tahoma" w:hAnsi="Tahoma" w:cs="Tahoma"/>
      <w:sz w:val="16"/>
      <w:szCs w:val="16"/>
    </w:rPr>
  </w:style>
  <w:style w:type="paragraph" w:styleId="ListParagraph">
    <w:name w:val="List Paragraph"/>
    <w:basedOn w:val="Normal"/>
    <w:uiPriority w:val="34"/>
    <w:qFormat/>
    <w:rsid w:val="00F33CCD"/>
    <w:pPr>
      <w:ind w:left="720"/>
      <w:contextualSpacing/>
    </w:pPr>
  </w:style>
  <w:style w:type="paragraph" w:styleId="NormalWeb">
    <w:name w:val="Normal (Web)"/>
    <w:basedOn w:val="Normal"/>
    <w:uiPriority w:val="99"/>
    <w:semiHidden/>
    <w:unhideWhenUsed/>
    <w:rsid w:val="00A606DC"/>
    <w:rPr>
      <w:rFonts w:ascii="Times New Roman" w:hAnsi="Times New Roman" w:cs="Times New Roman"/>
      <w:sz w:val="24"/>
      <w:szCs w:val="24"/>
    </w:rPr>
  </w:style>
  <w:style w:type="table" w:styleId="TableGrid">
    <w:name w:val="Table Grid"/>
    <w:basedOn w:val="TableNormal"/>
    <w:uiPriority w:val="59"/>
    <w:rsid w:val="00F62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437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SubtleEmphasis">
    <w:name w:val="Subtle Emphasis"/>
    <w:basedOn w:val="DefaultParagraphFont"/>
    <w:uiPriority w:val="19"/>
    <w:qFormat/>
    <w:rsid w:val="00D55B03"/>
    <w:rPr>
      <w:i/>
      <w:iCs/>
      <w:color w:val="808080" w:themeColor="text1" w:themeTint="7F"/>
    </w:rPr>
  </w:style>
  <w:style w:type="paragraph" w:customStyle="1" w:styleId="DecimalAligned">
    <w:name w:val="Decimal Aligned"/>
    <w:basedOn w:val="Normal"/>
    <w:uiPriority w:val="40"/>
    <w:qFormat/>
    <w:rsid w:val="005C3E83"/>
    <w:pPr>
      <w:tabs>
        <w:tab w:val="decimal" w:pos="360"/>
      </w:tabs>
    </w:pPr>
  </w:style>
  <w:style w:type="table" w:customStyle="1" w:styleId="Lichtearcering-accent11">
    <w:name w:val="Lichte arcering - accent 11"/>
    <w:basedOn w:val="TableNormal"/>
    <w:uiPriority w:val="60"/>
    <w:rsid w:val="005C3E8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chtearcering1">
    <w:name w:val="Lichte arcering1"/>
    <w:basedOn w:val="TableNormal"/>
    <w:uiPriority w:val="60"/>
    <w:rsid w:val="005C3E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A520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5B09EB"/>
    <w:rPr>
      <w:b/>
      <w:bCs/>
      <w:smallCaps/>
      <w:color w:val="C0504D" w:themeColor="accent2"/>
      <w:spacing w:val="5"/>
      <w:u w:val="single"/>
    </w:rPr>
  </w:style>
  <w:style w:type="character" w:customStyle="1" w:styleId="symbol">
    <w:name w:val="symbol"/>
    <w:basedOn w:val="DefaultParagraphFont"/>
    <w:rsid w:val="0043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A1356"/>
  </w:style>
  <w:style w:type="paragraph" w:styleId="Kop1">
    <w:name w:val="heading 1"/>
    <w:basedOn w:val="Standaard"/>
    <w:next w:val="Standaard"/>
    <w:link w:val="Kop1Char"/>
    <w:uiPriority w:val="9"/>
    <w:qFormat/>
    <w:rsid w:val="000527FB"/>
    <w:pPr>
      <w:keepNext/>
      <w:keepLines/>
      <w:spacing w:before="480" w:after="0"/>
      <w:jc w:val="right"/>
      <w:outlineLvl w:val="0"/>
    </w:pPr>
    <w:rPr>
      <w:rFonts w:asciiTheme="majorHAnsi" w:eastAsiaTheme="majorEastAsia" w:hAnsiTheme="majorHAnsi" w:cstheme="majorBidi"/>
      <w:b/>
      <w:bCs/>
      <w:color w:val="365F91" w:themeColor="accent1" w:themeShade="BF"/>
      <w:sz w:val="40"/>
      <w:szCs w:val="28"/>
    </w:rPr>
  </w:style>
  <w:style w:type="paragraph" w:styleId="Kop2">
    <w:name w:val="heading 2"/>
    <w:basedOn w:val="Standaard"/>
    <w:next w:val="Standaard"/>
    <w:link w:val="Kop2Char"/>
    <w:uiPriority w:val="9"/>
    <w:unhideWhenUsed/>
    <w:qFormat/>
    <w:rsid w:val="00BD5C9C"/>
    <w:pPr>
      <w:keepNext/>
      <w:keepLines/>
      <w:spacing w:before="200" w:after="0"/>
      <w:outlineLvl w:val="1"/>
    </w:pPr>
    <w:rPr>
      <w:rFonts w:asciiTheme="majorHAnsi" w:eastAsiaTheme="majorEastAsia" w:hAnsiTheme="majorHAnsi" w:cstheme="majorBidi"/>
      <w:b/>
      <w:bCs/>
      <w:color w:val="365F91" w:themeColor="accent1" w:themeShade="BF"/>
      <w:sz w:val="24"/>
      <w:szCs w:val="26"/>
    </w:rPr>
  </w:style>
  <w:style w:type="paragraph" w:styleId="Kop3">
    <w:name w:val="heading 3"/>
    <w:basedOn w:val="Standaard"/>
    <w:next w:val="Standaard"/>
    <w:link w:val="Kop3Char"/>
    <w:uiPriority w:val="9"/>
    <w:unhideWhenUsed/>
    <w:qFormat/>
    <w:rsid w:val="00BD5C9C"/>
    <w:pPr>
      <w:keepNext/>
      <w:keepLines/>
      <w:spacing w:before="200" w:after="0"/>
      <w:outlineLvl w:val="2"/>
    </w:pPr>
    <w:rPr>
      <w:rFonts w:asciiTheme="majorHAnsi" w:eastAsiaTheme="majorEastAsia" w:hAnsiTheme="majorHAnsi" w:cstheme="majorBidi"/>
      <w:b/>
      <w:b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12DCE"/>
    <w:pPr>
      <w:spacing w:after="0" w:line="240" w:lineRule="auto"/>
    </w:pPr>
  </w:style>
  <w:style w:type="character" w:customStyle="1" w:styleId="GeenafstandChar">
    <w:name w:val="Geen afstand Char"/>
    <w:basedOn w:val="Standaardalinea-lettertype"/>
    <w:link w:val="Geenafstand"/>
    <w:uiPriority w:val="1"/>
    <w:rsid w:val="00F12DCE"/>
    <w:rPr>
      <w:rFonts w:eastAsiaTheme="minorEastAsia"/>
      <w:lang w:eastAsia="nl-NL"/>
    </w:rPr>
  </w:style>
  <w:style w:type="paragraph" w:styleId="Ballontekst">
    <w:name w:val="Balloon Text"/>
    <w:basedOn w:val="Standaard"/>
    <w:link w:val="BallontekstChar"/>
    <w:uiPriority w:val="99"/>
    <w:semiHidden/>
    <w:unhideWhenUsed/>
    <w:rsid w:val="00F12D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2DCE"/>
    <w:rPr>
      <w:rFonts w:ascii="Tahoma" w:hAnsi="Tahoma" w:cs="Tahoma"/>
      <w:sz w:val="16"/>
      <w:szCs w:val="16"/>
    </w:rPr>
  </w:style>
  <w:style w:type="character" w:styleId="Hyperlink">
    <w:name w:val="Hyperlink"/>
    <w:basedOn w:val="Standaardalinea-lettertype"/>
    <w:uiPriority w:val="99"/>
    <w:unhideWhenUsed/>
    <w:rsid w:val="00F12DCE"/>
    <w:rPr>
      <w:color w:val="0000FF" w:themeColor="hyperlink"/>
      <w:u w:val="single"/>
    </w:rPr>
  </w:style>
  <w:style w:type="character" w:customStyle="1" w:styleId="Kop1Char">
    <w:name w:val="Kop 1 Char"/>
    <w:basedOn w:val="Standaardalinea-lettertype"/>
    <w:link w:val="Kop1"/>
    <w:uiPriority w:val="9"/>
    <w:rsid w:val="000527FB"/>
    <w:rPr>
      <w:rFonts w:asciiTheme="majorHAnsi" w:eastAsiaTheme="majorEastAsia" w:hAnsiTheme="majorHAnsi" w:cstheme="majorBidi"/>
      <w:b/>
      <w:bCs/>
      <w:color w:val="365F91" w:themeColor="accent1" w:themeShade="BF"/>
      <w:sz w:val="40"/>
      <w:szCs w:val="28"/>
    </w:rPr>
  </w:style>
  <w:style w:type="paragraph" w:styleId="Kopvaninhoudsopgave">
    <w:name w:val="TOC Heading"/>
    <w:basedOn w:val="Kop1"/>
    <w:next w:val="Standaard"/>
    <w:uiPriority w:val="39"/>
    <w:unhideWhenUsed/>
    <w:qFormat/>
    <w:rsid w:val="0093004C"/>
    <w:pPr>
      <w:outlineLvl w:val="9"/>
    </w:pPr>
  </w:style>
  <w:style w:type="paragraph" w:styleId="Inhopg1">
    <w:name w:val="toc 1"/>
    <w:basedOn w:val="Standaard"/>
    <w:next w:val="Standaard"/>
    <w:autoRedefine/>
    <w:uiPriority w:val="39"/>
    <w:unhideWhenUsed/>
    <w:rsid w:val="003E307E"/>
    <w:pPr>
      <w:tabs>
        <w:tab w:val="right" w:leader="dot" w:pos="9062"/>
      </w:tabs>
      <w:spacing w:after="100"/>
      <w:ind w:left="450" w:hanging="284"/>
    </w:pPr>
    <w:rPr>
      <w:b/>
      <w:noProof/>
      <w:color w:val="365F91" w:themeColor="accent1" w:themeShade="BF"/>
      <w:sz w:val="24"/>
      <w:szCs w:val="24"/>
    </w:rPr>
  </w:style>
  <w:style w:type="character" w:customStyle="1" w:styleId="Kop2Char">
    <w:name w:val="Kop 2 Char"/>
    <w:basedOn w:val="Standaardalinea-lettertype"/>
    <w:link w:val="Kop2"/>
    <w:uiPriority w:val="9"/>
    <w:rsid w:val="00BD5C9C"/>
    <w:rPr>
      <w:rFonts w:asciiTheme="majorHAnsi" w:eastAsiaTheme="majorEastAsia" w:hAnsiTheme="majorHAnsi" w:cstheme="majorBidi"/>
      <w:b/>
      <w:bCs/>
      <w:color w:val="365F91" w:themeColor="accent1" w:themeShade="BF"/>
      <w:sz w:val="24"/>
      <w:szCs w:val="26"/>
    </w:rPr>
  </w:style>
  <w:style w:type="character" w:customStyle="1" w:styleId="Kop3Char">
    <w:name w:val="Kop 3 Char"/>
    <w:basedOn w:val="Standaardalinea-lettertype"/>
    <w:link w:val="Kop3"/>
    <w:uiPriority w:val="9"/>
    <w:rsid w:val="00BD5C9C"/>
    <w:rPr>
      <w:rFonts w:asciiTheme="majorHAnsi" w:eastAsiaTheme="majorEastAsia" w:hAnsiTheme="majorHAnsi" w:cstheme="majorBidi"/>
      <w:b/>
      <w:bCs/>
      <w:color w:val="365F91" w:themeColor="accent1" w:themeShade="BF"/>
    </w:rPr>
  </w:style>
  <w:style w:type="paragraph" w:styleId="Inhopg2">
    <w:name w:val="toc 2"/>
    <w:basedOn w:val="Standaard"/>
    <w:next w:val="Standaard"/>
    <w:autoRedefine/>
    <w:uiPriority w:val="39"/>
    <w:unhideWhenUsed/>
    <w:rsid w:val="006317DF"/>
    <w:pPr>
      <w:tabs>
        <w:tab w:val="right" w:pos="9062"/>
      </w:tabs>
      <w:spacing w:after="100" w:line="300" w:lineRule="auto"/>
      <w:ind w:left="357"/>
      <w:jc w:val="both"/>
    </w:pPr>
  </w:style>
  <w:style w:type="paragraph" w:styleId="Inhopg3">
    <w:name w:val="toc 3"/>
    <w:basedOn w:val="Standaard"/>
    <w:next w:val="Standaard"/>
    <w:autoRedefine/>
    <w:uiPriority w:val="39"/>
    <w:unhideWhenUsed/>
    <w:rsid w:val="003E307E"/>
    <w:pPr>
      <w:tabs>
        <w:tab w:val="right" w:pos="9062"/>
      </w:tabs>
      <w:spacing w:after="100"/>
      <w:ind w:left="630"/>
    </w:pPr>
  </w:style>
  <w:style w:type="paragraph" w:styleId="Bibliografie">
    <w:name w:val="Bibliography"/>
    <w:basedOn w:val="Standaard"/>
    <w:next w:val="Standaard"/>
    <w:uiPriority w:val="37"/>
    <w:unhideWhenUsed/>
    <w:rsid w:val="00BD5C9C"/>
  </w:style>
  <w:style w:type="paragraph" w:styleId="Koptekst">
    <w:name w:val="header"/>
    <w:basedOn w:val="Standaard"/>
    <w:link w:val="KoptekstChar"/>
    <w:uiPriority w:val="99"/>
    <w:unhideWhenUsed/>
    <w:rsid w:val="006D7C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7CF6"/>
  </w:style>
  <w:style w:type="paragraph" w:styleId="Voettekst">
    <w:name w:val="footer"/>
    <w:basedOn w:val="Standaard"/>
    <w:link w:val="VoettekstChar"/>
    <w:uiPriority w:val="99"/>
    <w:unhideWhenUsed/>
    <w:rsid w:val="006D7C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7CF6"/>
  </w:style>
  <w:style w:type="character" w:styleId="Zwaar">
    <w:name w:val="Strong"/>
    <w:basedOn w:val="Standaardalinea-lettertype"/>
    <w:uiPriority w:val="22"/>
    <w:qFormat/>
    <w:rsid w:val="005B2B6F"/>
    <w:rPr>
      <w:rFonts w:asciiTheme="minorHAnsi" w:hAnsiTheme="minorHAnsi"/>
      <w:b/>
      <w:bCs/>
      <w:color w:val="FFFFFF" w:themeColor="background1"/>
      <w:sz w:val="40"/>
    </w:rPr>
  </w:style>
  <w:style w:type="character" w:styleId="Regelnummer">
    <w:name w:val="line number"/>
    <w:basedOn w:val="Standaardalinea-lettertype"/>
    <w:uiPriority w:val="99"/>
    <w:semiHidden/>
    <w:unhideWhenUsed/>
    <w:rsid w:val="00B60586"/>
  </w:style>
  <w:style w:type="character" w:styleId="Intensievebenadrukking">
    <w:name w:val="Intense Emphasis"/>
    <w:basedOn w:val="Standaardalinea-lettertype"/>
    <w:uiPriority w:val="21"/>
    <w:qFormat/>
    <w:rsid w:val="005B2B6F"/>
    <w:rPr>
      <w:b/>
      <w:bCs/>
      <w:i/>
      <w:iCs/>
      <w:color w:val="4F81BD" w:themeColor="accent1"/>
    </w:rPr>
  </w:style>
  <w:style w:type="character" w:customStyle="1" w:styleId="searchword">
    <w:name w:val="searchword"/>
    <w:basedOn w:val="Standaardalinea-lettertype"/>
    <w:rsid w:val="00CE453C"/>
  </w:style>
  <w:style w:type="character" w:styleId="Verwijzingopmerking">
    <w:name w:val="annotation reference"/>
    <w:basedOn w:val="Standaardalinea-lettertype"/>
    <w:uiPriority w:val="99"/>
    <w:semiHidden/>
    <w:unhideWhenUsed/>
    <w:rsid w:val="00DA650E"/>
    <w:rPr>
      <w:sz w:val="16"/>
      <w:szCs w:val="16"/>
    </w:rPr>
  </w:style>
  <w:style w:type="paragraph" w:styleId="Tekstopmerking">
    <w:name w:val="annotation text"/>
    <w:basedOn w:val="Standaard"/>
    <w:link w:val="TekstopmerkingChar"/>
    <w:uiPriority w:val="99"/>
    <w:unhideWhenUsed/>
    <w:rsid w:val="00DA650E"/>
    <w:pPr>
      <w:spacing w:line="240" w:lineRule="auto"/>
    </w:pPr>
    <w:rPr>
      <w:sz w:val="20"/>
      <w:szCs w:val="20"/>
    </w:rPr>
  </w:style>
  <w:style w:type="character" w:customStyle="1" w:styleId="TekstopmerkingChar">
    <w:name w:val="Tekst opmerking Char"/>
    <w:basedOn w:val="Standaardalinea-lettertype"/>
    <w:link w:val="Tekstopmerking"/>
    <w:uiPriority w:val="99"/>
    <w:rsid w:val="00DA650E"/>
    <w:rPr>
      <w:sz w:val="20"/>
      <w:szCs w:val="20"/>
    </w:rPr>
  </w:style>
  <w:style w:type="paragraph" w:styleId="Onderwerpvanopmerking">
    <w:name w:val="annotation subject"/>
    <w:basedOn w:val="Tekstopmerking"/>
    <w:next w:val="Tekstopmerking"/>
    <w:link w:val="OnderwerpvanopmerkingChar"/>
    <w:uiPriority w:val="99"/>
    <w:semiHidden/>
    <w:unhideWhenUsed/>
    <w:rsid w:val="00DA650E"/>
    <w:rPr>
      <w:b/>
      <w:bCs/>
    </w:rPr>
  </w:style>
  <w:style w:type="character" w:customStyle="1" w:styleId="OnderwerpvanopmerkingChar">
    <w:name w:val="Onderwerp van opmerking Char"/>
    <w:basedOn w:val="TekstopmerkingChar"/>
    <w:link w:val="Onderwerpvanopmerking"/>
    <w:uiPriority w:val="99"/>
    <w:semiHidden/>
    <w:rsid w:val="00DA650E"/>
    <w:rPr>
      <w:b/>
      <w:bCs/>
      <w:sz w:val="20"/>
      <w:szCs w:val="20"/>
    </w:rPr>
  </w:style>
  <w:style w:type="paragraph" w:styleId="Eindnoottekst">
    <w:name w:val="endnote text"/>
    <w:basedOn w:val="Standaard"/>
    <w:link w:val="EindnoottekstChar"/>
    <w:uiPriority w:val="99"/>
    <w:unhideWhenUsed/>
    <w:rsid w:val="00555CF1"/>
    <w:pPr>
      <w:spacing w:after="0" w:line="240" w:lineRule="auto"/>
    </w:pPr>
    <w:rPr>
      <w:sz w:val="20"/>
      <w:szCs w:val="20"/>
    </w:rPr>
  </w:style>
  <w:style w:type="character" w:customStyle="1" w:styleId="EindnoottekstChar">
    <w:name w:val="Eindnoottekst Char"/>
    <w:basedOn w:val="Standaardalinea-lettertype"/>
    <w:link w:val="Eindnoottekst"/>
    <w:uiPriority w:val="99"/>
    <w:rsid w:val="00555CF1"/>
    <w:rPr>
      <w:sz w:val="20"/>
      <w:szCs w:val="20"/>
    </w:rPr>
  </w:style>
  <w:style w:type="character" w:styleId="Eindnootmarkering">
    <w:name w:val="endnote reference"/>
    <w:basedOn w:val="Standaardalinea-lettertype"/>
    <w:uiPriority w:val="99"/>
    <w:semiHidden/>
    <w:unhideWhenUsed/>
    <w:rsid w:val="00555CF1"/>
    <w:rPr>
      <w:vertAlign w:val="superscript"/>
    </w:rPr>
  </w:style>
  <w:style w:type="paragraph" w:styleId="Voetnoottekst">
    <w:name w:val="footnote text"/>
    <w:basedOn w:val="Standaard"/>
    <w:link w:val="VoetnoottekstChar"/>
    <w:uiPriority w:val="99"/>
    <w:unhideWhenUsed/>
    <w:rsid w:val="00555CF1"/>
    <w:pPr>
      <w:spacing w:after="0" w:line="240" w:lineRule="auto"/>
    </w:pPr>
    <w:rPr>
      <w:sz w:val="20"/>
      <w:szCs w:val="20"/>
    </w:rPr>
  </w:style>
  <w:style w:type="character" w:customStyle="1" w:styleId="VoetnoottekstChar">
    <w:name w:val="Voetnoottekst Char"/>
    <w:basedOn w:val="Standaardalinea-lettertype"/>
    <w:link w:val="Voetnoottekst"/>
    <w:uiPriority w:val="99"/>
    <w:rsid w:val="00555CF1"/>
    <w:rPr>
      <w:sz w:val="20"/>
      <w:szCs w:val="20"/>
    </w:rPr>
  </w:style>
  <w:style w:type="character" w:styleId="Voetnootmarkering">
    <w:name w:val="footnote reference"/>
    <w:basedOn w:val="Standaardalinea-lettertype"/>
    <w:uiPriority w:val="99"/>
    <w:semiHidden/>
    <w:unhideWhenUsed/>
    <w:rsid w:val="00555CF1"/>
    <w:rPr>
      <w:vertAlign w:val="superscript"/>
    </w:rPr>
  </w:style>
  <w:style w:type="paragraph" w:styleId="Bijschrift">
    <w:name w:val="caption"/>
    <w:basedOn w:val="Standaard"/>
    <w:next w:val="Standaard"/>
    <w:uiPriority w:val="35"/>
    <w:unhideWhenUsed/>
    <w:qFormat/>
    <w:rsid w:val="00A937BC"/>
    <w:pPr>
      <w:spacing w:line="240" w:lineRule="auto"/>
    </w:pPr>
    <w:rPr>
      <w:b/>
      <w:bCs/>
      <w:color w:val="4F81BD" w:themeColor="accent1"/>
      <w:sz w:val="18"/>
      <w:szCs w:val="18"/>
    </w:rPr>
  </w:style>
  <w:style w:type="paragraph" w:styleId="Lijstmetafbeeldingen">
    <w:name w:val="table of figures"/>
    <w:basedOn w:val="Standaard"/>
    <w:next w:val="Standaard"/>
    <w:uiPriority w:val="99"/>
    <w:unhideWhenUsed/>
    <w:rsid w:val="00A937BC"/>
    <w:pPr>
      <w:spacing w:after="0"/>
    </w:pPr>
  </w:style>
  <w:style w:type="character" w:styleId="Nadruk">
    <w:name w:val="Emphasis"/>
    <w:basedOn w:val="Standaardalinea-lettertype"/>
    <w:uiPriority w:val="20"/>
    <w:qFormat/>
    <w:rsid w:val="003952AC"/>
    <w:rPr>
      <w:b/>
      <w:bCs/>
      <w:i w:val="0"/>
      <w:iCs w:val="0"/>
    </w:rPr>
  </w:style>
  <w:style w:type="character" w:styleId="GevolgdeHyperlink">
    <w:name w:val="FollowedHyperlink"/>
    <w:basedOn w:val="Standaardalinea-lettertype"/>
    <w:uiPriority w:val="99"/>
    <w:semiHidden/>
    <w:unhideWhenUsed/>
    <w:rsid w:val="00A43E23"/>
    <w:rPr>
      <w:color w:val="800080" w:themeColor="followedHyperlink"/>
      <w:u w:val="single"/>
    </w:rPr>
  </w:style>
  <w:style w:type="character" w:styleId="Tekstvantijdelijkeaanduiding">
    <w:name w:val="Placeholder Text"/>
    <w:basedOn w:val="Standaardalinea-lettertype"/>
    <w:uiPriority w:val="99"/>
    <w:semiHidden/>
    <w:rsid w:val="00665EEA"/>
    <w:rPr>
      <w:color w:val="808080"/>
    </w:rPr>
  </w:style>
  <w:style w:type="paragraph" w:styleId="Revisie">
    <w:name w:val="Revision"/>
    <w:hidden/>
    <w:uiPriority w:val="99"/>
    <w:semiHidden/>
    <w:rsid w:val="00395E6F"/>
    <w:pPr>
      <w:spacing w:after="0" w:line="240" w:lineRule="auto"/>
    </w:pPr>
  </w:style>
  <w:style w:type="paragraph" w:styleId="Documentstructuur">
    <w:name w:val="Document Map"/>
    <w:basedOn w:val="Standaard"/>
    <w:link w:val="DocumentstructuurChar"/>
    <w:uiPriority w:val="99"/>
    <w:semiHidden/>
    <w:unhideWhenUsed/>
    <w:rsid w:val="00DA218C"/>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DA218C"/>
    <w:rPr>
      <w:rFonts w:ascii="Tahoma" w:hAnsi="Tahoma" w:cs="Tahoma"/>
      <w:sz w:val="16"/>
      <w:szCs w:val="16"/>
    </w:rPr>
  </w:style>
  <w:style w:type="paragraph" w:styleId="Lijstalinea">
    <w:name w:val="List Paragraph"/>
    <w:basedOn w:val="Standaard"/>
    <w:uiPriority w:val="34"/>
    <w:qFormat/>
    <w:rsid w:val="00F33CCD"/>
    <w:pPr>
      <w:ind w:left="720"/>
      <w:contextualSpacing/>
    </w:pPr>
  </w:style>
  <w:style w:type="paragraph" w:styleId="Normaalweb">
    <w:name w:val="Normal (Web)"/>
    <w:basedOn w:val="Standaard"/>
    <w:uiPriority w:val="99"/>
    <w:semiHidden/>
    <w:unhideWhenUsed/>
    <w:rsid w:val="00A606DC"/>
    <w:rPr>
      <w:rFonts w:ascii="Times New Roman" w:hAnsi="Times New Roman" w:cs="Times New Roman"/>
      <w:sz w:val="24"/>
      <w:szCs w:val="24"/>
    </w:rPr>
  </w:style>
  <w:style w:type="table" w:styleId="Tabelraster">
    <w:name w:val="Table Grid"/>
    <w:basedOn w:val="Standaardtabel"/>
    <w:uiPriority w:val="59"/>
    <w:rsid w:val="00F62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437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Subtielebenadrukking">
    <w:name w:val="Subtle Emphasis"/>
    <w:basedOn w:val="Standaardalinea-lettertype"/>
    <w:uiPriority w:val="19"/>
    <w:qFormat/>
    <w:rsid w:val="00D55B03"/>
    <w:rPr>
      <w:i/>
      <w:iCs/>
      <w:color w:val="808080" w:themeColor="text1" w:themeTint="7F"/>
    </w:rPr>
  </w:style>
  <w:style w:type="paragraph" w:customStyle="1" w:styleId="DecimalAligned">
    <w:name w:val="Decimal Aligned"/>
    <w:basedOn w:val="Standaard"/>
    <w:uiPriority w:val="40"/>
    <w:qFormat/>
    <w:rsid w:val="005C3E83"/>
    <w:pPr>
      <w:tabs>
        <w:tab w:val="decimal" w:pos="360"/>
      </w:tabs>
    </w:pPr>
  </w:style>
  <w:style w:type="table" w:customStyle="1" w:styleId="Lichtearcering-accent11">
    <w:name w:val="Lichte arcering - accent 11"/>
    <w:basedOn w:val="Standaardtabel"/>
    <w:uiPriority w:val="60"/>
    <w:rsid w:val="005C3E8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chtearcering1">
    <w:name w:val="Lichte arcering1"/>
    <w:basedOn w:val="Standaardtabel"/>
    <w:uiPriority w:val="60"/>
    <w:rsid w:val="005C3E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emiddeldelijst2-accent1">
    <w:name w:val="Medium List 2 Accent 1"/>
    <w:basedOn w:val="Standaardtabel"/>
    <w:uiPriority w:val="66"/>
    <w:rsid w:val="00A520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verwijzing">
    <w:name w:val="Intense Reference"/>
    <w:basedOn w:val="Standaardalinea-lettertype"/>
    <w:uiPriority w:val="32"/>
    <w:qFormat/>
    <w:rsid w:val="005B09EB"/>
    <w:rPr>
      <w:b/>
      <w:bCs/>
      <w:smallCaps/>
      <w:color w:val="C0504D" w:themeColor="accent2"/>
      <w:spacing w:val="5"/>
      <w:u w:val="single"/>
    </w:rPr>
  </w:style>
  <w:style w:type="character" w:customStyle="1" w:styleId="symbol">
    <w:name w:val="symbol"/>
    <w:basedOn w:val="Standaardalinea-lettertype"/>
    <w:rsid w:val="004332CB"/>
  </w:style>
</w:styles>
</file>

<file path=word/webSettings.xml><?xml version="1.0" encoding="utf-8"?>
<w:webSettings xmlns:r="http://schemas.openxmlformats.org/officeDocument/2006/relationships" xmlns:w="http://schemas.openxmlformats.org/wordprocessingml/2006/main">
  <w:divs>
    <w:div w:id="23948343">
      <w:bodyDiv w:val="1"/>
      <w:marLeft w:val="0"/>
      <w:marRight w:val="0"/>
      <w:marTop w:val="0"/>
      <w:marBottom w:val="0"/>
      <w:divBdr>
        <w:top w:val="none" w:sz="0" w:space="0" w:color="auto"/>
        <w:left w:val="none" w:sz="0" w:space="0" w:color="auto"/>
        <w:bottom w:val="none" w:sz="0" w:space="0" w:color="auto"/>
        <w:right w:val="none" w:sz="0" w:space="0" w:color="auto"/>
      </w:divBdr>
    </w:div>
    <w:div w:id="45615643">
      <w:bodyDiv w:val="1"/>
      <w:marLeft w:val="0"/>
      <w:marRight w:val="0"/>
      <w:marTop w:val="0"/>
      <w:marBottom w:val="0"/>
      <w:divBdr>
        <w:top w:val="none" w:sz="0" w:space="0" w:color="auto"/>
        <w:left w:val="none" w:sz="0" w:space="0" w:color="auto"/>
        <w:bottom w:val="none" w:sz="0" w:space="0" w:color="auto"/>
        <w:right w:val="none" w:sz="0" w:space="0" w:color="auto"/>
      </w:divBdr>
    </w:div>
    <w:div w:id="71200265">
      <w:bodyDiv w:val="1"/>
      <w:marLeft w:val="0"/>
      <w:marRight w:val="0"/>
      <w:marTop w:val="0"/>
      <w:marBottom w:val="0"/>
      <w:divBdr>
        <w:top w:val="none" w:sz="0" w:space="0" w:color="auto"/>
        <w:left w:val="none" w:sz="0" w:space="0" w:color="auto"/>
        <w:bottom w:val="none" w:sz="0" w:space="0" w:color="auto"/>
        <w:right w:val="none" w:sz="0" w:space="0" w:color="auto"/>
      </w:divBdr>
    </w:div>
    <w:div w:id="114637318">
      <w:bodyDiv w:val="1"/>
      <w:marLeft w:val="0"/>
      <w:marRight w:val="0"/>
      <w:marTop w:val="0"/>
      <w:marBottom w:val="0"/>
      <w:divBdr>
        <w:top w:val="none" w:sz="0" w:space="0" w:color="auto"/>
        <w:left w:val="none" w:sz="0" w:space="0" w:color="auto"/>
        <w:bottom w:val="none" w:sz="0" w:space="0" w:color="auto"/>
        <w:right w:val="none" w:sz="0" w:space="0" w:color="auto"/>
      </w:divBdr>
      <w:divsChild>
        <w:div w:id="1082601512">
          <w:marLeft w:val="0"/>
          <w:marRight w:val="0"/>
          <w:marTop w:val="0"/>
          <w:marBottom w:val="0"/>
          <w:divBdr>
            <w:top w:val="none" w:sz="0" w:space="0" w:color="auto"/>
            <w:left w:val="single" w:sz="8" w:space="9" w:color="D3E1F9"/>
            <w:bottom w:val="none" w:sz="0" w:space="0" w:color="auto"/>
            <w:right w:val="none" w:sz="0" w:space="0" w:color="auto"/>
          </w:divBdr>
          <w:divsChild>
            <w:div w:id="117796977">
              <w:marLeft w:val="0"/>
              <w:marRight w:val="0"/>
              <w:marTop w:val="0"/>
              <w:marBottom w:val="0"/>
              <w:divBdr>
                <w:top w:val="none" w:sz="0" w:space="0" w:color="auto"/>
                <w:left w:val="none" w:sz="0" w:space="0" w:color="auto"/>
                <w:bottom w:val="none" w:sz="0" w:space="0" w:color="auto"/>
                <w:right w:val="none" w:sz="0" w:space="0" w:color="auto"/>
              </w:divBdr>
              <w:divsChild>
                <w:div w:id="100775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7696">
      <w:bodyDiv w:val="1"/>
      <w:marLeft w:val="0"/>
      <w:marRight w:val="0"/>
      <w:marTop w:val="0"/>
      <w:marBottom w:val="0"/>
      <w:divBdr>
        <w:top w:val="none" w:sz="0" w:space="0" w:color="auto"/>
        <w:left w:val="none" w:sz="0" w:space="0" w:color="auto"/>
        <w:bottom w:val="none" w:sz="0" w:space="0" w:color="auto"/>
        <w:right w:val="none" w:sz="0" w:space="0" w:color="auto"/>
      </w:divBdr>
    </w:div>
    <w:div w:id="166871135">
      <w:bodyDiv w:val="1"/>
      <w:marLeft w:val="0"/>
      <w:marRight w:val="0"/>
      <w:marTop w:val="0"/>
      <w:marBottom w:val="0"/>
      <w:divBdr>
        <w:top w:val="none" w:sz="0" w:space="0" w:color="auto"/>
        <w:left w:val="none" w:sz="0" w:space="0" w:color="auto"/>
        <w:bottom w:val="none" w:sz="0" w:space="0" w:color="auto"/>
        <w:right w:val="none" w:sz="0" w:space="0" w:color="auto"/>
      </w:divBdr>
      <w:divsChild>
        <w:div w:id="989137824">
          <w:marLeft w:val="0"/>
          <w:marRight w:val="0"/>
          <w:marTop w:val="0"/>
          <w:marBottom w:val="0"/>
          <w:divBdr>
            <w:top w:val="none" w:sz="0" w:space="0" w:color="auto"/>
            <w:left w:val="none" w:sz="0" w:space="0" w:color="auto"/>
            <w:bottom w:val="none" w:sz="0" w:space="0" w:color="auto"/>
            <w:right w:val="none" w:sz="0" w:space="0" w:color="auto"/>
          </w:divBdr>
          <w:divsChild>
            <w:div w:id="294526746">
              <w:marLeft w:val="3000"/>
              <w:marRight w:val="3000"/>
              <w:marTop w:val="0"/>
              <w:marBottom w:val="0"/>
              <w:divBdr>
                <w:top w:val="none" w:sz="0" w:space="0" w:color="auto"/>
                <w:left w:val="none" w:sz="0" w:space="0" w:color="auto"/>
                <w:bottom w:val="none" w:sz="0" w:space="0" w:color="auto"/>
                <w:right w:val="none" w:sz="0" w:space="0" w:color="auto"/>
              </w:divBdr>
              <w:divsChild>
                <w:div w:id="16728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9607">
      <w:bodyDiv w:val="1"/>
      <w:marLeft w:val="0"/>
      <w:marRight w:val="0"/>
      <w:marTop w:val="0"/>
      <w:marBottom w:val="0"/>
      <w:divBdr>
        <w:top w:val="none" w:sz="0" w:space="0" w:color="auto"/>
        <w:left w:val="none" w:sz="0" w:space="0" w:color="auto"/>
        <w:bottom w:val="none" w:sz="0" w:space="0" w:color="auto"/>
        <w:right w:val="none" w:sz="0" w:space="0" w:color="auto"/>
      </w:divBdr>
    </w:div>
    <w:div w:id="172107436">
      <w:bodyDiv w:val="1"/>
      <w:marLeft w:val="0"/>
      <w:marRight w:val="0"/>
      <w:marTop w:val="0"/>
      <w:marBottom w:val="0"/>
      <w:divBdr>
        <w:top w:val="none" w:sz="0" w:space="0" w:color="auto"/>
        <w:left w:val="none" w:sz="0" w:space="0" w:color="auto"/>
        <w:bottom w:val="none" w:sz="0" w:space="0" w:color="auto"/>
        <w:right w:val="none" w:sz="0" w:space="0" w:color="auto"/>
      </w:divBdr>
    </w:div>
    <w:div w:id="176237324">
      <w:bodyDiv w:val="1"/>
      <w:marLeft w:val="0"/>
      <w:marRight w:val="0"/>
      <w:marTop w:val="0"/>
      <w:marBottom w:val="0"/>
      <w:divBdr>
        <w:top w:val="none" w:sz="0" w:space="0" w:color="auto"/>
        <w:left w:val="none" w:sz="0" w:space="0" w:color="auto"/>
        <w:bottom w:val="none" w:sz="0" w:space="0" w:color="auto"/>
        <w:right w:val="none" w:sz="0" w:space="0" w:color="auto"/>
      </w:divBdr>
    </w:div>
    <w:div w:id="196892552">
      <w:bodyDiv w:val="1"/>
      <w:marLeft w:val="0"/>
      <w:marRight w:val="0"/>
      <w:marTop w:val="0"/>
      <w:marBottom w:val="0"/>
      <w:divBdr>
        <w:top w:val="none" w:sz="0" w:space="0" w:color="auto"/>
        <w:left w:val="none" w:sz="0" w:space="0" w:color="auto"/>
        <w:bottom w:val="none" w:sz="0" w:space="0" w:color="auto"/>
        <w:right w:val="none" w:sz="0" w:space="0" w:color="auto"/>
      </w:divBdr>
    </w:div>
    <w:div w:id="258566359">
      <w:bodyDiv w:val="1"/>
      <w:marLeft w:val="0"/>
      <w:marRight w:val="0"/>
      <w:marTop w:val="0"/>
      <w:marBottom w:val="0"/>
      <w:divBdr>
        <w:top w:val="none" w:sz="0" w:space="0" w:color="auto"/>
        <w:left w:val="none" w:sz="0" w:space="0" w:color="auto"/>
        <w:bottom w:val="none" w:sz="0" w:space="0" w:color="auto"/>
        <w:right w:val="none" w:sz="0" w:space="0" w:color="auto"/>
      </w:divBdr>
    </w:div>
    <w:div w:id="286591426">
      <w:bodyDiv w:val="1"/>
      <w:marLeft w:val="0"/>
      <w:marRight w:val="0"/>
      <w:marTop w:val="0"/>
      <w:marBottom w:val="0"/>
      <w:divBdr>
        <w:top w:val="none" w:sz="0" w:space="0" w:color="auto"/>
        <w:left w:val="none" w:sz="0" w:space="0" w:color="auto"/>
        <w:bottom w:val="none" w:sz="0" w:space="0" w:color="auto"/>
        <w:right w:val="none" w:sz="0" w:space="0" w:color="auto"/>
      </w:divBdr>
    </w:div>
    <w:div w:id="317196012">
      <w:bodyDiv w:val="1"/>
      <w:marLeft w:val="0"/>
      <w:marRight w:val="0"/>
      <w:marTop w:val="0"/>
      <w:marBottom w:val="0"/>
      <w:divBdr>
        <w:top w:val="none" w:sz="0" w:space="0" w:color="auto"/>
        <w:left w:val="none" w:sz="0" w:space="0" w:color="auto"/>
        <w:bottom w:val="none" w:sz="0" w:space="0" w:color="auto"/>
        <w:right w:val="none" w:sz="0" w:space="0" w:color="auto"/>
      </w:divBdr>
      <w:divsChild>
        <w:div w:id="522286008">
          <w:marLeft w:val="0"/>
          <w:marRight w:val="0"/>
          <w:marTop w:val="0"/>
          <w:marBottom w:val="0"/>
          <w:divBdr>
            <w:top w:val="single" w:sz="6" w:space="2" w:color="6B90DA"/>
            <w:left w:val="none" w:sz="0" w:space="0" w:color="auto"/>
            <w:bottom w:val="none" w:sz="0" w:space="0" w:color="auto"/>
            <w:right w:val="none" w:sz="0" w:space="0" w:color="auto"/>
          </w:divBdr>
        </w:div>
      </w:divsChild>
    </w:div>
    <w:div w:id="320550181">
      <w:bodyDiv w:val="1"/>
      <w:marLeft w:val="0"/>
      <w:marRight w:val="0"/>
      <w:marTop w:val="0"/>
      <w:marBottom w:val="0"/>
      <w:divBdr>
        <w:top w:val="none" w:sz="0" w:space="0" w:color="auto"/>
        <w:left w:val="none" w:sz="0" w:space="0" w:color="auto"/>
        <w:bottom w:val="none" w:sz="0" w:space="0" w:color="auto"/>
        <w:right w:val="none" w:sz="0" w:space="0" w:color="auto"/>
      </w:divBdr>
    </w:div>
    <w:div w:id="326641933">
      <w:bodyDiv w:val="1"/>
      <w:marLeft w:val="0"/>
      <w:marRight w:val="0"/>
      <w:marTop w:val="0"/>
      <w:marBottom w:val="0"/>
      <w:divBdr>
        <w:top w:val="none" w:sz="0" w:space="0" w:color="auto"/>
        <w:left w:val="none" w:sz="0" w:space="0" w:color="auto"/>
        <w:bottom w:val="none" w:sz="0" w:space="0" w:color="auto"/>
        <w:right w:val="none" w:sz="0" w:space="0" w:color="auto"/>
      </w:divBdr>
    </w:div>
    <w:div w:id="381103835">
      <w:bodyDiv w:val="1"/>
      <w:marLeft w:val="0"/>
      <w:marRight w:val="0"/>
      <w:marTop w:val="0"/>
      <w:marBottom w:val="0"/>
      <w:divBdr>
        <w:top w:val="none" w:sz="0" w:space="0" w:color="auto"/>
        <w:left w:val="none" w:sz="0" w:space="0" w:color="auto"/>
        <w:bottom w:val="none" w:sz="0" w:space="0" w:color="auto"/>
        <w:right w:val="none" w:sz="0" w:space="0" w:color="auto"/>
      </w:divBdr>
    </w:div>
    <w:div w:id="383022173">
      <w:bodyDiv w:val="1"/>
      <w:marLeft w:val="0"/>
      <w:marRight w:val="0"/>
      <w:marTop w:val="0"/>
      <w:marBottom w:val="0"/>
      <w:divBdr>
        <w:top w:val="none" w:sz="0" w:space="0" w:color="auto"/>
        <w:left w:val="none" w:sz="0" w:space="0" w:color="auto"/>
        <w:bottom w:val="none" w:sz="0" w:space="0" w:color="auto"/>
        <w:right w:val="none" w:sz="0" w:space="0" w:color="auto"/>
      </w:divBdr>
    </w:div>
    <w:div w:id="474565145">
      <w:bodyDiv w:val="1"/>
      <w:marLeft w:val="0"/>
      <w:marRight w:val="0"/>
      <w:marTop w:val="0"/>
      <w:marBottom w:val="0"/>
      <w:divBdr>
        <w:top w:val="none" w:sz="0" w:space="0" w:color="auto"/>
        <w:left w:val="none" w:sz="0" w:space="0" w:color="auto"/>
        <w:bottom w:val="none" w:sz="0" w:space="0" w:color="auto"/>
        <w:right w:val="none" w:sz="0" w:space="0" w:color="auto"/>
      </w:divBdr>
    </w:div>
    <w:div w:id="478497968">
      <w:bodyDiv w:val="1"/>
      <w:marLeft w:val="0"/>
      <w:marRight w:val="0"/>
      <w:marTop w:val="0"/>
      <w:marBottom w:val="0"/>
      <w:divBdr>
        <w:top w:val="none" w:sz="0" w:space="0" w:color="auto"/>
        <w:left w:val="none" w:sz="0" w:space="0" w:color="auto"/>
        <w:bottom w:val="none" w:sz="0" w:space="0" w:color="auto"/>
        <w:right w:val="none" w:sz="0" w:space="0" w:color="auto"/>
      </w:divBdr>
    </w:div>
    <w:div w:id="484275676">
      <w:bodyDiv w:val="1"/>
      <w:marLeft w:val="0"/>
      <w:marRight w:val="0"/>
      <w:marTop w:val="0"/>
      <w:marBottom w:val="0"/>
      <w:divBdr>
        <w:top w:val="none" w:sz="0" w:space="0" w:color="auto"/>
        <w:left w:val="none" w:sz="0" w:space="0" w:color="auto"/>
        <w:bottom w:val="none" w:sz="0" w:space="0" w:color="auto"/>
        <w:right w:val="none" w:sz="0" w:space="0" w:color="auto"/>
      </w:divBdr>
    </w:div>
    <w:div w:id="538398121">
      <w:bodyDiv w:val="1"/>
      <w:marLeft w:val="0"/>
      <w:marRight w:val="0"/>
      <w:marTop w:val="0"/>
      <w:marBottom w:val="0"/>
      <w:divBdr>
        <w:top w:val="none" w:sz="0" w:space="0" w:color="auto"/>
        <w:left w:val="none" w:sz="0" w:space="0" w:color="auto"/>
        <w:bottom w:val="none" w:sz="0" w:space="0" w:color="auto"/>
        <w:right w:val="none" w:sz="0" w:space="0" w:color="auto"/>
      </w:divBdr>
      <w:divsChild>
        <w:div w:id="631252902">
          <w:marLeft w:val="0"/>
          <w:marRight w:val="0"/>
          <w:marTop w:val="0"/>
          <w:marBottom w:val="0"/>
          <w:divBdr>
            <w:top w:val="none" w:sz="0" w:space="0" w:color="auto"/>
            <w:left w:val="none" w:sz="0" w:space="0" w:color="auto"/>
            <w:bottom w:val="none" w:sz="0" w:space="0" w:color="auto"/>
            <w:right w:val="none" w:sz="0" w:space="0" w:color="auto"/>
          </w:divBdr>
          <w:divsChild>
            <w:div w:id="358433544">
              <w:marLeft w:val="0"/>
              <w:marRight w:val="0"/>
              <w:marTop w:val="0"/>
              <w:marBottom w:val="0"/>
              <w:divBdr>
                <w:top w:val="none" w:sz="0" w:space="0" w:color="auto"/>
                <w:left w:val="none" w:sz="0" w:space="0" w:color="auto"/>
                <w:bottom w:val="none" w:sz="0" w:space="0" w:color="auto"/>
                <w:right w:val="none" w:sz="0" w:space="0" w:color="auto"/>
              </w:divBdr>
              <w:divsChild>
                <w:div w:id="52893731">
                  <w:marLeft w:val="0"/>
                  <w:marRight w:val="0"/>
                  <w:marTop w:val="0"/>
                  <w:marBottom w:val="0"/>
                  <w:divBdr>
                    <w:top w:val="none" w:sz="0" w:space="0" w:color="auto"/>
                    <w:left w:val="none" w:sz="0" w:space="0" w:color="auto"/>
                    <w:bottom w:val="none" w:sz="0" w:space="0" w:color="auto"/>
                    <w:right w:val="none" w:sz="0" w:space="0" w:color="auto"/>
                  </w:divBdr>
                  <w:divsChild>
                    <w:div w:id="1835099130">
                      <w:marLeft w:val="0"/>
                      <w:marRight w:val="0"/>
                      <w:marTop w:val="0"/>
                      <w:marBottom w:val="0"/>
                      <w:divBdr>
                        <w:top w:val="none" w:sz="0" w:space="0" w:color="auto"/>
                        <w:left w:val="none" w:sz="0" w:space="0" w:color="auto"/>
                        <w:bottom w:val="none" w:sz="0" w:space="0" w:color="auto"/>
                        <w:right w:val="none" w:sz="0" w:space="0" w:color="auto"/>
                      </w:divBdr>
                      <w:divsChild>
                        <w:div w:id="311297190">
                          <w:marLeft w:val="0"/>
                          <w:marRight w:val="0"/>
                          <w:marTop w:val="0"/>
                          <w:marBottom w:val="0"/>
                          <w:divBdr>
                            <w:top w:val="none" w:sz="0" w:space="0" w:color="auto"/>
                            <w:left w:val="none" w:sz="0" w:space="0" w:color="auto"/>
                            <w:bottom w:val="none" w:sz="0" w:space="0" w:color="auto"/>
                            <w:right w:val="none" w:sz="0" w:space="0" w:color="auto"/>
                          </w:divBdr>
                          <w:divsChild>
                            <w:div w:id="868183368">
                              <w:marLeft w:val="0"/>
                              <w:marRight w:val="0"/>
                              <w:marTop w:val="0"/>
                              <w:marBottom w:val="0"/>
                              <w:divBdr>
                                <w:top w:val="none" w:sz="0" w:space="0" w:color="auto"/>
                                <w:left w:val="none" w:sz="0" w:space="0" w:color="auto"/>
                                <w:bottom w:val="none" w:sz="0" w:space="0" w:color="auto"/>
                                <w:right w:val="none" w:sz="0" w:space="0" w:color="auto"/>
                              </w:divBdr>
                              <w:divsChild>
                                <w:div w:id="226913619">
                                  <w:marLeft w:val="0"/>
                                  <w:marRight w:val="0"/>
                                  <w:marTop w:val="0"/>
                                  <w:marBottom w:val="0"/>
                                  <w:divBdr>
                                    <w:top w:val="single" w:sz="8" w:space="0" w:color="F5F5F5"/>
                                    <w:left w:val="single" w:sz="8" w:space="0" w:color="F5F5F5"/>
                                    <w:bottom w:val="single" w:sz="8" w:space="0" w:color="F5F5F5"/>
                                    <w:right w:val="single" w:sz="8" w:space="0" w:color="F5F5F5"/>
                                  </w:divBdr>
                                  <w:divsChild>
                                    <w:div w:id="1303001779">
                                      <w:marLeft w:val="0"/>
                                      <w:marRight w:val="0"/>
                                      <w:marTop w:val="0"/>
                                      <w:marBottom w:val="0"/>
                                      <w:divBdr>
                                        <w:top w:val="none" w:sz="0" w:space="0" w:color="auto"/>
                                        <w:left w:val="none" w:sz="0" w:space="0" w:color="auto"/>
                                        <w:bottom w:val="none" w:sz="0" w:space="0" w:color="auto"/>
                                        <w:right w:val="none" w:sz="0" w:space="0" w:color="auto"/>
                                      </w:divBdr>
                                      <w:divsChild>
                                        <w:div w:id="2401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621937">
      <w:bodyDiv w:val="1"/>
      <w:marLeft w:val="0"/>
      <w:marRight w:val="0"/>
      <w:marTop w:val="0"/>
      <w:marBottom w:val="0"/>
      <w:divBdr>
        <w:top w:val="none" w:sz="0" w:space="0" w:color="auto"/>
        <w:left w:val="none" w:sz="0" w:space="0" w:color="auto"/>
        <w:bottom w:val="none" w:sz="0" w:space="0" w:color="auto"/>
        <w:right w:val="none" w:sz="0" w:space="0" w:color="auto"/>
      </w:divBdr>
    </w:div>
    <w:div w:id="640843548">
      <w:bodyDiv w:val="1"/>
      <w:marLeft w:val="0"/>
      <w:marRight w:val="0"/>
      <w:marTop w:val="0"/>
      <w:marBottom w:val="0"/>
      <w:divBdr>
        <w:top w:val="none" w:sz="0" w:space="0" w:color="auto"/>
        <w:left w:val="none" w:sz="0" w:space="0" w:color="auto"/>
        <w:bottom w:val="none" w:sz="0" w:space="0" w:color="auto"/>
        <w:right w:val="none" w:sz="0" w:space="0" w:color="auto"/>
      </w:divBdr>
    </w:div>
    <w:div w:id="706296824">
      <w:bodyDiv w:val="1"/>
      <w:marLeft w:val="0"/>
      <w:marRight w:val="0"/>
      <w:marTop w:val="0"/>
      <w:marBottom w:val="0"/>
      <w:divBdr>
        <w:top w:val="none" w:sz="0" w:space="0" w:color="auto"/>
        <w:left w:val="none" w:sz="0" w:space="0" w:color="auto"/>
        <w:bottom w:val="none" w:sz="0" w:space="0" w:color="auto"/>
        <w:right w:val="none" w:sz="0" w:space="0" w:color="auto"/>
      </w:divBdr>
    </w:div>
    <w:div w:id="786048310">
      <w:bodyDiv w:val="1"/>
      <w:marLeft w:val="0"/>
      <w:marRight w:val="0"/>
      <w:marTop w:val="0"/>
      <w:marBottom w:val="0"/>
      <w:divBdr>
        <w:top w:val="none" w:sz="0" w:space="0" w:color="auto"/>
        <w:left w:val="none" w:sz="0" w:space="0" w:color="auto"/>
        <w:bottom w:val="none" w:sz="0" w:space="0" w:color="auto"/>
        <w:right w:val="none" w:sz="0" w:space="0" w:color="auto"/>
      </w:divBdr>
    </w:div>
    <w:div w:id="815029333">
      <w:bodyDiv w:val="1"/>
      <w:marLeft w:val="0"/>
      <w:marRight w:val="0"/>
      <w:marTop w:val="0"/>
      <w:marBottom w:val="0"/>
      <w:divBdr>
        <w:top w:val="none" w:sz="0" w:space="0" w:color="auto"/>
        <w:left w:val="none" w:sz="0" w:space="0" w:color="auto"/>
        <w:bottom w:val="none" w:sz="0" w:space="0" w:color="auto"/>
        <w:right w:val="none" w:sz="0" w:space="0" w:color="auto"/>
      </w:divBdr>
    </w:div>
    <w:div w:id="853959399">
      <w:bodyDiv w:val="1"/>
      <w:marLeft w:val="0"/>
      <w:marRight w:val="0"/>
      <w:marTop w:val="0"/>
      <w:marBottom w:val="0"/>
      <w:divBdr>
        <w:top w:val="none" w:sz="0" w:space="0" w:color="auto"/>
        <w:left w:val="none" w:sz="0" w:space="0" w:color="auto"/>
        <w:bottom w:val="none" w:sz="0" w:space="0" w:color="auto"/>
        <w:right w:val="none" w:sz="0" w:space="0" w:color="auto"/>
      </w:divBdr>
    </w:div>
    <w:div w:id="877937276">
      <w:bodyDiv w:val="1"/>
      <w:marLeft w:val="0"/>
      <w:marRight w:val="0"/>
      <w:marTop w:val="0"/>
      <w:marBottom w:val="0"/>
      <w:divBdr>
        <w:top w:val="none" w:sz="0" w:space="0" w:color="auto"/>
        <w:left w:val="none" w:sz="0" w:space="0" w:color="auto"/>
        <w:bottom w:val="none" w:sz="0" w:space="0" w:color="auto"/>
        <w:right w:val="none" w:sz="0" w:space="0" w:color="auto"/>
      </w:divBdr>
      <w:divsChild>
        <w:div w:id="1452047674">
          <w:marLeft w:val="0"/>
          <w:marRight w:val="0"/>
          <w:marTop w:val="0"/>
          <w:marBottom w:val="0"/>
          <w:divBdr>
            <w:top w:val="none" w:sz="0" w:space="0" w:color="auto"/>
            <w:left w:val="none" w:sz="0" w:space="0" w:color="auto"/>
            <w:bottom w:val="none" w:sz="0" w:space="0" w:color="auto"/>
            <w:right w:val="none" w:sz="0" w:space="0" w:color="auto"/>
          </w:divBdr>
          <w:divsChild>
            <w:div w:id="1009017555">
              <w:marLeft w:val="0"/>
              <w:marRight w:val="0"/>
              <w:marTop w:val="0"/>
              <w:marBottom w:val="0"/>
              <w:divBdr>
                <w:top w:val="none" w:sz="0" w:space="0" w:color="auto"/>
                <w:left w:val="none" w:sz="0" w:space="0" w:color="auto"/>
                <w:bottom w:val="none" w:sz="0" w:space="0" w:color="auto"/>
                <w:right w:val="none" w:sz="0" w:space="0" w:color="auto"/>
              </w:divBdr>
              <w:divsChild>
                <w:div w:id="2084989330">
                  <w:marLeft w:val="0"/>
                  <w:marRight w:val="0"/>
                  <w:marTop w:val="0"/>
                  <w:marBottom w:val="0"/>
                  <w:divBdr>
                    <w:top w:val="none" w:sz="0" w:space="0" w:color="auto"/>
                    <w:left w:val="none" w:sz="0" w:space="0" w:color="auto"/>
                    <w:bottom w:val="none" w:sz="0" w:space="0" w:color="auto"/>
                    <w:right w:val="none" w:sz="0" w:space="0" w:color="auto"/>
                  </w:divBdr>
                  <w:divsChild>
                    <w:div w:id="1198005333">
                      <w:marLeft w:val="0"/>
                      <w:marRight w:val="0"/>
                      <w:marTop w:val="0"/>
                      <w:marBottom w:val="0"/>
                      <w:divBdr>
                        <w:top w:val="none" w:sz="0" w:space="0" w:color="auto"/>
                        <w:left w:val="none" w:sz="0" w:space="0" w:color="auto"/>
                        <w:bottom w:val="none" w:sz="0" w:space="0" w:color="auto"/>
                        <w:right w:val="none" w:sz="0" w:space="0" w:color="auto"/>
                      </w:divBdr>
                      <w:divsChild>
                        <w:div w:id="1925455442">
                          <w:marLeft w:val="0"/>
                          <w:marRight w:val="0"/>
                          <w:marTop w:val="0"/>
                          <w:marBottom w:val="0"/>
                          <w:divBdr>
                            <w:top w:val="none" w:sz="0" w:space="0" w:color="auto"/>
                            <w:left w:val="none" w:sz="0" w:space="0" w:color="auto"/>
                            <w:bottom w:val="none" w:sz="0" w:space="0" w:color="auto"/>
                            <w:right w:val="none" w:sz="0" w:space="0" w:color="auto"/>
                          </w:divBdr>
                          <w:divsChild>
                            <w:div w:id="524249809">
                              <w:marLeft w:val="0"/>
                              <w:marRight w:val="0"/>
                              <w:marTop w:val="0"/>
                              <w:marBottom w:val="0"/>
                              <w:divBdr>
                                <w:top w:val="none" w:sz="0" w:space="0" w:color="auto"/>
                                <w:left w:val="none" w:sz="0" w:space="0" w:color="auto"/>
                                <w:bottom w:val="none" w:sz="0" w:space="0" w:color="auto"/>
                                <w:right w:val="none" w:sz="0" w:space="0" w:color="auto"/>
                              </w:divBdr>
                              <w:divsChild>
                                <w:div w:id="13392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80940">
      <w:bodyDiv w:val="1"/>
      <w:marLeft w:val="0"/>
      <w:marRight w:val="0"/>
      <w:marTop w:val="0"/>
      <w:marBottom w:val="0"/>
      <w:divBdr>
        <w:top w:val="none" w:sz="0" w:space="0" w:color="auto"/>
        <w:left w:val="none" w:sz="0" w:space="0" w:color="auto"/>
        <w:bottom w:val="none" w:sz="0" w:space="0" w:color="auto"/>
        <w:right w:val="none" w:sz="0" w:space="0" w:color="auto"/>
      </w:divBdr>
    </w:div>
    <w:div w:id="960496291">
      <w:bodyDiv w:val="1"/>
      <w:marLeft w:val="0"/>
      <w:marRight w:val="0"/>
      <w:marTop w:val="0"/>
      <w:marBottom w:val="0"/>
      <w:divBdr>
        <w:top w:val="none" w:sz="0" w:space="0" w:color="auto"/>
        <w:left w:val="none" w:sz="0" w:space="0" w:color="auto"/>
        <w:bottom w:val="none" w:sz="0" w:space="0" w:color="auto"/>
        <w:right w:val="none" w:sz="0" w:space="0" w:color="auto"/>
      </w:divBdr>
    </w:div>
    <w:div w:id="991179729">
      <w:bodyDiv w:val="1"/>
      <w:marLeft w:val="0"/>
      <w:marRight w:val="0"/>
      <w:marTop w:val="0"/>
      <w:marBottom w:val="0"/>
      <w:divBdr>
        <w:top w:val="none" w:sz="0" w:space="0" w:color="auto"/>
        <w:left w:val="none" w:sz="0" w:space="0" w:color="auto"/>
        <w:bottom w:val="none" w:sz="0" w:space="0" w:color="auto"/>
        <w:right w:val="none" w:sz="0" w:space="0" w:color="auto"/>
      </w:divBdr>
    </w:div>
    <w:div w:id="997072470">
      <w:bodyDiv w:val="1"/>
      <w:marLeft w:val="0"/>
      <w:marRight w:val="0"/>
      <w:marTop w:val="0"/>
      <w:marBottom w:val="0"/>
      <w:divBdr>
        <w:top w:val="none" w:sz="0" w:space="0" w:color="auto"/>
        <w:left w:val="none" w:sz="0" w:space="0" w:color="auto"/>
        <w:bottom w:val="none" w:sz="0" w:space="0" w:color="auto"/>
        <w:right w:val="none" w:sz="0" w:space="0" w:color="auto"/>
      </w:divBdr>
    </w:div>
    <w:div w:id="1082143320">
      <w:bodyDiv w:val="1"/>
      <w:marLeft w:val="0"/>
      <w:marRight w:val="0"/>
      <w:marTop w:val="0"/>
      <w:marBottom w:val="0"/>
      <w:divBdr>
        <w:top w:val="none" w:sz="0" w:space="0" w:color="auto"/>
        <w:left w:val="none" w:sz="0" w:space="0" w:color="auto"/>
        <w:bottom w:val="none" w:sz="0" w:space="0" w:color="auto"/>
        <w:right w:val="none" w:sz="0" w:space="0" w:color="auto"/>
      </w:divBdr>
    </w:div>
    <w:div w:id="1139306415">
      <w:bodyDiv w:val="1"/>
      <w:marLeft w:val="0"/>
      <w:marRight w:val="0"/>
      <w:marTop w:val="0"/>
      <w:marBottom w:val="0"/>
      <w:divBdr>
        <w:top w:val="none" w:sz="0" w:space="0" w:color="auto"/>
        <w:left w:val="none" w:sz="0" w:space="0" w:color="auto"/>
        <w:bottom w:val="none" w:sz="0" w:space="0" w:color="auto"/>
        <w:right w:val="none" w:sz="0" w:space="0" w:color="auto"/>
      </w:divBdr>
    </w:div>
    <w:div w:id="1174492324">
      <w:bodyDiv w:val="1"/>
      <w:marLeft w:val="0"/>
      <w:marRight w:val="0"/>
      <w:marTop w:val="0"/>
      <w:marBottom w:val="0"/>
      <w:divBdr>
        <w:top w:val="none" w:sz="0" w:space="0" w:color="auto"/>
        <w:left w:val="none" w:sz="0" w:space="0" w:color="auto"/>
        <w:bottom w:val="none" w:sz="0" w:space="0" w:color="auto"/>
        <w:right w:val="none" w:sz="0" w:space="0" w:color="auto"/>
      </w:divBdr>
    </w:div>
    <w:div w:id="1200777774">
      <w:bodyDiv w:val="1"/>
      <w:marLeft w:val="0"/>
      <w:marRight w:val="0"/>
      <w:marTop w:val="0"/>
      <w:marBottom w:val="0"/>
      <w:divBdr>
        <w:top w:val="none" w:sz="0" w:space="0" w:color="auto"/>
        <w:left w:val="none" w:sz="0" w:space="0" w:color="auto"/>
        <w:bottom w:val="none" w:sz="0" w:space="0" w:color="auto"/>
        <w:right w:val="none" w:sz="0" w:space="0" w:color="auto"/>
      </w:divBdr>
    </w:div>
    <w:div w:id="1243955777">
      <w:bodyDiv w:val="1"/>
      <w:marLeft w:val="0"/>
      <w:marRight w:val="0"/>
      <w:marTop w:val="0"/>
      <w:marBottom w:val="0"/>
      <w:divBdr>
        <w:top w:val="none" w:sz="0" w:space="0" w:color="auto"/>
        <w:left w:val="none" w:sz="0" w:space="0" w:color="auto"/>
        <w:bottom w:val="none" w:sz="0" w:space="0" w:color="auto"/>
        <w:right w:val="none" w:sz="0" w:space="0" w:color="auto"/>
      </w:divBdr>
    </w:div>
    <w:div w:id="1246305556">
      <w:bodyDiv w:val="1"/>
      <w:marLeft w:val="0"/>
      <w:marRight w:val="0"/>
      <w:marTop w:val="0"/>
      <w:marBottom w:val="0"/>
      <w:divBdr>
        <w:top w:val="none" w:sz="0" w:space="0" w:color="auto"/>
        <w:left w:val="none" w:sz="0" w:space="0" w:color="auto"/>
        <w:bottom w:val="none" w:sz="0" w:space="0" w:color="auto"/>
        <w:right w:val="none" w:sz="0" w:space="0" w:color="auto"/>
      </w:divBdr>
    </w:div>
    <w:div w:id="1269047211">
      <w:bodyDiv w:val="1"/>
      <w:marLeft w:val="0"/>
      <w:marRight w:val="0"/>
      <w:marTop w:val="0"/>
      <w:marBottom w:val="0"/>
      <w:divBdr>
        <w:top w:val="none" w:sz="0" w:space="0" w:color="auto"/>
        <w:left w:val="none" w:sz="0" w:space="0" w:color="auto"/>
        <w:bottom w:val="none" w:sz="0" w:space="0" w:color="auto"/>
        <w:right w:val="none" w:sz="0" w:space="0" w:color="auto"/>
      </w:divBdr>
    </w:div>
    <w:div w:id="1314145482">
      <w:bodyDiv w:val="1"/>
      <w:marLeft w:val="0"/>
      <w:marRight w:val="0"/>
      <w:marTop w:val="0"/>
      <w:marBottom w:val="0"/>
      <w:divBdr>
        <w:top w:val="none" w:sz="0" w:space="0" w:color="auto"/>
        <w:left w:val="none" w:sz="0" w:space="0" w:color="auto"/>
        <w:bottom w:val="none" w:sz="0" w:space="0" w:color="auto"/>
        <w:right w:val="none" w:sz="0" w:space="0" w:color="auto"/>
      </w:divBdr>
    </w:div>
    <w:div w:id="1326786664">
      <w:bodyDiv w:val="1"/>
      <w:marLeft w:val="0"/>
      <w:marRight w:val="0"/>
      <w:marTop w:val="0"/>
      <w:marBottom w:val="0"/>
      <w:divBdr>
        <w:top w:val="none" w:sz="0" w:space="0" w:color="auto"/>
        <w:left w:val="none" w:sz="0" w:space="0" w:color="auto"/>
        <w:bottom w:val="none" w:sz="0" w:space="0" w:color="auto"/>
        <w:right w:val="none" w:sz="0" w:space="0" w:color="auto"/>
      </w:divBdr>
    </w:div>
    <w:div w:id="1340735498">
      <w:bodyDiv w:val="1"/>
      <w:marLeft w:val="0"/>
      <w:marRight w:val="0"/>
      <w:marTop w:val="0"/>
      <w:marBottom w:val="0"/>
      <w:divBdr>
        <w:top w:val="none" w:sz="0" w:space="0" w:color="auto"/>
        <w:left w:val="none" w:sz="0" w:space="0" w:color="auto"/>
        <w:bottom w:val="none" w:sz="0" w:space="0" w:color="auto"/>
        <w:right w:val="none" w:sz="0" w:space="0" w:color="auto"/>
      </w:divBdr>
    </w:div>
    <w:div w:id="1343891670">
      <w:bodyDiv w:val="1"/>
      <w:marLeft w:val="0"/>
      <w:marRight w:val="0"/>
      <w:marTop w:val="0"/>
      <w:marBottom w:val="0"/>
      <w:divBdr>
        <w:top w:val="none" w:sz="0" w:space="0" w:color="auto"/>
        <w:left w:val="none" w:sz="0" w:space="0" w:color="auto"/>
        <w:bottom w:val="none" w:sz="0" w:space="0" w:color="auto"/>
        <w:right w:val="none" w:sz="0" w:space="0" w:color="auto"/>
      </w:divBdr>
      <w:divsChild>
        <w:div w:id="2092969305">
          <w:marLeft w:val="0"/>
          <w:marRight w:val="0"/>
          <w:marTop w:val="0"/>
          <w:marBottom w:val="0"/>
          <w:divBdr>
            <w:top w:val="none" w:sz="0" w:space="0" w:color="auto"/>
            <w:left w:val="none" w:sz="0" w:space="0" w:color="auto"/>
            <w:bottom w:val="none" w:sz="0" w:space="0" w:color="auto"/>
            <w:right w:val="none" w:sz="0" w:space="0" w:color="auto"/>
          </w:divBdr>
          <w:divsChild>
            <w:div w:id="1341666297">
              <w:marLeft w:val="3366"/>
              <w:marRight w:val="0"/>
              <w:marTop w:val="0"/>
              <w:marBottom w:val="0"/>
              <w:divBdr>
                <w:top w:val="none" w:sz="0" w:space="0" w:color="auto"/>
                <w:left w:val="none" w:sz="0" w:space="0" w:color="auto"/>
                <w:bottom w:val="none" w:sz="0" w:space="0" w:color="auto"/>
                <w:right w:val="none" w:sz="0" w:space="0" w:color="auto"/>
              </w:divBdr>
              <w:divsChild>
                <w:div w:id="792091133">
                  <w:marLeft w:val="0"/>
                  <w:marRight w:val="0"/>
                  <w:marTop w:val="0"/>
                  <w:marBottom w:val="0"/>
                  <w:divBdr>
                    <w:top w:val="none" w:sz="0" w:space="0" w:color="auto"/>
                    <w:left w:val="none" w:sz="0" w:space="0" w:color="auto"/>
                    <w:bottom w:val="none" w:sz="0" w:space="0" w:color="auto"/>
                    <w:right w:val="none" w:sz="0" w:space="0" w:color="auto"/>
                  </w:divBdr>
                  <w:divsChild>
                    <w:div w:id="1463501880">
                      <w:marLeft w:val="0"/>
                      <w:marRight w:val="0"/>
                      <w:marTop w:val="0"/>
                      <w:marBottom w:val="0"/>
                      <w:divBdr>
                        <w:top w:val="none" w:sz="0" w:space="0" w:color="auto"/>
                        <w:left w:val="none" w:sz="0" w:space="0" w:color="auto"/>
                        <w:bottom w:val="none" w:sz="0" w:space="0" w:color="auto"/>
                        <w:right w:val="none" w:sz="0" w:space="0" w:color="auto"/>
                      </w:divBdr>
                      <w:divsChild>
                        <w:div w:id="1305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467422">
      <w:bodyDiv w:val="1"/>
      <w:marLeft w:val="0"/>
      <w:marRight w:val="0"/>
      <w:marTop w:val="0"/>
      <w:marBottom w:val="0"/>
      <w:divBdr>
        <w:top w:val="none" w:sz="0" w:space="0" w:color="auto"/>
        <w:left w:val="none" w:sz="0" w:space="0" w:color="auto"/>
        <w:bottom w:val="none" w:sz="0" w:space="0" w:color="auto"/>
        <w:right w:val="none" w:sz="0" w:space="0" w:color="auto"/>
      </w:divBdr>
    </w:div>
    <w:div w:id="1398476584">
      <w:bodyDiv w:val="1"/>
      <w:marLeft w:val="0"/>
      <w:marRight w:val="0"/>
      <w:marTop w:val="0"/>
      <w:marBottom w:val="0"/>
      <w:divBdr>
        <w:top w:val="none" w:sz="0" w:space="0" w:color="auto"/>
        <w:left w:val="none" w:sz="0" w:space="0" w:color="auto"/>
        <w:bottom w:val="none" w:sz="0" w:space="0" w:color="auto"/>
        <w:right w:val="none" w:sz="0" w:space="0" w:color="auto"/>
      </w:divBdr>
    </w:div>
    <w:div w:id="1428699767">
      <w:bodyDiv w:val="1"/>
      <w:marLeft w:val="0"/>
      <w:marRight w:val="0"/>
      <w:marTop w:val="0"/>
      <w:marBottom w:val="0"/>
      <w:divBdr>
        <w:top w:val="none" w:sz="0" w:space="0" w:color="auto"/>
        <w:left w:val="none" w:sz="0" w:space="0" w:color="auto"/>
        <w:bottom w:val="none" w:sz="0" w:space="0" w:color="auto"/>
        <w:right w:val="none" w:sz="0" w:space="0" w:color="auto"/>
      </w:divBdr>
    </w:div>
    <w:div w:id="1506164788">
      <w:bodyDiv w:val="1"/>
      <w:marLeft w:val="0"/>
      <w:marRight w:val="0"/>
      <w:marTop w:val="0"/>
      <w:marBottom w:val="0"/>
      <w:divBdr>
        <w:top w:val="none" w:sz="0" w:space="0" w:color="auto"/>
        <w:left w:val="none" w:sz="0" w:space="0" w:color="auto"/>
        <w:bottom w:val="none" w:sz="0" w:space="0" w:color="auto"/>
        <w:right w:val="none" w:sz="0" w:space="0" w:color="auto"/>
      </w:divBdr>
    </w:div>
    <w:div w:id="1506939954">
      <w:bodyDiv w:val="1"/>
      <w:marLeft w:val="0"/>
      <w:marRight w:val="0"/>
      <w:marTop w:val="0"/>
      <w:marBottom w:val="0"/>
      <w:divBdr>
        <w:top w:val="none" w:sz="0" w:space="0" w:color="auto"/>
        <w:left w:val="none" w:sz="0" w:space="0" w:color="auto"/>
        <w:bottom w:val="none" w:sz="0" w:space="0" w:color="auto"/>
        <w:right w:val="none" w:sz="0" w:space="0" w:color="auto"/>
      </w:divBdr>
    </w:div>
    <w:div w:id="1530797816">
      <w:bodyDiv w:val="1"/>
      <w:marLeft w:val="0"/>
      <w:marRight w:val="0"/>
      <w:marTop w:val="0"/>
      <w:marBottom w:val="0"/>
      <w:divBdr>
        <w:top w:val="none" w:sz="0" w:space="0" w:color="auto"/>
        <w:left w:val="none" w:sz="0" w:space="0" w:color="auto"/>
        <w:bottom w:val="none" w:sz="0" w:space="0" w:color="auto"/>
        <w:right w:val="none" w:sz="0" w:space="0" w:color="auto"/>
      </w:divBdr>
    </w:div>
    <w:div w:id="1544634318">
      <w:bodyDiv w:val="1"/>
      <w:marLeft w:val="0"/>
      <w:marRight w:val="0"/>
      <w:marTop w:val="0"/>
      <w:marBottom w:val="0"/>
      <w:divBdr>
        <w:top w:val="none" w:sz="0" w:space="0" w:color="auto"/>
        <w:left w:val="none" w:sz="0" w:space="0" w:color="auto"/>
        <w:bottom w:val="none" w:sz="0" w:space="0" w:color="auto"/>
        <w:right w:val="none" w:sz="0" w:space="0" w:color="auto"/>
      </w:divBdr>
    </w:div>
    <w:div w:id="1556547201">
      <w:bodyDiv w:val="1"/>
      <w:marLeft w:val="0"/>
      <w:marRight w:val="0"/>
      <w:marTop w:val="0"/>
      <w:marBottom w:val="0"/>
      <w:divBdr>
        <w:top w:val="none" w:sz="0" w:space="0" w:color="auto"/>
        <w:left w:val="none" w:sz="0" w:space="0" w:color="auto"/>
        <w:bottom w:val="none" w:sz="0" w:space="0" w:color="auto"/>
        <w:right w:val="none" w:sz="0" w:space="0" w:color="auto"/>
      </w:divBdr>
    </w:div>
    <w:div w:id="1587229628">
      <w:bodyDiv w:val="1"/>
      <w:marLeft w:val="0"/>
      <w:marRight w:val="0"/>
      <w:marTop w:val="0"/>
      <w:marBottom w:val="0"/>
      <w:divBdr>
        <w:top w:val="none" w:sz="0" w:space="0" w:color="auto"/>
        <w:left w:val="none" w:sz="0" w:space="0" w:color="auto"/>
        <w:bottom w:val="none" w:sz="0" w:space="0" w:color="auto"/>
        <w:right w:val="none" w:sz="0" w:space="0" w:color="auto"/>
      </w:divBdr>
    </w:div>
    <w:div w:id="1592157315">
      <w:bodyDiv w:val="1"/>
      <w:marLeft w:val="0"/>
      <w:marRight w:val="0"/>
      <w:marTop w:val="0"/>
      <w:marBottom w:val="0"/>
      <w:divBdr>
        <w:top w:val="none" w:sz="0" w:space="0" w:color="auto"/>
        <w:left w:val="none" w:sz="0" w:space="0" w:color="auto"/>
        <w:bottom w:val="none" w:sz="0" w:space="0" w:color="auto"/>
        <w:right w:val="none" w:sz="0" w:space="0" w:color="auto"/>
      </w:divBdr>
    </w:div>
    <w:div w:id="1623806496">
      <w:bodyDiv w:val="1"/>
      <w:marLeft w:val="0"/>
      <w:marRight w:val="0"/>
      <w:marTop w:val="0"/>
      <w:marBottom w:val="0"/>
      <w:divBdr>
        <w:top w:val="none" w:sz="0" w:space="0" w:color="auto"/>
        <w:left w:val="none" w:sz="0" w:space="0" w:color="auto"/>
        <w:bottom w:val="none" w:sz="0" w:space="0" w:color="auto"/>
        <w:right w:val="none" w:sz="0" w:space="0" w:color="auto"/>
      </w:divBdr>
    </w:div>
    <w:div w:id="1680153815">
      <w:bodyDiv w:val="1"/>
      <w:marLeft w:val="0"/>
      <w:marRight w:val="0"/>
      <w:marTop w:val="0"/>
      <w:marBottom w:val="0"/>
      <w:divBdr>
        <w:top w:val="none" w:sz="0" w:space="0" w:color="auto"/>
        <w:left w:val="none" w:sz="0" w:space="0" w:color="auto"/>
        <w:bottom w:val="none" w:sz="0" w:space="0" w:color="auto"/>
        <w:right w:val="none" w:sz="0" w:space="0" w:color="auto"/>
      </w:divBdr>
    </w:div>
    <w:div w:id="1715423710">
      <w:bodyDiv w:val="1"/>
      <w:marLeft w:val="0"/>
      <w:marRight w:val="0"/>
      <w:marTop w:val="0"/>
      <w:marBottom w:val="0"/>
      <w:divBdr>
        <w:top w:val="none" w:sz="0" w:space="0" w:color="auto"/>
        <w:left w:val="none" w:sz="0" w:space="0" w:color="auto"/>
        <w:bottom w:val="none" w:sz="0" w:space="0" w:color="auto"/>
        <w:right w:val="none" w:sz="0" w:space="0" w:color="auto"/>
      </w:divBdr>
    </w:div>
    <w:div w:id="1750423804">
      <w:bodyDiv w:val="1"/>
      <w:marLeft w:val="0"/>
      <w:marRight w:val="0"/>
      <w:marTop w:val="0"/>
      <w:marBottom w:val="0"/>
      <w:divBdr>
        <w:top w:val="none" w:sz="0" w:space="0" w:color="auto"/>
        <w:left w:val="none" w:sz="0" w:space="0" w:color="auto"/>
        <w:bottom w:val="none" w:sz="0" w:space="0" w:color="auto"/>
        <w:right w:val="none" w:sz="0" w:space="0" w:color="auto"/>
      </w:divBdr>
    </w:div>
    <w:div w:id="1758207098">
      <w:bodyDiv w:val="1"/>
      <w:marLeft w:val="0"/>
      <w:marRight w:val="0"/>
      <w:marTop w:val="0"/>
      <w:marBottom w:val="0"/>
      <w:divBdr>
        <w:top w:val="none" w:sz="0" w:space="0" w:color="auto"/>
        <w:left w:val="none" w:sz="0" w:space="0" w:color="auto"/>
        <w:bottom w:val="none" w:sz="0" w:space="0" w:color="auto"/>
        <w:right w:val="none" w:sz="0" w:space="0" w:color="auto"/>
      </w:divBdr>
    </w:div>
    <w:div w:id="1773741683">
      <w:bodyDiv w:val="1"/>
      <w:marLeft w:val="0"/>
      <w:marRight w:val="0"/>
      <w:marTop w:val="0"/>
      <w:marBottom w:val="0"/>
      <w:divBdr>
        <w:top w:val="none" w:sz="0" w:space="0" w:color="auto"/>
        <w:left w:val="none" w:sz="0" w:space="0" w:color="auto"/>
        <w:bottom w:val="none" w:sz="0" w:space="0" w:color="auto"/>
        <w:right w:val="none" w:sz="0" w:space="0" w:color="auto"/>
      </w:divBdr>
    </w:div>
    <w:div w:id="1775127994">
      <w:bodyDiv w:val="1"/>
      <w:marLeft w:val="0"/>
      <w:marRight w:val="0"/>
      <w:marTop w:val="0"/>
      <w:marBottom w:val="0"/>
      <w:divBdr>
        <w:top w:val="none" w:sz="0" w:space="0" w:color="auto"/>
        <w:left w:val="none" w:sz="0" w:space="0" w:color="auto"/>
        <w:bottom w:val="none" w:sz="0" w:space="0" w:color="auto"/>
        <w:right w:val="none" w:sz="0" w:space="0" w:color="auto"/>
      </w:divBdr>
    </w:div>
    <w:div w:id="1788501298">
      <w:bodyDiv w:val="1"/>
      <w:marLeft w:val="0"/>
      <w:marRight w:val="0"/>
      <w:marTop w:val="0"/>
      <w:marBottom w:val="0"/>
      <w:divBdr>
        <w:top w:val="none" w:sz="0" w:space="0" w:color="auto"/>
        <w:left w:val="none" w:sz="0" w:space="0" w:color="auto"/>
        <w:bottom w:val="none" w:sz="0" w:space="0" w:color="auto"/>
        <w:right w:val="none" w:sz="0" w:space="0" w:color="auto"/>
      </w:divBdr>
    </w:div>
    <w:div w:id="1806505225">
      <w:bodyDiv w:val="1"/>
      <w:marLeft w:val="0"/>
      <w:marRight w:val="0"/>
      <w:marTop w:val="0"/>
      <w:marBottom w:val="0"/>
      <w:divBdr>
        <w:top w:val="none" w:sz="0" w:space="0" w:color="auto"/>
        <w:left w:val="none" w:sz="0" w:space="0" w:color="auto"/>
        <w:bottom w:val="none" w:sz="0" w:space="0" w:color="auto"/>
        <w:right w:val="none" w:sz="0" w:space="0" w:color="auto"/>
      </w:divBdr>
    </w:div>
    <w:div w:id="1856186550">
      <w:bodyDiv w:val="1"/>
      <w:marLeft w:val="0"/>
      <w:marRight w:val="0"/>
      <w:marTop w:val="0"/>
      <w:marBottom w:val="0"/>
      <w:divBdr>
        <w:top w:val="none" w:sz="0" w:space="0" w:color="auto"/>
        <w:left w:val="none" w:sz="0" w:space="0" w:color="auto"/>
        <w:bottom w:val="none" w:sz="0" w:space="0" w:color="auto"/>
        <w:right w:val="none" w:sz="0" w:space="0" w:color="auto"/>
      </w:divBdr>
    </w:div>
    <w:div w:id="1865315743">
      <w:bodyDiv w:val="1"/>
      <w:marLeft w:val="0"/>
      <w:marRight w:val="0"/>
      <w:marTop w:val="0"/>
      <w:marBottom w:val="0"/>
      <w:divBdr>
        <w:top w:val="none" w:sz="0" w:space="0" w:color="auto"/>
        <w:left w:val="none" w:sz="0" w:space="0" w:color="auto"/>
        <w:bottom w:val="none" w:sz="0" w:space="0" w:color="auto"/>
        <w:right w:val="none" w:sz="0" w:space="0" w:color="auto"/>
      </w:divBdr>
    </w:div>
    <w:div w:id="1893272376">
      <w:bodyDiv w:val="1"/>
      <w:marLeft w:val="0"/>
      <w:marRight w:val="0"/>
      <w:marTop w:val="0"/>
      <w:marBottom w:val="0"/>
      <w:divBdr>
        <w:top w:val="none" w:sz="0" w:space="0" w:color="auto"/>
        <w:left w:val="none" w:sz="0" w:space="0" w:color="auto"/>
        <w:bottom w:val="none" w:sz="0" w:space="0" w:color="auto"/>
        <w:right w:val="none" w:sz="0" w:space="0" w:color="auto"/>
      </w:divBdr>
    </w:div>
    <w:div w:id="1983653937">
      <w:bodyDiv w:val="1"/>
      <w:marLeft w:val="0"/>
      <w:marRight w:val="0"/>
      <w:marTop w:val="0"/>
      <w:marBottom w:val="0"/>
      <w:divBdr>
        <w:top w:val="none" w:sz="0" w:space="0" w:color="auto"/>
        <w:left w:val="none" w:sz="0" w:space="0" w:color="auto"/>
        <w:bottom w:val="none" w:sz="0" w:space="0" w:color="auto"/>
        <w:right w:val="none" w:sz="0" w:space="0" w:color="auto"/>
      </w:divBdr>
    </w:div>
    <w:div w:id="2055737823">
      <w:bodyDiv w:val="1"/>
      <w:marLeft w:val="0"/>
      <w:marRight w:val="0"/>
      <w:marTop w:val="0"/>
      <w:marBottom w:val="0"/>
      <w:divBdr>
        <w:top w:val="none" w:sz="0" w:space="0" w:color="auto"/>
        <w:left w:val="none" w:sz="0" w:space="0" w:color="auto"/>
        <w:bottom w:val="none" w:sz="0" w:space="0" w:color="auto"/>
        <w:right w:val="none" w:sz="0" w:space="0" w:color="auto"/>
      </w:divBdr>
    </w:div>
    <w:div w:id="21039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29.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tefan.ommeren@planet.nl"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image" Target="media/image4.emf"/><Relationship Id="rId45"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microsoft.com/office/2007/relationships/stylesWithEffects" Target="stylesWithEffects.xml"/><Relationship Id="rId10" Type="http://schemas.openxmlformats.org/officeDocument/2006/relationships/image" Target="media/image1.emf"/><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image" Target="media/image5.emf"/><Relationship Id="rId48"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2011-10-14T00:00:00</PublishDate>
  <Abstract>This thesis analyzes determinants of banks’ profitability in the European banking sector. The descriptive analysis indicates that the banking sector is unique compared to other industry sectors as the sector is heavily regulated and, additionally, commercial, co-operative and government-owned banks jointly operate in one market. Hence, the empirical part of this thesis takes into account, in particular, regulation and ownership issues. The analysis extends research of Dietrich and Wanzenried (2011) by examining additional determinants and using XX European banks over the period from 2000 to 2010. Apart from examining the determinants of banks’ profitability potential impacts of the financial crisis are considered as the dataset incorporates this period. Quite the opposite to the findings of……………… this thesis suggests that………………………………….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All10</b:Tag>
    <b:SourceType>DocumentFromInternetSite</b:SourceType>
    <b:Guid>{2DBE664D-8D8C-4051-BD99-6299F648DCA3}</b:Guid>
    <b:Title>Basel III: Is the Cure Worse Than the Disease</b:Title>
    <b:Year>2010</b:Year>
    <b:Month>September</b:Month>
    <b:Day>30</b:Day>
    <b:Author>
      <b:Author>
        <b:NameList>
          <b:Person>
            <b:Last>Allen</b:Last>
            <b:First>W.A.</b:First>
          </b:Person>
          <b:Person>
            <b:Last>Chan</b:Last>
            <b:First>K.</b:First>
            <b:Middle>K.</b:Middle>
          </b:Person>
          <b:Person>
            <b:Last>Milne</b:Last>
            <b:First>A.</b:First>
          </b:Person>
          <b:Person>
            <b:Last>Thomas</b:Last>
            <b:First>S.H.</b:First>
          </b:Person>
        </b:NameList>
      </b:Author>
    </b:Author>
    <b:URL>http://ssrn.com/abstract=1688594</b:URL>
    <b:RefOrder>1</b:RefOrder>
  </b:Source>
  <b:Source>
    <b:Tag>Sau08</b:Tag>
    <b:SourceType>Book</b:SourceType>
    <b:Guid>{F0C1837A-491E-4D60-8C9F-513B51917278}</b:Guid>
    <b:Author>
      <b:Author>
        <b:NameList>
          <b:Person>
            <b:Last>Saunders</b:Last>
            <b:First>A.</b:First>
          </b:Person>
          <b:Person>
            <b:Last>Cornett</b:Last>
            <b:First>M.</b:First>
            <b:Middle>M.</b:Middle>
          </b:Person>
        </b:NameList>
      </b:Author>
    </b:Author>
    <b:Title>Financial Institutions Management: A Risk Management Approach</b:Title>
    <b:Year>2008</b:Year>
    <b:Publisher>McGraw-Hill</b:Publisher>
    <b:City>New York</b:City>
    <b:RefOrder>2</b:RefOrder>
  </b:Source>
  <b:Source>
    <b:Tag>Oes08</b:Tag>
    <b:SourceType>Report</b:SourceType>
    <b:Guid>{8072BD9D-E83D-497E-80D5-DF7218D38205}</b:Guid>
    <b:Author>
      <b:Author>
        <b:Corporate>Oesterreichische Nationalbank (OeNB) Financial Market Authority (FMA)</b:Corporate>
      </b:Author>
    </b:Author>
    <b:Title>Guidelines on: Managing Interest Rate Risk in the Banking Book</b:Title>
    <b:Year>2008</b:Year>
    <b:City>Vienna</b:City>
    <b:Publisher>OeNB Printing Office</b:Publisher>
    <b:RefOrder>3</b:RefOrder>
  </b:Source>
  <b:Source>
    <b:Tag>San01</b:Tag>
    <b:SourceType>JournalArticle</b:SourceType>
    <b:Guid>{DFE3341F-63CA-472E-B91D-F37E695CD1C6}</b:Guid>
    <b:Author>
      <b:Author>
        <b:NameList>
          <b:Person>
            <b:Last>Santos</b:Last>
            <b:First>J.</b:First>
            <b:Middle>A.C.</b:Middle>
          </b:Person>
        </b:NameList>
      </b:Author>
    </b:Author>
    <b:Title>Bank Capital Regulation in Contemporary Banking Theory: A Review of the Literature</b:Title>
    <b:JournalName>Financial Markets, Institutions &amp; Instruments</b:JournalName>
    <b:Year>2001</b:Year>
    <b:Pages>41-84</b:Pages>
    <b:Volume>10</b:Volume>
    <b:Issue>2</b:Issue>
    <b:RefOrder>4</b:RefOrder>
  </b:Source>
  <b:Source>
    <b:Tag>Sau90</b:Tag>
    <b:SourceType>JournalArticle</b:SourceType>
    <b:Guid>{D2C71FD7-5284-4BF3-A834-A69EE027417B}</b:Guid>
    <b:Author>
      <b:Author>
        <b:NameList>
          <b:Person>
            <b:Last>Saunders</b:Last>
            <b:First>A.</b:First>
          </b:Person>
          <b:Person>
            <b:Last>Strock</b:Last>
            <b:First>E.</b:First>
          </b:Person>
          <b:Person>
            <b:Last>Travlos</b:Last>
            <b:First>N.</b:First>
            <b:Middle>G.</b:Middle>
          </b:Person>
        </b:NameList>
      </b:Author>
    </b:Author>
    <b:Title>Ownership Structure, Deregulation, and Bank Risk Taking</b:Title>
    <b:JournalName>The Journal of Finance</b:JournalName>
    <b:Year>1990</b:Year>
    <b:Pages>643-654</b:Pages>
    <b:Volume>45</b:Volume>
    <b:Issue>2</b:Issue>
    <b:RefOrder>5</b:RefOrder>
  </b:Source>
  <b:Source>
    <b:Tag>Bar</b:Tag>
    <b:SourceType>JournalArticle</b:SourceType>
    <b:Guid>{0B4993C7-4681-4154-AA39-CFA7B811511C}</b:Guid>
    <b:Author>
      <b:Author>
        <b:NameList>
          <b:Person>
            <b:Last>Barth</b:Last>
            <b:First>J.</b:First>
            <b:Middle>R.</b:Middle>
          </b:Person>
          <b:Person>
            <b:Last>Nolle</b:Last>
            <b:First>D.</b:First>
            <b:Middle>E.</b:Middle>
          </b:Person>
          <b:Person>
            <b:Last>Rice</b:Last>
            <b:First>T.</b:First>
            <b:Middle>N.</b:Middle>
          </b:Person>
        </b:NameList>
      </b:Author>
    </b:Author>
    <b:Title>Commercial Banking Structure, Regulation and Performance: An International Comparison</b:Title>
    <b:JournalName>Managerial Finance</b:JournalName>
    <b:Pages>1-39</b:Pages>
    <b:Volume>23</b:Volume>
    <b:Issue>11</b:Issue>
    <b:Year>1997</b:Year>
    <b:RefOrder>6</b:RefOrder>
  </b:Source>
  <b:Source>
    <b:Tag>Mil01</b:Tag>
    <b:SourceType>DocumentFromInternetSite</b:SourceType>
    <b:Guid>{44B4EA73-6FE3-4F7C-8DEF-D525C5802BE6}</b:Guid>
    <b:Author>
      <b:Author>
        <b:NameList>
          <b:Person>
            <b:Last>Milne</b:Last>
            <b:First>A.</b:First>
          </b:Person>
          <b:Person>
            <b:Last>Whalley</b:Last>
            <b:First>A.</b:First>
            <b:Middle>E.</b:Middle>
          </b:Person>
        </b:NameList>
      </b:Author>
    </b:Author>
    <b:Title>Bank Capital Regulation and Incentives for Risk-Taking</b:Title>
    <b:Year>2001</b:Year>
    <b:Publisher>Cass Business School Research Paper</b:Publisher>
    <b:City>London</b:City>
    <b:URL>http://ssrn.com/abstract=299319</b:URL>
    <b:RefOrder>7</b:RefOrder>
  </b:Source>
  <b:Source>
    <b:Tag>Gom03</b:Tag>
    <b:SourceType>JournalArticle</b:SourceType>
    <b:Guid>{B6072912-5BC3-46BD-8E5B-59A1C13FFF36}</b:Guid>
    <b:Author>
      <b:Author>
        <b:NameList>
          <b:Person>
            <b:Last>Gompers</b:Last>
            <b:First>P.</b:First>
          </b:Person>
          <b:Person>
            <b:Last>Ishi</b:Last>
            <b:First>J.</b:First>
          </b:Person>
          <b:Person>
            <b:Last>Metrick</b:Last>
            <b:First>A.</b:First>
          </b:Person>
        </b:NameList>
      </b:Author>
    </b:Author>
    <b:Title>Corporate Governance and Equity Prices</b:Title>
    <b:JournalName>The Quaterly Journal of Economics</b:JournalName>
    <b:Year>2003</b:Year>
    <b:Pages>107-155</b:Pages>
    <b:Volume>118</b:Volume>
    <b:Issue>1</b:Issue>
    <b:RefOrder>8</b:RefOrder>
  </b:Source>
  <b:Source>
    <b:Tag>Sup97</b:Tag>
    <b:SourceType>Report</b:SourceType>
    <b:Guid>{3394B683-CC1C-40C2-846A-30911848B49C}</b:Guid>
    <b:Author>
      <b:Author>
        <b:Corporate>Basel Committee on Banking Supervision</b:Corporate>
      </b:Author>
    </b:Author>
    <b:Title>Amendment to the Capital Accord to incorporate market risks</b:Title>
    <b:Year>1997</b:Year>
    <b:Publisher>Bank for International Settlements</b:Publisher>
    <b:City>Basel</b:City>
    <b:RefOrder>9</b:RefOrder>
  </b:Source>
  <b:Source>
    <b:Tag>Bas88</b:Tag>
    <b:SourceType>Report</b:SourceType>
    <b:Guid>{90E76BC8-64D6-4B79-A13B-70E706910B12}</b:Guid>
    <b:Author>
      <b:Author>
        <b:Corporate>Basel Committee</b:Corporate>
      </b:Author>
    </b:Author>
    <b:Title>International convergence of capital measurement and capital standards</b:Title>
    <b:Year>1988</b:Year>
    <b:Publisher>Bank for International Settlements</b:Publisher>
    <b:City>Basel</b:City>
    <b:RefOrder>10</b:RefOrder>
  </b:Source>
  <b:Source>
    <b:Tag>Bas06</b:Tag>
    <b:SourceType>Report</b:SourceType>
    <b:Guid>{6E5C95E6-2E01-4ED6-AA2E-48CD2EA4FE17}</b:Guid>
    <b:Author>
      <b:Author>
        <b:Corporate>Basel Committee on Banking Supervision</b:Corporate>
      </b:Author>
    </b:Author>
    <b:Title>International Convergence of Capital Measurement and Capital Standards; a Revised Framework</b:Title>
    <b:Year>2004</b:Year>
    <b:City>Basel</b:City>
    <b:Publisher>Bank for International Settlements</b:Publisher>
    <b:RefOrder>11</b:RefOrder>
  </b:Source>
  <b:Source>
    <b:Tag>Ber95</b:Tag>
    <b:SourceType>JournalArticle</b:SourceType>
    <b:Guid>{514A35D5-7353-4819-8E9D-A0AFDC931D31}</b:Guid>
    <b:Author>
      <b:Author>
        <b:NameList>
          <b:Person>
            <b:Last>Berger</b:Last>
            <b:First>A.</b:First>
            <b:Middle>N.</b:Middle>
          </b:Person>
        </b:NameList>
      </b:Author>
    </b:Author>
    <b:Title>The Relationship between Capital and Earnings in Banking</b:Title>
    <b:Year>1995</b:Year>
    <b:JournalName>Journal of Money, Credit and Banking</b:JournalName>
    <b:Pages>432-456</b:Pages>
    <b:Volume>27</b:Volume>
    <b:Issue>2</b:Issue>
    <b:RefOrder>12</b:RefOrder>
  </b:Source>
  <b:Source>
    <b:Tag>Alt04</b:Tag>
    <b:SourceType>JournalArticle</b:SourceType>
    <b:Guid>{4953B918-1DA1-4D2B-9019-57824EDFF4EB}</b:Guid>
    <b:Author>
      <b:Author>
        <b:NameList>
          <b:Person>
            <b:Last>Altunbas</b:Last>
            <b:First>Y.</b:First>
          </b:Person>
          <b:Person>
            <b:Last>Evans</b:Last>
            <b:First>L.</b:First>
          </b:Person>
          <b:Person>
            <b:Last>Molyneux</b:Last>
            <b:First>P.</b:First>
          </b:Person>
        </b:NameList>
      </b:Author>
    </b:Author>
    <b:Title>Bank Ownership and Efficiency</b:Title>
    <b:Year>2001</b:Year>
    <b:JournalName>Journal of Money, Credit and Banking</b:JournalName>
    <b:Pages>926-954</b:Pages>
    <b:Volume>33</b:Volume>
    <b:Issue>4</b:Issue>
    <b:RefOrder>13</b:RefOrder>
  </b:Source>
  <b:Source>
    <b:Tag>Dem99</b:Tag>
    <b:SourceType>JournalArticle</b:SourceType>
    <b:Guid>{C831C578-0CE4-49CC-BD09-2DEA9C232B97}</b:Guid>
    <b:Author>
      <b:Author>
        <b:NameList>
          <b:Person>
            <b:Last>Demirgüç-Kunt</b:Last>
            <b:First>A.</b:First>
          </b:Person>
          <b:Person>
            <b:Last>Huizinga</b:Last>
            <b:First>H.</b:First>
          </b:Person>
        </b:NameList>
      </b:Author>
    </b:Author>
    <b:Title>Determinants of Commercial Bank Interest Margins and Profitability: Some International Evidence</b:Title>
    <b:JournalName>The World Bank Economic Review</b:JournalName>
    <b:Year>1999</b:Year>
    <b:Pages>379-408</b:Pages>
    <b:Volume>13</b:Volume>
    <b:Issue>2</b:Issue>
    <b:RefOrder>14</b:RefOrder>
  </b:Source>
  <b:Source>
    <b:Tag>Hei04</b:Tag>
    <b:SourceType>Report</b:SourceType>
    <b:Guid>{60447F1F-B683-4A20-8EDE-2AAF054B663F}</b:Guid>
    <b:Author>
      <b:Author>
        <b:NameList>
          <b:Person>
            <b:Last>Heid</b:Last>
            <b:First>F.</b:First>
          </b:Person>
          <b:Person>
            <b:Last>Porath</b:Last>
            <b:First>D.</b:First>
          </b:Person>
          <b:Person>
            <b:Last>Stolz</b:Last>
            <b:First>S.</b:First>
          </b:Person>
        </b:NameList>
      </b:Author>
    </b:Author>
    <b:Title>Does capital regulation matter for bank behaviour? Evidence for German savings banks</b:Title>
    <b:Year>2004</b:Year>
    <b:Publisher>Deutsche Bundesbank</b:Publisher>
    <b:City>Frankfurt am Main</b:City>
    <b:ThesisType>Discussion Paper Series 2: Banking and Financial Supervision</b:ThesisType>
    <b:RefOrder>15</b:RefOrder>
  </b:Source>
  <b:Source>
    <b:Tag>God04</b:Tag>
    <b:SourceType>JournalArticle</b:SourceType>
    <b:Guid>{E9516767-A04D-4858-9239-736E36AB356A}</b:Guid>
    <b:Author>
      <b:Author>
        <b:NameList>
          <b:Person>
            <b:Last>Goddard</b:Last>
            <b:First>J.</b:First>
          </b:Person>
          <b:Person>
            <b:Last>Molyneux</b:Last>
            <b:First>P.</b:First>
          </b:Person>
          <b:Person>
            <b:Last>Wilson</b:Last>
            <b:First>J.O.S.</b:First>
          </b:Person>
        </b:NameList>
      </b:Author>
    </b:Author>
    <b:Title>The profitability of European Banks: A cross-sectional and dynamic panel analysis</b:Title>
    <b:JournalName>The Manchester School</b:JournalName>
    <b:Year>2004</b:Year>
    <b:Pages>363-381</b:Pages>
    <b:Volume>72</b:Volume>
    <b:Issue>3</b:Issue>
    <b:RefOrder>16</b:RefOrder>
  </b:Source>
  <b:Source>
    <b:Tag>Ros11</b:Tag>
    <b:SourceType>ArticleInAPeriodical</b:SourceType>
    <b:Guid>{3573F088-5374-4BB5-B249-71B1234C161D}</b:Guid>
    <b:Author>
      <b:Author>
        <b:NameList>
          <b:Person>
            <b:Last>Rosenthal</b:Last>
            <b:First>J.</b:First>
          </b:Person>
        </b:NameList>
      </b:Author>
    </b:Author>
    <b:Title>Chained but untamed</b:Title>
    <b:Year>2011</b:Year>
    <b:PeriodicalTitle>The Economist</b:PeriodicalTitle>
    <b:Month>May</b:Month>
    <b:Day>12</b:Day>
    <b:RefOrder>17</b:RefOrder>
  </b:Source>
  <b:Source>
    <b:Tag>Bas04</b:Tag>
    <b:SourceType>Report</b:SourceType>
    <b:Guid>{29C04B65-DDAC-49B0-919F-08CA270DB639}</b:Guid>
    <b:Author>
      <b:Author>
        <b:Corporate>Basel Committee on Banking Supervision</b:Corporate>
      </b:Author>
    </b:Author>
    <b:Title>Basel III: A Global regulatory framework for more resilient banks and banking systems</b:Title>
    <b:Year>2010</b:Year>
    <b:Publisher>Bank for Internation Settlements</b:Publisher>
    <b:City>Basel</b:City>
    <b:RefOrder>18</b:RefOrder>
  </b:Source>
  <b:Source>
    <b:Tag>Sch10</b:Tag>
    <b:SourceType>BookSection</b:SourceType>
    <b:Guid>{8A787248-63AB-47EC-97F0-F88010CCE3BA}</b:Guid>
    <b:Author>
      <b:Author>
        <b:NameList>
          <b:Person>
            <b:Last>Schooner</b:Last>
            <b:First>H.</b:First>
            <b:Middle>M.</b:Middle>
          </b:Person>
          <b:Person>
            <b:Last>Talyor</b:Last>
            <b:First>M.</b:First>
            <b:Middle>W.</b:Middle>
          </b:Person>
        </b:NameList>
      </b:Author>
    </b:Author>
    <b:Title>Bank insolvency</b:Title>
    <b:Year>2010</b:Year>
    <b:Publisher>Academic Press</b:Publisher>
    <b:City>San Diego</b:City>
    <b:BookTitle>Global Bank Regulation: Principles and Policies</b:BookTitle>
    <b:Pages>241-258</b:Pages>
    <b:RefOrder>19</b:RefOrder>
  </b:Source>
  <b:Source>
    <b:Tag>The10</b:Tag>
    <b:SourceType>Report</b:SourceType>
    <b:Guid>{20A72D05-640D-48F9-8E0E-04227EA028D8}</b:Guid>
    <b:Author>
      <b:Author>
        <b:Corporate>The Banker</b:Corporate>
      </b:Author>
    </b:Author>
    <b:Title>Top 1000 World Banks 2010</b:Title>
    <b:Year>2010</b:Year>
    <b:Publisher>Financial Times Ltd</b:Publisher>
    <b:City>London</b:City>
    <b:RefOrder>20</b:RefOrder>
  </b:Source>
  <b:Source>
    <b:Tag>Sch11</b:Tag>
    <b:SourceType>Report</b:SourceType>
    <b:Guid>{462BA9DD-C5DC-4B8D-8EE4-CF3D2DACDADE}</b:Guid>
    <b:Author>
      <b:Author>
        <b:NameList>
          <b:Person>
            <b:Last>Schildbach</b:Last>
            <b:First>J.</b:First>
          </b:Person>
        </b:NameList>
      </b:Author>
    </b:Author>
    <b:Title>Home, sweet home? International banking after the crisis</b:Title>
    <b:Year>2011</b:Year>
    <b:Publisher>Deutsche Bank Research</b:Publisher>
    <b:City>Frankfurt am Main</b:City>
    <b:ThesisType>Financial Market Special</b:ThesisType>
    <b:RefOrder>21</b:RefOrder>
  </b:Source>
  <b:Source>
    <b:Tag>Mod58</b:Tag>
    <b:SourceType>JournalArticle</b:SourceType>
    <b:Guid>{EC55BD85-2040-4CA9-A8E5-7D397AF95192}</b:Guid>
    <b:Author>
      <b:Author>
        <b:NameList>
          <b:Person>
            <b:Last>Modigliani</b:Last>
            <b:First>F.</b:First>
          </b:Person>
          <b:Person>
            <b:Last>Miller</b:Last>
            <b:First>M.</b:First>
            <b:Middle>H.</b:Middle>
          </b:Person>
        </b:NameList>
      </b:Author>
    </b:Author>
    <b:Title>The Cost of Capital, Corporation Finance and the Theory of Investment</b:Title>
    <b:Year>1958</b:Year>
    <b:Pages>261-297</b:Pages>
    <b:JournalName>The American Review</b:JournalName>
    <b:Volume>48</b:Volume>
    <b:Issue>3</b:Issue>
    <b:RefOrder>22</b:RefOrder>
  </b:Source>
  <b:Source>
    <b:Tag>Tru11</b:Tag>
    <b:SourceType>ConferenceProceedings</b:SourceType>
    <b:Guid>{4F00088A-1E5E-4ED9-9B0D-D05C22342108}</b:Guid>
    <b:Author>
      <b:Author>
        <b:NameList>
          <b:Person>
            <b:Last>Trujillo-Ponce</b:Last>
            <b:First>A.</b:First>
          </b:Person>
        </b:NameList>
      </b:Author>
    </b:Author>
    <b:Title>European Financial Management Association 2011 Annual Conference</b:Title>
    <b:Year>2011</b:Year>
    <b:ConferenceName>Why are (or were) Spanish banks so profitable</b:ConferenceName>
    <b:Pages>1-33</b:Pages>
    <b:City>Sevilla</b:City>
    <b:Publisher>Pablo de Olavide University</b:Publisher>
    <b:RefOrder>23</b:RefOrder>
  </b:Source>
  <b:Source>
    <b:Tag>Are91</b:Tag>
    <b:SourceType>JournalArticle</b:SourceType>
    <b:Guid>{8BACDB0B-406E-4C5A-8683-D768933110CD}</b:Guid>
    <b:Author>
      <b:Author>
        <b:NameList>
          <b:Person>
            <b:Last>Arellano</b:Last>
            <b:First>M.</b:First>
          </b:Person>
          <b:Person>
            <b:Last>Bond</b:Last>
            <b:First>S.</b:First>
          </b:Person>
        </b:NameList>
      </b:Author>
    </b:Author>
    <b:Title>Some Tests of Specification for Panel Data: Monte Carlo Evidence and an Application to Employment Equations</b:Title>
    <b:JournalName>The Review of Economic Studies</b:JournalName>
    <b:Year>1991</b:Year>
    <b:Pages>277-297</b:Pages>
    <b:Volume>58</b:Volume>
    <b:Issue>2</b:Issue>
    <b:RefOrder>24</b:RefOrder>
  </b:Source>
  <b:Source>
    <b:Tag>Roo09</b:Tag>
    <b:SourceType>JournalArticle</b:SourceType>
    <b:Guid>{B2BC462A-9830-4E2F-B4F3-AD8688A263D9}</b:Guid>
    <b:Author>
      <b:Author>
        <b:NameList>
          <b:Person>
            <b:Last>Roodman</b:Last>
            <b:First>D.</b:First>
          </b:Person>
        </b:NameList>
      </b:Author>
    </b:Author>
    <b:Title>How to do xtabond2: An introduction to difference and system GMM in Stata</b:Title>
    <b:JournalName>Stata Journal</b:JournalName>
    <b:Year>2009</b:Year>
    <b:Pages>86-136</b:Pages>
    <b:Volume>9</b:Volume>
    <b:Issue>1</b:Issue>
    <b:RefOrder>25</b:RefOrder>
  </b:Source>
  <b:Source>
    <b:Tag>All01</b:Tag>
    <b:SourceType>Book</b:SourceType>
    <b:Guid>{6DFA7A18-E690-4935-ADC2-3CEC59C6C6ED}</b:Guid>
    <b:Author>
      <b:Author>
        <b:NameList>
          <b:Person>
            <b:Last>Allison</b:Last>
            <b:First>P.</b:First>
            <b:Middle>D.</b:Middle>
          </b:Person>
        </b:NameList>
      </b:Author>
    </b:Author>
    <b:Title>Missing data (Sage University Paper Series on Quantitative Applications in the Social Sciences series no. 07-136)</b:Title>
    <b:Year>2001</b:Year>
    <b:City>Thousand Oaks, CA</b:City>
    <b:Publisher>Sage</b:Publisher>
    <b:RefOrder>26</b:RefOrder>
  </b:Source>
  <b:Source>
    <b:Tag>Win05</b:Tag>
    <b:SourceType>JournalArticle</b:SourceType>
    <b:Guid>{5D5AD093-A3AE-4BE3-9886-C27522A4896B}</b:Guid>
    <b:Author>
      <b:Author>
        <b:NameList>
          <b:Person>
            <b:Last>Windmeijer</b:Last>
            <b:First>F.</b:First>
          </b:Person>
        </b:NameList>
      </b:Author>
    </b:Author>
    <b:Title>A finite sample correction for the variance of linear efficient two-step GMM estimators</b:Title>
    <b:JournalName>Journal of Econometrics</b:JournalName>
    <b:Year>2005</b:Year>
    <b:Pages>25-51</b:Pages>
    <b:Volume>126</b:Volume>
    <b:Issue>1</b:Issue>
    <b:RefOrder>27</b:RefOrder>
  </b:Source>
  <b:Source>
    <b:Tag>Roo091</b:Tag>
    <b:SourceType>JournalArticle</b:SourceType>
    <b:Guid>{6BCED3FD-549C-4BCD-8EC9-7C6C5875CABC}</b:Guid>
    <b:Author>
      <b:Author>
        <b:NameList>
          <b:Person>
            <b:Last>Roodman</b:Last>
            <b:First>D.</b:First>
          </b:Person>
        </b:NameList>
      </b:Author>
    </b:Author>
    <b:Title>A Note on the Theme of Too Many Instruments</b:Title>
    <b:JournalName>Oxford Bulletin of Economics and Statistics</b:JournalName>
    <b:Year>2008</b:Year>
    <b:Pages>135-158</b:Pages>
    <b:Volume>71</b:Volume>
    <b:Issue>1</b:Issue>
    <b:RefOrder>28</b:RefOrder>
  </b:Source>
  <b:Source>
    <b:Tag>Bal08</b:Tag>
    <b:SourceType>Book</b:SourceType>
    <b:Guid>{CA35CBC3-527E-4903-AE9B-C4605822D3E5}</b:Guid>
    <b:Author>
      <b:Author>
        <b:NameList>
          <b:Person>
            <b:Last>Baltagi</b:Last>
            <b:First>B.</b:First>
            <b:Middle>H.</b:Middle>
          </b:Person>
        </b:NameList>
      </b:Author>
    </b:Author>
    <b:Title>Econometrics</b:Title>
    <b:Year>2008</b:Year>
    <b:City>London</b:City>
    <b:Publisher>Springer</b:Publisher>
    <b:Edition>4th</b:Edition>
    <b:RefOrder>29</b:RefOrder>
  </b:Source>
  <b:Source>
    <b:Tag>Moo03</b:Tag>
    <b:SourceType>Book</b:SourceType>
    <b:Guid>{BF1B3FA4-7BA4-4E0F-AE4E-7D3BF3C50A8A}</b:Guid>
    <b:Title>The Practice of Business Statistics</b:Title>
    <b:Year>2003</b:Year>
    <b:City>New York</b:City>
    <b:Publisher>W.H. Freeman and Company</b:Publisher>
    <b:Author>
      <b:Author>
        <b:NameList>
          <b:Person>
            <b:Last>Moore</b:Last>
            <b:Middle>S.</b:Middle>
            <b:First>D.</b:First>
          </b:Person>
          <b:Person>
            <b:Last>McCabe</b:Last>
            <b:Middle>P.</b:Middle>
            <b:First>G.</b:First>
          </b:Person>
          <b:Person>
            <b:Last>Duckworth</b:Last>
            <b:Middle>M.</b:Middle>
            <b:First>W.</b:First>
          </b:Person>
          <b:Person>
            <b:Last>Sclove</b:Last>
            <b:Middle>L.</b:Middle>
            <b:First>S.</b:First>
          </b:Person>
        </b:NameList>
      </b:Author>
    </b:Author>
    <b:RefOrder>30</b:RefOrder>
  </b:Source>
  <b:Source>
    <b:Tag>Rux06</b:Tag>
    <b:SourceType>JournalArticle</b:SourceType>
    <b:Guid>{16BD8DE3-E3CB-424A-9DDD-B3CE24E845F9}</b:Guid>
    <b:Title>The unequal variance t-test is an underused alternative to Student's t-test and the Mann–Whitney U test</b:Title>
    <b:Year>2006</b:Year>
    <b:JournalName>Behavioral Ecology</b:JournalName>
    <b:Pages>688-690</b:Pages>
    <b:Author>
      <b:Author>
        <b:NameList>
          <b:Person>
            <b:Last>Ruxton</b:Last>
            <b:Middle>D.</b:Middle>
            <b:First>G.</b:First>
          </b:Person>
        </b:NameList>
      </b:Author>
    </b:Author>
    <b:Volume>17</b:Volume>
    <b:Issue>4</b:Issue>
    <b:RefOrder>31</b:RefOrder>
  </b:Source>
  <b:Source>
    <b:Tag>Sti04</b:Tag>
    <b:SourceType>JournalArticle</b:SourceType>
    <b:Guid>{DF3E2363-9799-46C8-8B73-EF944BBE9E0A}</b:Guid>
    <b:Title>Diversification in Banking: Is Non-Interest Income the Answer?</b:Title>
    <b:JournalName>Journal of Money, Credit, and Banking</b:JournalName>
    <b:Year>2004</b:Year>
    <b:Pages>853-882</b:Pages>
    <b:Author>
      <b:Author>
        <b:NameList>
          <b:Person>
            <b:Last>Stiroh</b:Last>
            <b:Middle>J.</b:Middle>
            <b:First>K.</b:First>
          </b:Person>
        </b:NameList>
      </b:Author>
    </b:Author>
    <b:Volume>36</b:Volume>
    <b:Issue>5</b:Issue>
    <b:RefOrder>32</b:RefOrder>
  </b:Source>
  <b:Source>
    <b:Tag>Are95</b:Tag>
    <b:SourceType>JournalArticle</b:SourceType>
    <b:Guid>{C63FD669-DA40-4794-8732-F7A4EFEE546C}</b:Guid>
    <b:Author>
      <b:Author>
        <b:NameList>
          <b:Person>
            <b:Last>Arellano</b:Last>
            <b:First>M.</b:First>
          </b:Person>
          <b:Person>
            <b:Last>Bover</b:Last>
            <b:First>O.</b:First>
          </b:Person>
        </b:NameList>
      </b:Author>
    </b:Author>
    <b:Title>Another look at the instrumental variable estimation of error-components models</b:Title>
    <b:JournalName>Journal of Econometrics</b:JournalName>
    <b:Year>1995</b:Year>
    <b:Pages>29-51</b:Pages>
    <b:Volume>68</b:Volume>
    <b:Issue>1</b:Issue>
    <b:RefOrder>33</b:RefOrder>
  </b:Source>
  <b:Source>
    <b:Tag>Ath08</b:Tag>
    <b:SourceType>JournalArticle</b:SourceType>
    <b:Guid>{E0D32CC7-F979-4B61-B7A1-58A25F2802F9}</b:Guid>
    <b:Author>
      <b:Author>
        <b:NameList>
          <b:Person>
            <b:Last>Athanasoglou</b:Last>
            <b:First>P.</b:First>
            <b:Middle>P.</b:Middle>
          </b:Person>
          <b:Person>
            <b:Last>Sophocles</b:Last>
            <b:First>N.</b:First>
            <b:Middle>B.</b:Middle>
          </b:Person>
          <b:Person>
            <b:Last>Delis</b:Last>
            <b:First>M.</b:First>
            <b:Middle>D.</b:Middle>
          </b:Person>
        </b:NameList>
      </b:Author>
    </b:Author>
    <b:Title>Bank-specific, industry-specific and macroeconomic determinants of bank profitability</b:Title>
    <b:Year>2008</b:Year>
    <b:JournalName>International Financial Markets, Institutions and Money</b:JournalName>
    <b:Pages>121-136</b:Pages>
    <b:Volume>18</b:Volume>
    <b:Issue>2</b:Issue>
    <b:RefOrder>34</b:RefOrder>
  </b:Source>
  <b:Source>
    <b:Tag>Aya10</b:Tag>
    <b:SourceType>Book</b:SourceType>
    <b:Guid>{2ED23AD5-D505-4CA1-BAE5-B3C1A3CAF66F}</b:Guid>
    <b:Author>
      <b:Author>
        <b:NameList>
          <b:Person>
            <b:Last>Ayadi</b:Last>
            <b:First>R.</b:First>
          </b:Person>
          <b:Person>
            <b:Last>Llewellyn</b:Last>
            <b:First>D.</b:First>
            <b:Middle>T.</b:Middle>
          </b:Person>
          <b:Person>
            <b:Last>Schmidt</b:Last>
            <b:First>R.</b:First>
            <b:Middle>H.</b:Middle>
          </b:Person>
          <b:Person>
            <b:Last>Arbak</b:Last>
            <b:First>E.</b:First>
          </b:Person>
          <b:Person>
            <b:Last>De Groen</b:Last>
            <b:First>W.</b:First>
            <b:Middle>P.</b:Middle>
          </b:Person>
        </b:NameList>
      </b:Author>
    </b:Author>
    <b:Title>Investigating Diversity in the Banking Sector in Europe: Key Developments, Performance and Role of Cooperative Banks</b:Title>
    <b:Year>2010</b:Year>
    <b:City>Brussels</b:City>
    <b:Publisher>Centre for European Policy Studies</b:Publisher>
    <b:RefOrder>35</b:RefOrder>
  </b:Source>
  <b:Source>
    <b:Tag>Bal</b:Tag>
    <b:SourceType>Book</b:SourceType>
    <b:Guid>{2F236367-03DC-4FE7-90BD-5786AC7818CF}</b:Guid>
    <b:Author>
      <b:Author>
        <b:NameList>
          <b:Person>
            <b:Last>Baltagi</b:Last>
            <b:First>B.H.</b:First>
          </b:Person>
        </b:NameList>
      </b:Author>
    </b:Author>
    <b:Title>Econometric Analysis of Panel Data</b:Title>
    <b:Year>2005</b:Year>
    <b:City>West Sussex</b:City>
    <b:Publisher>John Wiley &amp; Sons Ltd</b:Publisher>
    <b:Edition>3th</b:Edition>
    <b:RefOrder>36</b:RefOrder>
  </b:Source>
  <b:Source>
    <b:Tag>Bar11</b:Tag>
    <b:SourceType>JournalArticle</b:SourceType>
    <b:Guid>{A54BA7E2-0F6C-41FD-9988-B206F9037A04}</b:Guid>
    <b:Author>
      <b:Author>
        <b:NameList>
          <b:Person>
            <b:Last>Barry</b:Last>
            <b:First>T.</b:First>
            <b:Middle>A.</b:Middle>
          </b:Person>
          <b:Person>
            <b:Last>Lepetit</b:Last>
            <b:First>L.</b:First>
          </b:Person>
          <b:Person>
            <b:Last>Tarazi</b:Last>
            <b:First>A.</b:First>
          </b:Person>
        </b:NameList>
      </b:Author>
    </b:Author>
    <b:Title>Ownership structure and risk in publicly held and privately owned banks</b:Title>
    <b:JournalName>Journal of Banking &amp; Finance</b:JournalName>
    <b:Year>2011</b:Year>
    <b:Pages>1327-1340</b:Pages>
    <b:Volume>35</b:Volume>
    <b:Issue>5</b:Issue>
    <b:RefOrder>37</b:RefOrder>
  </b:Source>
  <b:Source>
    <b:Tag>Bar04</b:Tag>
    <b:SourceType>JournalArticle</b:SourceType>
    <b:Guid>{CC5827BE-3ED4-4BD5-BD64-7C8B163A0525}</b:Guid>
    <b:Author>
      <b:Author>
        <b:NameList>
          <b:Person>
            <b:Last>Barth</b:Last>
            <b:First>J.</b:First>
            <b:Middle>R.</b:Middle>
          </b:Person>
          <b:Person>
            <b:Last>Caprio Jr.</b:Last>
            <b:First>G.</b:First>
          </b:Person>
          <b:Person>
            <b:Last>Levine</b:Last>
            <b:First>R.</b:First>
          </b:Person>
        </b:NameList>
      </b:Author>
    </b:Author>
    <b:Title>Bank regulation and supervision: what works best?</b:Title>
    <b:Year>2004</b:Year>
    <b:JournalName>Journal of Financial Intermediation</b:JournalName>
    <b:Pages>205-248</b:Pages>
    <b:Volume>13</b:Volume>
    <b:Issue>2</b:Issue>
    <b:RefOrder>38</b:RefOrder>
  </b:Source>
  <b:Source>
    <b:Tag>Ber05</b:Tag>
    <b:SourceType>JournalArticle</b:SourceType>
    <b:Guid>{7004D949-A49E-40C4-991A-4C65B3560BBA}</b:Guid>
    <b:Author>
      <b:Author>
        <b:NameList>
          <b:Person>
            <b:Last>Berger</b:Last>
            <b:First>A.</b:First>
            <b:Middle>N.</b:Middle>
          </b:Person>
          <b:Person>
            <b:Last>Clarke</b:Last>
            <b:First>G.</b:First>
            <b:Middle>R.G.</b:Middle>
          </b:Person>
          <b:Person>
            <b:Last>Cull</b:Last>
            <b:First>R.</b:First>
          </b:Person>
          <b:Person>
            <b:Last>Klapper</b:Last>
            <b:First>L.</b:First>
          </b:Person>
          <b:Person>
            <b:Last>Udell</b:Last>
            <b:First>G.</b:First>
            <b:Middle>F.</b:Middle>
          </b:Person>
        </b:NameList>
      </b:Author>
    </b:Author>
    <b:Title>Corporate governance and bank performance: A joint analysis of the static, selection, and dynamic effects of domestic, foreign, and state ownership</b:Title>
    <b:Year>2005</b:Year>
    <b:JournalName>Journal of Banking &amp; Finance</b:JournalName>
    <b:Pages>2179-2221</b:Pages>
    <b:Issue>8-9</b:Issue>
    <b:Volume>29</b:Volume>
    <b:RefOrder>39</b:RefOrder>
  </b:Source>
  <b:Source>
    <b:Tag>Blu08</b:Tag>
    <b:SourceType>JournalArticle</b:SourceType>
    <b:Guid>{098A2B09-32E2-4480-B678-AE72467B1349}</b:Guid>
    <b:Author>
      <b:Author>
        <b:NameList>
          <b:Person>
            <b:Last>Blum</b:Last>
            <b:First>J.</b:First>
            <b:Middle>M.</b:Middle>
          </b:Person>
        </b:NameList>
      </b:Author>
    </b:Author>
    <b:Title>Why 'Basel II' may need a leverage ratio restriction</b:Title>
    <b:Year>2008</b:Year>
    <b:Pages>1699-1707</b:Pages>
    <b:JournalName>Journal of Banking &amp; Finance</b:JournalName>
    <b:Volume>32</b:Volume>
    <b:Issue>8</b:Issue>
    <b:RefOrder>40</b:RefOrder>
  </b:Source>
  <b:Source>
    <b:Tag>Bou89</b:Tag>
    <b:SourceType>JournalArticle</b:SourceType>
    <b:Guid>{F11ABC76-F3E9-4DC6-96DA-D860B9F1A114}</b:Guid>
    <b:Author>
      <b:Author>
        <b:NameList>
          <b:Person>
            <b:Last>Bourke</b:Last>
            <b:First>P.</b:First>
          </b:Person>
        </b:NameList>
      </b:Author>
    </b:Author>
    <b:Title>Concentration and other determinants of bank profitability in Europe, North America and Australia</b:Title>
    <b:JournalName>Journal of Banking and Finance</b:JournalName>
    <b:Year>1989</b:Year>
    <b:Pages>65-79</b:Pages>
    <b:Volume>13</b:Volume>
    <b:Issue>1</b:Issue>
    <b:RefOrder>41</b:RefOrder>
  </b:Source>
  <b:Source>
    <b:Tag>Bro</b:Tag>
    <b:SourceType>Book</b:SourceType>
    <b:Guid>{48B7E95D-737A-4C24-87D2-89D329C89189}</b:Guid>
    <b:Author>
      <b:Author>
        <b:NameList>
          <b:Person>
            <b:Last>Brooks</b:Last>
            <b:First>C.</b:First>
          </b:Person>
        </b:NameList>
      </b:Author>
    </b:Author>
    <b:Title>Introductory Econometrics for Finance</b:Title>
    <b:Year>2008</b:Year>
    <b:City>New York</b:City>
    <b:Publisher>Cambridge University Press</b:Publisher>
    <b:Edition>2nd</b:Edition>
    <b:RefOrder>42</b:RefOrder>
  </b:Source>
  <b:Source>
    <b:Tag>Dem01</b:Tag>
    <b:SourceType>JournalArticle</b:SourceType>
    <b:Guid>{4BBA507C-1616-4061-AC44-2EDD7135B250}</b:Guid>
    <b:Author>
      <b:Author>
        <b:NameList>
          <b:Person>
            <b:Last>Demsetz</b:Last>
            <b:First>H.</b:First>
          </b:Person>
          <b:Person>
            <b:Last>Villalonga</b:Last>
            <b:First>B.</b:First>
          </b:Person>
        </b:NameList>
      </b:Author>
    </b:Author>
    <b:Title>Ownership structure and corporate performance</b:Title>
    <b:JournalName>Journal of Corporate Finance</b:JournalName>
    <b:Year>2001</b:Year>
    <b:Pages>209-233</b:Pages>
    <b:Volume>7</b:Volume>
    <b:Issue>3</b:Issue>
    <b:RefOrder>43</b:RefOrder>
  </b:Source>
  <b:Source>
    <b:Tag>Die11</b:Tag>
    <b:SourceType>JournalArticle</b:SourceType>
    <b:Guid>{BF2EB5E7-F4C4-45B4-B1BF-EDBDA8880771}</b:Guid>
    <b:Author>
      <b:Author>
        <b:NameList>
          <b:Person>
            <b:Last>Dietrich</b:Last>
            <b:First>A.</b:First>
          </b:Person>
          <b:Person>
            <b:Last>Wanzenried</b:Last>
            <b:First>G.</b:First>
          </b:Person>
        </b:NameList>
      </b:Author>
    </b:Author>
    <b:Title>Determinants of bank profitability before and during the crisis: Evidence from Switzerland</b:Title>
    <b:JournalName>Journal of International Financial Markets, Institutions and Money</b:JournalName>
    <b:Year>2011</b:Year>
    <b:Pages>307-327</b:Pages>
    <b:Volume>21</b:Volume>
    <b:Issue>3</b:Issue>
    <b:RefOrder>44</b:RefOrder>
  </b:Source>
  <b:Source>
    <b:Tag>Bey10</b:Tag>
    <b:SourceType>Report</b:SourceType>
    <b:Guid>{D25F26C6-A71A-4513-884E-42289E8ECB77}</b:Guid>
    <b:Title>Beyond ROE - How to measure bank performance: Appendix to the report on EU banking structures</b:Title>
    <b:Year>2010</b:Year>
    <b:City>Frankfurt am Main</b:City>
    <b:Author>
      <b:Author>
        <b:Corporate>European Central Bank</b:Corporate>
      </b:Author>
    </b:Author>
    <b:Publisher>ECB</b:Publisher>
    <b:RefOrder>45</b:RefOrder>
  </b:Source>
  <b:Source>
    <b:Tag>Gar09</b:Tag>
    <b:SourceType>JournalArticle</b:SourceType>
    <b:Guid>{96F716CF-2A29-43C2-A861-DB3EBD2506EB}</b:Guid>
    <b:Author>
      <b:Author>
        <b:NameList>
          <b:Person>
            <b:Last>García-Herrero</b:Last>
            <b:First>A.</b:First>
          </b:Person>
          <b:Person>
            <b:Last>Gavilá</b:Last>
            <b:First>S.</b:First>
          </b:Person>
          <b:Person>
            <b:Last>Santabárbara</b:Last>
            <b:First>D.</b:First>
          </b:Person>
        </b:NameList>
      </b:Author>
    </b:Author>
    <b:Title>What explains the low profitability of Chinese banks?</b:Title>
    <b:Year>2009</b:Year>
    <b:Pages>2080-2092</b:Pages>
    <b:JournalName>Journal of Banking &amp; Finance</b:JournalName>
    <b:Volume>33</b:Volume>
    <b:Issue>11</b:Issue>
    <b:RefOrder>46</b:RefOrder>
  </b:Source>
  <b:Source>
    <b:Tag>Gil06</b:Tag>
    <b:SourceType>JournalArticle</b:SourceType>
    <b:Guid>{03C19D9D-E622-47C9-A051-8F92748B2DBD}</b:Guid>
    <b:Author>
      <b:Author>
        <b:NameList>
          <b:Person>
            <b:Last>Gillan</b:Last>
            <b:First>S.</b:First>
            <b:Middle>L.</b:Middle>
          </b:Person>
        </b:NameList>
      </b:Author>
    </b:Author>
    <b:Title>Recent Developments in Corporate Governance: An Overview</b:Title>
    <b:Year>2006</b:Year>
    <b:Pages>381-402</b:Pages>
    <b:JournalName>Journal of Corporate Finance</b:JournalName>
    <b:Volume>12</b:Volume>
    <b:Issue>3</b:Issue>
    <b:RefOrder>47</b:RefOrder>
  </b:Source>
  <b:Source>
    <b:Tag>God07</b:Tag>
    <b:SourceType>JournalArticle</b:SourceType>
    <b:Guid>{820826F4-97B2-4AAA-B662-1B4FD1443833}</b:Guid>
    <b:Author>
      <b:Author>
        <b:NameList>
          <b:Person>
            <b:Last>Goddard</b:Last>
            <b:First>J.</b:First>
          </b:Person>
          <b:Person>
            <b:Last>Molyneux</b:Last>
            <b:First>P.</b:First>
          </b:Person>
          <b:Person>
            <b:Last>Wilson</b:Last>
            <b:First>J.</b:First>
            <b:Middle>O.S.</b:Middle>
          </b:Person>
          <b:Person>
            <b:Last>Tavakoli</b:Last>
            <b:First>M.</b:First>
          </b:Person>
        </b:NameList>
      </b:Author>
    </b:Author>
    <b:Title>European banking: An overview</b:Title>
    <b:JournalName>Journal of Banking &amp; Finance</b:JournalName>
    <b:Year>2007</b:Year>
    <b:Pages>1911-1935</b:Pages>
    <b:Volume>31</b:Volume>
    <b:Issue>7</b:Issue>
    <b:RefOrder>48</b:RefOrder>
  </b:Source>
  <b:Source>
    <b:Tag>Ian07</b:Tag>
    <b:SourceType>JournalArticle</b:SourceType>
    <b:Guid>{774912D8-1345-4BC8-A344-723F10BA145E}</b:Guid>
    <b:Author>
      <b:Author>
        <b:NameList>
          <b:Person>
            <b:Last>Iannotta</b:Last>
            <b:First>G.</b:First>
          </b:Person>
          <b:Person>
            <b:Last>Nocera</b:Last>
            <b:First>G.</b:First>
          </b:Person>
          <b:Person>
            <b:Last>Sironi</b:Last>
            <b:First>A.</b:First>
          </b:Person>
        </b:NameList>
      </b:Author>
    </b:Author>
    <b:Title>Ownership structure, risk and performance in the European banking industry</b:Title>
    <b:JournalName>Journal of Banking &amp; Finance</b:JournalName>
    <b:Year>2007</b:Year>
    <b:Pages>2127-2149</b:Pages>
    <b:Volume>31</b:Volume>
    <b:Issue>7</b:Issue>
    <b:RefOrder>49</b:RefOrder>
  </b:Source>
  <b:Source>
    <b:Tag>Jen76</b:Tag>
    <b:SourceType>JournalArticle</b:SourceType>
    <b:Guid>{0E667CC0-BF62-4641-9D03-62C2A6FDEB75}</b:Guid>
    <b:Author>
      <b:Author>
        <b:NameList>
          <b:Person>
            <b:Last>Jensen</b:Last>
            <b:First>M.</b:First>
            <b:Middle>C.</b:Middle>
          </b:Person>
          <b:Person>
            <b:Last>Meckling</b:Last>
            <b:First>W.</b:First>
            <b:Middle>H.</b:Middle>
          </b:Person>
        </b:NameList>
      </b:Author>
    </b:Author>
    <b:Title>Theory of the firm: managerial behavior, agency costs and ownership structure</b:Title>
    <b:JournalName>Journal of Financial Economics</b:JournalName>
    <b:Year>1976</b:Year>
    <b:Pages>305-360</b:Pages>
    <b:Issue>4</b:Issue>
    <b:Volume>3</b:Volume>
    <b:RefOrder>50</b:RefOrder>
  </b:Source>
  <b:Source>
    <b:Tag>Kim98</b:Tag>
    <b:SourceType>JournalArticle</b:SourceType>
    <b:Guid>{661EBD4C-8F6E-41DB-964D-CDBCE48FC33D}</b:Guid>
    <b:Author>
      <b:Author>
        <b:NameList>
          <b:Person>
            <b:Last>Kimball</b:Last>
            <b:First>R.</b:First>
            <b:Middle>C.</b:Middle>
          </b:Person>
        </b:NameList>
      </b:Author>
    </b:Author>
    <b:Title>Economic Profit and Performance Measurement in Banking</b:Title>
    <b:JournalName>New England Economic Review</b:JournalName>
    <b:Year>1998</b:Year>
    <b:Pages>35-53</b:Pages>
    <b:Volume>9</b:Volume>
    <b:Issue>July/Augusts</b:Issue>
    <b:RefOrder>51</b:RefOrder>
  </b:Source>
  <b:Source>
    <b:Tag>Lae09</b:Tag>
    <b:SourceType>JournalArticle</b:SourceType>
    <b:Guid>{52A4AD34-F147-494C-8D4A-090FA74B530A}</b:Guid>
    <b:Author>
      <b:Author>
        <b:NameList>
          <b:Person>
            <b:Last>Laeven</b:Last>
            <b:First>L.</b:First>
          </b:Person>
          <b:Person>
            <b:Last>Levine</b:Last>
            <b:First>R.</b:First>
          </b:Person>
        </b:NameList>
      </b:Author>
    </b:Author>
    <b:Title>Bank governance, regulation and risk taking</b:Title>
    <b:JournalName>Journal of Financial Economics</b:JournalName>
    <b:Year>2009</b:Year>
    <b:Pages>259-275</b:Pages>
    <b:Volume>93</b:Volume>
    <b:Issue>2</b:Issue>
    <b:RefOrder>52</b:RefOrder>
  </b:Source>
  <b:Source>
    <b:Tag>Mat08</b:Tag>
    <b:SourceType>Book</b:SourceType>
    <b:Guid>{8F71EE68-F91C-4C09-A78E-BF6919DA5E72}</b:Guid>
    <b:Author>
      <b:Author>
        <b:NameList>
          <b:Person>
            <b:Last>Matthews</b:Last>
            <b:First>K.</b:First>
          </b:Person>
          <b:Person>
            <b:Last>Thompson</b:Last>
            <b:First>J.</b:First>
          </b:Person>
        </b:NameList>
      </b:Author>
    </b:Author>
    <b:Title>The Economics of Banking</b:Title>
    <b:Year>2008</b:Year>
    <b:Publisher>John Wiley &amp; Sons Ltd</b:Publisher>
    <b:City>West Sussex</b:City>
    <b:Edition>2nd</b:Edition>
    <b:RefOrder>53</b:RefOrder>
  </b:Source>
  <b:Source>
    <b:Tag>Mic</b:Tag>
    <b:SourceType>JournalArticle</b:SourceType>
    <b:Guid>{85F7F5EC-52C6-44D5-B1C1-853422BB2367}</b:Guid>
    <b:Author>
      <b:Author>
        <b:NameList>
          <b:Person>
            <b:Last>Micco</b:Last>
            <b:First>A.</b:First>
          </b:Person>
          <b:Person>
            <b:Last>Panizza</b:Last>
            <b:First>U.</b:First>
          </b:Person>
          <b:Person>
            <b:Last>Yaňez</b:Last>
            <b:First>M.</b:First>
          </b:Person>
        </b:NameList>
      </b:Author>
    </b:Author>
    <b:Title>Bank ownership and performance. Does politics matter?</b:Title>
    <b:JournalName>Journal of Banking &amp; Finance</b:JournalName>
    <b:Year>2007</b:Year>
    <b:Pages>219-241</b:Pages>
    <b:Volume>31</b:Volume>
    <b:Issue>1</b:Issue>
    <b:RefOrder>54</b:RefOrder>
  </b:Source>
  <b:Source>
    <b:Tag>Mol92</b:Tag>
    <b:SourceType>JournalArticle</b:SourceType>
    <b:Guid>{FB3A78C0-DDB4-482F-96AC-71E94AFF1EDA}</b:Guid>
    <b:Author>
      <b:Author>
        <b:NameList>
          <b:Person>
            <b:Last>Molyneux</b:Last>
            <b:First>P.</b:First>
          </b:Person>
          <b:Person>
            <b:Last>Thornton</b:Last>
            <b:First>J.</b:First>
          </b:Person>
        </b:NameList>
      </b:Author>
    </b:Author>
    <b:Title>Determinants of European bank profitability: A note</b:Title>
    <b:Year>1992</b:Year>
    <b:JournalName>Journal of Banking and Finance</b:JournalName>
    <b:Pages>1173-1178</b:Pages>
    <b:Volume>16</b:Volume>
    <b:Issue>6</b:Issue>
    <b:RefOrder>55</b:RefOrder>
  </b:Source>
  <b:Source>
    <b:Tag>Pas07</b:Tag>
    <b:SourceType>JournalArticle</b:SourceType>
    <b:Guid>{C3CDAA26-8D91-4EBA-B9F6-AEB071712AA1}</b:Guid>
    <b:Author>
      <b:Author>
        <b:NameList>
          <b:Person>
            <b:Last>Pasiouras</b:Last>
            <b:First>F.</b:First>
          </b:Person>
          <b:Person>
            <b:Last>Kosmidou</b:Last>
            <b:First>K.</b:First>
          </b:Person>
        </b:NameList>
      </b:Author>
    </b:Author>
    <b:Title>Factors influencing the profitability of domestic and foreign commercial banks in the European Union</b:Title>
    <b:JournalName>Research in International Business and Finance</b:JournalName>
    <b:Year>2007</b:Year>
    <b:Pages>222-237</b:Pages>
    <b:Volume>21</b:Volume>
    <b:Issue>2</b:Issue>
    <b:RefOrder>56</b:RefOrder>
  </b:Source>
  <b:Source>
    <b:Tag>Rim01</b:Tag>
    <b:SourceType>JournalArticle</b:SourceType>
    <b:Guid>{18AB1353-B624-45E7-8C43-3D59025F012F}</b:Guid>
    <b:Author>
      <b:Author>
        <b:NameList>
          <b:Person>
            <b:Last>Rime</b:Last>
            <b:First>B.</b:First>
          </b:Person>
        </b:NameList>
      </b:Author>
    </b:Author>
    <b:Title>Capital requirements and bank behaviour: Empirical evidence for Switzerland</b:Title>
    <b:JournalName>Journal of Banking &amp; Finance</b:JournalName>
    <b:Year>2001</b:Year>
    <b:Pages>789-805</b:Pages>
    <b:Volume>25</b:Volume>
    <b:Issue>4</b:Issue>
    <b:RefOrder>57</b:RefOrder>
  </b:Source>
  <b:Source>
    <b:Tag>Sho79</b:Tag>
    <b:SourceType>JournalArticle</b:SourceType>
    <b:Guid>{1B964055-555F-4D8B-ADA4-4D501DB3534C}</b:Guid>
    <b:Author>
      <b:Author>
        <b:NameList>
          <b:Person>
            <b:Last>Short</b:Last>
            <b:First>B.</b:First>
            <b:Middle>K.</b:Middle>
          </b:Person>
        </b:NameList>
      </b:Author>
    </b:Author>
    <b:Title>The relation between commercial bank profit rates and banking concentration in Canada, Western Europe, and Japan</b:Title>
    <b:JournalName>Journal of Banking and Finance</b:JournalName>
    <b:Year>1979</b:Year>
    <b:Pages>209-219</b:Pages>
    <b:Volume>3</b:Volume>
    <b:Issue>3</b:Issue>
    <b:RefOrder>58</b:RefOrder>
  </b:Source>
  <b:Source>
    <b:Tag>Val07</b:Tag>
    <b:SourceType>JournalArticle</b:SourceType>
    <b:Guid>{4F364084-2DE7-47B1-9E4D-CD347991B0D6}</b:Guid>
    <b:Author>
      <b:Author>
        <b:NameList>
          <b:Person>
            <b:Last>Valverde</b:Last>
            <b:First>S.C.</b:First>
          </b:Person>
          <b:Person>
            <b:Last>Fernández</b:Last>
            <b:First>F.R.</b:First>
          </b:Person>
        </b:NameList>
      </b:Author>
    </b:Author>
    <b:Title>The determinants of bank margins in European banking</b:Title>
    <b:Year>2007</b:Year>
    <b:JournalName>Journal of Banking &amp; Finance</b:JournalName>
    <b:Pages>2043-2063</b:Pages>
    <b:Volume>31</b:Volume>
    <b:Issue>7</b:Issue>
    <b:RefOrder>59</b:RefOrder>
  </b:Source>
  <b:Source>
    <b:Tag>van09</b:Tag>
    <b:SourceType>Book</b:SourceType>
    <b:Guid>{4867A263-3682-49B5-B171-C88D27A7BA1E}</b:Guid>
    <b:Author>
      <b:Author>
        <b:NameList>
          <b:Person>
            <b:Last>van Greuning</b:Last>
            <b:First>H.</b:First>
          </b:Person>
          <b:Person>
            <b:Last>Bratanovic</b:Last>
            <b:Middle>B.</b:Middle>
            <b:First>S.</b:First>
          </b:Person>
        </b:NameList>
      </b:Author>
    </b:Author>
    <b:Title>Analyzing Banking Risk: A Framework for Assessing Corporate Governance and Risk Management</b:Title>
    <b:Year>2009</b:Year>
    <b:City>Washington, D.C.</b:City>
    <b:Publisher>The World Bank</b:Publisher>
    <b:Edition>3th</b:Edition>
    <b:RefOrder>60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7D830A-219A-4C24-AE10-5BDE8E38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35876</Words>
  <Characters>204499</Characters>
  <Application>Microsoft Office Word</Application>
  <DocSecurity>4</DocSecurity>
  <Lines>1704</Lines>
  <Paragraphs>479</Paragraphs>
  <ScaleCrop>false</ScaleCrop>
  <HeadingPairs>
    <vt:vector size="2" baseType="variant">
      <vt:variant>
        <vt:lpstr>Titel</vt:lpstr>
      </vt:variant>
      <vt:variant>
        <vt:i4>1</vt:i4>
      </vt:variant>
    </vt:vector>
  </HeadingPairs>
  <TitlesOfParts>
    <vt:vector size="1" baseType="lpstr">
      <vt:lpstr>Determinants of banks profitability</vt:lpstr>
    </vt:vector>
  </TitlesOfParts>
  <Company>Rabobank Nederland</Company>
  <LinksUpToDate>false</LinksUpToDate>
  <CharactersWithSpaces>239896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Determinants of banks profitability</dc:title>
  <dc:subject>Theoretical review and empirical review</dc:subject>
  <dc:creator>S. (Stefan) van Ommeren</dc:creator>
  <cp:lastModifiedBy>Helene L. Molenaar</cp:lastModifiedBy>
  <cp:revision>2</cp:revision>
  <cp:lastPrinted>2011-10-14T17:42:00Z</cp:lastPrinted>
  <dcterms:created xsi:type="dcterms:W3CDTF">2011-10-25T06:43:00Z</dcterms:created>
  <dcterms:modified xsi:type="dcterms:W3CDTF">2011-10-25T06:43:00Z</dcterms:modified>
</cp:coreProperties>
</file>