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CDE" w:rsidRPr="00BE0DD9" w:rsidRDefault="00635CDE" w:rsidP="00635CDE">
      <w:pPr>
        <w:pStyle w:val="NoSpacing"/>
        <w:rPr>
          <w:rFonts w:ascii="Times New Roman" w:hAnsi="Times New Roman"/>
          <w:sz w:val="24"/>
          <w:szCs w:val="24"/>
          <w:lang w:val="en-GB"/>
        </w:rPr>
      </w:pPr>
      <w:r w:rsidRPr="00BE0DD9">
        <w:rPr>
          <w:rFonts w:ascii="Times New Roman" w:hAnsi="Times New Roman"/>
          <w:sz w:val="24"/>
          <w:szCs w:val="24"/>
          <w:lang w:val="en-GB"/>
        </w:rPr>
        <w:t>ERASMUS UNIVERSITY ROTTERDAM</w:t>
      </w:r>
      <w:r w:rsidRPr="00380241">
        <w:rPr>
          <w:rFonts w:ascii="Times New Roman" w:hAnsi="Times New Roman"/>
          <w:noProof/>
          <w:sz w:val="24"/>
          <w:szCs w:val="24"/>
          <w:lang w:eastAsia="en-US"/>
        </w:rPr>
        <w:drawing>
          <wp:anchor distT="0" distB="0" distL="114300" distR="114300" simplePos="0" relativeHeight="251659264" behindDoc="0" locked="0" layoutInCell="1" allowOverlap="1">
            <wp:simplePos x="0" y="0"/>
            <wp:positionH relativeFrom="column">
              <wp:posOffset>3376930</wp:posOffset>
            </wp:positionH>
            <wp:positionV relativeFrom="paragraph">
              <wp:posOffset>-261620</wp:posOffset>
            </wp:positionV>
            <wp:extent cx="2604770" cy="1019175"/>
            <wp:effectExtent l="19050" t="0" r="5080" b="0"/>
            <wp:wrapSquare wrapText="bothSides"/>
            <wp:docPr id="10" name="Picture 1" descr="Description: Beschrijving: Beschrijving: e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schrijving: Beschrijving: eur_logo"/>
                    <pic:cNvPicPr>
                      <a:picLocks noChangeAspect="1" noChangeArrowheads="1"/>
                    </pic:cNvPicPr>
                  </pic:nvPicPr>
                  <pic:blipFill>
                    <a:blip r:embed="rId8" cstate="print"/>
                    <a:srcRect/>
                    <a:stretch>
                      <a:fillRect/>
                    </a:stretch>
                  </pic:blipFill>
                  <pic:spPr bwMode="auto">
                    <a:xfrm>
                      <a:off x="0" y="0"/>
                      <a:ext cx="2604770" cy="1020445"/>
                    </a:xfrm>
                    <a:prstGeom prst="rect">
                      <a:avLst/>
                    </a:prstGeom>
                    <a:noFill/>
                  </pic:spPr>
                </pic:pic>
              </a:graphicData>
            </a:graphic>
          </wp:anchor>
        </w:drawing>
      </w:r>
    </w:p>
    <w:p w:rsidR="00635CDE" w:rsidRPr="00BE0DD9" w:rsidRDefault="00635CDE" w:rsidP="00635CDE">
      <w:pPr>
        <w:pStyle w:val="NoSpacing"/>
        <w:rPr>
          <w:rFonts w:ascii="Times New Roman" w:hAnsi="Times New Roman"/>
          <w:sz w:val="24"/>
          <w:szCs w:val="24"/>
          <w:lang w:val="en-GB"/>
        </w:rPr>
      </w:pPr>
      <w:r w:rsidRPr="00BE0DD9">
        <w:rPr>
          <w:rFonts w:ascii="Times New Roman" w:hAnsi="Times New Roman"/>
          <w:sz w:val="24"/>
          <w:szCs w:val="24"/>
          <w:lang w:val="en-GB"/>
        </w:rPr>
        <w:t>Erasmus School of Economics</w:t>
      </w:r>
      <w:r w:rsidRPr="00BE0DD9">
        <w:rPr>
          <w:rFonts w:ascii="Times New Roman" w:hAnsi="Times New Roman"/>
          <w:sz w:val="24"/>
          <w:szCs w:val="24"/>
          <w:lang w:val="en-GB"/>
        </w:rPr>
        <w:tab/>
      </w:r>
    </w:p>
    <w:p w:rsidR="00635CDE" w:rsidRPr="00BE0DD9" w:rsidRDefault="00635CDE" w:rsidP="00635CDE">
      <w:pPr>
        <w:pStyle w:val="NoSpacing"/>
        <w:rPr>
          <w:rFonts w:ascii="Times New Roman" w:hAnsi="Times New Roman"/>
          <w:sz w:val="24"/>
          <w:szCs w:val="24"/>
          <w:lang w:val="en-GB"/>
        </w:rPr>
      </w:pPr>
      <w:r>
        <w:rPr>
          <w:rFonts w:ascii="Times New Roman" w:hAnsi="Times New Roman"/>
          <w:sz w:val="24"/>
          <w:szCs w:val="24"/>
          <w:lang w:val="en-GB"/>
        </w:rPr>
        <w:t>FEM11</w:t>
      </w:r>
      <w:r w:rsidR="007A3630">
        <w:rPr>
          <w:rFonts w:ascii="Times New Roman" w:hAnsi="Times New Roman"/>
          <w:sz w:val="24"/>
          <w:szCs w:val="24"/>
          <w:lang w:val="en-GB"/>
        </w:rPr>
        <w:t>1</w:t>
      </w:r>
      <w:r>
        <w:rPr>
          <w:rFonts w:ascii="Times New Roman" w:hAnsi="Times New Roman"/>
          <w:sz w:val="24"/>
          <w:szCs w:val="24"/>
          <w:lang w:val="en-GB"/>
        </w:rPr>
        <w:t>1</w:t>
      </w:r>
      <w:r w:rsidR="007A3630">
        <w:rPr>
          <w:rFonts w:ascii="Times New Roman" w:hAnsi="Times New Roman"/>
          <w:sz w:val="24"/>
          <w:szCs w:val="24"/>
          <w:lang w:val="en-GB"/>
        </w:rPr>
        <w:t>2</w:t>
      </w:r>
      <w:r w:rsidRPr="00BE0DD9">
        <w:rPr>
          <w:rFonts w:ascii="Times New Roman" w:hAnsi="Times New Roman"/>
          <w:sz w:val="24"/>
          <w:szCs w:val="24"/>
          <w:lang w:val="en-GB"/>
        </w:rPr>
        <w:t xml:space="preserve"> </w:t>
      </w:r>
      <w:r w:rsidR="00DC4089">
        <w:rPr>
          <w:rFonts w:ascii="Times New Roman" w:hAnsi="Times New Roman"/>
          <w:sz w:val="24"/>
          <w:szCs w:val="24"/>
          <w:lang w:val="en-GB"/>
        </w:rPr>
        <w:t>Master Thesis Accounting and Auditing</w:t>
      </w:r>
    </w:p>
    <w:p w:rsidR="00635CDE" w:rsidRPr="00BE0DD9" w:rsidRDefault="00635CDE" w:rsidP="00635CDE">
      <w:pPr>
        <w:pStyle w:val="NoSpacing"/>
        <w:rPr>
          <w:rFonts w:ascii="Times New Roman" w:hAnsi="Times New Roman"/>
          <w:sz w:val="24"/>
          <w:szCs w:val="24"/>
          <w:lang w:val="en-GB"/>
        </w:rPr>
      </w:pPr>
      <w:r w:rsidRPr="00BE0DD9">
        <w:rPr>
          <w:rFonts w:ascii="Times New Roman" w:hAnsi="Times New Roman"/>
          <w:sz w:val="24"/>
          <w:szCs w:val="24"/>
          <w:lang w:val="en-GB"/>
        </w:rPr>
        <w:t>2012-2013</w:t>
      </w:r>
    </w:p>
    <w:p w:rsidR="00635CDE" w:rsidRPr="00BE0DD9" w:rsidRDefault="00635CDE" w:rsidP="00635CDE">
      <w:pPr>
        <w:pStyle w:val="NoSpacing"/>
        <w:rPr>
          <w:rFonts w:ascii="Times New Roman" w:hAnsi="Times New Roman"/>
          <w:lang w:val="en-GB"/>
        </w:rPr>
      </w:pPr>
    </w:p>
    <w:p w:rsidR="00635CDE" w:rsidRPr="00BE0DD9" w:rsidRDefault="00635CDE" w:rsidP="00635CDE">
      <w:pPr>
        <w:pStyle w:val="NoSpacing"/>
        <w:rPr>
          <w:rFonts w:ascii="Times New Roman" w:hAnsi="Times New Roman"/>
          <w:lang w:val="en-GB"/>
        </w:rPr>
      </w:pPr>
    </w:p>
    <w:p w:rsidR="00635CDE" w:rsidRPr="00BE0DD9" w:rsidRDefault="00635CDE" w:rsidP="00635CDE">
      <w:pPr>
        <w:pStyle w:val="NoSpacing"/>
        <w:jc w:val="center"/>
        <w:rPr>
          <w:rFonts w:ascii="Times New Roman" w:hAnsi="Times New Roman"/>
          <w:lang w:val="en-GB"/>
        </w:rPr>
      </w:pPr>
    </w:p>
    <w:p w:rsidR="00635CDE" w:rsidRPr="00BE0DD9" w:rsidRDefault="00635CDE" w:rsidP="00635CDE">
      <w:pPr>
        <w:pStyle w:val="NoSpacing"/>
        <w:jc w:val="center"/>
        <w:rPr>
          <w:rFonts w:ascii="Times New Roman" w:hAnsi="Times New Roman"/>
          <w:b/>
          <w:sz w:val="36"/>
          <w:szCs w:val="36"/>
          <w:lang w:val="en-GB"/>
        </w:rPr>
      </w:pPr>
      <w:bookmarkStart w:id="0" w:name="_GoBack"/>
      <w:bookmarkEnd w:id="0"/>
    </w:p>
    <w:p w:rsidR="00635CDE" w:rsidRDefault="00635CDE" w:rsidP="00635CDE">
      <w:pPr>
        <w:pStyle w:val="NoSpacing"/>
        <w:rPr>
          <w:rFonts w:ascii="Times New Roman" w:hAnsi="Times New Roman"/>
          <w:b/>
          <w:sz w:val="38"/>
          <w:szCs w:val="38"/>
          <w:lang w:val="en-GB"/>
        </w:rPr>
      </w:pPr>
      <w:r>
        <w:rPr>
          <w:rFonts w:ascii="Times New Roman" w:hAnsi="Times New Roman"/>
          <w:b/>
          <w:sz w:val="38"/>
          <w:szCs w:val="38"/>
          <w:lang w:val="en-GB"/>
        </w:rPr>
        <w:tab/>
      </w:r>
      <w:r>
        <w:rPr>
          <w:rFonts w:ascii="Times New Roman" w:hAnsi="Times New Roman"/>
          <w:b/>
          <w:sz w:val="38"/>
          <w:szCs w:val="38"/>
          <w:lang w:val="en-GB"/>
        </w:rPr>
        <w:tab/>
      </w:r>
      <w:r>
        <w:rPr>
          <w:rFonts w:ascii="Times New Roman" w:hAnsi="Times New Roman"/>
          <w:b/>
          <w:sz w:val="38"/>
          <w:szCs w:val="38"/>
          <w:lang w:val="en-GB"/>
        </w:rPr>
        <w:tab/>
      </w:r>
    </w:p>
    <w:p w:rsidR="00635CDE" w:rsidRDefault="00635CDE" w:rsidP="00635CDE">
      <w:pPr>
        <w:pStyle w:val="NoSpacing"/>
        <w:rPr>
          <w:rFonts w:ascii="Times New Roman" w:hAnsi="Times New Roman"/>
          <w:b/>
          <w:sz w:val="38"/>
          <w:szCs w:val="38"/>
          <w:lang w:val="en-GB"/>
        </w:rPr>
      </w:pPr>
    </w:p>
    <w:p w:rsidR="00635CDE" w:rsidRDefault="00635CDE" w:rsidP="00635CDE">
      <w:pPr>
        <w:pStyle w:val="NoSpacing"/>
        <w:rPr>
          <w:rFonts w:ascii="Times New Roman" w:hAnsi="Times New Roman"/>
          <w:b/>
          <w:sz w:val="38"/>
          <w:szCs w:val="38"/>
          <w:lang w:val="en-GB"/>
        </w:rPr>
      </w:pPr>
    </w:p>
    <w:p w:rsidR="00635CDE" w:rsidRDefault="00635CDE" w:rsidP="00635CDE">
      <w:pPr>
        <w:pStyle w:val="NoSpacing"/>
        <w:rPr>
          <w:rFonts w:ascii="Times New Roman" w:hAnsi="Times New Roman"/>
          <w:b/>
          <w:sz w:val="38"/>
          <w:szCs w:val="38"/>
          <w:lang w:val="en-GB"/>
        </w:rPr>
      </w:pPr>
    </w:p>
    <w:p w:rsidR="00635CDE" w:rsidRPr="00F30241" w:rsidRDefault="00DC4089" w:rsidP="00635CDE">
      <w:pPr>
        <w:pStyle w:val="NoSpacing"/>
        <w:jc w:val="both"/>
        <w:rPr>
          <w:rFonts w:asciiTheme="minorHAnsi" w:hAnsiTheme="minorHAnsi" w:cstheme="minorHAnsi"/>
          <w:b/>
          <w:sz w:val="44"/>
          <w:szCs w:val="44"/>
          <w:lang w:val="en-GB"/>
        </w:rPr>
      </w:pPr>
      <w:r>
        <w:rPr>
          <w:rFonts w:asciiTheme="minorHAnsi" w:hAnsiTheme="minorHAnsi" w:cstheme="minorHAnsi"/>
          <w:b/>
          <w:sz w:val="44"/>
          <w:szCs w:val="44"/>
          <w:lang w:val="en-GB"/>
        </w:rPr>
        <w:t>Master Thesis</w:t>
      </w:r>
    </w:p>
    <w:p w:rsidR="00635CDE" w:rsidRDefault="005B1443" w:rsidP="00635CDE">
      <w:pPr>
        <w:pStyle w:val="NoSpacing"/>
        <w:jc w:val="both"/>
        <w:rPr>
          <w:rFonts w:ascii="Times New Roman" w:hAnsi="Times New Roman"/>
          <w:bCs/>
          <w:sz w:val="24"/>
          <w:szCs w:val="24"/>
          <w:lang w:val="en-GB"/>
        </w:rPr>
      </w:pPr>
      <w:r>
        <w:rPr>
          <w:rFonts w:asciiTheme="minorHAnsi" w:hAnsiTheme="minorHAnsi" w:cstheme="minorHAnsi"/>
          <w:b/>
          <w:sz w:val="40"/>
          <w:szCs w:val="40"/>
          <w:lang w:val="en-GB"/>
        </w:rPr>
        <w:t>The Influence of Industry Differences and Restructuring on the Disclosed IT Control Weaknesses under SOX Section 404 in US based companies</w:t>
      </w: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Default="00635CDE" w:rsidP="00635CDE">
      <w:pPr>
        <w:pStyle w:val="NoSpacing"/>
        <w:jc w:val="both"/>
        <w:rPr>
          <w:rFonts w:ascii="Times New Roman" w:hAnsi="Times New Roman"/>
          <w:bCs/>
          <w:sz w:val="24"/>
          <w:szCs w:val="24"/>
          <w:lang w:val="en-GB"/>
        </w:rPr>
      </w:pPr>
    </w:p>
    <w:p w:rsidR="00635CDE" w:rsidRPr="00F30241" w:rsidRDefault="00635CDE" w:rsidP="002F52DC">
      <w:pPr>
        <w:pStyle w:val="NoSpacing"/>
        <w:rPr>
          <w:rFonts w:asciiTheme="minorHAnsi" w:hAnsiTheme="minorHAnsi" w:cstheme="minorHAnsi"/>
          <w:bCs/>
          <w:sz w:val="24"/>
          <w:szCs w:val="24"/>
          <w:lang w:val="en-GB"/>
        </w:rPr>
      </w:pPr>
      <w:r w:rsidRPr="00F30241">
        <w:rPr>
          <w:rFonts w:asciiTheme="minorHAnsi" w:hAnsiTheme="minorHAnsi" w:cstheme="minorHAnsi"/>
          <w:bCs/>
          <w:sz w:val="24"/>
          <w:szCs w:val="24"/>
          <w:lang w:val="en-GB"/>
        </w:rPr>
        <w:t>By:</w:t>
      </w:r>
      <w:r w:rsidRPr="00F30241">
        <w:rPr>
          <w:rFonts w:asciiTheme="minorHAnsi" w:hAnsiTheme="minorHAnsi" w:cstheme="minorHAnsi"/>
          <w:bCs/>
          <w:sz w:val="24"/>
          <w:szCs w:val="24"/>
          <w:lang w:val="en-GB"/>
        </w:rPr>
        <w:tab/>
      </w:r>
      <w:r w:rsidRPr="00F30241">
        <w:rPr>
          <w:rFonts w:asciiTheme="minorHAnsi" w:hAnsiTheme="minorHAnsi" w:cstheme="minorHAnsi"/>
          <w:bCs/>
          <w:sz w:val="24"/>
          <w:szCs w:val="24"/>
          <w:lang w:val="en-GB"/>
        </w:rPr>
        <w:tab/>
      </w:r>
      <w:r w:rsidRPr="00F30241">
        <w:rPr>
          <w:rFonts w:asciiTheme="minorHAnsi" w:hAnsiTheme="minorHAnsi" w:cstheme="minorHAnsi"/>
          <w:bCs/>
          <w:sz w:val="24"/>
          <w:szCs w:val="24"/>
          <w:lang w:val="en-GB"/>
        </w:rPr>
        <w:tab/>
        <w:t>Michaël Benner</w:t>
      </w:r>
      <w:r w:rsidRPr="00F30241">
        <w:rPr>
          <w:rFonts w:asciiTheme="minorHAnsi" w:hAnsiTheme="minorHAnsi" w:cstheme="minorHAnsi"/>
          <w:bCs/>
          <w:sz w:val="24"/>
          <w:szCs w:val="24"/>
          <w:lang w:val="en-GB"/>
        </w:rPr>
        <w:tab/>
      </w:r>
      <w:r w:rsidR="002F52DC">
        <w:rPr>
          <w:rFonts w:asciiTheme="minorHAnsi" w:hAnsiTheme="minorHAnsi" w:cstheme="minorHAnsi"/>
          <w:bCs/>
          <w:sz w:val="24"/>
          <w:szCs w:val="24"/>
          <w:lang w:val="en-GB"/>
        </w:rPr>
        <w:br/>
        <w:t>Student</w:t>
      </w:r>
      <w:r w:rsidR="0026037E">
        <w:rPr>
          <w:rFonts w:asciiTheme="minorHAnsi" w:hAnsiTheme="minorHAnsi" w:cstheme="minorHAnsi"/>
          <w:bCs/>
          <w:sz w:val="24"/>
          <w:szCs w:val="24"/>
          <w:lang w:val="en-GB"/>
        </w:rPr>
        <w:t xml:space="preserve"> </w:t>
      </w:r>
      <w:r w:rsidR="002F52DC">
        <w:rPr>
          <w:rFonts w:asciiTheme="minorHAnsi" w:hAnsiTheme="minorHAnsi" w:cstheme="minorHAnsi"/>
          <w:bCs/>
          <w:sz w:val="24"/>
          <w:szCs w:val="24"/>
          <w:lang w:val="en-GB"/>
        </w:rPr>
        <w:t>number:</w:t>
      </w:r>
      <w:r w:rsidR="002F52DC">
        <w:rPr>
          <w:rFonts w:asciiTheme="minorHAnsi" w:hAnsiTheme="minorHAnsi" w:cstheme="minorHAnsi"/>
          <w:bCs/>
          <w:sz w:val="24"/>
          <w:szCs w:val="24"/>
          <w:lang w:val="en-GB"/>
        </w:rPr>
        <w:tab/>
      </w:r>
      <w:r w:rsidRPr="00F30241">
        <w:rPr>
          <w:rFonts w:asciiTheme="minorHAnsi" w:hAnsiTheme="minorHAnsi" w:cstheme="minorHAnsi"/>
          <w:bCs/>
          <w:sz w:val="24"/>
          <w:szCs w:val="24"/>
          <w:lang w:val="en-GB"/>
        </w:rPr>
        <w:t>335529</w:t>
      </w:r>
    </w:p>
    <w:p w:rsidR="00E47458" w:rsidRPr="00F30241" w:rsidRDefault="00DC4089" w:rsidP="002F52DC">
      <w:pPr>
        <w:pStyle w:val="NoSpacing"/>
        <w:rPr>
          <w:rFonts w:asciiTheme="minorHAnsi" w:hAnsiTheme="minorHAnsi" w:cstheme="minorHAnsi"/>
          <w:bCs/>
          <w:sz w:val="24"/>
          <w:szCs w:val="24"/>
          <w:lang w:val="en-GB"/>
        </w:rPr>
      </w:pPr>
      <w:r>
        <w:rPr>
          <w:rFonts w:asciiTheme="minorHAnsi" w:hAnsiTheme="minorHAnsi" w:cstheme="minorHAnsi"/>
          <w:bCs/>
          <w:sz w:val="24"/>
          <w:szCs w:val="24"/>
          <w:lang w:val="en-GB"/>
        </w:rPr>
        <w:t>Supervisor</w:t>
      </w:r>
      <w:r w:rsidR="00E47458" w:rsidRPr="00F30241">
        <w:rPr>
          <w:rFonts w:asciiTheme="minorHAnsi" w:hAnsiTheme="minorHAnsi" w:cstheme="minorHAnsi"/>
          <w:bCs/>
          <w:sz w:val="24"/>
          <w:szCs w:val="24"/>
          <w:lang w:val="en-GB"/>
        </w:rPr>
        <w:t>:</w:t>
      </w:r>
      <w:r w:rsidR="00E47458" w:rsidRPr="00F30241">
        <w:rPr>
          <w:rFonts w:asciiTheme="minorHAnsi" w:hAnsiTheme="minorHAnsi" w:cstheme="minorHAnsi"/>
          <w:bCs/>
          <w:sz w:val="24"/>
          <w:szCs w:val="24"/>
          <w:lang w:val="en-GB"/>
        </w:rPr>
        <w:tab/>
      </w:r>
      <w:r w:rsidR="00E47458" w:rsidRPr="00F30241">
        <w:rPr>
          <w:rFonts w:asciiTheme="minorHAnsi" w:hAnsiTheme="minorHAnsi" w:cstheme="minorHAnsi"/>
          <w:bCs/>
          <w:sz w:val="24"/>
          <w:szCs w:val="24"/>
          <w:lang w:val="en-GB"/>
        </w:rPr>
        <w:tab/>
        <w:t>Dr.</w:t>
      </w:r>
      <w:r w:rsidR="002F52DC">
        <w:rPr>
          <w:rFonts w:asciiTheme="minorHAnsi" w:hAnsiTheme="minorHAnsi" w:cstheme="minorHAnsi"/>
          <w:bCs/>
          <w:sz w:val="24"/>
          <w:szCs w:val="24"/>
          <w:lang w:val="en-GB"/>
        </w:rPr>
        <w:t xml:space="preserve"> </w:t>
      </w:r>
      <w:r w:rsidR="00E47458" w:rsidRPr="00F30241">
        <w:rPr>
          <w:rFonts w:asciiTheme="minorHAnsi" w:hAnsiTheme="minorHAnsi" w:cstheme="minorHAnsi"/>
          <w:bCs/>
          <w:sz w:val="24"/>
          <w:szCs w:val="24"/>
          <w:lang w:val="en-GB"/>
        </w:rPr>
        <w:t>C.D. Knoops</w:t>
      </w:r>
      <w:r w:rsidR="002F52DC">
        <w:rPr>
          <w:rFonts w:asciiTheme="minorHAnsi" w:hAnsiTheme="minorHAnsi" w:cstheme="minorHAnsi"/>
          <w:bCs/>
          <w:sz w:val="24"/>
          <w:szCs w:val="24"/>
          <w:lang w:val="en-GB"/>
        </w:rPr>
        <w:br/>
        <w:t>Second reader:</w:t>
      </w:r>
      <w:r w:rsidR="0026037E">
        <w:rPr>
          <w:rFonts w:asciiTheme="minorHAnsi" w:hAnsiTheme="minorHAnsi" w:cstheme="minorHAnsi"/>
          <w:bCs/>
          <w:sz w:val="24"/>
          <w:szCs w:val="24"/>
          <w:lang w:val="en-GB"/>
        </w:rPr>
        <w:tab/>
        <w:t>Dr. L. Dai</w:t>
      </w:r>
      <w:r w:rsidR="0026037E">
        <w:rPr>
          <w:rFonts w:asciiTheme="minorHAnsi" w:hAnsiTheme="minorHAnsi" w:cstheme="minorHAnsi"/>
          <w:bCs/>
          <w:sz w:val="24"/>
          <w:szCs w:val="24"/>
          <w:lang w:val="en-GB"/>
        </w:rPr>
        <w:br/>
        <w:t>Date:</w:t>
      </w:r>
      <w:r w:rsidR="0026037E">
        <w:rPr>
          <w:rFonts w:asciiTheme="minorHAnsi" w:hAnsiTheme="minorHAnsi" w:cstheme="minorHAnsi"/>
          <w:bCs/>
          <w:sz w:val="24"/>
          <w:szCs w:val="24"/>
          <w:lang w:val="en-GB"/>
        </w:rPr>
        <w:tab/>
      </w:r>
      <w:r w:rsidR="0026037E">
        <w:rPr>
          <w:rFonts w:asciiTheme="minorHAnsi" w:hAnsiTheme="minorHAnsi" w:cstheme="minorHAnsi"/>
          <w:bCs/>
          <w:sz w:val="24"/>
          <w:szCs w:val="24"/>
          <w:lang w:val="en-GB"/>
        </w:rPr>
        <w:tab/>
      </w:r>
      <w:r w:rsidR="0026037E">
        <w:rPr>
          <w:rFonts w:asciiTheme="minorHAnsi" w:hAnsiTheme="minorHAnsi" w:cstheme="minorHAnsi"/>
          <w:bCs/>
          <w:sz w:val="24"/>
          <w:szCs w:val="24"/>
          <w:lang w:val="en-GB"/>
        </w:rPr>
        <w:tab/>
        <w:t>10-08-2013</w:t>
      </w:r>
    </w:p>
    <w:p w:rsidR="00635CDE" w:rsidRPr="006813C8" w:rsidRDefault="00635CDE" w:rsidP="00635CDE">
      <w:pPr>
        <w:pStyle w:val="NoSpacing"/>
        <w:jc w:val="both"/>
        <w:rPr>
          <w:rFonts w:ascii="Times New Roman" w:hAnsi="Times New Roman"/>
          <w:bCs/>
          <w:sz w:val="24"/>
          <w:szCs w:val="24"/>
          <w:lang w:val="en-GB"/>
        </w:rPr>
      </w:pPr>
      <w:r>
        <w:rPr>
          <w:rFonts w:ascii="Times New Roman" w:hAnsi="Times New Roman"/>
          <w:bCs/>
          <w:sz w:val="24"/>
          <w:szCs w:val="24"/>
          <w:lang w:val="en-GB"/>
        </w:rPr>
        <w:lastRenderedPageBreak/>
        <w:tab/>
      </w:r>
      <w:r>
        <w:rPr>
          <w:rFonts w:ascii="Times New Roman" w:hAnsi="Times New Roman"/>
          <w:bCs/>
          <w:sz w:val="24"/>
          <w:szCs w:val="24"/>
          <w:lang w:val="en-GB"/>
        </w:rPr>
        <w:tab/>
      </w:r>
      <w:r>
        <w:rPr>
          <w:rFonts w:ascii="Times New Roman" w:hAnsi="Times New Roman"/>
          <w:bCs/>
          <w:sz w:val="24"/>
          <w:szCs w:val="24"/>
          <w:lang w:val="en-GB"/>
        </w:rPr>
        <w:tab/>
      </w:r>
    </w:p>
    <w:p w:rsidR="00C17333" w:rsidRDefault="00C17333" w:rsidP="002F52DC">
      <w:pPr>
        <w:pStyle w:val="NoSpacing"/>
        <w:rPr>
          <w:b/>
          <w:sz w:val="32"/>
          <w:szCs w:val="32"/>
        </w:rPr>
      </w:pPr>
      <w:r w:rsidRPr="002F52DC">
        <w:rPr>
          <w:b/>
          <w:sz w:val="32"/>
          <w:szCs w:val="32"/>
        </w:rPr>
        <w:t>Abstract</w:t>
      </w:r>
    </w:p>
    <w:p w:rsidR="002F52DC" w:rsidRPr="002F52DC" w:rsidRDefault="002F52DC" w:rsidP="002F52DC">
      <w:pPr>
        <w:pStyle w:val="NoSpacing"/>
        <w:rPr>
          <w:b/>
        </w:rPr>
      </w:pPr>
    </w:p>
    <w:p w:rsidR="00AA5214" w:rsidRPr="000962FE" w:rsidRDefault="00BF2EDF" w:rsidP="00AA5214">
      <w:pPr>
        <w:rPr>
          <w:lang w:val="en-US"/>
        </w:rPr>
      </w:pPr>
      <w:r>
        <w:rPr>
          <w:lang w:val="en-GB"/>
        </w:rPr>
        <w:t>This research study investigates the impact of industry differences and r</w:t>
      </w:r>
      <w:r w:rsidR="0040287B">
        <w:rPr>
          <w:lang w:val="en-GB"/>
        </w:rPr>
        <w:t xml:space="preserve">estructuring </w:t>
      </w:r>
      <w:r>
        <w:rPr>
          <w:lang w:val="en-GB"/>
        </w:rPr>
        <w:t>on the IT control quality</w:t>
      </w:r>
      <w:r w:rsidR="002B6962">
        <w:rPr>
          <w:lang w:val="en-GB"/>
        </w:rPr>
        <w:t xml:space="preserve">, as measured by </w:t>
      </w:r>
      <w:r>
        <w:rPr>
          <w:lang w:val="en-GB"/>
        </w:rPr>
        <w:t xml:space="preserve">the existence of </w:t>
      </w:r>
      <w:r w:rsidR="002B6962">
        <w:rPr>
          <w:lang w:val="en-GB"/>
        </w:rPr>
        <w:t xml:space="preserve">material </w:t>
      </w:r>
      <w:r>
        <w:rPr>
          <w:lang w:val="en-GB"/>
        </w:rPr>
        <w:t xml:space="preserve">IT </w:t>
      </w:r>
      <w:r w:rsidR="002B6962">
        <w:rPr>
          <w:lang w:val="en-GB"/>
        </w:rPr>
        <w:t>control</w:t>
      </w:r>
      <w:r>
        <w:rPr>
          <w:lang w:val="en-GB"/>
        </w:rPr>
        <w:t xml:space="preserve"> weaknesses. </w:t>
      </w:r>
      <w:r w:rsidR="00D677DF">
        <w:rPr>
          <w:lang w:val="en-GB"/>
        </w:rPr>
        <w:t xml:space="preserve">The growing importance of IT controls is highlighted by </w:t>
      </w:r>
      <w:r w:rsidR="0040287B">
        <w:rPr>
          <w:lang w:val="en-GB"/>
        </w:rPr>
        <w:t xml:space="preserve">the </w:t>
      </w:r>
      <w:r w:rsidR="00D677DF">
        <w:rPr>
          <w:lang w:val="en-GB"/>
        </w:rPr>
        <w:t xml:space="preserve">Sarbanes Oxley Act </w:t>
      </w:r>
      <w:r w:rsidR="002B6962">
        <w:rPr>
          <w:lang w:val="en-GB"/>
        </w:rPr>
        <w:t>(</w:t>
      </w:r>
      <w:r w:rsidR="00D677DF">
        <w:rPr>
          <w:lang w:val="en-GB"/>
        </w:rPr>
        <w:t>2002</w:t>
      </w:r>
      <w:r w:rsidR="002B6962">
        <w:rPr>
          <w:lang w:val="en-GB"/>
        </w:rPr>
        <w:t>), which requires</w:t>
      </w:r>
      <w:r w:rsidR="00D677DF">
        <w:rPr>
          <w:lang w:val="en-GB"/>
        </w:rPr>
        <w:t xml:space="preserve"> </w:t>
      </w:r>
      <w:r w:rsidR="002B6962">
        <w:rPr>
          <w:lang w:val="en-GB"/>
        </w:rPr>
        <w:t>management and auditors to report on the effectiveness of internal controls, including IT controls</w:t>
      </w:r>
      <w:r w:rsidR="00D677DF">
        <w:rPr>
          <w:lang w:val="en-GB"/>
        </w:rPr>
        <w:t xml:space="preserve">. </w:t>
      </w:r>
      <w:r w:rsidR="002B6962">
        <w:rPr>
          <w:lang w:val="en-GB"/>
        </w:rPr>
        <w:br/>
        <w:t>The</w:t>
      </w:r>
      <w:r>
        <w:rPr>
          <w:lang w:val="en-GB"/>
        </w:rPr>
        <w:t xml:space="preserve"> investigation of IT control quality </w:t>
      </w:r>
      <w:r w:rsidR="002B6962">
        <w:rPr>
          <w:lang w:val="en-GB"/>
        </w:rPr>
        <w:t xml:space="preserve">in this study </w:t>
      </w:r>
      <w:r>
        <w:rPr>
          <w:lang w:val="en-GB"/>
        </w:rPr>
        <w:t>is relevant</w:t>
      </w:r>
      <w:r w:rsidR="002B6962">
        <w:rPr>
          <w:lang w:val="en-GB"/>
        </w:rPr>
        <w:t>, because</w:t>
      </w:r>
      <w:r>
        <w:rPr>
          <w:lang w:val="en-GB"/>
        </w:rPr>
        <w:t xml:space="preserve"> </w:t>
      </w:r>
      <w:r w:rsidR="002B6962">
        <w:rPr>
          <w:lang w:val="en-GB"/>
        </w:rPr>
        <w:t>it may</w:t>
      </w:r>
      <w:r>
        <w:rPr>
          <w:lang w:val="en-US"/>
        </w:rPr>
        <w:t xml:space="preserve"> help auditors to determine which industries/ circumstances need extra attention to identify IT control weaknesses.</w:t>
      </w:r>
      <w:r w:rsidR="00D677DF">
        <w:rPr>
          <w:lang w:val="en-US"/>
        </w:rPr>
        <w:t xml:space="preserve"> </w:t>
      </w:r>
      <w:r w:rsidR="002B6962">
        <w:rPr>
          <w:lang w:val="en-US"/>
        </w:rPr>
        <w:t>I</w:t>
      </w:r>
      <w:r w:rsidR="00D677DF">
        <w:rPr>
          <w:lang w:val="en-US"/>
        </w:rPr>
        <w:t xml:space="preserve">nvestors and management </w:t>
      </w:r>
      <w:r w:rsidR="002B6962">
        <w:rPr>
          <w:lang w:val="en-US"/>
        </w:rPr>
        <w:t xml:space="preserve">may also </w:t>
      </w:r>
      <w:r w:rsidR="00D677DF">
        <w:rPr>
          <w:lang w:val="en-US"/>
        </w:rPr>
        <w:t>use th</w:t>
      </w:r>
      <w:r w:rsidR="002B6962">
        <w:rPr>
          <w:lang w:val="en-US"/>
        </w:rPr>
        <w:t>e</w:t>
      </w:r>
      <w:r w:rsidR="00D677DF">
        <w:rPr>
          <w:lang w:val="en-US"/>
        </w:rPr>
        <w:t>s</w:t>
      </w:r>
      <w:r w:rsidR="002B6962">
        <w:rPr>
          <w:lang w:val="en-US"/>
        </w:rPr>
        <w:t>e</w:t>
      </w:r>
      <w:r w:rsidR="00D677DF">
        <w:rPr>
          <w:lang w:val="en-US"/>
        </w:rPr>
        <w:t xml:space="preserve"> research results to </w:t>
      </w:r>
      <w:r w:rsidR="002B6962">
        <w:rPr>
          <w:lang w:val="en-US"/>
        </w:rPr>
        <w:t xml:space="preserve">assess whether </w:t>
      </w:r>
      <w:r w:rsidR="00D677DF">
        <w:rPr>
          <w:lang w:val="en-US"/>
        </w:rPr>
        <w:t xml:space="preserve">a company is more likely to have IT control weaknesses. </w:t>
      </w:r>
      <w:r w:rsidR="002B6962">
        <w:rPr>
          <w:lang w:val="en-US"/>
        </w:rPr>
        <w:br/>
      </w:r>
      <w:r w:rsidR="00C57989">
        <w:rPr>
          <w:lang w:val="en-US"/>
        </w:rPr>
        <w:br/>
      </w:r>
      <w:r w:rsidR="00D677DF">
        <w:rPr>
          <w:lang w:val="en-US"/>
        </w:rPr>
        <w:t xml:space="preserve">The results reveal that </w:t>
      </w:r>
      <w:r w:rsidR="00C57989">
        <w:rPr>
          <w:lang w:val="en-US"/>
        </w:rPr>
        <w:t xml:space="preserve">industry differences are significantly and positively associated with </w:t>
      </w:r>
      <w:r w:rsidR="00AA5214">
        <w:rPr>
          <w:lang w:val="en-US"/>
        </w:rPr>
        <w:t>firms disclos</w:t>
      </w:r>
      <w:r w:rsidR="002B6962">
        <w:rPr>
          <w:lang w:val="en-US"/>
        </w:rPr>
        <w:t>ing</w:t>
      </w:r>
      <w:r w:rsidR="00AA5214">
        <w:rPr>
          <w:lang w:val="en-US"/>
        </w:rPr>
        <w:t xml:space="preserve"> </w:t>
      </w:r>
      <w:r w:rsidR="000B3301">
        <w:rPr>
          <w:lang w:val="en-US"/>
        </w:rPr>
        <w:t>material IT control weaknesses</w:t>
      </w:r>
      <w:r w:rsidR="00AA5214">
        <w:rPr>
          <w:lang w:val="en-US"/>
        </w:rPr>
        <w:t xml:space="preserve"> under SOX section 404 in the years 2004-2011. </w:t>
      </w:r>
      <w:r w:rsidR="001A7D15">
        <w:rPr>
          <w:lang w:val="en-US"/>
        </w:rPr>
        <w:t>I</w:t>
      </w:r>
      <w:r w:rsidR="00AA5214">
        <w:rPr>
          <w:lang w:val="en-US"/>
        </w:rPr>
        <w:t xml:space="preserve">ndustry </w:t>
      </w:r>
      <w:r w:rsidR="001A7D15">
        <w:rPr>
          <w:lang w:val="en-US"/>
        </w:rPr>
        <w:t xml:space="preserve">differences are partly </w:t>
      </w:r>
      <w:r w:rsidR="00AA5214">
        <w:rPr>
          <w:lang w:val="en-US"/>
        </w:rPr>
        <w:t>based on the complexity of financial reporting</w:t>
      </w:r>
      <w:r w:rsidR="001A7D15">
        <w:rPr>
          <w:lang w:val="en-US"/>
        </w:rPr>
        <w:t>. The research study results</w:t>
      </w:r>
      <w:r w:rsidR="00AA5214">
        <w:rPr>
          <w:lang w:val="en-US"/>
        </w:rPr>
        <w:t xml:space="preserve"> support the hypothesis that technology, health care and financial services industries </w:t>
      </w:r>
      <w:r w:rsidR="001A7D15">
        <w:rPr>
          <w:lang w:val="en-US"/>
        </w:rPr>
        <w:t xml:space="preserve">(having </w:t>
      </w:r>
      <w:r w:rsidR="00AA5214">
        <w:rPr>
          <w:lang w:val="en-US"/>
        </w:rPr>
        <w:t>more fraud opportunities</w:t>
      </w:r>
      <w:r w:rsidR="001A7D15">
        <w:rPr>
          <w:lang w:val="en-US"/>
        </w:rPr>
        <w:t>)</w:t>
      </w:r>
      <w:r w:rsidR="00AA5214">
        <w:rPr>
          <w:lang w:val="en-US"/>
        </w:rPr>
        <w:t xml:space="preserve"> are more likely to have </w:t>
      </w:r>
      <w:r w:rsidR="000B3301">
        <w:rPr>
          <w:lang w:val="en-US"/>
        </w:rPr>
        <w:t>material IT control weaknesses</w:t>
      </w:r>
      <w:r w:rsidR="00AA5214">
        <w:rPr>
          <w:lang w:val="en-US"/>
        </w:rPr>
        <w:t xml:space="preserve">. </w:t>
      </w:r>
      <w:r w:rsidR="001A7D15">
        <w:rPr>
          <w:lang w:val="en-US"/>
        </w:rPr>
        <w:t xml:space="preserve">Other </w:t>
      </w:r>
      <w:r w:rsidR="00AA5214">
        <w:rPr>
          <w:lang w:val="en-US"/>
        </w:rPr>
        <w:t>industry differences</w:t>
      </w:r>
      <w:r w:rsidR="001A7D15">
        <w:rPr>
          <w:lang w:val="en-US"/>
        </w:rPr>
        <w:t>,</w:t>
      </w:r>
      <w:r w:rsidR="00AA5214">
        <w:rPr>
          <w:lang w:val="en-US"/>
        </w:rPr>
        <w:t xml:space="preserve"> based on the competitiveness level</w:t>
      </w:r>
      <w:r w:rsidR="001A7D15">
        <w:rPr>
          <w:lang w:val="en-US"/>
        </w:rPr>
        <w:t xml:space="preserve">, </w:t>
      </w:r>
      <w:r w:rsidR="00AA5214">
        <w:rPr>
          <w:lang w:val="en-US"/>
        </w:rPr>
        <w:t>are also significant</w:t>
      </w:r>
      <w:r w:rsidR="00AB4D57">
        <w:rPr>
          <w:lang w:val="en-US"/>
        </w:rPr>
        <w:t xml:space="preserve"> and</w:t>
      </w:r>
      <w:r w:rsidR="00AA5214">
        <w:rPr>
          <w:lang w:val="en-US"/>
        </w:rPr>
        <w:t xml:space="preserve"> support the hypothesis that non-competitive industries have more </w:t>
      </w:r>
      <w:r w:rsidR="000B3301">
        <w:rPr>
          <w:lang w:val="en-US"/>
        </w:rPr>
        <w:t>material IT control weaknesses</w:t>
      </w:r>
      <w:r w:rsidR="00AA5214">
        <w:rPr>
          <w:lang w:val="en-US"/>
        </w:rPr>
        <w:t xml:space="preserve">. </w:t>
      </w:r>
      <w:r w:rsidR="001A7D15">
        <w:rPr>
          <w:lang w:val="en-US"/>
        </w:rPr>
        <w:br/>
      </w:r>
      <w:r w:rsidR="002F11FA">
        <w:rPr>
          <w:lang w:val="en-US"/>
        </w:rPr>
        <w:br/>
      </w:r>
      <w:r w:rsidR="00AA5214">
        <w:rPr>
          <w:lang w:val="en-US"/>
        </w:rPr>
        <w:t>Th</w:t>
      </w:r>
      <w:r w:rsidR="001A7D15">
        <w:rPr>
          <w:lang w:val="en-US"/>
        </w:rPr>
        <w:t xml:space="preserve">is study also highlights the </w:t>
      </w:r>
      <w:r w:rsidR="00AA5214">
        <w:rPr>
          <w:lang w:val="en-US"/>
        </w:rPr>
        <w:t>effect of restructuring</w:t>
      </w:r>
      <w:r w:rsidR="001A7D15">
        <w:rPr>
          <w:lang w:val="en-US"/>
        </w:rPr>
        <w:t xml:space="preserve"> on material IT control weaknesses. Three </w:t>
      </w:r>
      <w:r w:rsidR="00AA5214">
        <w:rPr>
          <w:lang w:val="en-US"/>
        </w:rPr>
        <w:t xml:space="preserve">measures </w:t>
      </w:r>
      <w:r w:rsidR="001A7D15">
        <w:rPr>
          <w:lang w:val="en-US"/>
        </w:rPr>
        <w:t xml:space="preserve">are used to analyze this </w:t>
      </w:r>
      <w:r w:rsidR="00AA5214">
        <w:rPr>
          <w:lang w:val="en-US"/>
        </w:rPr>
        <w:t xml:space="preserve">and the results indicate that only the existence of a restructuring in the sample period </w:t>
      </w:r>
      <w:r w:rsidR="001A7D15">
        <w:rPr>
          <w:lang w:val="en-US"/>
        </w:rPr>
        <w:t>is</w:t>
      </w:r>
      <w:r w:rsidR="00AA5214">
        <w:rPr>
          <w:lang w:val="en-US"/>
        </w:rPr>
        <w:t xml:space="preserve"> significant </w:t>
      </w:r>
      <w:r w:rsidR="001A7D15">
        <w:rPr>
          <w:lang w:val="en-US"/>
        </w:rPr>
        <w:t>and</w:t>
      </w:r>
      <w:r w:rsidR="00AA5214">
        <w:rPr>
          <w:lang w:val="en-US"/>
        </w:rPr>
        <w:t xml:space="preserve"> supports the hypothesis. The existence </w:t>
      </w:r>
      <w:r w:rsidR="002F11FA">
        <w:rPr>
          <w:lang w:val="en-US"/>
        </w:rPr>
        <w:t xml:space="preserve">of a restructuring </w:t>
      </w:r>
      <w:r w:rsidR="00AA5214">
        <w:rPr>
          <w:lang w:val="en-US"/>
        </w:rPr>
        <w:t xml:space="preserve">and the </w:t>
      </w:r>
      <w:r w:rsidR="00835729">
        <w:rPr>
          <w:lang w:val="en-US"/>
        </w:rPr>
        <w:t xml:space="preserve">amount </w:t>
      </w:r>
      <w:r w:rsidR="00AA5214">
        <w:rPr>
          <w:lang w:val="en-US"/>
        </w:rPr>
        <w:t>of the restructuring</w:t>
      </w:r>
      <w:r w:rsidR="00835729">
        <w:rPr>
          <w:lang w:val="en-US"/>
        </w:rPr>
        <w:t xml:space="preserve"> costs</w:t>
      </w:r>
      <w:r w:rsidR="00AA5214">
        <w:rPr>
          <w:lang w:val="en-US"/>
        </w:rPr>
        <w:t xml:space="preserve"> in the same year as the IT material weakness are highly </w:t>
      </w:r>
      <w:r w:rsidR="00835729">
        <w:rPr>
          <w:lang w:val="en-US"/>
        </w:rPr>
        <w:t>inter-</w:t>
      </w:r>
      <w:r w:rsidR="00AA5214">
        <w:rPr>
          <w:lang w:val="en-US"/>
        </w:rPr>
        <w:t>related</w:t>
      </w:r>
      <w:r w:rsidR="00835729">
        <w:rPr>
          <w:lang w:val="en-US"/>
        </w:rPr>
        <w:t>, causing a possible bias in the analysis.</w:t>
      </w:r>
      <w:r w:rsidR="00AA5214">
        <w:rPr>
          <w:lang w:val="en-US"/>
        </w:rPr>
        <w:t xml:space="preserve"> </w:t>
      </w:r>
      <w:r w:rsidR="002F11FA">
        <w:rPr>
          <w:lang w:val="en-US"/>
        </w:rPr>
        <w:t xml:space="preserve">The correlations of these variables </w:t>
      </w:r>
      <w:r w:rsidR="00AA5214">
        <w:rPr>
          <w:lang w:val="en-US"/>
        </w:rPr>
        <w:t>also have a</w:t>
      </w:r>
      <w:r w:rsidR="002F11FA">
        <w:rPr>
          <w:lang w:val="en-US"/>
        </w:rPr>
        <w:t xml:space="preserve"> n</w:t>
      </w:r>
      <w:r w:rsidR="00AA5214">
        <w:rPr>
          <w:lang w:val="en-US"/>
        </w:rPr>
        <w:t>e</w:t>
      </w:r>
      <w:r w:rsidR="002F11FA">
        <w:rPr>
          <w:lang w:val="en-US"/>
        </w:rPr>
        <w:t>gative</w:t>
      </w:r>
      <w:r w:rsidR="00AA5214">
        <w:rPr>
          <w:lang w:val="en-US"/>
        </w:rPr>
        <w:t xml:space="preserve"> sign for the coefficient and therefore d</w:t>
      </w:r>
      <w:r w:rsidR="002F11FA">
        <w:rPr>
          <w:lang w:val="en-US"/>
        </w:rPr>
        <w:t xml:space="preserve">o not </w:t>
      </w:r>
      <w:r w:rsidR="00AA5214">
        <w:rPr>
          <w:lang w:val="en-US"/>
        </w:rPr>
        <w:t xml:space="preserve">support the hypothesis. </w:t>
      </w:r>
      <w:r w:rsidR="002F11FA">
        <w:rPr>
          <w:lang w:val="en-US"/>
        </w:rPr>
        <w:br/>
      </w:r>
      <w:r w:rsidR="002F11FA">
        <w:rPr>
          <w:lang w:val="en-US"/>
        </w:rPr>
        <w:br/>
        <w:t xml:space="preserve">An </w:t>
      </w:r>
      <w:r w:rsidR="00AA5214">
        <w:rPr>
          <w:lang w:val="en-US"/>
        </w:rPr>
        <w:t xml:space="preserve">additional analysis of the trend of the material </w:t>
      </w:r>
      <w:r w:rsidR="002F11FA">
        <w:rPr>
          <w:lang w:val="en-US"/>
        </w:rPr>
        <w:t xml:space="preserve">IT control </w:t>
      </w:r>
      <w:r w:rsidR="00AA5214">
        <w:rPr>
          <w:lang w:val="en-US"/>
        </w:rPr>
        <w:t>weaknesses show</w:t>
      </w:r>
      <w:r w:rsidR="002F11FA">
        <w:rPr>
          <w:lang w:val="en-US"/>
        </w:rPr>
        <w:t>s</w:t>
      </w:r>
      <w:r w:rsidR="00AA5214">
        <w:rPr>
          <w:lang w:val="en-US"/>
        </w:rPr>
        <w:t xml:space="preserve"> a downward trend from the year 2007. A surprising finding is that the year 2007 </w:t>
      </w:r>
      <w:r w:rsidR="002F11FA">
        <w:rPr>
          <w:lang w:val="en-US"/>
        </w:rPr>
        <w:t>shows</w:t>
      </w:r>
      <w:r w:rsidR="00AA5214">
        <w:rPr>
          <w:lang w:val="en-US"/>
        </w:rPr>
        <w:t xml:space="preserve"> relative</w:t>
      </w:r>
      <w:r w:rsidR="002F11FA">
        <w:rPr>
          <w:lang w:val="en-US"/>
        </w:rPr>
        <w:t>ly</w:t>
      </w:r>
      <w:r w:rsidR="00AA5214">
        <w:rPr>
          <w:lang w:val="en-US"/>
        </w:rPr>
        <w:t xml:space="preserve"> more </w:t>
      </w:r>
      <w:r w:rsidR="000B3301">
        <w:rPr>
          <w:lang w:val="en-US"/>
        </w:rPr>
        <w:t>material IT control weaknesses</w:t>
      </w:r>
      <w:r w:rsidR="00AA5214">
        <w:rPr>
          <w:lang w:val="en-US"/>
        </w:rPr>
        <w:t xml:space="preserve"> </w:t>
      </w:r>
      <w:r w:rsidR="002F11FA">
        <w:rPr>
          <w:lang w:val="en-US"/>
        </w:rPr>
        <w:t xml:space="preserve">than other years, </w:t>
      </w:r>
      <w:r w:rsidR="00AA5214">
        <w:rPr>
          <w:lang w:val="en-US"/>
        </w:rPr>
        <w:t xml:space="preserve">while the total number of material weaknesses remained the same. </w:t>
      </w:r>
      <w:r w:rsidR="002F11FA">
        <w:rPr>
          <w:lang w:val="en-US"/>
        </w:rPr>
        <w:br/>
      </w:r>
      <w:r w:rsidR="002F11FA">
        <w:rPr>
          <w:lang w:val="en-US"/>
        </w:rPr>
        <w:br/>
      </w:r>
      <w:r w:rsidR="00AA5214">
        <w:rPr>
          <w:lang w:val="en-US"/>
        </w:rPr>
        <w:t xml:space="preserve">Finally in the discussion </w:t>
      </w:r>
      <w:r w:rsidR="002F11FA">
        <w:rPr>
          <w:lang w:val="en-US"/>
        </w:rPr>
        <w:t xml:space="preserve">the </w:t>
      </w:r>
      <w:r w:rsidR="00AA5214">
        <w:rPr>
          <w:lang w:val="en-US"/>
        </w:rPr>
        <w:t xml:space="preserve">limitations </w:t>
      </w:r>
      <w:r w:rsidR="002F11FA">
        <w:rPr>
          <w:lang w:val="en-US"/>
        </w:rPr>
        <w:t xml:space="preserve">of this study </w:t>
      </w:r>
      <w:r w:rsidR="00AA5214">
        <w:rPr>
          <w:lang w:val="en-US"/>
        </w:rPr>
        <w:t xml:space="preserve">and </w:t>
      </w:r>
      <w:r w:rsidR="002F11FA">
        <w:rPr>
          <w:lang w:val="en-US"/>
        </w:rPr>
        <w:t xml:space="preserve">recommendations for </w:t>
      </w:r>
      <w:r w:rsidR="00AA5214">
        <w:rPr>
          <w:lang w:val="en-US"/>
        </w:rPr>
        <w:t xml:space="preserve">further research </w:t>
      </w:r>
      <w:r w:rsidR="002F11FA">
        <w:rPr>
          <w:lang w:val="en-US"/>
        </w:rPr>
        <w:t>are considered</w:t>
      </w:r>
      <w:r w:rsidR="00AA5214">
        <w:rPr>
          <w:lang w:val="en-US"/>
        </w:rPr>
        <w:t>.</w:t>
      </w:r>
    </w:p>
    <w:p w:rsidR="00C17333" w:rsidRDefault="00C17333" w:rsidP="00BF2EDF">
      <w:pPr>
        <w:rPr>
          <w:lang w:val="en-GB"/>
        </w:rPr>
      </w:pPr>
      <w:r>
        <w:rPr>
          <w:lang w:val="en-GB"/>
        </w:rPr>
        <w:br w:type="page"/>
      </w:r>
    </w:p>
    <w:p w:rsidR="002F52DC" w:rsidRDefault="00C17333" w:rsidP="002F52DC">
      <w:pPr>
        <w:pStyle w:val="NoSpacing"/>
        <w:rPr>
          <w:b/>
          <w:sz w:val="32"/>
          <w:szCs w:val="32"/>
        </w:rPr>
      </w:pPr>
      <w:r w:rsidRPr="002F52DC">
        <w:rPr>
          <w:b/>
          <w:sz w:val="32"/>
          <w:szCs w:val="32"/>
        </w:rPr>
        <w:lastRenderedPageBreak/>
        <w:t>Outline</w:t>
      </w:r>
    </w:p>
    <w:p w:rsidR="002F52DC" w:rsidRPr="002F52DC" w:rsidRDefault="002F52DC" w:rsidP="002F52DC">
      <w:pPr>
        <w:pStyle w:val="NoSpacing"/>
        <w:rPr>
          <w:b/>
          <w:sz w:val="8"/>
          <w:szCs w:val="8"/>
        </w:rPr>
      </w:pPr>
    </w:p>
    <w:p w:rsidR="00BC5115" w:rsidRPr="002F52DC" w:rsidRDefault="002F52DC" w:rsidP="002F52DC">
      <w:pPr>
        <w:pStyle w:val="NoSpacing"/>
        <w:rPr>
          <w:b/>
        </w:rPr>
      </w:pPr>
      <w:r>
        <w:rPr>
          <w:b/>
        </w:rPr>
        <w:t>Content:</w:t>
      </w:r>
    </w:p>
    <w:sdt>
      <w:sdtPr>
        <w:rPr>
          <w:rFonts w:asciiTheme="minorHAnsi" w:eastAsiaTheme="minorEastAsia" w:hAnsiTheme="minorHAnsi" w:cstheme="minorBidi"/>
          <w:lang w:val="nl-NL"/>
        </w:rPr>
        <w:id w:val="1978879734"/>
        <w:docPartObj>
          <w:docPartGallery w:val="Table of Contents"/>
          <w:docPartUnique/>
        </w:docPartObj>
      </w:sdtPr>
      <w:sdtContent>
        <w:p w:rsidR="002F52DC" w:rsidRPr="002F52DC" w:rsidRDefault="002F52DC" w:rsidP="002F52DC">
          <w:pPr>
            <w:pStyle w:val="NoSpacing"/>
            <w:rPr>
              <w:rFonts w:eastAsiaTheme="minorEastAsia"/>
              <w:sz w:val="8"/>
              <w:szCs w:val="8"/>
            </w:rPr>
          </w:pPr>
        </w:p>
        <w:p w:rsidR="002F52DC" w:rsidRPr="002F52DC" w:rsidRDefault="00E254E6">
          <w:pPr>
            <w:pStyle w:val="TOC1"/>
            <w:tabs>
              <w:tab w:val="right" w:leader="dot" w:pos="9060"/>
            </w:tabs>
            <w:rPr>
              <w:noProof/>
              <w:sz w:val="21"/>
              <w:szCs w:val="21"/>
            </w:rPr>
          </w:pPr>
          <w:r w:rsidRPr="00E254E6">
            <w:fldChar w:fldCharType="begin"/>
          </w:r>
          <w:r w:rsidR="004B151A" w:rsidRPr="008E5447">
            <w:rPr>
              <w:lang w:val="en-US"/>
            </w:rPr>
            <w:instrText xml:space="preserve"> TOC \o "1-3" \h \z \u </w:instrText>
          </w:r>
          <w:r w:rsidRPr="00E254E6">
            <w:fldChar w:fldCharType="separate"/>
          </w:r>
          <w:hyperlink w:anchor="_Toc363840749" w:history="1">
            <w:r w:rsidR="002F52DC" w:rsidRPr="002F52DC">
              <w:rPr>
                <w:rStyle w:val="Hyperlink"/>
                <w:noProof/>
                <w:sz w:val="21"/>
                <w:szCs w:val="21"/>
              </w:rPr>
              <w:t>Chapter 1 Introduction</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_Toc363840749 \h </w:instrText>
            </w:r>
            <w:r w:rsidRPr="002F52DC">
              <w:rPr>
                <w:noProof/>
                <w:webHidden/>
                <w:sz w:val="21"/>
                <w:szCs w:val="21"/>
              </w:rPr>
            </w:r>
            <w:r w:rsidRPr="002F52DC">
              <w:rPr>
                <w:noProof/>
                <w:webHidden/>
                <w:sz w:val="21"/>
                <w:szCs w:val="21"/>
              </w:rPr>
              <w:fldChar w:fldCharType="separate"/>
            </w:r>
            <w:r w:rsidR="0068369F">
              <w:rPr>
                <w:noProof/>
                <w:webHidden/>
                <w:sz w:val="21"/>
                <w:szCs w:val="21"/>
              </w:rPr>
              <w:t>4</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50" w:history="1">
            <w:r w:rsidR="002F52DC" w:rsidRPr="002F52DC">
              <w:rPr>
                <w:rStyle w:val="Hyperlink"/>
                <w:noProof/>
                <w:sz w:val="21"/>
                <w:szCs w:val="21"/>
              </w:rPr>
              <w:t>1.1</w:t>
            </w:r>
            <w:r w:rsidR="002F52DC" w:rsidRPr="002F52DC">
              <w:rPr>
                <w:noProof/>
                <w:sz w:val="21"/>
                <w:szCs w:val="21"/>
              </w:rPr>
              <w:tab/>
            </w:r>
            <w:r w:rsidR="002F52DC" w:rsidRPr="002F52DC">
              <w:rPr>
                <w:rStyle w:val="Hyperlink"/>
                <w:noProof/>
                <w:sz w:val="21"/>
                <w:szCs w:val="21"/>
              </w:rPr>
              <w:t>Relevance and motivation</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_Toc363840750 \h </w:instrText>
            </w:r>
            <w:r w:rsidRPr="002F52DC">
              <w:rPr>
                <w:noProof/>
                <w:webHidden/>
                <w:sz w:val="21"/>
                <w:szCs w:val="21"/>
              </w:rPr>
            </w:r>
            <w:r w:rsidRPr="002F52DC">
              <w:rPr>
                <w:noProof/>
                <w:webHidden/>
                <w:sz w:val="21"/>
                <w:szCs w:val="21"/>
              </w:rPr>
              <w:fldChar w:fldCharType="separate"/>
            </w:r>
            <w:r w:rsidR="0068369F">
              <w:rPr>
                <w:noProof/>
                <w:webHidden/>
                <w:sz w:val="21"/>
                <w:szCs w:val="21"/>
              </w:rPr>
              <w:t>4</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51" w:history="1">
            <w:r w:rsidR="002F52DC" w:rsidRPr="002F52DC">
              <w:rPr>
                <w:rStyle w:val="Hyperlink"/>
                <w:noProof/>
                <w:sz w:val="21"/>
                <w:szCs w:val="21"/>
              </w:rPr>
              <w:t>1.2</w:t>
            </w:r>
            <w:r w:rsidR="002F52DC" w:rsidRPr="002F52DC">
              <w:rPr>
                <w:noProof/>
                <w:sz w:val="21"/>
                <w:szCs w:val="21"/>
              </w:rPr>
              <w:tab/>
            </w:r>
            <w:r w:rsidR="002F52DC" w:rsidRPr="002F52DC">
              <w:rPr>
                <w:rStyle w:val="Hyperlink"/>
                <w:noProof/>
                <w:sz w:val="21"/>
                <w:szCs w:val="21"/>
              </w:rPr>
              <w:t>Research questions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_Toc363840751 \h </w:instrText>
            </w:r>
            <w:r w:rsidRPr="002F52DC">
              <w:rPr>
                <w:noProof/>
                <w:webHidden/>
                <w:sz w:val="21"/>
                <w:szCs w:val="21"/>
              </w:rPr>
            </w:r>
            <w:r w:rsidRPr="002F52DC">
              <w:rPr>
                <w:noProof/>
                <w:webHidden/>
                <w:sz w:val="21"/>
                <w:szCs w:val="21"/>
              </w:rPr>
              <w:fldChar w:fldCharType="separate"/>
            </w:r>
            <w:r w:rsidR="0068369F">
              <w:rPr>
                <w:noProof/>
                <w:webHidden/>
                <w:sz w:val="21"/>
                <w:szCs w:val="21"/>
              </w:rPr>
              <w:t>6</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52" w:history="1">
            <w:r w:rsidR="002F52DC" w:rsidRPr="002F52DC">
              <w:rPr>
                <w:rStyle w:val="Hyperlink"/>
                <w:noProof/>
                <w:sz w:val="21"/>
                <w:szCs w:val="21"/>
                <w:lang w:val="en-US"/>
              </w:rPr>
              <w:t>1.3</w:t>
            </w:r>
            <w:r w:rsidR="002F52DC" w:rsidRPr="002F52DC">
              <w:rPr>
                <w:noProof/>
                <w:sz w:val="21"/>
                <w:szCs w:val="21"/>
              </w:rPr>
              <w:tab/>
            </w:r>
            <w:r w:rsidR="002F52DC" w:rsidRPr="002F52DC">
              <w:rPr>
                <w:rStyle w:val="Hyperlink"/>
                <w:noProof/>
                <w:sz w:val="21"/>
                <w:szCs w:val="21"/>
                <w:lang w:val="en-US"/>
              </w:rPr>
              <w:t>The empirical results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_Toc363840752 \h </w:instrText>
            </w:r>
            <w:r w:rsidRPr="002F52DC">
              <w:rPr>
                <w:noProof/>
                <w:webHidden/>
                <w:sz w:val="21"/>
                <w:szCs w:val="21"/>
              </w:rPr>
            </w:r>
            <w:r w:rsidRPr="002F52DC">
              <w:rPr>
                <w:noProof/>
                <w:webHidden/>
                <w:sz w:val="21"/>
                <w:szCs w:val="21"/>
              </w:rPr>
              <w:fldChar w:fldCharType="separate"/>
            </w:r>
            <w:r w:rsidR="0068369F">
              <w:rPr>
                <w:noProof/>
                <w:webHidden/>
                <w:sz w:val="21"/>
                <w:szCs w:val="21"/>
              </w:rPr>
              <w:t>7</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53" w:history="1">
            <w:r w:rsidR="002F52DC" w:rsidRPr="002F52DC">
              <w:rPr>
                <w:rStyle w:val="Hyperlink"/>
                <w:noProof/>
                <w:sz w:val="21"/>
                <w:szCs w:val="21"/>
              </w:rPr>
              <w:t>1.4</w:t>
            </w:r>
            <w:r w:rsidR="002F52DC" w:rsidRPr="002F52DC">
              <w:rPr>
                <w:noProof/>
                <w:sz w:val="21"/>
                <w:szCs w:val="21"/>
              </w:rPr>
              <w:tab/>
            </w:r>
            <w:r w:rsidR="002F52DC" w:rsidRPr="002F52DC">
              <w:rPr>
                <w:rStyle w:val="Hyperlink"/>
                <w:noProof/>
                <w:sz w:val="21"/>
                <w:szCs w:val="21"/>
              </w:rPr>
              <w:t>Structure of the paper</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_Toc363840753 \h </w:instrText>
            </w:r>
            <w:r w:rsidRPr="002F52DC">
              <w:rPr>
                <w:noProof/>
                <w:webHidden/>
                <w:sz w:val="21"/>
                <w:szCs w:val="21"/>
              </w:rPr>
            </w:r>
            <w:r w:rsidRPr="002F52DC">
              <w:rPr>
                <w:noProof/>
                <w:webHidden/>
                <w:sz w:val="21"/>
                <w:szCs w:val="21"/>
              </w:rPr>
              <w:fldChar w:fldCharType="separate"/>
            </w:r>
            <w:r w:rsidR="0068369F">
              <w:rPr>
                <w:noProof/>
                <w:webHidden/>
                <w:sz w:val="21"/>
                <w:szCs w:val="21"/>
              </w:rPr>
              <w:t>7</w:t>
            </w:r>
            <w:r w:rsidRPr="002F52DC">
              <w:rPr>
                <w:noProof/>
                <w:webHidden/>
                <w:sz w:val="21"/>
                <w:szCs w:val="21"/>
              </w:rPr>
              <w:fldChar w:fldCharType="end"/>
            </w:r>
          </w:hyperlink>
        </w:p>
        <w:p w:rsidR="002F52DC" w:rsidRPr="002F52DC" w:rsidRDefault="00E254E6">
          <w:pPr>
            <w:pStyle w:val="TOC1"/>
            <w:tabs>
              <w:tab w:val="left" w:pos="1100"/>
              <w:tab w:val="right" w:leader="dot" w:pos="9060"/>
            </w:tabs>
            <w:rPr>
              <w:noProof/>
              <w:sz w:val="21"/>
              <w:szCs w:val="21"/>
            </w:rPr>
          </w:pPr>
          <w:hyperlink w:anchor="_Toc363840754" w:history="1">
            <w:r w:rsidR="002F52DC" w:rsidRPr="002F52DC">
              <w:rPr>
                <w:rStyle w:val="Hyperlink"/>
                <w:noProof/>
                <w:sz w:val="21"/>
                <w:szCs w:val="21"/>
              </w:rPr>
              <w:t>Chapter 2</w:t>
            </w:r>
            <w:r w:rsidR="002F52DC" w:rsidRPr="002F52DC">
              <w:rPr>
                <w:noProof/>
                <w:sz w:val="21"/>
                <w:szCs w:val="21"/>
              </w:rPr>
              <w:tab/>
            </w:r>
            <w:r w:rsidR="002F52DC" w:rsidRPr="002F52DC">
              <w:rPr>
                <w:rStyle w:val="Hyperlink"/>
                <w:noProof/>
                <w:sz w:val="21"/>
                <w:szCs w:val="21"/>
              </w:rPr>
              <w:t>Background information</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_Toc363840754 \h </w:instrText>
            </w:r>
            <w:r w:rsidRPr="002F52DC">
              <w:rPr>
                <w:noProof/>
                <w:webHidden/>
                <w:sz w:val="21"/>
                <w:szCs w:val="21"/>
              </w:rPr>
            </w:r>
            <w:r w:rsidRPr="002F52DC">
              <w:rPr>
                <w:noProof/>
                <w:webHidden/>
                <w:sz w:val="21"/>
                <w:szCs w:val="21"/>
              </w:rPr>
              <w:fldChar w:fldCharType="separate"/>
            </w:r>
            <w:r w:rsidR="0068369F">
              <w:rPr>
                <w:noProof/>
                <w:webHidden/>
                <w:sz w:val="21"/>
                <w:szCs w:val="21"/>
              </w:rPr>
              <w:t>9</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57" w:history="1">
            <w:r w:rsidR="002F52DC" w:rsidRPr="002F52DC">
              <w:rPr>
                <w:rStyle w:val="Hyperlink"/>
                <w:noProof/>
                <w:sz w:val="21"/>
                <w:szCs w:val="21"/>
              </w:rPr>
              <w:t>2.1</w:t>
            </w:r>
            <w:r w:rsidR="002F52DC" w:rsidRPr="002F52DC">
              <w:rPr>
                <w:noProof/>
                <w:sz w:val="21"/>
                <w:szCs w:val="21"/>
              </w:rPr>
              <w:tab/>
            </w:r>
            <w:r w:rsidR="002F52DC" w:rsidRPr="002F52DC">
              <w:rPr>
                <w:rStyle w:val="Hyperlink"/>
                <w:noProof/>
                <w:sz w:val="21"/>
                <w:szCs w:val="21"/>
              </w:rPr>
              <w:t>SOX Section 404</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_Toc363840757 \h </w:instrText>
            </w:r>
            <w:r w:rsidRPr="002F52DC">
              <w:rPr>
                <w:noProof/>
                <w:webHidden/>
                <w:sz w:val="21"/>
                <w:szCs w:val="21"/>
              </w:rPr>
            </w:r>
            <w:r w:rsidRPr="002F52DC">
              <w:rPr>
                <w:noProof/>
                <w:webHidden/>
                <w:sz w:val="21"/>
                <w:szCs w:val="21"/>
              </w:rPr>
              <w:fldChar w:fldCharType="separate"/>
            </w:r>
            <w:r w:rsidR="0068369F">
              <w:rPr>
                <w:noProof/>
                <w:webHidden/>
                <w:sz w:val="21"/>
                <w:szCs w:val="21"/>
              </w:rPr>
              <w:t>9</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58" w:history="1">
            <w:r w:rsidR="002F52DC" w:rsidRPr="002F52DC">
              <w:rPr>
                <w:rStyle w:val="Hyperlink"/>
                <w:noProof/>
                <w:sz w:val="21"/>
                <w:szCs w:val="21"/>
              </w:rPr>
              <w:t>2.2</w:t>
            </w:r>
            <w:r w:rsidR="002F52DC" w:rsidRPr="002F52DC">
              <w:rPr>
                <w:noProof/>
                <w:sz w:val="21"/>
                <w:szCs w:val="21"/>
              </w:rPr>
              <w:tab/>
            </w:r>
            <w:r w:rsidR="002F52DC" w:rsidRPr="002F52DC">
              <w:rPr>
                <w:rStyle w:val="Hyperlink"/>
                <w:noProof/>
                <w:sz w:val="21"/>
                <w:szCs w:val="21"/>
              </w:rPr>
              <w:t>Framework to determine the quality of internal controls (COSO)</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_Toc363840758 \h </w:instrText>
            </w:r>
            <w:r w:rsidRPr="002F52DC">
              <w:rPr>
                <w:noProof/>
                <w:webHidden/>
                <w:sz w:val="21"/>
                <w:szCs w:val="21"/>
              </w:rPr>
            </w:r>
            <w:r w:rsidRPr="002F52DC">
              <w:rPr>
                <w:noProof/>
                <w:webHidden/>
                <w:sz w:val="21"/>
                <w:szCs w:val="21"/>
              </w:rPr>
              <w:fldChar w:fldCharType="separate"/>
            </w:r>
            <w:r w:rsidR="0068369F">
              <w:rPr>
                <w:noProof/>
                <w:webHidden/>
                <w:sz w:val="21"/>
                <w:szCs w:val="21"/>
              </w:rPr>
              <w:t>10</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59" w:history="1">
            <w:r w:rsidR="002F52DC" w:rsidRPr="002F52DC">
              <w:rPr>
                <w:rStyle w:val="Hyperlink"/>
                <w:noProof/>
                <w:sz w:val="21"/>
                <w:szCs w:val="21"/>
              </w:rPr>
              <w:t>2.3</w:t>
            </w:r>
            <w:r w:rsidR="002F52DC" w:rsidRPr="002F52DC">
              <w:rPr>
                <w:noProof/>
                <w:sz w:val="21"/>
                <w:szCs w:val="21"/>
              </w:rPr>
              <w:tab/>
            </w:r>
            <w:r w:rsidR="002F52DC" w:rsidRPr="002F52DC">
              <w:rPr>
                <w:rStyle w:val="Hyperlink"/>
                <w:noProof/>
                <w:sz w:val="21"/>
                <w:szCs w:val="21"/>
              </w:rPr>
              <w:t>Framework to determine the quality of IT controls (COBIT)</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_Toc363840759 \h </w:instrText>
            </w:r>
            <w:r w:rsidRPr="002F52DC">
              <w:rPr>
                <w:noProof/>
                <w:webHidden/>
                <w:sz w:val="21"/>
                <w:szCs w:val="21"/>
              </w:rPr>
            </w:r>
            <w:r w:rsidRPr="002F52DC">
              <w:rPr>
                <w:noProof/>
                <w:webHidden/>
                <w:sz w:val="21"/>
                <w:szCs w:val="21"/>
              </w:rPr>
              <w:fldChar w:fldCharType="separate"/>
            </w:r>
            <w:r w:rsidR="0068369F">
              <w:rPr>
                <w:noProof/>
                <w:webHidden/>
                <w:sz w:val="21"/>
                <w:szCs w:val="21"/>
              </w:rPr>
              <w:t>11</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60" w:history="1">
            <w:r w:rsidR="002F52DC" w:rsidRPr="002F52DC">
              <w:rPr>
                <w:rStyle w:val="Hyperlink"/>
                <w:noProof/>
                <w:sz w:val="21"/>
                <w:szCs w:val="21"/>
              </w:rPr>
              <w:t>2.4</w:t>
            </w:r>
            <w:r w:rsidR="002F52DC" w:rsidRPr="002F52DC">
              <w:rPr>
                <w:noProof/>
                <w:sz w:val="21"/>
                <w:szCs w:val="21"/>
              </w:rPr>
              <w:tab/>
            </w:r>
            <w:r w:rsidR="002F52DC" w:rsidRPr="002F52DC">
              <w:rPr>
                <w:rStyle w:val="Hyperlink"/>
                <w:rFonts w:cs="AdvTimes"/>
                <w:noProof/>
                <w:sz w:val="21"/>
                <w:szCs w:val="21"/>
                <w:lang w:val="en-US"/>
              </w:rPr>
              <w:t xml:space="preserve">Background on the </w:t>
            </w:r>
            <w:r w:rsidR="002F52DC" w:rsidRPr="002F52DC">
              <w:rPr>
                <w:rStyle w:val="Hyperlink"/>
                <w:noProof/>
                <w:sz w:val="21"/>
                <w:szCs w:val="21"/>
              </w:rPr>
              <w:t>explanatory variables industry differences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_Toc363840760 \h </w:instrText>
            </w:r>
            <w:r w:rsidRPr="002F52DC">
              <w:rPr>
                <w:noProof/>
                <w:webHidden/>
                <w:sz w:val="21"/>
                <w:szCs w:val="21"/>
              </w:rPr>
            </w:r>
            <w:r w:rsidRPr="002F52DC">
              <w:rPr>
                <w:noProof/>
                <w:webHidden/>
                <w:sz w:val="21"/>
                <w:szCs w:val="21"/>
              </w:rPr>
              <w:fldChar w:fldCharType="separate"/>
            </w:r>
            <w:r w:rsidR="0068369F">
              <w:rPr>
                <w:noProof/>
                <w:webHidden/>
                <w:sz w:val="21"/>
                <w:szCs w:val="21"/>
              </w:rPr>
              <w:t>13</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61" w:history="1">
            <w:r w:rsidR="002F52DC" w:rsidRPr="002F52DC">
              <w:rPr>
                <w:rStyle w:val="Hyperlink"/>
                <w:noProof/>
                <w:sz w:val="21"/>
                <w:szCs w:val="21"/>
              </w:rPr>
              <w:t>2.5</w:t>
            </w:r>
            <w:r w:rsidR="002F52DC" w:rsidRPr="002F52DC">
              <w:rPr>
                <w:noProof/>
                <w:sz w:val="21"/>
                <w:szCs w:val="21"/>
              </w:rPr>
              <w:tab/>
            </w:r>
            <w:r w:rsidR="002F52DC" w:rsidRPr="002F52DC">
              <w:rPr>
                <w:rStyle w:val="Hyperlink"/>
                <w:noProof/>
                <w:sz w:val="21"/>
                <w:szCs w:val="21"/>
              </w:rPr>
              <w:t>Background on Restructuring</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_Toc363840761 \h </w:instrText>
            </w:r>
            <w:r w:rsidRPr="002F52DC">
              <w:rPr>
                <w:noProof/>
                <w:webHidden/>
                <w:sz w:val="21"/>
                <w:szCs w:val="21"/>
              </w:rPr>
            </w:r>
            <w:r w:rsidRPr="002F52DC">
              <w:rPr>
                <w:noProof/>
                <w:webHidden/>
                <w:sz w:val="21"/>
                <w:szCs w:val="21"/>
              </w:rPr>
              <w:fldChar w:fldCharType="separate"/>
            </w:r>
            <w:r w:rsidR="0068369F">
              <w:rPr>
                <w:noProof/>
                <w:webHidden/>
                <w:sz w:val="21"/>
                <w:szCs w:val="21"/>
              </w:rPr>
              <w:t>14</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62" w:history="1">
            <w:r w:rsidR="002F52DC" w:rsidRPr="002F52DC">
              <w:rPr>
                <w:rStyle w:val="Hyperlink"/>
                <w:noProof/>
                <w:sz w:val="21"/>
                <w:szCs w:val="21"/>
              </w:rPr>
              <w:t>2.6</w:t>
            </w:r>
            <w:r w:rsidR="002F52DC" w:rsidRPr="002F52DC">
              <w:rPr>
                <w:noProof/>
                <w:sz w:val="21"/>
                <w:szCs w:val="21"/>
              </w:rPr>
              <w:tab/>
            </w:r>
            <w:r w:rsidR="002F52DC" w:rsidRPr="002F52DC">
              <w:rPr>
                <w:rStyle w:val="Hyperlink"/>
                <w:noProof/>
                <w:sz w:val="21"/>
                <w:szCs w:val="21"/>
              </w:rPr>
              <w:t>Summary chapter 2</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_Toc363840762 \h </w:instrText>
            </w:r>
            <w:r w:rsidRPr="002F52DC">
              <w:rPr>
                <w:noProof/>
                <w:webHidden/>
                <w:sz w:val="21"/>
                <w:szCs w:val="21"/>
              </w:rPr>
            </w:r>
            <w:r w:rsidRPr="002F52DC">
              <w:rPr>
                <w:noProof/>
                <w:webHidden/>
                <w:sz w:val="21"/>
                <w:szCs w:val="21"/>
              </w:rPr>
              <w:fldChar w:fldCharType="separate"/>
            </w:r>
            <w:r w:rsidR="0068369F">
              <w:rPr>
                <w:noProof/>
                <w:webHidden/>
                <w:sz w:val="21"/>
                <w:szCs w:val="21"/>
              </w:rPr>
              <w:t>15</w:t>
            </w:r>
            <w:r w:rsidRPr="002F52DC">
              <w:rPr>
                <w:noProof/>
                <w:webHidden/>
                <w:sz w:val="21"/>
                <w:szCs w:val="21"/>
              </w:rPr>
              <w:fldChar w:fldCharType="end"/>
            </w:r>
          </w:hyperlink>
        </w:p>
        <w:p w:rsidR="002F52DC" w:rsidRPr="002F52DC" w:rsidRDefault="00E254E6">
          <w:pPr>
            <w:pStyle w:val="TOC1"/>
            <w:tabs>
              <w:tab w:val="left" w:pos="1100"/>
              <w:tab w:val="right" w:leader="dot" w:pos="9060"/>
            </w:tabs>
            <w:rPr>
              <w:noProof/>
              <w:sz w:val="21"/>
              <w:szCs w:val="21"/>
            </w:rPr>
          </w:pPr>
          <w:hyperlink w:anchor="_Toc363840763" w:history="1">
            <w:r w:rsidR="002F52DC" w:rsidRPr="002F52DC">
              <w:rPr>
                <w:rStyle w:val="Hyperlink"/>
                <w:noProof/>
                <w:sz w:val="21"/>
                <w:szCs w:val="21"/>
              </w:rPr>
              <w:t>Chapter 3</w:t>
            </w:r>
            <w:r w:rsidR="002F52DC" w:rsidRPr="002F52DC">
              <w:rPr>
                <w:noProof/>
                <w:sz w:val="21"/>
                <w:szCs w:val="21"/>
              </w:rPr>
              <w:tab/>
            </w:r>
            <w:r w:rsidR="002F52DC" w:rsidRPr="002F52DC">
              <w:rPr>
                <w:rStyle w:val="Hyperlink"/>
                <w:noProof/>
                <w:sz w:val="21"/>
                <w:szCs w:val="21"/>
              </w:rPr>
              <w:t>Literature review</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_Toc363840763 \h </w:instrText>
            </w:r>
            <w:r w:rsidRPr="002F52DC">
              <w:rPr>
                <w:noProof/>
                <w:webHidden/>
                <w:sz w:val="21"/>
                <w:szCs w:val="21"/>
              </w:rPr>
            </w:r>
            <w:r w:rsidRPr="002F52DC">
              <w:rPr>
                <w:noProof/>
                <w:webHidden/>
                <w:sz w:val="21"/>
                <w:szCs w:val="21"/>
              </w:rPr>
              <w:fldChar w:fldCharType="separate"/>
            </w:r>
            <w:r w:rsidR="0068369F">
              <w:rPr>
                <w:noProof/>
                <w:webHidden/>
                <w:sz w:val="21"/>
                <w:szCs w:val="21"/>
              </w:rPr>
              <w:t>17</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65" w:history="1">
            <w:r w:rsidR="002F52DC" w:rsidRPr="002F52DC">
              <w:rPr>
                <w:rStyle w:val="Hyperlink"/>
                <w:noProof/>
                <w:sz w:val="21"/>
                <w:szCs w:val="21"/>
              </w:rPr>
              <w:t>3.1</w:t>
            </w:r>
            <w:r w:rsidR="002F52DC" w:rsidRPr="002F52DC">
              <w:rPr>
                <w:noProof/>
                <w:sz w:val="21"/>
                <w:szCs w:val="21"/>
              </w:rPr>
              <w:tab/>
            </w:r>
            <w:r w:rsidR="002F52DC" w:rsidRPr="002F52DC">
              <w:rPr>
                <w:rStyle w:val="Hyperlink"/>
                <w:noProof/>
                <w:sz w:val="21"/>
                <w:szCs w:val="21"/>
              </w:rPr>
              <w:t>Internal control weaknesses determinants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_Toc363840765 \h </w:instrText>
            </w:r>
            <w:r w:rsidRPr="002F52DC">
              <w:rPr>
                <w:noProof/>
                <w:webHidden/>
                <w:sz w:val="21"/>
                <w:szCs w:val="21"/>
              </w:rPr>
            </w:r>
            <w:r w:rsidRPr="002F52DC">
              <w:rPr>
                <w:noProof/>
                <w:webHidden/>
                <w:sz w:val="21"/>
                <w:szCs w:val="21"/>
              </w:rPr>
              <w:fldChar w:fldCharType="separate"/>
            </w:r>
            <w:r w:rsidR="0068369F">
              <w:rPr>
                <w:noProof/>
                <w:webHidden/>
                <w:sz w:val="21"/>
                <w:szCs w:val="21"/>
              </w:rPr>
              <w:t>17</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66" w:history="1">
            <w:r w:rsidR="002F52DC" w:rsidRPr="002F52DC">
              <w:rPr>
                <w:rStyle w:val="Hyperlink"/>
                <w:noProof/>
                <w:sz w:val="21"/>
                <w:szCs w:val="21"/>
              </w:rPr>
              <w:t>3.2</w:t>
            </w:r>
            <w:r w:rsidR="002F52DC" w:rsidRPr="002F52DC">
              <w:rPr>
                <w:noProof/>
                <w:sz w:val="21"/>
                <w:szCs w:val="21"/>
              </w:rPr>
              <w:tab/>
            </w:r>
            <w:r w:rsidR="002F52DC" w:rsidRPr="002F52DC">
              <w:rPr>
                <w:rStyle w:val="Hyperlink"/>
                <w:noProof/>
                <w:sz w:val="21"/>
                <w:szCs w:val="21"/>
              </w:rPr>
              <w:t>Relation IT controls and financial reporting</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_Toc363840766 \h </w:instrText>
            </w:r>
            <w:r w:rsidRPr="002F52DC">
              <w:rPr>
                <w:noProof/>
                <w:webHidden/>
                <w:sz w:val="21"/>
                <w:szCs w:val="21"/>
              </w:rPr>
            </w:r>
            <w:r w:rsidRPr="002F52DC">
              <w:rPr>
                <w:noProof/>
                <w:webHidden/>
                <w:sz w:val="21"/>
                <w:szCs w:val="21"/>
              </w:rPr>
              <w:fldChar w:fldCharType="separate"/>
            </w:r>
            <w:r w:rsidR="0068369F">
              <w:rPr>
                <w:noProof/>
                <w:webHidden/>
                <w:sz w:val="21"/>
                <w:szCs w:val="21"/>
              </w:rPr>
              <w:t>18</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67" w:history="1">
            <w:r w:rsidR="002F52DC" w:rsidRPr="002F52DC">
              <w:rPr>
                <w:rStyle w:val="Hyperlink"/>
                <w:rFonts w:eastAsiaTheme="minorHAnsi"/>
                <w:noProof/>
                <w:sz w:val="21"/>
                <w:szCs w:val="21"/>
                <w:lang w:eastAsia="en-US"/>
              </w:rPr>
              <w:t>3.3</w:t>
            </w:r>
            <w:r w:rsidR="002F52DC" w:rsidRPr="002F52DC">
              <w:rPr>
                <w:noProof/>
                <w:sz w:val="21"/>
                <w:szCs w:val="21"/>
              </w:rPr>
              <w:tab/>
            </w:r>
            <w:r w:rsidR="002F52DC" w:rsidRPr="002F52DC">
              <w:rPr>
                <w:rStyle w:val="Hyperlink"/>
                <w:rFonts w:eastAsiaTheme="minorHAnsi"/>
                <w:noProof/>
                <w:sz w:val="21"/>
                <w:szCs w:val="21"/>
                <w:lang w:eastAsia="en-US"/>
              </w:rPr>
              <w:t>Summary chapter 3</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_Toc363840767 \h </w:instrText>
            </w:r>
            <w:r w:rsidRPr="002F52DC">
              <w:rPr>
                <w:noProof/>
                <w:webHidden/>
                <w:sz w:val="21"/>
                <w:szCs w:val="21"/>
              </w:rPr>
            </w:r>
            <w:r w:rsidRPr="002F52DC">
              <w:rPr>
                <w:noProof/>
                <w:webHidden/>
                <w:sz w:val="21"/>
                <w:szCs w:val="21"/>
              </w:rPr>
              <w:fldChar w:fldCharType="separate"/>
            </w:r>
            <w:r w:rsidR="0068369F">
              <w:rPr>
                <w:noProof/>
                <w:webHidden/>
                <w:sz w:val="21"/>
                <w:szCs w:val="21"/>
              </w:rPr>
              <w:t>22</w:t>
            </w:r>
            <w:r w:rsidRPr="002F52DC">
              <w:rPr>
                <w:noProof/>
                <w:webHidden/>
                <w:sz w:val="21"/>
                <w:szCs w:val="21"/>
              </w:rPr>
              <w:fldChar w:fldCharType="end"/>
            </w:r>
          </w:hyperlink>
        </w:p>
        <w:p w:rsidR="002F52DC" w:rsidRPr="002F52DC" w:rsidRDefault="00E254E6">
          <w:pPr>
            <w:pStyle w:val="TOC1"/>
            <w:tabs>
              <w:tab w:val="left" w:pos="1100"/>
              <w:tab w:val="right" w:leader="dot" w:pos="9060"/>
            </w:tabs>
            <w:rPr>
              <w:noProof/>
              <w:sz w:val="21"/>
              <w:szCs w:val="21"/>
            </w:rPr>
          </w:pPr>
          <w:hyperlink w:anchor="_Toc363840768" w:history="1">
            <w:r w:rsidR="002F52DC" w:rsidRPr="002F52DC">
              <w:rPr>
                <w:rStyle w:val="Hyperlink"/>
                <w:noProof/>
                <w:sz w:val="21"/>
                <w:szCs w:val="21"/>
              </w:rPr>
              <w:t>Chapter 4</w:t>
            </w:r>
            <w:r w:rsidR="002F52DC" w:rsidRPr="002F52DC">
              <w:rPr>
                <w:noProof/>
                <w:sz w:val="21"/>
                <w:szCs w:val="21"/>
              </w:rPr>
              <w:tab/>
            </w:r>
            <w:r w:rsidR="002F52DC" w:rsidRPr="002F52DC">
              <w:rPr>
                <w:rStyle w:val="Hyperlink"/>
                <w:noProof/>
                <w:sz w:val="21"/>
                <w:szCs w:val="21"/>
              </w:rPr>
              <w:t>Hypotheses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_Toc363840768 \h </w:instrText>
            </w:r>
            <w:r w:rsidRPr="002F52DC">
              <w:rPr>
                <w:noProof/>
                <w:webHidden/>
                <w:sz w:val="21"/>
                <w:szCs w:val="21"/>
              </w:rPr>
            </w:r>
            <w:r w:rsidRPr="002F52DC">
              <w:rPr>
                <w:noProof/>
                <w:webHidden/>
                <w:sz w:val="21"/>
                <w:szCs w:val="21"/>
              </w:rPr>
              <w:fldChar w:fldCharType="separate"/>
            </w:r>
            <w:r w:rsidR="0068369F">
              <w:rPr>
                <w:noProof/>
                <w:webHidden/>
                <w:sz w:val="21"/>
                <w:szCs w:val="21"/>
              </w:rPr>
              <w:t>24</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70" w:history="1">
            <w:r w:rsidR="002F52DC" w:rsidRPr="002F52DC">
              <w:rPr>
                <w:rStyle w:val="Hyperlink"/>
                <w:noProof/>
                <w:sz w:val="21"/>
                <w:szCs w:val="21"/>
              </w:rPr>
              <w:t>4.1</w:t>
            </w:r>
            <w:r w:rsidR="002F52DC" w:rsidRPr="002F52DC">
              <w:rPr>
                <w:noProof/>
                <w:sz w:val="21"/>
                <w:szCs w:val="21"/>
              </w:rPr>
              <w:tab/>
            </w:r>
            <w:r w:rsidR="002F52DC" w:rsidRPr="002F52DC">
              <w:rPr>
                <w:rStyle w:val="Hyperlink"/>
                <w:noProof/>
                <w:sz w:val="21"/>
                <w:szCs w:val="21"/>
              </w:rPr>
              <w:t>Industry differences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_Toc363840770 \h </w:instrText>
            </w:r>
            <w:r w:rsidRPr="002F52DC">
              <w:rPr>
                <w:noProof/>
                <w:webHidden/>
                <w:sz w:val="21"/>
                <w:szCs w:val="21"/>
              </w:rPr>
            </w:r>
            <w:r w:rsidRPr="002F52DC">
              <w:rPr>
                <w:noProof/>
                <w:webHidden/>
                <w:sz w:val="21"/>
                <w:szCs w:val="21"/>
              </w:rPr>
              <w:fldChar w:fldCharType="separate"/>
            </w:r>
            <w:r w:rsidR="0068369F">
              <w:rPr>
                <w:noProof/>
                <w:webHidden/>
                <w:sz w:val="21"/>
                <w:szCs w:val="21"/>
              </w:rPr>
              <w:t>24</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71" w:history="1">
            <w:r w:rsidR="002F52DC" w:rsidRPr="002F52DC">
              <w:rPr>
                <w:rStyle w:val="Hyperlink"/>
                <w:i/>
                <w:noProof/>
                <w:sz w:val="21"/>
                <w:szCs w:val="21"/>
                <w:lang w:val="en-US"/>
              </w:rPr>
              <w:t>4.2</w:t>
            </w:r>
            <w:r w:rsidR="002F52DC" w:rsidRPr="002F52DC">
              <w:rPr>
                <w:noProof/>
                <w:sz w:val="21"/>
                <w:szCs w:val="21"/>
              </w:rPr>
              <w:tab/>
            </w:r>
            <w:r w:rsidR="002F52DC" w:rsidRPr="002F52DC">
              <w:rPr>
                <w:rStyle w:val="Hyperlink"/>
                <w:noProof/>
                <w:sz w:val="21"/>
                <w:szCs w:val="21"/>
              </w:rPr>
              <w:t>Restructuring</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_Toc363840771 \h </w:instrText>
            </w:r>
            <w:r w:rsidRPr="002F52DC">
              <w:rPr>
                <w:noProof/>
                <w:webHidden/>
                <w:sz w:val="21"/>
                <w:szCs w:val="21"/>
              </w:rPr>
            </w:r>
            <w:r w:rsidRPr="002F52DC">
              <w:rPr>
                <w:noProof/>
                <w:webHidden/>
                <w:sz w:val="21"/>
                <w:szCs w:val="21"/>
              </w:rPr>
              <w:fldChar w:fldCharType="separate"/>
            </w:r>
            <w:r w:rsidR="0068369F">
              <w:rPr>
                <w:noProof/>
                <w:webHidden/>
                <w:sz w:val="21"/>
                <w:szCs w:val="21"/>
              </w:rPr>
              <w:t>25</w:t>
            </w:r>
            <w:r w:rsidRPr="002F52DC">
              <w:rPr>
                <w:noProof/>
                <w:webHidden/>
                <w:sz w:val="21"/>
                <w:szCs w:val="21"/>
              </w:rPr>
              <w:fldChar w:fldCharType="end"/>
            </w:r>
          </w:hyperlink>
        </w:p>
        <w:p w:rsidR="002F52DC" w:rsidRPr="002F52DC" w:rsidRDefault="00E254E6">
          <w:pPr>
            <w:pStyle w:val="TOC1"/>
            <w:tabs>
              <w:tab w:val="left" w:pos="1100"/>
              <w:tab w:val="right" w:leader="dot" w:pos="9060"/>
            </w:tabs>
            <w:rPr>
              <w:noProof/>
              <w:sz w:val="21"/>
              <w:szCs w:val="21"/>
            </w:rPr>
          </w:pPr>
          <w:hyperlink w:anchor="_Toc363840772" w:history="1">
            <w:r w:rsidR="002F52DC" w:rsidRPr="002F52DC">
              <w:rPr>
                <w:rStyle w:val="Hyperlink"/>
                <w:noProof/>
                <w:sz w:val="21"/>
                <w:szCs w:val="21"/>
              </w:rPr>
              <w:t>Chapter 5</w:t>
            </w:r>
            <w:r w:rsidR="002F52DC" w:rsidRPr="002F52DC">
              <w:rPr>
                <w:noProof/>
                <w:sz w:val="21"/>
                <w:szCs w:val="21"/>
              </w:rPr>
              <w:tab/>
            </w:r>
            <w:r w:rsidR="002F52DC" w:rsidRPr="002F52DC">
              <w:rPr>
                <w:rStyle w:val="Hyperlink"/>
                <w:noProof/>
                <w:sz w:val="21"/>
                <w:szCs w:val="21"/>
              </w:rPr>
              <w:t>Research design</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_Toc363840772 \h </w:instrText>
            </w:r>
            <w:r w:rsidRPr="002F52DC">
              <w:rPr>
                <w:noProof/>
                <w:webHidden/>
                <w:sz w:val="21"/>
                <w:szCs w:val="21"/>
              </w:rPr>
            </w:r>
            <w:r w:rsidRPr="002F52DC">
              <w:rPr>
                <w:noProof/>
                <w:webHidden/>
                <w:sz w:val="21"/>
                <w:szCs w:val="21"/>
              </w:rPr>
              <w:fldChar w:fldCharType="separate"/>
            </w:r>
            <w:r w:rsidR="0068369F">
              <w:rPr>
                <w:noProof/>
                <w:webHidden/>
                <w:sz w:val="21"/>
                <w:szCs w:val="21"/>
              </w:rPr>
              <w:t>27</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74" w:history="1">
            <w:r w:rsidR="002F52DC" w:rsidRPr="002F52DC">
              <w:rPr>
                <w:rStyle w:val="Hyperlink"/>
                <w:noProof/>
                <w:sz w:val="21"/>
                <w:szCs w:val="21"/>
              </w:rPr>
              <w:t>5.1</w:t>
            </w:r>
            <w:r w:rsidR="002F52DC" w:rsidRPr="002F52DC">
              <w:rPr>
                <w:noProof/>
                <w:sz w:val="21"/>
                <w:szCs w:val="21"/>
              </w:rPr>
              <w:tab/>
            </w:r>
            <w:r w:rsidR="002F52DC" w:rsidRPr="002F52DC">
              <w:rPr>
                <w:rStyle w:val="Hyperlink"/>
                <w:noProof/>
                <w:sz w:val="21"/>
                <w:szCs w:val="21"/>
              </w:rPr>
              <w:t>Research measurements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_Toc363840774 \h </w:instrText>
            </w:r>
            <w:r w:rsidRPr="002F52DC">
              <w:rPr>
                <w:noProof/>
                <w:webHidden/>
                <w:sz w:val="21"/>
                <w:szCs w:val="21"/>
              </w:rPr>
            </w:r>
            <w:r w:rsidRPr="002F52DC">
              <w:rPr>
                <w:noProof/>
                <w:webHidden/>
                <w:sz w:val="21"/>
                <w:szCs w:val="21"/>
              </w:rPr>
              <w:fldChar w:fldCharType="separate"/>
            </w:r>
            <w:r w:rsidR="0068369F">
              <w:rPr>
                <w:noProof/>
                <w:webHidden/>
                <w:sz w:val="21"/>
                <w:szCs w:val="21"/>
              </w:rPr>
              <w:t>27</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75" w:history="1">
            <w:r w:rsidR="002F52DC" w:rsidRPr="002F52DC">
              <w:rPr>
                <w:rStyle w:val="Hyperlink"/>
                <w:noProof/>
                <w:sz w:val="21"/>
                <w:szCs w:val="21"/>
              </w:rPr>
              <w:t>5.2</w:t>
            </w:r>
            <w:r w:rsidR="002F52DC" w:rsidRPr="002F52DC">
              <w:rPr>
                <w:noProof/>
                <w:sz w:val="21"/>
                <w:szCs w:val="21"/>
              </w:rPr>
              <w:tab/>
            </w:r>
            <w:r w:rsidR="002F52DC" w:rsidRPr="002F52DC">
              <w:rPr>
                <w:rStyle w:val="Hyperlink"/>
                <w:noProof/>
                <w:sz w:val="21"/>
                <w:szCs w:val="21"/>
              </w:rPr>
              <w:t>Sample Selection</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_Toc363840775 \h </w:instrText>
            </w:r>
            <w:r w:rsidRPr="002F52DC">
              <w:rPr>
                <w:noProof/>
                <w:webHidden/>
                <w:sz w:val="21"/>
                <w:szCs w:val="21"/>
              </w:rPr>
            </w:r>
            <w:r w:rsidRPr="002F52DC">
              <w:rPr>
                <w:noProof/>
                <w:webHidden/>
                <w:sz w:val="21"/>
                <w:szCs w:val="21"/>
              </w:rPr>
              <w:fldChar w:fldCharType="separate"/>
            </w:r>
            <w:r w:rsidR="0068369F">
              <w:rPr>
                <w:noProof/>
                <w:webHidden/>
                <w:sz w:val="21"/>
                <w:szCs w:val="21"/>
              </w:rPr>
              <w:t>32</w:t>
            </w:r>
            <w:r w:rsidRPr="002F52DC">
              <w:rPr>
                <w:noProof/>
                <w:webHidden/>
                <w:sz w:val="21"/>
                <w:szCs w:val="21"/>
              </w:rPr>
              <w:fldChar w:fldCharType="end"/>
            </w:r>
          </w:hyperlink>
        </w:p>
        <w:p w:rsidR="002F52DC" w:rsidRPr="002F52DC" w:rsidRDefault="00E254E6">
          <w:pPr>
            <w:pStyle w:val="TOC1"/>
            <w:tabs>
              <w:tab w:val="right" w:leader="dot" w:pos="9060"/>
            </w:tabs>
            <w:rPr>
              <w:noProof/>
              <w:sz w:val="21"/>
              <w:szCs w:val="21"/>
            </w:rPr>
          </w:pPr>
          <w:hyperlink w:anchor="_Toc363840776" w:history="1">
            <w:r w:rsidR="002F52DC" w:rsidRPr="002F52DC">
              <w:rPr>
                <w:rStyle w:val="Hyperlink"/>
                <w:noProof/>
                <w:sz w:val="21"/>
                <w:szCs w:val="21"/>
              </w:rPr>
              <w:t>Chapter 6 Results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_Toc363840776 \h </w:instrText>
            </w:r>
            <w:r w:rsidRPr="002F52DC">
              <w:rPr>
                <w:noProof/>
                <w:webHidden/>
                <w:sz w:val="21"/>
                <w:szCs w:val="21"/>
              </w:rPr>
            </w:r>
            <w:r w:rsidRPr="002F52DC">
              <w:rPr>
                <w:noProof/>
                <w:webHidden/>
                <w:sz w:val="21"/>
                <w:szCs w:val="21"/>
              </w:rPr>
              <w:fldChar w:fldCharType="separate"/>
            </w:r>
            <w:r w:rsidR="0068369F">
              <w:rPr>
                <w:noProof/>
                <w:webHidden/>
                <w:sz w:val="21"/>
                <w:szCs w:val="21"/>
              </w:rPr>
              <w:t>34</w:t>
            </w:r>
            <w:r w:rsidRPr="002F52DC">
              <w:rPr>
                <w:noProof/>
                <w:webHidden/>
                <w:sz w:val="21"/>
                <w:szCs w:val="21"/>
              </w:rPr>
              <w:fldChar w:fldCharType="end"/>
            </w:r>
          </w:hyperlink>
        </w:p>
        <w:p w:rsidR="002F52DC" w:rsidRPr="002F52DC" w:rsidRDefault="00E254E6">
          <w:pPr>
            <w:pStyle w:val="TOC2"/>
            <w:tabs>
              <w:tab w:val="right" w:leader="dot" w:pos="9060"/>
            </w:tabs>
            <w:rPr>
              <w:noProof/>
              <w:sz w:val="21"/>
              <w:szCs w:val="21"/>
            </w:rPr>
          </w:pPr>
          <w:hyperlink w:anchor="_Toc363840777" w:history="1">
            <w:r w:rsidR="002F52DC" w:rsidRPr="002F52DC">
              <w:rPr>
                <w:rStyle w:val="Hyperlink"/>
                <w:noProof/>
                <w:sz w:val="21"/>
                <w:szCs w:val="21"/>
              </w:rPr>
              <w:t>6.1 Descriptive statistics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_Toc363840777 \h </w:instrText>
            </w:r>
            <w:r w:rsidRPr="002F52DC">
              <w:rPr>
                <w:noProof/>
                <w:webHidden/>
                <w:sz w:val="21"/>
                <w:szCs w:val="21"/>
              </w:rPr>
            </w:r>
            <w:r w:rsidRPr="002F52DC">
              <w:rPr>
                <w:noProof/>
                <w:webHidden/>
                <w:sz w:val="21"/>
                <w:szCs w:val="21"/>
              </w:rPr>
              <w:fldChar w:fldCharType="separate"/>
            </w:r>
            <w:r w:rsidR="0068369F">
              <w:rPr>
                <w:noProof/>
                <w:webHidden/>
                <w:sz w:val="21"/>
                <w:szCs w:val="21"/>
              </w:rPr>
              <w:t>34</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80" w:history="1">
            <w:r w:rsidR="002F52DC" w:rsidRPr="002F52DC">
              <w:rPr>
                <w:rStyle w:val="Hyperlink"/>
                <w:noProof/>
                <w:sz w:val="21"/>
                <w:szCs w:val="21"/>
              </w:rPr>
              <w:t>6.2</w:t>
            </w:r>
            <w:r w:rsidR="002F52DC" w:rsidRPr="002F52DC">
              <w:rPr>
                <w:noProof/>
                <w:sz w:val="21"/>
                <w:szCs w:val="21"/>
              </w:rPr>
              <w:tab/>
            </w:r>
            <w:r w:rsidR="002F52DC" w:rsidRPr="002F52DC">
              <w:rPr>
                <w:rStyle w:val="Hyperlink"/>
                <w:noProof/>
                <w:sz w:val="21"/>
                <w:szCs w:val="21"/>
              </w:rPr>
              <w:t>Multivariate analysis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_Toc363840780 \h </w:instrText>
            </w:r>
            <w:r w:rsidRPr="002F52DC">
              <w:rPr>
                <w:noProof/>
                <w:webHidden/>
                <w:sz w:val="21"/>
                <w:szCs w:val="21"/>
              </w:rPr>
            </w:r>
            <w:r w:rsidRPr="002F52DC">
              <w:rPr>
                <w:noProof/>
                <w:webHidden/>
                <w:sz w:val="21"/>
                <w:szCs w:val="21"/>
              </w:rPr>
              <w:fldChar w:fldCharType="separate"/>
            </w:r>
            <w:r w:rsidR="0068369F">
              <w:rPr>
                <w:noProof/>
                <w:webHidden/>
                <w:sz w:val="21"/>
                <w:szCs w:val="21"/>
              </w:rPr>
              <w:t>40</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81" w:history="1">
            <w:r w:rsidR="002F52DC" w:rsidRPr="002F52DC">
              <w:rPr>
                <w:rStyle w:val="Hyperlink"/>
                <w:noProof/>
                <w:sz w:val="21"/>
                <w:szCs w:val="21"/>
              </w:rPr>
              <w:t>6.3</w:t>
            </w:r>
            <w:r w:rsidR="002F52DC" w:rsidRPr="002F52DC">
              <w:rPr>
                <w:noProof/>
                <w:sz w:val="21"/>
                <w:szCs w:val="21"/>
              </w:rPr>
              <w:tab/>
            </w:r>
            <w:r w:rsidR="002F52DC" w:rsidRPr="002F52DC">
              <w:rPr>
                <w:rStyle w:val="Hyperlink"/>
                <w:noProof/>
                <w:sz w:val="21"/>
                <w:szCs w:val="21"/>
              </w:rPr>
              <w:t>Robustness checks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_Toc363840781 \h </w:instrText>
            </w:r>
            <w:r w:rsidRPr="002F52DC">
              <w:rPr>
                <w:noProof/>
                <w:webHidden/>
                <w:sz w:val="21"/>
                <w:szCs w:val="21"/>
              </w:rPr>
            </w:r>
            <w:r w:rsidRPr="002F52DC">
              <w:rPr>
                <w:noProof/>
                <w:webHidden/>
                <w:sz w:val="21"/>
                <w:szCs w:val="21"/>
              </w:rPr>
              <w:fldChar w:fldCharType="separate"/>
            </w:r>
            <w:r w:rsidR="0068369F">
              <w:rPr>
                <w:noProof/>
                <w:webHidden/>
                <w:sz w:val="21"/>
                <w:szCs w:val="21"/>
              </w:rPr>
              <w:t>43</w:t>
            </w:r>
            <w:r w:rsidRPr="002F52DC">
              <w:rPr>
                <w:noProof/>
                <w:webHidden/>
                <w:sz w:val="21"/>
                <w:szCs w:val="21"/>
              </w:rPr>
              <w:fldChar w:fldCharType="end"/>
            </w:r>
          </w:hyperlink>
        </w:p>
        <w:p w:rsidR="002F52DC" w:rsidRPr="002F52DC" w:rsidRDefault="00E254E6">
          <w:pPr>
            <w:pStyle w:val="TOC1"/>
            <w:tabs>
              <w:tab w:val="right" w:leader="dot" w:pos="9060"/>
            </w:tabs>
            <w:rPr>
              <w:noProof/>
              <w:sz w:val="21"/>
              <w:szCs w:val="21"/>
            </w:rPr>
          </w:pPr>
          <w:hyperlink w:anchor="_Toc363840782" w:history="1">
            <w:r w:rsidR="002F52DC" w:rsidRPr="002F52DC">
              <w:rPr>
                <w:rStyle w:val="Hyperlink"/>
                <w:noProof/>
                <w:sz w:val="21"/>
                <w:szCs w:val="21"/>
              </w:rPr>
              <w:t>Chapter 7 Conclusion and Discussion</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_Toc363840782 \h </w:instrText>
            </w:r>
            <w:r w:rsidRPr="002F52DC">
              <w:rPr>
                <w:noProof/>
                <w:webHidden/>
                <w:sz w:val="21"/>
                <w:szCs w:val="21"/>
              </w:rPr>
            </w:r>
            <w:r w:rsidRPr="002F52DC">
              <w:rPr>
                <w:noProof/>
                <w:webHidden/>
                <w:sz w:val="21"/>
                <w:szCs w:val="21"/>
              </w:rPr>
              <w:fldChar w:fldCharType="separate"/>
            </w:r>
            <w:r w:rsidR="0068369F">
              <w:rPr>
                <w:noProof/>
                <w:webHidden/>
                <w:sz w:val="21"/>
                <w:szCs w:val="21"/>
              </w:rPr>
              <w:t>47</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84" w:history="1">
            <w:r w:rsidR="002F52DC" w:rsidRPr="002F52DC">
              <w:rPr>
                <w:rStyle w:val="Hyperlink"/>
                <w:noProof/>
                <w:sz w:val="21"/>
                <w:szCs w:val="21"/>
                <w:lang w:val="en-US"/>
              </w:rPr>
              <w:t>7.1</w:t>
            </w:r>
            <w:r w:rsidR="002F52DC" w:rsidRPr="002F52DC">
              <w:rPr>
                <w:noProof/>
                <w:sz w:val="21"/>
                <w:szCs w:val="21"/>
              </w:rPr>
              <w:tab/>
            </w:r>
            <w:r w:rsidR="002F52DC" w:rsidRPr="002F52DC">
              <w:rPr>
                <w:rStyle w:val="Hyperlink"/>
                <w:noProof/>
                <w:sz w:val="21"/>
                <w:szCs w:val="21"/>
              </w:rPr>
              <w:t>Conclusions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_Toc363840784 \h </w:instrText>
            </w:r>
            <w:r w:rsidRPr="002F52DC">
              <w:rPr>
                <w:noProof/>
                <w:webHidden/>
                <w:sz w:val="21"/>
                <w:szCs w:val="21"/>
              </w:rPr>
            </w:r>
            <w:r w:rsidRPr="002F52DC">
              <w:rPr>
                <w:noProof/>
                <w:webHidden/>
                <w:sz w:val="21"/>
                <w:szCs w:val="21"/>
              </w:rPr>
              <w:fldChar w:fldCharType="separate"/>
            </w:r>
            <w:r w:rsidR="0068369F">
              <w:rPr>
                <w:noProof/>
                <w:webHidden/>
                <w:sz w:val="21"/>
                <w:szCs w:val="21"/>
              </w:rPr>
              <w:t>47</w:t>
            </w:r>
            <w:r w:rsidRPr="002F52DC">
              <w:rPr>
                <w:noProof/>
                <w:webHidden/>
                <w:sz w:val="21"/>
                <w:szCs w:val="21"/>
              </w:rPr>
              <w:fldChar w:fldCharType="end"/>
            </w:r>
          </w:hyperlink>
        </w:p>
        <w:p w:rsidR="002F52DC" w:rsidRPr="002F52DC" w:rsidRDefault="00E254E6">
          <w:pPr>
            <w:pStyle w:val="TOC2"/>
            <w:tabs>
              <w:tab w:val="left" w:pos="880"/>
              <w:tab w:val="right" w:leader="dot" w:pos="9060"/>
            </w:tabs>
            <w:rPr>
              <w:noProof/>
              <w:sz w:val="21"/>
              <w:szCs w:val="21"/>
            </w:rPr>
          </w:pPr>
          <w:hyperlink w:anchor="_Toc363840785" w:history="1">
            <w:r w:rsidR="002F52DC" w:rsidRPr="002F52DC">
              <w:rPr>
                <w:rStyle w:val="Hyperlink"/>
                <w:noProof/>
                <w:sz w:val="21"/>
                <w:szCs w:val="21"/>
              </w:rPr>
              <w:t>7.2</w:t>
            </w:r>
            <w:r w:rsidR="002F52DC" w:rsidRPr="002F52DC">
              <w:rPr>
                <w:noProof/>
                <w:sz w:val="21"/>
                <w:szCs w:val="21"/>
              </w:rPr>
              <w:tab/>
            </w:r>
            <w:r w:rsidR="002F52DC" w:rsidRPr="002F52DC">
              <w:rPr>
                <w:rStyle w:val="Hyperlink"/>
                <w:noProof/>
                <w:sz w:val="21"/>
                <w:szCs w:val="21"/>
              </w:rPr>
              <w:t>Discussion</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_Toc363840785 \h </w:instrText>
            </w:r>
            <w:r w:rsidRPr="002F52DC">
              <w:rPr>
                <w:noProof/>
                <w:webHidden/>
                <w:sz w:val="21"/>
                <w:szCs w:val="21"/>
              </w:rPr>
            </w:r>
            <w:r w:rsidRPr="002F52DC">
              <w:rPr>
                <w:noProof/>
                <w:webHidden/>
                <w:sz w:val="21"/>
                <w:szCs w:val="21"/>
              </w:rPr>
              <w:fldChar w:fldCharType="separate"/>
            </w:r>
            <w:r w:rsidR="0068369F">
              <w:rPr>
                <w:noProof/>
                <w:webHidden/>
                <w:sz w:val="21"/>
                <w:szCs w:val="21"/>
              </w:rPr>
              <w:t>48</w:t>
            </w:r>
            <w:r w:rsidRPr="002F52DC">
              <w:rPr>
                <w:noProof/>
                <w:webHidden/>
                <w:sz w:val="21"/>
                <w:szCs w:val="21"/>
              </w:rPr>
              <w:fldChar w:fldCharType="end"/>
            </w:r>
          </w:hyperlink>
        </w:p>
        <w:p w:rsidR="002F52DC" w:rsidRPr="002F52DC" w:rsidRDefault="00E254E6">
          <w:pPr>
            <w:pStyle w:val="TOC1"/>
            <w:tabs>
              <w:tab w:val="right" w:leader="dot" w:pos="9060"/>
            </w:tabs>
            <w:rPr>
              <w:noProof/>
              <w:sz w:val="21"/>
              <w:szCs w:val="21"/>
            </w:rPr>
          </w:pPr>
          <w:hyperlink w:anchor="_Toc363840786" w:history="1">
            <w:r w:rsidR="002F52DC" w:rsidRPr="002F52DC">
              <w:rPr>
                <w:rStyle w:val="Hyperlink"/>
                <w:noProof/>
                <w:sz w:val="21"/>
                <w:szCs w:val="21"/>
              </w:rPr>
              <w:t>References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_Toc363840786 \h </w:instrText>
            </w:r>
            <w:r w:rsidRPr="002F52DC">
              <w:rPr>
                <w:noProof/>
                <w:webHidden/>
                <w:sz w:val="21"/>
                <w:szCs w:val="21"/>
              </w:rPr>
            </w:r>
            <w:r w:rsidRPr="002F52DC">
              <w:rPr>
                <w:noProof/>
                <w:webHidden/>
                <w:sz w:val="21"/>
                <w:szCs w:val="21"/>
              </w:rPr>
              <w:fldChar w:fldCharType="separate"/>
            </w:r>
            <w:r w:rsidR="0068369F">
              <w:rPr>
                <w:noProof/>
                <w:webHidden/>
                <w:sz w:val="21"/>
                <w:szCs w:val="21"/>
              </w:rPr>
              <w:t>50</w:t>
            </w:r>
            <w:r w:rsidRPr="002F52DC">
              <w:rPr>
                <w:noProof/>
                <w:webHidden/>
                <w:sz w:val="21"/>
                <w:szCs w:val="21"/>
              </w:rPr>
              <w:fldChar w:fldCharType="end"/>
            </w:r>
          </w:hyperlink>
        </w:p>
        <w:p w:rsidR="002F52DC" w:rsidRPr="002F52DC" w:rsidRDefault="00E254E6">
          <w:pPr>
            <w:pStyle w:val="TOC1"/>
            <w:tabs>
              <w:tab w:val="right" w:leader="dot" w:pos="9060"/>
            </w:tabs>
            <w:rPr>
              <w:noProof/>
              <w:sz w:val="21"/>
              <w:szCs w:val="21"/>
            </w:rPr>
          </w:pPr>
          <w:hyperlink w:anchor="_Toc363840787" w:history="1">
            <w:r w:rsidR="002F52DC" w:rsidRPr="002F52DC">
              <w:rPr>
                <w:rStyle w:val="Hyperlink"/>
                <w:noProof/>
                <w:sz w:val="21"/>
                <w:szCs w:val="21"/>
              </w:rPr>
              <w:t>Appendix 1: Database variables</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_Toc363840787 \h </w:instrText>
            </w:r>
            <w:r w:rsidRPr="002F52DC">
              <w:rPr>
                <w:noProof/>
                <w:webHidden/>
                <w:sz w:val="21"/>
                <w:szCs w:val="21"/>
              </w:rPr>
            </w:r>
            <w:r w:rsidRPr="002F52DC">
              <w:rPr>
                <w:noProof/>
                <w:webHidden/>
                <w:sz w:val="21"/>
                <w:szCs w:val="21"/>
              </w:rPr>
              <w:fldChar w:fldCharType="separate"/>
            </w:r>
            <w:r w:rsidR="0068369F">
              <w:rPr>
                <w:noProof/>
                <w:webHidden/>
                <w:sz w:val="21"/>
                <w:szCs w:val="21"/>
              </w:rPr>
              <w:t>53</w:t>
            </w:r>
            <w:r w:rsidRPr="002F52DC">
              <w:rPr>
                <w:noProof/>
                <w:webHidden/>
                <w:sz w:val="21"/>
                <w:szCs w:val="21"/>
              </w:rPr>
              <w:fldChar w:fldCharType="end"/>
            </w:r>
          </w:hyperlink>
        </w:p>
        <w:p w:rsidR="002F52DC" w:rsidRPr="002F52DC" w:rsidRDefault="00E254E6">
          <w:pPr>
            <w:pStyle w:val="TOC1"/>
            <w:tabs>
              <w:tab w:val="right" w:leader="dot" w:pos="9060"/>
            </w:tabs>
            <w:rPr>
              <w:noProof/>
              <w:sz w:val="21"/>
              <w:szCs w:val="21"/>
            </w:rPr>
          </w:pPr>
          <w:hyperlink w:anchor="_Toc363840788" w:history="1">
            <w:r w:rsidR="002F52DC" w:rsidRPr="002F52DC">
              <w:rPr>
                <w:rStyle w:val="Hyperlink"/>
                <w:noProof/>
                <w:sz w:val="21"/>
                <w:szCs w:val="21"/>
              </w:rPr>
              <w:t>Appendix 2: Example of a sample selection</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_Toc363840788 \h </w:instrText>
            </w:r>
            <w:r w:rsidRPr="002F52DC">
              <w:rPr>
                <w:noProof/>
                <w:webHidden/>
                <w:sz w:val="21"/>
                <w:szCs w:val="21"/>
              </w:rPr>
            </w:r>
            <w:r w:rsidRPr="002F52DC">
              <w:rPr>
                <w:noProof/>
                <w:webHidden/>
                <w:sz w:val="21"/>
                <w:szCs w:val="21"/>
              </w:rPr>
              <w:fldChar w:fldCharType="separate"/>
            </w:r>
            <w:r w:rsidR="0068369F">
              <w:rPr>
                <w:noProof/>
                <w:webHidden/>
                <w:sz w:val="21"/>
                <w:szCs w:val="21"/>
              </w:rPr>
              <w:t>54</w:t>
            </w:r>
            <w:r w:rsidRPr="002F52DC">
              <w:rPr>
                <w:noProof/>
                <w:webHidden/>
                <w:sz w:val="21"/>
                <w:szCs w:val="21"/>
              </w:rPr>
              <w:fldChar w:fldCharType="end"/>
            </w:r>
          </w:hyperlink>
        </w:p>
        <w:p w:rsidR="004B151A" w:rsidRDefault="00E254E6" w:rsidP="007C5386">
          <w:pPr>
            <w:pStyle w:val="TOC1"/>
            <w:tabs>
              <w:tab w:val="right" w:leader="dot" w:pos="9060"/>
            </w:tabs>
          </w:pPr>
          <w:hyperlink w:anchor="_Toc363840789" w:history="1">
            <w:r w:rsidR="002F52DC" w:rsidRPr="002F52DC">
              <w:rPr>
                <w:rStyle w:val="Hyperlink"/>
                <w:noProof/>
                <w:sz w:val="21"/>
                <w:szCs w:val="21"/>
              </w:rPr>
              <w:t>Appendix 3: Herfindahl Index</w:t>
            </w:r>
            <w:r w:rsidR="002F52DC" w:rsidRPr="002F52DC">
              <w:rPr>
                <w:noProof/>
                <w:webHidden/>
                <w:sz w:val="21"/>
                <w:szCs w:val="21"/>
              </w:rPr>
              <w:tab/>
            </w:r>
            <w:r w:rsidRPr="002F52DC">
              <w:rPr>
                <w:noProof/>
                <w:webHidden/>
                <w:sz w:val="21"/>
                <w:szCs w:val="21"/>
              </w:rPr>
              <w:fldChar w:fldCharType="begin"/>
            </w:r>
            <w:r w:rsidR="002F52DC" w:rsidRPr="002F52DC">
              <w:rPr>
                <w:noProof/>
                <w:webHidden/>
                <w:sz w:val="21"/>
                <w:szCs w:val="21"/>
              </w:rPr>
              <w:instrText xml:space="preserve"> PAGEREF _Toc363840789 \h </w:instrText>
            </w:r>
            <w:r w:rsidRPr="002F52DC">
              <w:rPr>
                <w:noProof/>
                <w:webHidden/>
                <w:sz w:val="21"/>
                <w:szCs w:val="21"/>
              </w:rPr>
            </w:r>
            <w:r w:rsidRPr="002F52DC">
              <w:rPr>
                <w:noProof/>
                <w:webHidden/>
                <w:sz w:val="21"/>
                <w:szCs w:val="21"/>
              </w:rPr>
              <w:fldChar w:fldCharType="separate"/>
            </w:r>
            <w:r w:rsidR="0068369F">
              <w:rPr>
                <w:noProof/>
                <w:webHidden/>
                <w:sz w:val="21"/>
                <w:szCs w:val="21"/>
              </w:rPr>
              <w:t>55</w:t>
            </w:r>
            <w:r w:rsidRPr="002F52DC">
              <w:rPr>
                <w:noProof/>
                <w:webHidden/>
                <w:sz w:val="21"/>
                <w:szCs w:val="21"/>
              </w:rPr>
              <w:fldChar w:fldCharType="end"/>
            </w:r>
          </w:hyperlink>
          <w:r w:rsidRPr="008E5447">
            <w:rPr>
              <w:b/>
              <w:bCs/>
            </w:rPr>
            <w:fldChar w:fldCharType="end"/>
          </w:r>
        </w:p>
      </w:sdtContent>
    </w:sdt>
    <w:p w:rsidR="00975C80" w:rsidRPr="00DC4089" w:rsidRDefault="00975C80" w:rsidP="00DC4089">
      <w:pPr>
        <w:pStyle w:val="Heading1"/>
      </w:pPr>
      <w:bookmarkStart w:id="1" w:name="_Toc363840749"/>
      <w:r w:rsidRPr="00DC4089">
        <w:lastRenderedPageBreak/>
        <w:t>Chapter 1 Introduction</w:t>
      </w:r>
      <w:bookmarkEnd w:id="1"/>
    </w:p>
    <w:p w:rsidR="00DE429C" w:rsidRPr="00067F7B" w:rsidRDefault="003C11B4" w:rsidP="00DE429C">
      <w:pPr>
        <w:pStyle w:val="Heading2"/>
      </w:pPr>
      <w:bookmarkStart w:id="2" w:name="_Toc363840750"/>
      <w:r>
        <w:t>Relevance and motivation</w:t>
      </w:r>
      <w:bookmarkEnd w:id="2"/>
    </w:p>
    <w:p w:rsidR="00374723" w:rsidRDefault="00374723" w:rsidP="00374723">
      <w:pPr>
        <w:rPr>
          <w:lang w:val="en-US"/>
        </w:rPr>
      </w:pPr>
      <w:r>
        <w:rPr>
          <w:lang w:val="en-US"/>
        </w:rPr>
        <w:t>Since the 1990’s Information Technology (IT) has become an increasingly important part of the operations within companies. An example is the increasing usage of Enterprise Resource Planning (ERP) systems that integrate multiple business functions into one information system. The development in the usage of IT in organizations has increased the dependence on the functioning of the systems. Therefore it is important that companies implement control systems to guarantee the safety and integrity of their IT systems. The importance is underlined by the introduction of the Sarbanes Oxley Act (SOX) in the U.S.A. This law was introduced in 2002 after multiple accounting scandals. Since the implementation of SOX most of the listed companies in the U.S.A. have to report their material internal control weaknesses. A material internal control weakness occurs when certain critical controls protecting the financial reporting are omitted or not working effectively. This can be established by using control frameworks like t</w:t>
      </w:r>
      <w:r w:rsidRPr="001A5EF7">
        <w:rPr>
          <w:lang w:val="en-US"/>
        </w:rPr>
        <w:t>he Committee of Sponsoring Organizations of the Treadway Commission</w:t>
      </w:r>
      <w:r>
        <w:rPr>
          <w:lang w:val="en-US"/>
        </w:rPr>
        <w:t xml:space="preserve"> (COSO) framework.  There are different categories of material weaknesses in the internal controls of a company; some examples are: insufficient accounting documentation, compliance issues due to personnel</w:t>
      </w:r>
      <w:r w:rsidRPr="005D7217">
        <w:rPr>
          <w:lang w:val="en-US"/>
        </w:rPr>
        <w:t xml:space="preserve"> p</w:t>
      </w:r>
      <w:r>
        <w:rPr>
          <w:lang w:val="en-US"/>
        </w:rPr>
        <w:t>roblems, inadequate disclosure controls and auditor adjustments in the financial statements and Information Technology (Grant et al., 2008). The IT controls on financial reporting are an important part of the internal controls, because all companies that have to report under SOX use IT systems to produce financial statements.</w:t>
      </w:r>
    </w:p>
    <w:p w:rsidR="00374723" w:rsidRDefault="00374723" w:rsidP="00374723">
      <w:pPr>
        <w:rPr>
          <w:lang w:val="en-US"/>
        </w:rPr>
      </w:pPr>
      <w:r>
        <w:rPr>
          <w:lang w:val="en-US"/>
        </w:rPr>
        <w:t xml:space="preserve">The relation between IT control weaknesses and financial reporting has been investigated in several earlier studies and is an interesting subject for the following reasons:  </w:t>
      </w:r>
      <w:r>
        <w:rPr>
          <w:lang w:val="en-US"/>
        </w:rPr>
        <w:br/>
      </w:r>
      <w:r w:rsidRPr="0040669A">
        <w:rPr>
          <w:lang w:val="en-US"/>
        </w:rPr>
        <w:t xml:space="preserve">1) IT control weaknesses can be an indicator for problems in financial reporting, because financial reporting is dependent on </w:t>
      </w:r>
      <w:r>
        <w:rPr>
          <w:lang w:val="en-US"/>
        </w:rPr>
        <w:t>reliable information technology (Grant et al., 2008),</w:t>
      </w:r>
      <w:r w:rsidRPr="008602D8">
        <w:rPr>
          <w:i/>
          <w:lang w:val="en-US"/>
        </w:rPr>
        <w:t xml:space="preserve"> </w:t>
      </w:r>
      <w:r>
        <w:rPr>
          <w:i/>
          <w:lang w:val="en-US"/>
        </w:rPr>
        <w:br/>
      </w:r>
      <w:r w:rsidRPr="00047309">
        <w:rPr>
          <w:lang w:val="en-US"/>
        </w:rPr>
        <w:t>2) Information technology plays an increasing</w:t>
      </w:r>
      <w:r>
        <w:rPr>
          <w:lang w:val="en-US"/>
        </w:rPr>
        <w:t>ly</w:t>
      </w:r>
      <w:r w:rsidRPr="00047309">
        <w:rPr>
          <w:lang w:val="en-US"/>
        </w:rPr>
        <w:t xml:space="preserve"> important part in the internal control system, for example by using automated controls in financial reporting processes</w:t>
      </w:r>
      <w:r>
        <w:rPr>
          <w:lang w:val="en-US"/>
        </w:rPr>
        <w:t xml:space="preserve"> (Hall, 2011)</w:t>
      </w:r>
      <w:r w:rsidRPr="00047309">
        <w:rPr>
          <w:lang w:val="en-US"/>
        </w:rPr>
        <w:t>,</w:t>
      </w:r>
      <w:r>
        <w:rPr>
          <w:lang w:val="en-US"/>
        </w:rPr>
        <w:t xml:space="preserve"> </w:t>
      </w:r>
      <w:r>
        <w:rPr>
          <w:lang w:val="en-US"/>
        </w:rPr>
        <w:br/>
        <w:t xml:space="preserve">3) The increasing usage of ERP systems can have negative side effects , which could result in more IT control weaknesses, when the implementation fails (Davenport, 2000; </w:t>
      </w:r>
      <w:r>
        <w:rPr>
          <w:rFonts w:cs="AdvTimes"/>
          <w:lang w:val="en-US"/>
        </w:rPr>
        <w:t>Doyle et al.,2007</w:t>
      </w:r>
      <w:r>
        <w:rPr>
          <w:lang w:val="en-US"/>
        </w:rPr>
        <w:t xml:space="preserve">). </w:t>
      </w:r>
      <w:r>
        <w:rPr>
          <w:lang w:val="en-US"/>
        </w:rPr>
        <w:br/>
        <w:t xml:space="preserve">These reasons indicate that the quality of information technology and financial reporting are related and a better understanding on the explanatory variables could improve risk assessments of auditors and management to ultimately provide reliable financial statements. </w:t>
      </w:r>
    </w:p>
    <w:p w:rsidR="00374723" w:rsidRDefault="00374723" w:rsidP="00374723">
      <w:pPr>
        <w:rPr>
          <w:lang w:val="en-US"/>
        </w:rPr>
      </w:pPr>
      <w:r>
        <w:rPr>
          <w:lang w:val="en-US"/>
        </w:rPr>
        <w:t xml:space="preserve">The literature in the area of IT control weaknesses is mostly focused on U.S. based firms. This is because SOX requires that listed companies disclose reports on the quality of the internal control system on financial reporting. This requirement makes it possible to do empirical database research to look for factors that influence the internal controls and IT controls. Doyle et al., 2007 is an often cited study that investigates the variables that influence the internal control quality. One of the significant explanatory variables is restructuring of the organization. There are also studies that specifically focus on IT control weaknesses. These studies look at the relation between IT controls and accounting errors (Grant et al., 2008), elements of external and internal governance that explain IT control weaknesses (Li et al., 2007), the relation between IT control quality and management forecasts (Li et al., 2012) or study the influence of IT control weaknesses on the firm’s performance (Stoel &amp; Muhanna, 2011). The relevant literature on theories and results of empirical studies in the field of internal control and IT control weaknesses is further discussed in chapter 3. </w:t>
      </w:r>
    </w:p>
    <w:p w:rsidR="00374723" w:rsidRDefault="00374723" w:rsidP="00374723">
      <w:pPr>
        <w:rPr>
          <w:lang w:val="en-US"/>
        </w:rPr>
      </w:pPr>
      <w:r>
        <w:rPr>
          <w:lang w:val="en-US"/>
        </w:rPr>
        <w:lastRenderedPageBreak/>
        <w:t>This research study wants to contribute to the already available literature by investigating two possible explanatory variables that could explain the disclosure of material IT control weaknesses. The first explanatory variable is industry differences and the second variable is restructuring of the organization. In the descriptive statistics this study will also provide an investigation of the trend in IT control weaknesses.</w:t>
      </w:r>
    </w:p>
    <w:p w:rsidR="00374723" w:rsidRDefault="00374723" w:rsidP="00374723">
      <w:pPr>
        <w:pStyle w:val="ListParagraph"/>
        <w:ind w:left="0"/>
        <w:rPr>
          <w:lang w:val="en-US"/>
        </w:rPr>
      </w:pPr>
      <w:r>
        <w:rPr>
          <w:lang w:val="en-US"/>
        </w:rPr>
        <w:t xml:space="preserve">The </w:t>
      </w:r>
      <w:r w:rsidRPr="00242496">
        <w:rPr>
          <w:lang w:val="en-US"/>
        </w:rPr>
        <w:t>investigation on possible</w:t>
      </w:r>
      <w:r>
        <w:rPr>
          <w:lang w:val="en-US"/>
        </w:rPr>
        <w:t xml:space="preserve"> explanatory</w:t>
      </w:r>
      <w:r w:rsidRPr="00242496">
        <w:rPr>
          <w:lang w:val="en-US"/>
        </w:rPr>
        <w:t xml:space="preserve"> factors </w:t>
      </w:r>
      <w:r>
        <w:rPr>
          <w:lang w:val="en-US"/>
        </w:rPr>
        <w:t>of</w:t>
      </w:r>
      <w:r w:rsidRPr="00242496">
        <w:rPr>
          <w:lang w:val="en-US"/>
        </w:rPr>
        <w:t xml:space="preserve"> IT control weaknesses</w:t>
      </w:r>
      <w:r>
        <w:rPr>
          <w:lang w:val="en-US"/>
        </w:rPr>
        <w:t xml:space="preserve"> is</w:t>
      </w:r>
      <w:r w:rsidRPr="00242496">
        <w:rPr>
          <w:lang w:val="en-US"/>
        </w:rPr>
        <w:t xml:space="preserve"> an extension on the research of Li et al. (2007)</w:t>
      </w:r>
      <w:r>
        <w:rPr>
          <w:lang w:val="en-US"/>
        </w:rPr>
        <w:t>, Li et al. (2012)</w:t>
      </w:r>
      <w:r w:rsidRPr="00242496">
        <w:rPr>
          <w:lang w:val="en-US"/>
        </w:rPr>
        <w:t xml:space="preserve"> and </w:t>
      </w:r>
      <w:r>
        <w:rPr>
          <w:lang w:val="en-US"/>
        </w:rPr>
        <w:t xml:space="preserve">Doyle et al. (2007). In these studies it is indicated that </w:t>
      </w:r>
      <w:r w:rsidRPr="00242496">
        <w:rPr>
          <w:lang w:val="en-US"/>
        </w:rPr>
        <w:t>industry factors and restructuring costs</w:t>
      </w:r>
      <w:r>
        <w:rPr>
          <w:lang w:val="en-US"/>
        </w:rPr>
        <w:t xml:space="preserve"> could have an effect on internal control and more specifically on IT control weaknesses</w:t>
      </w:r>
      <w:r w:rsidRPr="00242496">
        <w:rPr>
          <w:lang w:val="en-US"/>
        </w:rPr>
        <w:t xml:space="preserve">. </w:t>
      </w:r>
      <w:r>
        <w:rPr>
          <w:lang w:val="en-US"/>
        </w:rPr>
        <w:br/>
        <w:t>I</w:t>
      </w:r>
      <w:r w:rsidRPr="00242496">
        <w:rPr>
          <w:lang w:val="en-US"/>
        </w:rPr>
        <w:t>ndustry</w:t>
      </w:r>
      <w:r>
        <w:rPr>
          <w:lang w:val="en-US"/>
        </w:rPr>
        <w:t xml:space="preserve"> differences are investigated as explanatory variable in various earlier studies and these studies revealed a significant influence of the type of industry on the effectiveness of internal controls (</w:t>
      </w:r>
      <w:r w:rsidRPr="00DD7F44">
        <w:rPr>
          <w:lang w:val="en-US"/>
        </w:rPr>
        <w:t>Bryan</w:t>
      </w:r>
      <w:r>
        <w:rPr>
          <w:lang w:val="en-US"/>
        </w:rPr>
        <w:t xml:space="preserve"> &amp; </w:t>
      </w:r>
      <w:r w:rsidRPr="00DD7F44">
        <w:rPr>
          <w:lang w:val="en-US"/>
        </w:rPr>
        <w:t>Lilien</w:t>
      </w:r>
      <w:r>
        <w:rPr>
          <w:lang w:val="en-US"/>
        </w:rPr>
        <w:t>, 2005;</w:t>
      </w:r>
      <w:r w:rsidRPr="00DD7F44">
        <w:rPr>
          <w:lang w:val="en-US"/>
        </w:rPr>
        <w:t xml:space="preserve"> </w:t>
      </w:r>
      <w:r w:rsidRPr="00282E4D">
        <w:rPr>
          <w:lang w:val="en-US"/>
        </w:rPr>
        <w:t>Elbannan</w:t>
      </w:r>
      <w:r>
        <w:rPr>
          <w:lang w:val="en-US"/>
        </w:rPr>
        <w:t>,</w:t>
      </w:r>
      <w:r w:rsidRPr="00282E4D">
        <w:rPr>
          <w:lang w:val="en-US"/>
        </w:rPr>
        <w:t xml:space="preserve"> </w:t>
      </w:r>
      <w:r>
        <w:rPr>
          <w:lang w:val="en-US"/>
        </w:rPr>
        <w:t>2008; Goh &amp; Li, 2011; Li et al., 2012).</w:t>
      </w:r>
      <w:r w:rsidRPr="00242496">
        <w:rPr>
          <w:lang w:val="en-US"/>
        </w:rPr>
        <w:t xml:space="preserve"> </w:t>
      </w:r>
      <w:r w:rsidRPr="001A3620">
        <w:rPr>
          <w:lang w:val="en-US"/>
        </w:rPr>
        <w:t>Li et al. (2012)</w:t>
      </w:r>
      <w:r>
        <w:rPr>
          <w:lang w:val="en-US"/>
        </w:rPr>
        <w:t xml:space="preserve"> already provided a division of IT control weaknesses across industries, but did not provide further analysis or conclusions on this variable. This research study investigates the industry differences much further and provides a statement on which industries are more sensitive to IT control weaknesses.</w:t>
      </w:r>
      <w:r w:rsidRPr="00242496">
        <w:rPr>
          <w:lang w:val="en-US"/>
        </w:rPr>
        <w:t xml:space="preserve"> </w:t>
      </w:r>
      <w:r>
        <w:rPr>
          <w:lang w:val="en-US"/>
        </w:rPr>
        <w:t xml:space="preserve">The theory behind the existence of industry differences is based on empirical studies that indicated that certain industry characteristics explain differences in reporting and governance </w:t>
      </w:r>
      <w:r w:rsidRPr="002E79BB">
        <w:rPr>
          <w:lang w:val="en-US"/>
        </w:rPr>
        <w:t xml:space="preserve">(Bell and Carcello, 2000; </w:t>
      </w:r>
      <w:r>
        <w:rPr>
          <w:lang w:val="en-US"/>
        </w:rPr>
        <w:t>Beasley et al., 2000; Giroud &amp;</w:t>
      </w:r>
      <w:r w:rsidRPr="002E79BB">
        <w:rPr>
          <w:lang w:val="en-US"/>
        </w:rPr>
        <w:t xml:space="preserve"> Mueller, 2007)</w:t>
      </w:r>
      <w:r>
        <w:rPr>
          <w:lang w:val="en-US"/>
        </w:rPr>
        <w:t>. They found that industries with complex financial processes are more likely to have a deficiency in reporting and governance than other industries. Beasley et al. (2000) found that financial reporting fraud occurs more often in technology, finance and healthcare organizations, because these industries are more prone to fraud opportunities and therefore more difficult to control. Giroud and Mueller (2007) have another theory; they argue and find that non-competitive industries (like energy companies) have more governance problems than competitive industries, because non-competitive industries do not feel the pressure of the market to solve agency problems. Based on the theories of Beasley et al. (</w:t>
      </w:r>
      <w:r w:rsidRPr="00F44723">
        <w:rPr>
          <w:lang w:val="en-US"/>
        </w:rPr>
        <w:t>2000</w:t>
      </w:r>
      <w:r>
        <w:rPr>
          <w:lang w:val="en-US"/>
        </w:rPr>
        <w:t>) and Giroud &amp; Mueller (</w:t>
      </w:r>
      <w:r w:rsidRPr="00F44723">
        <w:rPr>
          <w:lang w:val="en-US"/>
        </w:rPr>
        <w:t>2007</w:t>
      </w:r>
      <w:r>
        <w:rPr>
          <w:lang w:val="en-US"/>
        </w:rPr>
        <w:t>) it may be expected that industries with complex financial reporting, more fraud opportunity or operating in a non-competitive environment have more IT control weaknesses than other industries. By analyzing industry differences this research study can help indicate which types of industry have relatively more IT control weaknesses. The empirical research is done</w:t>
      </w:r>
      <w:r w:rsidRPr="00242496">
        <w:rPr>
          <w:lang w:val="en-US"/>
        </w:rPr>
        <w:t xml:space="preserve"> by making groups based on the SIC industry code</w:t>
      </w:r>
      <w:r>
        <w:rPr>
          <w:lang w:val="en-US"/>
        </w:rPr>
        <w:t xml:space="preserve"> and t</w:t>
      </w:r>
      <w:r w:rsidRPr="00242496">
        <w:rPr>
          <w:lang w:val="en-US"/>
        </w:rPr>
        <w:t xml:space="preserve">he categorization </w:t>
      </w:r>
      <w:r>
        <w:rPr>
          <w:lang w:val="en-US"/>
        </w:rPr>
        <w:t>is</w:t>
      </w:r>
      <w:r w:rsidRPr="00242496">
        <w:rPr>
          <w:lang w:val="en-US"/>
        </w:rPr>
        <w:t xml:space="preserve"> based on prior literature</w:t>
      </w:r>
      <w:r>
        <w:rPr>
          <w:lang w:val="en-US"/>
        </w:rPr>
        <w:t>,</w:t>
      </w:r>
      <w:r w:rsidRPr="00242496">
        <w:rPr>
          <w:lang w:val="en-US"/>
        </w:rPr>
        <w:t xml:space="preserve"> like the categorization used </w:t>
      </w:r>
      <w:r>
        <w:rPr>
          <w:lang w:val="en-US"/>
        </w:rPr>
        <w:t>by</w:t>
      </w:r>
      <w:r w:rsidRPr="00242496">
        <w:rPr>
          <w:lang w:val="en-US"/>
        </w:rPr>
        <w:t xml:space="preserve"> Li </w:t>
      </w:r>
      <w:r>
        <w:rPr>
          <w:lang w:val="en-US"/>
        </w:rPr>
        <w:t>et al (2012</w:t>
      </w:r>
      <w:r w:rsidRPr="00242496">
        <w:rPr>
          <w:lang w:val="en-US"/>
        </w:rPr>
        <w:t>)</w:t>
      </w:r>
      <w:r>
        <w:rPr>
          <w:lang w:val="en-US"/>
        </w:rPr>
        <w:t>. This makes it possible to compare the results</w:t>
      </w:r>
      <w:r w:rsidRPr="00242496">
        <w:rPr>
          <w:lang w:val="en-US"/>
        </w:rPr>
        <w:t>.</w:t>
      </w:r>
    </w:p>
    <w:p w:rsidR="00374723" w:rsidRPr="00242496" w:rsidRDefault="00374723" w:rsidP="00374723">
      <w:pPr>
        <w:pStyle w:val="ListParagraph"/>
        <w:ind w:left="0"/>
        <w:rPr>
          <w:lang w:val="en-US"/>
        </w:rPr>
      </w:pPr>
    </w:p>
    <w:p w:rsidR="00374723" w:rsidRPr="00242496" w:rsidRDefault="00374723" w:rsidP="00374723">
      <w:pPr>
        <w:pStyle w:val="ListParagraph"/>
        <w:ind w:left="0"/>
        <w:rPr>
          <w:lang w:val="en-US"/>
        </w:rPr>
      </w:pPr>
      <w:r w:rsidRPr="00242496">
        <w:rPr>
          <w:lang w:val="en-US"/>
        </w:rPr>
        <w:t>Another possible explanatory variable is the influence of</w:t>
      </w:r>
      <w:r>
        <w:rPr>
          <w:lang w:val="en-US"/>
        </w:rPr>
        <w:t xml:space="preserve"> a</w:t>
      </w:r>
      <w:r w:rsidRPr="00242496">
        <w:rPr>
          <w:lang w:val="en-US"/>
        </w:rPr>
        <w:t xml:space="preserve"> restructuring </w:t>
      </w:r>
      <w:r>
        <w:rPr>
          <w:lang w:val="en-US"/>
        </w:rPr>
        <w:t>of the firm</w:t>
      </w:r>
      <w:r w:rsidRPr="00242496">
        <w:rPr>
          <w:lang w:val="en-US"/>
        </w:rPr>
        <w:t xml:space="preserve"> in the year of the IT control weakness. The reasoning behind this </w:t>
      </w:r>
      <w:r>
        <w:rPr>
          <w:lang w:val="en-US"/>
        </w:rPr>
        <w:t xml:space="preserve">is </w:t>
      </w:r>
      <w:r w:rsidRPr="00242496">
        <w:rPr>
          <w:lang w:val="en-US"/>
        </w:rPr>
        <w:t xml:space="preserve">that when a company is restructuring </w:t>
      </w:r>
      <w:r>
        <w:rPr>
          <w:lang w:val="en-US"/>
        </w:rPr>
        <w:t>its</w:t>
      </w:r>
      <w:r w:rsidRPr="00242496">
        <w:rPr>
          <w:lang w:val="en-US"/>
        </w:rPr>
        <w:t xml:space="preserve"> organization/ IT organization</w:t>
      </w:r>
      <w:r>
        <w:rPr>
          <w:lang w:val="en-US"/>
        </w:rPr>
        <w:t>,</w:t>
      </w:r>
      <w:r w:rsidRPr="00242496">
        <w:rPr>
          <w:lang w:val="en-US"/>
        </w:rPr>
        <w:t xml:space="preserve"> </w:t>
      </w:r>
      <w:r>
        <w:rPr>
          <w:lang w:val="en-US"/>
        </w:rPr>
        <w:t>th</w:t>
      </w:r>
      <w:r w:rsidRPr="00242496">
        <w:rPr>
          <w:lang w:val="en-US"/>
        </w:rPr>
        <w:t xml:space="preserve">is could have an influence on the quality of internal control. </w:t>
      </w:r>
      <w:r>
        <w:rPr>
          <w:lang w:val="en-US"/>
        </w:rPr>
        <w:t>Important to note is that there are two possible effects that the restructuring could have. The first possibility is that</w:t>
      </w:r>
      <w:r w:rsidRPr="00242496">
        <w:rPr>
          <w:lang w:val="en-US"/>
        </w:rPr>
        <w:t xml:space="preserve"> a company is implementing a new IT system or an organizational structure</w:t>
      </w:r>
      <w:r>
        <w:rPr>
          <w:lang w:val="en-US"/>
        </w:rPr>
        <w:t>, resulting</w:t>
      </w:r>
      <w:r w:rsidRPr="00242496">
        <w:rPr>
          <w:lang w:val="en-US"/>
        </w:rPr>
        <w:t xml:space="preserve"> in extra costs and reduc</w:t>
      </w:r>
      <w:r>
        <w:rPr>
          <w:lang w:val="en-US"/>
        </w:rPr>
        <w:t>ing</w:t>
      </w:r>
      <w:r w:rsidRPr="00242496">
        <w:rPr>
          <w:lang w:val="en-US"/>
        </w:rPr>
        <w:t xml:space="preserve"> the effectiveness of the operations (Bingi et al., 1999).</w:t>
      </w:r>
      <w:r>
        <w:rPr>
          <w:lang w:val="en-US"/>
        </w:rPr>
        <w:t xml:space="preserve"> This concerns only a short period after the implementation. In the long run the restructuring should make the organization more efficient. Also Doyle et al., (2007) has already provided evidence that restructuring of firms has an influence on internal control weaknesses. This study wants to extent on Doyle’s study by looking at the influence of restructuring on IT controls.  </w:t>
      </w:r>
      <w:r>
        <w:rPr>
          <w:lang w:val="en-US"/>
        </w:rPr>
        <w:br/>
        <w:t xml:space="preserve">The </w:t>
      </w:r>
      <w:r w:rsidRPr="00242496">
        <w:rPr>
          <w:lang w:val="en-US"/>
        </w:rPr>
        <w:t>proxy for</w:t>
      </w:r>
      <w:r>
        <w:rPr>
          <w:lang w:val="en-US"/>
        </w:rPr>
        <w:t xml:space="preserve"> identifying </w:t>
      </w:r>
      <w:r w:rsidRPr="00242496">
        <w:rPr>
          <w:lang w:val="en-US"/>
        </w:rPr>
        <w:t xml:space="preserve">restructuring costs </w:t>
      </w:r>
      <w:r>
        <w:rPr>
          <w:lang w:val="en-US"/>
        </w:rPr>
        <w:t>is the</w:t>
      </w:r>
      <w:r w:rsidRPr="00242496">
        <w:rPr>
          <w:lang w:val="en-US"/>
        </w:rPr>
        <w:t xml:space="preserve"> announcement of companies that they </w:t>
      </w:r>
      <w:r>
        <w:rPr>
          <w:lang w:val="en-US"/>
        </w:rPr>
        <w:t xml:space="preserve">intend </w:t>
      </w:r>
      <w:r w:rsidRPr="00242496">
        <w:rPr>
          <w:lang w:val="en-US"/>
        </w:rPr>
        <w:t xml:space="preserve">to </w:t>
      </w:r>
      <w:r>
        <w:rPr>
          <w:lang w:val="en-US"/>
        </w:rPr>
        <w:lastRenderedPageBreak/>
        <w:t>restructure the organization</w:t>
      </w:r>
      <w:r w:rsidRPr="00242496">
        <w:rPr>
          <w:lang w:val="en-US"/>
        </w:rPr>
        <w:t xml:space="preserve">. Hayes et al. (2001) </w:t>
      </w:r>
      <w:r>
        <w:rPr>
          <w:lang w:val="en-US"/>
        </w:rPr>
        <w:t xml:space="preserve">investigated </w:t>
      </w:r>
      <w:r w:rsidRPr="00242496">
        <w:rPr>
          <w:lang w:val="en-US"/>
        </w:rPr>
        <w:t>the influence of an ERP implementation on the stock market</w:t>
      </w:r>
      <w:r>
        <w:rPr>
          <w:lang w:val="en-US"/>
        </w:rPr>
        <w:t>. T</w:t>
      </w:r>
      <w:r w:rsidRPr="00242496">
        <w:rPr>
          <w:lang w:val="en-US"/>
        </w:rPr>
        <w:t>o collect the necessary i</w:t>
      </w:r>
      <w:r>
        <w:rPr>
          <w:lang w:val="en-US"/>
        </w:rPr>
        <w:t xml:space="preserve">nformation the authors investigated disclosed announcements </w:t>
      </w:r>
      <w:r w:rsidRPr="00242496">
        <w:rPr>
          <w:lang w:val="en-US"/>
        </w:rPr>
        <w:t xml:space="preserve">and </w:t>
      </w:r>
      <w:r>
        <w:rPr>
          <w:lang w:val="en-US"/>
        </w:rPr>
        <w:t>looked</w:t>
      </w:r>
      <w:r w:rsidRPr="00242496">
        <w:rPr>
          <w:lang w:val="en-US"/>
        </w:rPr>
        <w:t xml:space="preserve"> for </w:t>
      </w:r>
      <w:r>
        <w:rPr>
          <w:lang w:val="en-US"/>
        </w:rPr>
        <w:t xml:space="preserve">specific </w:t>
      </w:r>
      <w:r w:rsidRPr="00242496">
        <w:rPr>
          <w:lang w:val="en-US"/>
        </w:rPr>
        <w:t xml:space="preserve">ERP implementation announcements. </w:t>
      </w:r>
      <w:r>
        <w:rPr>
          <w:lang w:val="en-US"/>
        </w:rPr>
        <w:t xml:space="preserve">Bens (2001) used another method that first identifies companies with a negative special item account and then looked into the earnings announcement to see if a restructuring took place. </w:t>
      </w:r>
      <w:r w:rsidRPr="00242496">
        <w:rPr>
          <w:lang w:val="en-US"/>
        </w:rPr>
        <w:t>For this research</w:t>
      </w:r>
      <w:r>
        <w:rPr>
          <w:lang w:val="en-US"/>
        </w:rPr>
        <w:t xml:space="preserve"> study</w:t>
      </w:r>
      <w:r w:rsidRPr="00242496">
        <w:rPr>
          <w:lang w:val="en-US"/>
        </w:rPr>
        <w:t xml:space="preserve"> </w:t>
      </w:r>
      <w:r>
        <w:rPr>
          <w:lang w:val="en-US"/>
        </w:rPr>
        <w:t>the</w:t>
      </w:r>
      <w:r w:rsidRPr="00242496">
        <w:rPr>
          <w:lang w:val="en-US"/>
        </w:rPr>
        <w:t xml:space="preserve"> same method </w:t>
      </w:r>
      <w:r>
        <w:rPr>
          <w:lang w:val="en-US"/>
        </w:rPr>
        <w:t xml:space="preserve">is </w:t>
      </w:r>
      <w:r w:rsidRPr="00242496">
        <w:rPr>
          <w:lang w:val="en-US"/>
        </w:rPr>
        <w:t xml:space="preserve">used to </w:t>
      </w:r>
      <w:r>
        <w:rPr>
          <w:lang w:val="en-US"/>
        </w:rPr>
        <w:t>analyze</w:t>
      </w:r>
      <w:r w:rsidRPr="00242496">
        <w:rPr>
          <w:lang w:val="en-US"/>
        </w:rPr>
        <w:t xml:space="preserve"> the influence of new IT systems/ structures on IT control weaknesses.</w:t>
      </w:r>
    </w:p>
    <w:p w:rsidR="00374723" w:rsidRPr="008836A8" w:rsidRDefault="00374723" w:rsidP="00374723">
      <w:pPr>
        <w:rPr>
          <w:lang w:val="en-US"/>
        </w:rPr>
      </w:pPr>
      <w:r w:rsidRPr="008836A8">
        <w:rPr>
          <w:lang w:val="en-US"/>
        </w:rPr>
        <w:t xml:space="preserve">The second contribution </w:t>
      </w:r>
      <w:r>
        <w:rPr>
          <w:lang w:val="en-US"/>
        </w:rPr>
        <w:t>of this study is</w:t>
      </w:r>
      <w:r w:rsidRPr="008836A8">
        <w:rPr>
          <w:lang w:val="en-US"/>
        </w:rPr>
        <w:t xml:space="preserve"> an investigation of the development of IT control weaknesses over the years. The empirical analysis focus</w:t>
      </w:r>
      <w:r>
        <w:rPr>
          <w:lang w:val="en-US"/>
        </w:rPr>
        <w:t>es</w:t>
      </w:r>
      <w:r w:rsidRPr="008836A8">
        <w:rPr>
          <w:lang w:val="en-US"/>
        </w:rPr>
        <w:t xml:space="preserve"> o</w:t>
      </w:r>
      <w:r>
        <w:rPr>
          <w:lang w:val="en-US"/>
        </w:rPr>
        <w:t>n</w:t>
      </w:r>
      <w:r w:rsidRPr="008836A8">
        <w:rPr>
          <w:lang w:val="en-US"/>
        </w:rPr>
        <w:t xml:space="preserve"> the absolute change in the number of disclosed IT control weaknesses under SOX. It is interesting to investigate</w:t>
      </w:r>
      <w:r>
        <w:rPr>
          <w:lang w:val="en-US"/>
        </w:rPr>
        <w:t xml:space="preserve"> this</w:t>
      </w:r>
      <w:r w:rsidRPr="008836A8">
        <w:rPr>
          <w:lang w:val="en-US"/>
        </w:rPr>
        <w:t xml:space="preserve">, because there </w:t>
      </w:r>
      <w:r>
        <w:rPr>
          <w:lang w:val="en-US"/>
        </w:rPr>
        <w:t>are multiple</w:t>
      </w:r>
      <w:r w:rsidRPr="008836A8">
        <w:rPr>
          <w:lang w:val="en-US"/>
        </w:rPr>
        <w:t xml:space="preserve"> explanations </w:t>
      </w:r>
      <w:r>
        <w:rPr>
          <w:lang w:val="en-US"/>
        </w:rPr>
        <w:t xml:space="preserve">for </w:t>
      </w:r>
      <w:r w:rsidRPr="008836A8">
        <w:rPr>
          <w:lang w:val="en-US"/>
        </w:rPr>
        <w:t>possible change</w:t>
      </w:r>
      <w:r>
        <w:rPr>
          <w:lang w:val="en-US"/>
        </w:rPr>
        <w:t>s</w:t>
      </w:r>
      <w:r w:rsidRPr="008836A8">
        <w:rPr>
          <w:lang w:val="en-US"/>
        </w:rPr>
        <w:t xml:space="preserve"> over the years. The first </w:t>
      </w:r>
      <w:r>
        <w:rPr>
          <w:lang w:val="en-US"/>
        </w:rPr>
        <w:t xml:space="preserve">possible </w:t>
      </w:r>
      <w:r w:rsidRPr="008836A8">
        <w:rPr>
          <w:lang w:val="en-US"/>
        </w:rPr>
        <w:t>explanation is that the number increase</w:t>
      </w:r>
      <w:r>
        <w:rPr>
          <w:lang w:val="en-US"/>
        </w:rPr>
        <w:t>s</w:t>
      </w:r>
      <w:r w:rsidRPr="008836A8">
        <w:rPr>
          <w:lang w:val="en-US"/>
        </w:rPr>
        <w:t xml:space="preserve"> because the implementation of IT systems has increased and so </w:t>
      </w:r>
      <w:r>
        <w:rPr>
          <w:lang w:val="en-US"/>
        </w:rPr>
        <w:t xml:space="preserve">did </w:t>
      </w:r>
      <w:r w:rsidRPr="008836A8">
        <w:rPr>
          <w:lang w:val="en-US"/>
        </w:rPr>
        <w:t>the IT control weaknesses. The second possibility is that the number of weaknesses decreases</w:t>
      </w:r>
      <w:r>
        <w:rPr>
          <w:lang w:val="en-US"/>
        </w:rPr>
        <w:t>,</w:t>
      </w:r>
      <w:r w:rsidRPr="008836A8">
        <w:rPr>
          <w:lang w:val="en-US"/>
        </w:rPr>
        <w:t xml:space="preserve"> because the internal control systems have improved</w:t>
      </w:r>
      <w:r w:rsidRPr="00DA137E">
        <w:rPr>
          <w:lang w:val="en-US"/>
        </w:rPr>
        <w:t xml:space="preserve"> </w:t>
      </w:r>
      <w:r w:rsidRPr="008836A8">
        <w:rPr>
          <w:lang w:val="en-US"/>
        </w:rPr>
        <w:t>due to the SOX regulation.</w:t>
      </w:r>
    </w:p>
    <w:p w:rsidR="00374723" w:rsidRPr="008836A8" w:rsidRDefault="00374723" w:rsidP="00374723">
      <w:pPr>
        <w:rPr>
          <w:lang w:val="en-US"/>
        </w:rPr>
      </w:pPr>
      <w:r>
        <w:rPr>
          <w:lang w:val="en-US"/>
        </w:rPr>
        <w:t>In addition to the analysis of the absolute change in disclosed control weaknesses, this research also i</w:t>
      </w:r>
      <w:r w:rsidRPr="008836A8">
        <w:rPr>
          <w:lang w:val="en-US"/>
        </w:rPr>
        <w:t>nvestigate</w:t>
      </w:r>
      <w:r>
        <w:rPr>
          <w:lang w:val="en-US"/>
        </w:rPr>
        <w:t>s</w:t>
      </w:r>
      <w:r w:rsidRPr="008836A8">
        <w:rPr>
          <w:lang w:val="en-US"/>
        </w:rPr>
        <w:t xml:space="preserve"> the importance of IT controls within the internal control systems</w:t>
      </w:r>
      <w:r>
        <w:rPr>
          <w:lang w:val="en-US"/>
        </w:rPr>
        <w:t>. This is possible</w:t>
      </w:r>
      <w:r w:rsidRPr="008836A8">
        <w:rPr>
          <w:lang w:val="en-US"/>
        </w:rPr>
        <w:t xml:space="preserve"> by</w:t>
      </w:r>
      <w:r>
        <w:rPr>
          <w:lang w:val="en-US"/>
        </w:rPr>
        <w:t xml:space="preserve"> using a relative measure that</w:t>
      </w:r>
      <w:r w:rsidRPr="008836A8">
        <w:rPr>
          <w:lang w:val="en-US"/>
        </w:rPr>
        <w:t xml:space="preserve"> look</w:t>
      </w:r>
      <w:r>
        <w:rPr>
          <w:lang w:val="en-US"/>
        </w:rPr>
        <w:t>s</w:t>
      </w:r>
      <w:r w:rsidRPr="008836A8">
        <w:rPr>
          <w:lang w:val="en-US"/>
        </w:rPr>
        <w:t xml:space="preserve"> at the ratio of IT control weaknesses on the total number of control weaknesses. This measure can indicate how much the internal control relies on IT</w:t>
      </w:r>
      <w:r>
        <w:rPr>
          <w:lang w:val="en-US"/>
        </w:rPr>
        <w:t xml:space="preserve"> (controls)</w:t>
      </w:r>
      <w:r w:rsidRPr="008836A8">
        <w:rPr>
          <w:lang w:val="en-US"/>
        </w:rPr>
        <w:t xml:space="preserve"> and can also measure the importance of IT controls over the years.</w:t>
      </w:r>
    </w:p>
    <w:p w:rsidR="00374723" w:rsidRDefault="00374723" w:rsidP="00374723">
      <w:pPr>
        <w:rPr>
          <w:lang w:val="en-US"/>
        </w:rPr>
      </w:pPr>
      <w:r>
        <w:rPr>
          <w:lang w:val="en-US"/>
        </w:rPr>
        <w:t xml:space="preserve">An investigation of the development of IT control weaknesses is relevant for the following groups: 1) auditors, 2) regulators like the Security Exchange Committee (SEC) and Public Company Accounting Oversight Board (PCAOB), 3) investors, and 4) companies (management and the IT organizations involved in financial reporting). First of all this research is relevant for auditors/ IT auditors because the results may indicate how important IT controls are in the internal control system of a company and show if there is a trend of a growing importance of IT controls in comparison with other internal controls. Also the investigation of the influence of industry factors or restructuring cost on IT control weaknesses can help auditors to determine which industries/ circumstances need extra attention to identify IT control weaknesses. Second, the results of this research can also be relevant to regulators, because it gives an analysis of the disclosed IT control weaknesses under SOX. This analysis can indicate that the regulator needs to adjust the current regulation because of the growing importance of IT controls within the internal control disclosures. Investors are the third group for which this research could be relevant. Investors demand that the management of companies is in control and that the financial reporting is reliable. The development of IT controls within the internal control system can be an indication to the investors to also look at the disclosed IT control weaknesses to determine if the company is in control. Finally, the results of this research may also be relevant for the company itself and more specifically the management and the internal IT organization involved in financial reporting. This is because the results from the analysis may identify certain industries or trends that are helpful in making business decisions on the organization of IT controls. </w:t>
      </w:r>
    </w:p>
    <w:p w:rsidR="00DE429C" w:rsidRDefault="00DE429C" w:rsidP="00DE429C">
      <w:pPr>
        <w:pStyle w:val="Heading2"/>
      </w:pPr>
      <w:bookmarkStart w:id="3" w:name="_Toc363840751"/>
      <w:r w:rsidRPr="008836A8">
        <w:t>Research question</w:t>
      </w:r>
      <w:r w:rsidR="00092AA7">
        <w:t>s</w:t>
      </w:r>
      <w:bookmarkEnd w:id="3"/>
      <w:r w:rsidRPr="008836A8">
        <w:t xml:space="preserve"> </w:t>
      </w:r>
    </w:p>
    <w:p w:rsidR="00374723" w:rsidRPr="00040C89" w:rsidRDefault="00374723" w:rsidP="00374723">
      <w:pPr>
        <w:rPr>
          <w:lang w:val="en-US"/>
        </w:rPr>
      </w:pPr>
      <w:r>
        <w:rPr>
          <w:lang w:val="en-US"/>
        </w:rPr>
        <w:t xml:space="preserve">First the descriptive statistics analysis on the IT control weaknesses will </w:t>
      </w:r>
      <w:r w:rsidRPr="00040C89">
        <w:rPr>
          <w:lang w:val="en-US"/>
        </w:rPr>
        <w:t>focus on the development and the importance of IT control weaknesses within internal control systems.</w:t>
      </w:r>
      <w:r>
        <w:rPr>
          <w:lang w:val="en-US"/>
        </w:rPr>
        <w:t xml:space="preserve"> The first analysis will focus on </w:t>
      </w:r>
      <w:r w:rsidRPr="00EF0A24">
        <w:rPr>
          <w:lang w:val="en-US"/>
        </w:rPr>
        <w:t>what the development of the reported IT control weaknesses under SOX from 2004-2011 is</w:t>
      </w:r>
      <w:r>
        <w:rPr>
          <w:lang w:val="en-US"/>
        </w:rPr>
        <w:t>; so it</w:t>
      </w:r>
      <w:r w:rsidRPr="00EF0A24">
        <w:rPr>
          <w:lang w:val="en-US"/>
        </w:rPr>
        <w:t xml:space="preserve"> </w:t>
      </w:r>
      <w:r w:rsidRPr="00040C89">
        <w:rPr>
          <w:lang w:val="en-US"/>
        </w:rPr>
        <w:t>investigate</w:t>
      </w:r>
      <w:r>
        <w:rPr>
          <w:lang w:val="en-US"/>
        </w:rPr>
        <w:t>s</w:t>
      </w:r>
      <w:r w:rsidRPr="00040C89">
        <w:rPr>
          <w:lang w:val="en-US"/>
        </w:rPr>
        <w:t xml:space="preserve"> the </w:t>
      </w:r>
      <w:r>
        <w:rPr>
          <w:lang w:val="en-US"/>
        </w:rPr>
        <w:t>trend</w:t>
      </w:r>
      <w:r w:rsidRPr="00040C89">
        <w:rPr>
          <w:lang w:val="en-US"/>
        </w:rPr>
        <w:t xml:space="preserve"> of the reported IT control weaknesses over the years</w:t>
      </w:r>
      <w:r w:rsidRPr="00EF0A24">
        <w:rPr>
          <w:lang w:val="en-US"/>
        </w:rPr>
        <w:t>.</w:t>
      </w:r>
      <w:r>
        <w:rPr>
          <w:lang w:val="en-US"/>
        </w:rPr>
        <w:t xml:space="preserve">  </w:t>
      </w:r>
      <w:r w:rsidR="002F625E">
        <w:rPr>
          <w:lang w:val="en-US"/>
        </w:rPr>
        <w:t xml:space="preserve">The sample period </w:t>
      </w:r>
      <w:r w:rsidR="002F625E">
        <w:rPr>
          <w:lang w:val="en-US"/>
        </w:rPr>
        <w:lastRenderedPageBreak/>
        <w:t xml:space="preserve">2004-2011 is chosen, because 2004 is the first year that the database Audit Analytics included SOX section 404 reports about the internal control quality and 2011 is </w:t>
      </w:r>
      <w:r w:rsidR="006C4312">
        <w:rPr>
          <w:lang w:val="en-US"/>
        </w:rPr>
        <w:t xml:space="preserve">the </w:t>
      </w:r>
      <w:r w:rsidR="002F625E">
        <w:rPr>
          <w:lang w:val="en-US"/>
        </w:rPr>
        <w:t xml:space="preserve">last year for which all necessary data is available. </w:t>
      </w:r>
      <w:r>
        <w:rPr>
          <w:lang w:val="en-US"/>
        </w:rPr>
        <w:t xml:space="preserve">The second part of the analysis looks whether </w:t>
      </w:r>
      <w:r w:rsidRPr="00EF0A24">
        <w:rPr>
          <w:lang w:val="en-US"/>
        </w:rPr>
        <w:t>the importance of IT control weaknesses has increased in comparison with other internal control weaknesses in the period 2004-2011.</w:t>
      </w:r>
      <w:r>
        <w:rPr>
          <w:lang w:val="en-US"/>
        </w:rPr>
        <w:t xml:space="preserve"> The importance of IT control weaknesses is measured by </w:t>
      </w:r>
      <w:r w:rsidRPr="00040C89">
        <w:rPr>
          <w:lang w:val="en-US"/>
        </w:rPr>
        <w:t>a relative measure</w:t>
      </w:r>
      <w:r>
        <w:rPr>
          <w:lang w:val="en-US"/>
        </w:rPr>
        <w:t xml:space="preserve"> that compares the number of IT specific material weaknesses with the total number </w:t>
      </w:r>
      <w:r w:rsidR="00553440">
        <w:rPr>
          <w:lang w:val="en-US"/>
        </w:rPr>
        <w:t xml:space="preserve">of </w:t>
      </w:r>
      <w:r>
        <w:rPr>
          <w:lang w:val="en-US"/>
        </w:rPr>
        <w:t>internal control material weaknesses</w:t>
      </w:r>
      <w:r w:rsidRPr="00040C89">
        <w:rPr>
          <w:lang w:val="en-US"/>
        </w:rPr>
        <w:t>.</w:t>
      </w:r>
    </w:p>
    <w:p w:rsidR="00374723" w:rsidRPr="00BE37BF" w:rsidRDefault="00374723" w:rsidP="00374723">
      <w:pPr>
        <w:rPr>
          <w:lang w:val="en-US"/>
        </w:rPr>
      </w:pPr>
      <w:r>
        <w:rPr>
          <w:lang w:val="en-US"/>
        </w:rPr>
        <w:t xml:space="preserve">The main research is about the effect of the explanatory variables industry differences and restructurings on IT control weaknesses. The following research questions are based on studies indicating that industry differences and restructuring are associated to the disclosure of internal control weaknesses </w:t>
      </w:r>
      <w:r w:rsidRPr="0040669A">
        <w:rPr>
          <w:lang w:val="en-US"/>
        </w:rPr>
        <w:t xml:space="preserve">(Bryan </w:t>
      </w:r>
      <w:r>
        <w:rPr>
          <w:lang w:val="en-US"/>
        </w:rPr>
        <w:t>&amp;</w:t>
      </w:r>
      <w:r w:rsidRPr="0040669A">
        <w:rPr>
          <w:lang w:val="en-US"/>
        </w:rPr>
        <w:t xml:space="preserve"> Lilien, 2005; Elbannan, 2008; Goh </w:t>
      </w:r>
      <w:r>
        <w:rPr>
          <w:lang w:val="en-US"/>
        </w:rPr>
        <w:t>&amp;</w:t>
      </w:r>
      <w:r w:rsidRPr="0040669A">
        <w:rPr>
          <w:lang w:val="en-US"/>
        </w:rPr>
        <w:t xml:space="preserve"> Li, 2011</w:t>
      </w:r>
      <w:r>
        <w:rPr>
          <w:lang w:val="en-US"/>
        </w:rPr>
        <w:t>; Li et al., 2012</w:t>
      </w:r>
      <w:r w:rsidRPr="0040669A">
        <w:rPr>
          <w:lang w:val="en-US"/>
        </w:rPr>
        <w:t>)</w:t>
      </w:r>
      <w:r>
        <w:rPr>
          <w:lang w:val="en-US"/>
        </w:rPr>
        <w:t>. Industry factors and restructuring could have a significant influence on the number of disclosed IT control weaknesses and therefore the first and second questions are:</w:t>
      </w:r>
    </w:p>
    <w:p w:rsidR="00374723" w:rsidRDefault="00374723" w:rsidP="00374723">
      <w:pPr>
        <w:pStyle w:val="ListParagraph"/>
        <w:numPr>
          <w:ilvl w:val="0"/>
          <w:numId w:val="18"/>
        </w:numPr>
        <w:rPr>
          <w:i/>
          <w:lang w:val="en-US"/>
        </w:rPr>
      </w:pPr>
      <w:r>
        <w:rPr>
          <w:i/>
          <w:lang w:val="en-US"/>
        </w:rPr>
        <w:t>What is the impact of industry differences (like complex financial reporting and competiveness level) on the disclosed IT control weaknesses under SOX section 404</w:t>
      </w:r>
      <w:r w:rsidRPr="00067F7B">
        <w:rPr>
          <w:i/>
          <w:lang w:val="en-US"/>
        </w:rPr>
        <w:t xml:space="preserve"> </w:t>
      </w:r>
      <w:r>
        <w:rPr>
          <w:i/>
          <w:lang w:val="en-US"/>
        </w:rPr>
        <w:t>in the reporting years 2004-2011?</w:t>
      </w:r>
    </w:p>
    <w:p w:rsidR="00374723" w:rsidRPr="00F4358A" w:rsidRDefault="00374723" w:rsidP="00374723">
      <w:pPr>
        <w:pStyle w:val="ListParagraph"/>
        <w:numPr>
          <w:ilvl w:val="0"/>
          <w:numId w:val="18"/>
        </w:numPr>
        <w:rPr>
          <w:i/>
          <w:lang w:val="en-US"/>
        </w:rPr>
      </w:pPr>
      <w:r>
        <w:rPr>
          <w:i/>
          <w:lang w:val="en-US"/>
        </w:rPr>
        <w:t>What is the influence of the restructuring on the disclosed IT controls under SOX section 404 in the years 2004-2011?</w:t>
      </w:r>
    </w:p>
    <w:p w:rsidR="00DE429C" w:rsidRPr="00BE37BF" w:rsidRDefault="00DE429C" w:rsidP="00DE429C">
      <w:pPr>
        <w:pStyle w:val="ListParagraph"/>
        <w:spacing w:after="0"/>
        <w:ind w:left="360"/>
        <w:rPr>
          <w:lang w:val="en-US"/>
        </w:rPr>
      </w:pPr>
    </w:p>
    <w:p w:rsidR="00DE429C" w:rsidRDefault="00DE429C" w:rsidP="00DE429C">
      <w:pPr>
        <w:pStyle w:val="Heading2"/>
        <w:rPr>
          <w:lang w:val="en-US"/>
        </w:rPr>
      </w:pPr>
      <w:bookmarkStart w:id="4" w:name="_Toc363840752"/>
      <w:r>
        <w:rPr>
          <w:lang w:val="en-US"/>
        </w:rPr>
        <w:t>The empirical</w:t>
      </w:r>
      <w:r w:rsidRPr="00086565">
        <w:rPr>
          <w:lang w:val="en-US"/>
        </w:rPr>
        <w:t xml:space="preserve"> </w:t>
      </w:r>
      <w:r>
        <w:rPr>
          <w:lang w:val="en-US"/>
        </w:rPr>
        <w:t>results</w:t>
      </w:r>
      <w:bookmarkEnd w:id="4"/>
      <w:r>
        <w:rPr>
          <w:lang w:val="en-US"/>
        </w:rPr>
        <w:t xml:space="preserve"> </w:t>
      </w:r>
    </w:p>
    <w:p w:rsidR="0006085D" w:rsidRDefault="006C4312" w:rsidP="000962FE">
      <w:pPr>
        <w:rPr>
          <w:lang w:val="en-US"/>
        </w:rPr>
      </w:pPr>
      <w:r>
        <w:rPr>
          <w:lang w:val="en-US"/>
        </w:rPr>
        <w:t xml:space="preserve">A trend analysis </w:t>
      </w:r>
      <w:r w:rsidR="00AB70C1">
        <w:rPr>
          <w:lang w:val="en-US"/>
        </w:rPr>
        <w:t>regarding</w:t>
      </w:r>
      <w:r w:rsidR="002F625E">
        <w:rPr>
          <w:lang w:val="en-US"/>
        </w:rPr>
        <w:t xml:space="preserve"> the descriptive statistics of the material IT control weaknesses shows a downward trend from the year 2007. A surprising finding is that the year 2007 shows relatively more material IT control weaknesses than other years, while the total number of material weaknesses remained the same.</w:t>
      </w:r>
      <w:r w:rsidR="00D16E1E">
        <w:rPr>
          <w:lang w:val="en-US"/>
        </w:rPr>
        <w:t xml:space="preserve"> </w:t>
      </w:r>
      <w:r w:rsidR="00C75247">
        <w:rPr>
          <w:lang w:val="en-US"/>
        </w:rPr>
        <w:t>The empirical results reveal that industry differences are significantly and positively associated with firms disclosing</w:t>
      </w:r>
      <w:r w:rsidR="000B3301">
        <w:rPr>
          <w:lang w:val="en-US"/>
        </w:rPr>
        <w:t xml:space="preserve"> material IT control weaknesses</w:t>
      </w:r>
      <w:r w:rsidR="00C75247">
        <w:rPr>
          <w:lang w:val="en-US"/>
        </w:rPr>
        <w:t xml:space="preserve"> under SOX section 404 in the years 2004-2011. Industry differences are partly based on the complexity of financial reporting. The research study results support the hypothesis that technology, health care and financial services industries (having more fraud opportunities) are more likely to have </w:t>
      </w:r>
      <w:r w:rsidR="000B3301">
        <w:rPr>
          <w:lang w:val="en-US"/>
        </w:rPr>
        <w:t>material IT control weaknesses</w:t>
      </w:r>
      <w:r w:rsidR="00C75247">
        <w:rPr>
          <w:lang w:val="en-US"/>
        </w:rPr>
        <w:t xml:space="preserve">. Other industry differences, based on the competitiveness level, are also significant and support the hypothesis that non-competitive industries have more </w:t>
      </w:r>
      <w:r w:rsidR="000B3301">
        <w:rPr>
          <w:lang w:val="en-US"/>
        </w:rPr>
        <w:t>material IT control weaknesses</w:t>
      </w:r>
      <w:r w:rsidR="00C75247">
        <w:rPr>
          <w:lang w:val="en-US"/>
        </w:rPr>
        <w:t xml:space="preserve">. </w:t>
      </w:r>
      <w:r w:rsidR="009970FC">
        <w:rPr>
          <w:lang w:val="en-US"/>
        </w:rPr>
        <w:br/>
      </w:r>
      <w:r w:rsidR="00C75247">
        <w:rPr>
          <w:lang w:val="en-US"/>
        </w:rPr>
        <w:t xml:space="preserve">This study also highlights the effect of restructuring on material IT control weaknesses. Three measures are used to analyze this and the results indicate that only the existence of a restructuring in the sample period is significant and supports the hypothesis. The existence of a restructuring and the amount of the restructuring costs in the same year as the IT material weakness are highly inter-related, causing a possible bias in the analysis. The correlations of these variables also have a negative sign for the coefficient and therefore do not support the hypothesis. </w:t>
      </w:r>
    </w:p>
    <w:p w:rsidR="00DE429C" w:rsidRPr="00655186" w:rsidRDefault="00DE429C" w:rsidP="00DE429C">
      <w:pPr>
        <w:pStyle w:val="Heading2"/>
      </w:pPr>
      <w:bookmarkStart w:id="5" w:name="_Toc363840753"/>
      <w:r w:rsidRPr="00655186">
        <w:t>Structure of the paper</w:t>
      </w:r>
      <w:bookmarkEnd w:id="5"/>
    </w:p>
    <w:p w:rsidR="00374723" w:rsidRDefault="00374723" w:rsidP="00374723">
      <w:pPr>
        <w:rPr>
          <w:lang w:val="en-US"/>
        </w:rPr>
      </w:pPr>
      <w:r>
        <w:rPr>
          <w:lang w:val="en-US"/>
        </w:rPr>
        <w:t xml:space="preserve">The next chapter provides </w:t>
      </w:r>
      <w:r w:rsidRPr="00653EB0">
        <w:rPr>
          <w:lang w:val="en-US"/>
        </w:rPr>
        <w:t>background</w:t>
      </w:r>
      <w:r>
        <w:rPr>
          <w:lang w:val="en-US"/>
        </w:rPr>
        <w:t xml:space="preserve"> information</w:t>
      </w:r>
      <w:r w:rsidRPr="00653EB0">
        <w:rPr>
          <w:lang w:val="en-US"/>
        </w:rPr>
        <w:t xml:space="preserve"> </w:t>
      </w:r>
      <w:r>
        <w:rPr>
          <w:lang w:val="en-US"/>
        </w:rPr>
        <w:t>about the disclosure of IT controls under SOX and about the criteria being used to do an IT audit.  I</w:t>
      </w:r>
      <w:r w:rsidRPr="00653EB0">
        <w:rPr>
          <w:lang w:val="en-US"/>
        </w:rPr>
        <w:t xml:space="preserve">n chapter 3 </w:t>
      </w:r>
      <w:r>
        <w:rPr>
          <w:lang w:val="en-US"/>
        </w:rPr>
        <w:t>a</w:t>
      </w:r>
      <w:r w:rsidRPr="00653EB0">
        <w:rPr>
          <w:lang w:val="en-US"/>
        </w:rPr>
        <w:t xml:space="preserve"> literature review is presented, </w:t>
      </w:r>
      <w:r>
        <w:rPr>
          <w:lang w:val="en-US"/>
        </w:rPr>
        <w:t>summarizing</w:t>
      </w:r>
      <w:r w:rsidRPr="00653EB0">
        <w:rPr>
          <w:lang w:val="en-US"/>
        </w:rPr>
        <w:t xml:space="preserve"> the empirical results </w:t>
      </w:r>
      <w:r>
        <w:rPr>
          <w:lang w:val="en-US"/>
        </w:rPr>
        <w:t>published in</w:t>
      </w:r>
      <w:r w:rsidRPr="00653EB0">
        <w:rPr>
          <w:lang w:val="en-US"/>
        </w:rPr>
        <w:t xml:space="preserve"> the relevant papers about </w:t>
      </w:r>
      <w:r>
        <w:rPr>
          <w:lang w:val="en-US"/>
        </w:rPr>
        <w:t>IT controls</w:t>
      </w:r>
      <w:r w:rsidRPr="00653EB0">
        <w:rPr>
          <w:lang w:val="en-US"/>
        </w:rPr>
        <w:t xml:space="preserve"> and </w:t>
      </w:r>
      <w:r>
        <w:rPr>
          <w:lang w:val="en-US"/>
        </w:rPr>
        <w:t>possible explanatory variables.  In c</w:t>
      </w:r>
      <w:r w:rsidRPr="00653EB0">
        <w:rPr>
          <w:lang w:val="en-US"/>
        </w:rPr>
        <w:t>hapter 4</w:t>
      </w:r>
      <w:r>
        <w:rPr>
          <w:lang w:val="en-US"/>
        </w:rPr>
        <w:t xml:space="preserve"> </w:t>
      </w:r>
      <w:r w:rsidRPr="00653EB0">
        <w:rPr>
          <w:lang w:val="en-US"/>
        </w:rPr>
        <w:t>the hypoth</w:t>
      </w:r>
      <w:r>
        <w:rPr>
          <w:lang w:val="en-US"/>
        </w:rPr>
        <w:t xml:space="preserve">eses and the theoretical support for these hypotheses </w:t>
      </w:r>
      <w:r>
        <w:rPr>
          <w:lang w:val="en-US"/>
        </w:rPr>
        <w:lastRenderedPageBreak/>
        <w:t>are explained. C</w:t>
      </w:r>
      <w:r w:rsidRPr="00653EB0">
        <w:rPr>
          <w:lang w:val="en-US"/>
        </w:rPr>
        <w:t xml:space="preserve">hapter 5 </w:t>
      </w:r>
      <w:r>
        <w:rPr>
          <w:lang w:val="en-US"/>
        </w:rPr>
        <w:t xml:space="preserve">presents </w:t>
      </w:r>
      <w:r w:rsidRPr="00653EB0">
        <w:rPr>
          <w:lang w:val="en-US"/>
        </w:rPr>
        <w:t xml:space="preserve">the research design, which </w:t>
      </w:r>
      <w:r>
        <w:rPr>
          <w:lang w:val="en-US"/>
        </w:rPr>
        <w:t xml:space="preserve">includes information about the </w:t>
      </w:r>
      <w:r w:rsidRPr="00653EB0">
        <w:rPr>
          <w:lang w:val="en-US"/>
        </w:rPr>
        <w:t>measures</w:t>
      </w:r>
      <w:r>
        <w:rPr>
          <w:lang w:val="en-US"/>
        </w:rPr>
        <w:t xml:space="preserve"> used and about the </w:t>
      </w:r>
      <w:r w:rsidRPr="00653EB0">
        <w:rPr>
          <w:lang w:val="en-US"/>
        </w:rPr>
        <w:t>sample</w:t>
      </w:r>
      <w:r>
        <w:rPr>
          <w:lang w:val="en-US"/>
        </w:rPr>
        <w:t xml:space="preserve"> used to test the hypotheses. Chapter 6 shows the empirical results and finally in chapter 7 the discussion and conclusion are presented.</w:t>
      </w:r>
    </w:p>
    <w:p w:rsidR="00E14E59" w:rsidRDefault="00E14E59">
      <w:pPr>
        <w:rPr>
          <w:b/>
          <w:sz w:val="32"/>
          <w:szCs w:val="44"/>
          <w:lang w:val="en-GB"/>
        </w:rPr>
      </w:pPr>
      <w:bookmarkStart w:id="6" w:name="_Toc363840754"/>
      <w:r>
        <w:br w:type="page"/>
      </w:r>
    </w:p>
    <w:p w:rsidR="000B0F1D" w:rsidRPr="00B72227" w:rsidRDefault="00B72227" w:rsidP="00655186">
      <w:pPr>
        <w:pStyle w:val="Heading1"/>
      </w:pPr>
      <w:r>
        <w:lastRenderedPageBreak/>
        <w:t>Chapter 2</w:t>
      </w:r>
      <w:r>
        <w:tab/>
      </w:r>
      <w:r w:rsidR="009B4648">
        <w:t>Background information</w:t>
      </w:r>
      <w:bookmarkEnd w:id="6"/>
    </w:p>
    <w:p w:rsidR="00374723" w:rsidRDefault="00374723" w:rsidP="00374723">
      <w:pPr>
        <w:rPr>
          <w:lang w:val="en-US"/>
        </w:rPr>
      </w:pPr>
      <w:bookmarkStart w:id="7" w:name="_Toc348708573"/>
      <w:bookmarkStart w:id="8" w:name="_Toc351293171"/>
      <w:bookmarkStart w:id="9" w:name="_Toc351826168"/>
      <w:bookmarkStart w:id="10" w:name="_Toc351826252"/>
      <w:bookmarkStart w:id="11" w:name="_Toc351826493"/>
      <w:bookmarkStart w:id="12" w:name="_Toc358741751"/>
      <w:bookmarkStart w:id="13" w:name="_Toc358741900"/>
      <w:bookmarkStart w:id="14" w:name="_Toc363126454"/>
      <w:bookmarkStart w:id="15" w:name="_Toc363126535"/>
      <w:bookmarkStart w:id="16" w:name="_Toc363126706"/>
      <w:bookmarkStart w:id="17" w:name="_Toc363126794"/>
      <w:bookmarkEnd w:id="7"/>
      <w:bookmarkEnd w:id="8"/>
      <w:bookmarkEnd w:id="9"/>
      <w:bookmarkEnd w:id="10"/>
      <w:bookmarkEnd w:id="11"/>
      <w:bookmarkEnd w:id="12"/>
      <w:bookmarkEnd w:id="13"/>
      <w:bookmarkEnd w:id="14"/>
      <w:bookmarkEnd w:id="15"/>
      <w:bookmarkEnd w:id="16"/>
      <w:bookmarkEnd w:id="17"/>
      <w:r>
        <w:rPr>
          <w:lang w:val="en-US"/>
        </w:rPr>
        <w:t xml:space="preserve">This chapter introduces the main regulations and frameworks related to IT controls in financial reporting. It starts with an introduction of the internal control related regulations for U.S. based firms: the Sarbanes Oxley Act (SOX; Section 404) and the Statements on Auditing Standards. Providing background information on the internal control regulations is important, because the IT controls form just a part of the total internal control system for financial reporting. Next the relevant internal control and IT control frameworks are introduced and explained. Finally, this chapter provides the theoretical background on the explanatory variables industry differences and restructuring costs. </w:t>
      </w:r>
    </w:p>
    <w:p w:rsidR="00BC5115" w:rsidRPr="00BC5115" w:rsidRDefault="00BC5115" w:rsidP="00BC5115">
      <w:pPr>
        <w:pStyle w:val="ListParagraph"/>
        <w:numPr>
          <w:ilvl w:val="0"/>
          <w:numId w:val="12"/>
        </w:numPr>
        <w:outlineLvl w:val="1"/>
        <w:rPr>
          <w:b/>
          <w:vanish/>
          <w:sz w:val="24"/>
          <w:szCs w:val="24"/>
          <w:lang w:val="en-GB"/>
        </w:rPr>
      </w:pPr>
      <w:bookmarkStart w:id="18" w:name="_Toc363204338"/>
      <w:bookmarkStart w:id="19" w:name="_Toc363840755"/>
      <w:bookmarkEnd w:id="18"/>
      <w:bookmarkEnd w:id="19"/>
    </w:p>
    <w:p w:rsidR="00BC5115" w:rsidRPr="00BC5115" w:rsidRDefault="00BC5115" w:rsidP="00BC5115">
      <w:pPr>
        <w:pStyle w:val="ListParagraph"/>
        <w:numPr>
          <w:ilvl w:val="0"/>
          <w:numId w:val="12"/>
        </w:numPr>
        <w:outlineLvl w:val="1"/>
        <w:rPr>
          <w:b/>
          <w:vanish/>
          <w:sz w:val="24"/>
          <w:szCs w:val="24"/>
          <w:lang w:val="en-GB"/>
        </w:rPr>
      </w:pPr>
      <w:bookmarkStart w:id="20" w:name="_Toc348708574"/>
      <w:bookmarkStart w:id="21" w:name="_Toc351293172"/>
      <w:bookmarkStart w:id="22" w:name="_Toc351826169"/>
      <w:bookmarkStart w:id="23" w:name="_Toc351826253"/>
      <w:bookmarkStart w:id="24" w:name="_Toc351826494"/>
      <w:bookmarkStart w:id="25" w:name="_Toc358741752"/>
      <w:bookmarkStart w:id="26" w:name="_Toc358741901"/>
      <w:bookmarkStart w:id="27" w:name="_Toc363126455"/>
      <w:bookmarkStart w:id="28" w:name="_Toc363126536"/>
      <w:bookmarkStart w:id="29" w:name="_Toc363126707"/>
      <w:bookmarkStart w:id="30" w:name="_Toc363126795"/>
      <w:bookmarkStart w:id="31" w:name="_Toc363204339"/>
      <w:bookmarkStart w:id="32" w:name="_Toc363840756"/>
      <w:bookmarkEnd w:id="20"/>
      <w:bookmarkEnd w:id="21"/>
      <w:bookmarkEnd w:id="22"/>
      <w:bookmarkEnd w:id="23"/>
      <w:bookmarkEnd w:id="24"/>
      <w:bookmarkEnd w:id="25"/>
      <w:bookmarkEnd w:id="26"/>
      <w:bookmarkEnd w:id="27"/>
      <w:bookmarkEnd w:id="28"/>
      <w:bookmarkEnd w:id="29"/>
      <w:bookmarkEnd w:id="30"/>
      <w:bookmarkEnd w:id="31"/>
      <w:bookmarkEnd w:id="32"/>
    </w:p>
    <w:p w:rsidR="009B4648" w:rsidRDefault="00E80B96" w:rsidP="00BC5115">
      <w:pPr>
        <w:pStyle w:val="Heading2"/>
        <w:numPr>
          <w:ilvl w:val="1"/>
          <w:numId w:val="12"/>
        </w:numPr>
      </w:pPr>
      <w:bookmarkStart w:id="33" w:name="_Toc363840757"/>
      <w:r>
        <w:t>SOX Section</w:t>
      </w:r>
      <w:r w:rsidR="00FF749F">
        <w:t xml:space="preserve"> </w:t>
      </w:r>
      <w:r w:rsidR="00773BA0">
        <w:t>404</w:t>
      </w:r>
      <w:bookmarkEnd w:id="33"/>
    </w:p>
    <w:p w:rsidR="00374723" w:rsidRDefault="00374723" w:rsidP="00374723">
      <w:pPr>
        <w:spacing w:after="0"/>
        <w:rPr>
          <w:lang w:val="en-US"/>
        </w:rPr>
      </w:pPr>
      <w:r>
        <w:rPr>
          <w:lang w:val="en-US"/>
        </w:rPr>
        <w:t>After several major accounting scandals in the U.S.A. the U.S. government decided to implement additional regulations for public companies and auditors. This resulted in SOX, entering into force as of 2002 (</w:t>
      </w:r>
      <w:r w:rsidRPr="0076784B">
        <w:rPr>
          <w:rFonts w:cstheme="minorHAnsi"/>
          <w:lang w:val="en-US"/>
        </w:rPr>
        <w:t>P</w:t>
      </w:r>
      <w:r>
        <w:rPr>
          <w:rFonts w:cstheme="minorHAnsi"/>
          <w:lang w:val="en-US"/>
        </w:rPr>
        <w:t xml:space="preserve">ublic Law </w:t>
      </w:r>
      <w:r w:rsidRPr="0076784B">
        <w:rPr>
          <w:rFonts w:cstheme="minorHAnsi"/>
          <w:lang w:val="en-US"/>
        </w:rPr>
        <w:t>107–204</w:t>
      </w:r>
      <w:r>
        <w:rPr>
          <w:rFonts w:cstheme="minorHAnsi"/>
          <w:lang w:val="en-US"/>
        </w:rPr>
        <w:t>/SOX section 1</w:t>
      </w:r>
      <w:r>
        <w:rPr>
          <w:lang w:val="en-US"/>
        </w:rPr>
        <w:t xml:space="preserve">, </w:t>
      </w:r>
      <w:r w:rsidRPr="0076784B">
        <w:rPr>
          <w:rFonts w:cstheme="minorHAnsi"/>
          <w:lang w:val="en-US"/>
        </w:rPr>
        <w:t>2002</w:t>
      </w:r>
      <w:r>
        <w:rPr>
          <w:rFonts w:cstheme="minorHAnsi"/>
          <w:lang w:val="en-US"/>
        </w:rPr>
        <w:t xml:space="preserve">). </w:t>
      </w:r>
      <w:r>
        <w:rPr>
          <w:lang w:val="en-US"/>
        </w:rPr>
        <w:t>One of the more important sections of SOX is Section 404 (</w:t>
      </w:r>
      <w:r w:rsidRPr="0076784B">
        <w:rPr>
          <w:rFonts w:cstheme="minorHAnsi"/>
          <w:lang w:val="en-US"/>
        </w:rPr>
        <w:t>P</w:t>
      </w:r>
      <w:r>
        <w:rPr>
          <w:rFonts w:cstheme="minorHAnsi"/>
          <w:lang w:val="en-US"/>
        </w:rPr>
        <w:t xml:space="preserve">ublic Law </w:t>
      </w:r>
      <w:r w:rsidRPr="0076784B">
        <w:rPr>
          <w:rFonts w:cstheme="minorHAnsi"/>
          <w:lang w:val="en-US"/>
        </w:rPr>
        <w:t>107–204</w:t>
      </w:r>
      <w:r>
        <w:rPr>
          <w:rFonts w:cstheme="minorHAnsi"/>
          <w:lang w:val="en-US"/>
        </w:rPr>
        <w:t>/SOX section 404</w:t>
      </w:r>
      <w:r>
        <w:rPr>
          <w:lang w:val="en-US"/>
        </w:rPr>
        <w:t xml:space="preserve">, </w:t>
      </w:r>
      <w:r w:rsidRPr="0076784B">
        <w:rPr>
          <w:rFonts w:cstheme="minorHAnsi"/>
          <w:lang w:val="en-US"/>
        </w:rPr>
        <w:t>2002</w:t>
      </w:r>
      <w:r>
        <w:rPr>
          <w:rFonts w:cstheme="minorHAnsi"/>
          <w:lang w:val="en-US"/>
        </w:rPr>
        <w:t>)</w:t>
      </w:r>
      <w:r>
        <w:rPr>
          <w:lang w:val="en-US"/>
        </w:rPr>
        <w:t>, which requires companies to disclose the effectiveness of their internal controls for financial reporting. Section 404 is related to Section 302 (</w:t>
      </w:r>
      <w:r w:rsidRPr="0076784B">
        <w:rPr>
          <w:rFonts w:cstheme="minorHAnsi"/>
          <w:lang w:val="en-US"/>
        </w:rPr>
        <w:t>P</w:t>
      </w:r>
      <w:r>
        <w:rPr>
          <w:rFonts w:cstheme="minorHAnsi"/>
          <w:lang w:val="en-US"/>
        </w:rPr>
        <w:t xml:space="preserve">ublic Law </w:t>
      </w:r>
      <w:r w:rsidRPr="0076784B">
        <w:rPr>
          <w:rFonts w:cstheme="minorHAnsi"/>
          <w:lang w:val="en-US"/>
        </w:rPr>
        <w:t>107–204</w:t>
      </w:r>
      <w:r>
        <w:rPr>
          <w:rFonts w:cstheme="minorHAnsi"/>
          <w:lang w:val="en-US"/>
        </w:rPr>
        <w:t>/SOX section 302</w:t>
      </w:r>
      <w:r>
        <w:rPr>
          <w:lang w:val="en-US"/>
        </w:rPr>
        <w:t xml:space="preserve">, </w:t>
      </w:r>
      <w:r w:rsidRPr="0076784B">
        <w:rPr>
          <w:rFonts w:cstheme="minorHAnsi"/>
          <w:lang w:val="en-US"/>
        </w:rPr>
        <w:t>2002</w:t>
      </w:r>
      <w:r>
        <w:rPr>
          <w:rFonts w:cstheme="minorHAnsi"/>
          <w:lang w:val="en-US"/>
        </w:rPr>
        <w:t>)</w:t>
      </w:r>
      <w:r>
        <w:rPr>
          <w:lang w:val="en-US"/>
        </w:rPr>
        <w:t xml:space="preserve"> which requires management to disclose reports about the internal controls and to certify these reports. The difference is that Section 404 is for ‘accelerated filers’ (the larger companies), has more requirements and is effective as of 2004, </w:t>
      </w:r>
      <w:r w:rsidRPr="00585D91">
        <w:rPr>
          <w:lang w:val="en-US"/>
        </w:rPr>
        <w:t>while Section 302 entered into force in 2002 and concerns all filers at the Securities Exchange Committee (SEC) (</w:t>
      </w:r>
      <w:r w:rsidR="002F625E" w:rsidRPr="00585D91">
        <w:rPr>
          <w:lang w:val="en-US"/>
        </w:rPr>
        <w:t>SEC</w:t>
      </w:r>
      <w:r w:rsidR="00487FD6" w:rsidRPr="00585D91">
        <w:rPr>
          <w:lang w:val="en-US"/>
        </w:rPr>
        <w:t>, 2003</w:t>
      </w:r>
      <w:r w:rsidRPr="00585D91">
        <w:rPr>
          <w:lang w:val="en-US"/>
        </w:rPr>
        <w:t>). In accordance with Section 404 management has the responsibility to provide a report that contains: 1) A responsibility statement of management which says that management must implement and maintain internal controls for financial reporting (design), and 2) An assessment of the internal control effectiveness regarding the structure and procedures (effectiveness) (</w:t>
      </w:r>
      <w:r w:rsidR="002F625E" w:rsidRPr="00585D91">
        <w:rPr>
          <w:lang w:val="en-US"/>
        </w:rPr>
        <w:t>SEC</w:t>
      </w:r>
      <w:r w:rsidR="00487FD6" w:rsidRPr="00585D91">
        <w:rPr>
          <w:lang w:val="en-US"/>
        </w:rPr>
        <w:t>, 2003</w:t>
      </w:r>
      <w:r w:rsidRPr="00585D91">
        <w:rPr>
          <w:lang w:val="en-US"/>
        </w:rPr>
        <w:t>).</w:t>
      </w:r>
      <w:r>
        <w:rPr>
          <w:lang w:val="en-US"/>
        </w:rPr>
        <w:t xml:space="preserve"> </w:t>
      </w:r>
    </w:p>
    <w:p w:rsidR="00374723" w:rsidRDefault="00374723" w:rsidP="00374723">
      <w:pPr>
        <w:spacing w:after="0"/>
        <w:rPr>
          <w:lang w:val="en-US"/>
        </w:rPr>
      </w:pPr>
    </w:p>
    <w:p w:rsidR="0020380C" w:rsidRDefault="00374723" w:rsidP="00374723">
      <w:pPr>
        <w:rPr>
          <w:lang w:val="en-US"/>
        </w:rPr>
      </w:pPr>
      <w:r w:rsidRPr="003F7092">
        <w:rPr>
          <w:lang w:val="en-US"/>
        </w:rPr>
        <w:t xml:space="preserve">Not only </w:t>
      </w:r>
      <w:r>
        <w:rPr>
          <w:lang w:val="en-US"/>
        </w:rPr>
        <w:t>management has a responsibility, but also the auditor should review the internal control system of the company as stated in SOX section 103 (</w:t>
      </w:r>
      <w:r w:rsidRPr="0076784B">
        <w:rPr>
          <w:rFonts w:cstheme="minorHAnsi"/>
          <w:lang w:val="en-US"/>
        </w:rPr>
        <w:t>P</w:t>
      </w:r>
      <w:r>
        <w:rPr>
          <w:rFonts w:cstheme="minorHAnsi"/>
          <w:lang w:val="en-US"/>
        </w:rPr>
        <w:t xml:space="preserve">ublic Law </w:t>
      </w:r>
      <w:r w:rsidRPr="0076784B">
        <w:rPr>
          <w:rFonts w:cstheme="minorHAnsi"/>
          <w:lang w:val="en-US"/>
        </w:rPr>
        <w:t>107–204</w:t>
      </w:r>
      <w:r>
        <w:rPr>
          <w:rFonts w:cstheme="minorHAnsi"/>
          <w:lang w:val="en-US"/>
        </w:rPr>
        <w:t>/SOX section 103 a.2.iii</w:t>
      </w:r>
      <w:r>
        <w:rPr>
          <w:lang w:val="en-US"/>
        </w:rPr>
        <w:t xml:space="preserve">, </w:t>
      </w:r>
      <w:r w:rsidRPr="0076784B">
        <w:rPr>
          <w:rFonts w:cstheme="minorHAnsi"/>
          <w:lang w:val="en-US"/>
        </w:rPr>
        <w:t>2002</w:t>
      </w:r>
      <w:r>
        <w:rPr>
          <w:rFonts w:cstheme="minorHAnsi"/>
          <w:lang w:val="en-US"/>
        </w:rPr>
        <w:t>)</w:t>
      </w:r>
      <w:r>
        <w:rPr>
          <w:lang w:val="en-US"/>
        </w:rPr>
        <w:t>. This SOX section 103 is important to make sure the audit quality is sufficient and stimulate</w:t>
      </w:r>
      <w:r w:rsidR="00553440">
        <w:rPr>
          <w:lang w:val="en-US"/>
        </w:rPr>
        <w:t>s</w:t>
      </w:r>
      <w:r>
        <w:rPr>
          <w:lang w:val="en-US"/>
        </w:rPr>
        <w:t xml:space="preserve"> the auditors to look more closely to the effectiveness of internal controls. To further improve the audit quality and independence the SOX act also introduced the Public Company Accounting Oversight Board (PCAOB) (</w:t>
      </w:r>
      <w:r w:rsidRPr="0076784B">
        <w:rPr>
          <w:rFonts w:cstheme="minorHAnsi"/>
          <w:lang w:val="en-US"/>
        </w:rPr>
        <w:t>P</w:t>
      </w:r>
      <w:r>
        <w:rPr>
          <w:rFonts w:cstheme="minorHAnsi"/>
          <w:lang w:val="en-US"/>
        </w:rPr>
        <w:t xml:space="preserve">ublic Law </w:t>
      </w:r>
      <w:r w:rsidRPr="0076784B">
        <w:rPr>
          <w:rFonts w:cstheme="minorHAnsi"/>
          <w:lang w:val="en-US"/>
        </w:rPr>
        <w:t>107–204</w:t>
      </w:r>
      <w:r>
        <w:rPr>
          <w:rFonts w:cstheme="minorHAnsi"/>
          <w:lang w:val="en-US"/>
        </w:rPr>
        <w:t>/SOX section 101</w:t>
      </w:r>
      <w:r>
        <w:rPr>
          <w:lang w:val="en-US"/>
        </w:rPr>
        <w:t xml:space="preserve">, </w:t>
      </w:r>
      <w:r w:rsidRPr="0076784B">
        <w:rPr>
          <w:rFonts w:cstheme="minorHAnsi"/>
          <w:lang w:val="en-US"/>
        </w:rPr>
        <w:t>2002</w:t>
      </w:r>
      <w:r>
        <w:rPr>
          <w:rFonts w:cstheme="minorHAnsi"/>
          <w:lang w:val="en-US"/>
        </w:rPr>
        <w:t>). The PCAOB has the task to oversee the public auditors to see if the auditor’s reports are independent and are of sufficient quality. PCAOB also ha</w:t>
      </w:r>
      <w:r w:rsidR="00553440">
        <w:rPr>
          <w:rFonts w:cstheme="minorHAnsi"/>
          <w:lang w:val="en-US"/>
        </w:rPr>
        <w:t>s</w:t>
      </w:r>
      <w:r>
        <w:rPr>
          <w:rFonts w:cstheme="minorHAnsi"/>
          <w:lang w:val="en-US"/>
        </w:rPr>
        <w:t xml:space="preserve"> the task to make rules and regulations to ensure the audit quality is up to standard and in accordance with SOX section 103. </w:t>
      </w:r>
      <w:r>
        <w:rPr>
          <w:lang w:val="en-US"/>
        </w:rPr>
        <w:t xml:space="preserve">This mandatory task of the auditor </w:t>
      </w:r>
      <w:r w:rsidR="00553440">
        <w:rPr>
          <w:lang w:val="en-US"/>
        </w:rPr>
        <w:t xml:space="preserve">is </w:t>
      </w:r>
      <w:r>
        <w:rPr>
          <w:lang w:val="en-US"/>
        </w:rPr>
        <w:t>further regulated and standardized by the Auditing Standards Board (ASB) which is a part of the American Institute of Certified Public Accountants (AICPA).</w:t>
      </w:r>
      <w:r w:rsidR="00344016">
        <w:rPr>
          <w:rStyle w:val="FootnoteReference"/>
          <w:lang w:val="en-US"/>
        </w:rPr>
        <w:footnoteReference w:id="1"/>
      </w:r>
      <w:r>
        <w:rPr>
          <w:lang w:val="en-US"/>
        </w:rPr>
        <w:t xml:space="preserve"> Long before the implementation of SOX section 404 the ASB had already issued several ‘Statements on Auditing Standards’ (SAS) related to the review of internal controls, namely SAS No.1, which requires the auditor to evaluate the internal controls and was implemented by AICPA in 1973 </w:t>
      </w:r>
      <w:r>
        <w:rPr>
          <w:lang w:val="en-GB"/>
        </w:rPr>
        <w:t>(Arens et al., 2012).</w:t>
      </w:r>
      <w:r>
        <w:rPr>
          <w:lang w:val="en-US"/>
        </w:rPr>
        <w:t xml:space="preserve"> Since SAS No. 1 several new </w:t>
      </w:r>
      <w:r>
        <w:rPr>
          <w:lang w:val="en-US"/>
        </w:rPr>
        <w:lastRenderedPageBreak/>
        <w:t xml:space="preserve">standards have been introduced concerning internal controls quality and also more specific standards on the effect of IT on internal controls (SAS No. 94) </w:t>
      </w:r>
      <w:r w:rsidRPr="009F1508">
        <w:rPr>
          <w:lang w:val="en-US"/>
        </w:rPr>
        <w:t>(Yang and Guan, 2004). Th</w:t>
      </w:r>
      <w:r>
        <w:rPr>
          <w:lang w:val="en-US"/>
        </w:rPr>
        <w:t>e regulations related to IT controls are discussed in paragraph 2.3 concerning the IT control framework. Although the requirement for the auditor to review the internal controls is older than the SOX regulation for management, Section 404 of SOX did change the responsibility of the auditor. Section 404 requires the auditor to issue an opinion about the effectiveness of the internal controls on financial reporting, which is called an in-control statement. This opinion is published in an audit report and is mandatory for the larger companies.</w:t>
      </w:r>
      <w:r w:rsidR="00E91F82">
        <w:rPr>
          <w:lang w:val="en-US"/>
        </w:rPr>
        <w:t xml:space="preserve"> </w:t>
      </w:r>
    </w:p>
    <w:p w:rsidR="00FC3028" w:rsidRDefault="001E3445" w:rsidP="00BC5115">
      <w:pPr>
        <w:pStyle w:val="Heading2"/>
      </w:pPr>
      <w:bookmarkStart w:id="34" w:name="_Toc363840758"/>
      <w:r>
        <w:t>Framework to determine</w:t>
      </w:r>
      <w:r w:rsidR="00773BA0">
        <w:t xml:space="preserve"> </w:t>
      </w:r>
      <w:r w:rsidR="00BA4E1E">
        <w:t xml:space="preserve">the </w:t>
      </w:r>
      <w:r w:rsidR="00773BA0">
        <w:t xml:space="preserve">quality </w:t>
      </w:r>
      <w:r w:rsidR="00BA4E1E">
        <w:t>of i</w:t>
      </w:r>
      <w:r w:rsidR="00FC3028">
        <w:t>nternal</w:t>
      </w:r>
      <w:r w:rsidR="00773BA0">
        <w:t xml:space="preserve"> </w:t>
      </w:r>
      <w:r w:rsidR="00BA4E1E">
        <w:t>c</w:t>
      </w:r>
      <w:r w:rsidR="00773BA0">
        <w:t>ontrols</w:t>
      </w:r>
      <w:r>
        <w:t xml:space="preserve"> (COSO)</w:t>
      </w:r>
      <w:bookmarkEnd w:id="34"/>
    </w:p>
    <w:p w:rsidR="00374723" w:rsidRDefault="00374723" w:rsidP="00374723">
      <w:pPr>
        <w:rPr>
          <w:lang w:val="en-GB"/>
        </w:rPr>
      </w:pPr>
      <w:r>
        <w:rPr>
          <w:lang w:val="en-GB"/>
        </w:rPr>
        <w:t xml:space="preserve">In order to assess the quality of internal controls, most companies use frameworks to look at the design and the effectiveness of the internal controls. The most frequently used framework to determine the quality of internal controls in the United States is the COSO framework. COSO defines internal controls as processes with the purpose to give reasonable assurance for the following objectives: 1) Effectiveness/efficiency of the operations, 2) Reliable financial reports and 3) Compliance with regulations and </w:t>
      </w:r>
      <w:r w:rsidRPr="009F1508">
        <w:rPr>
          <w:lang w:val="en-GB"/>
        </w:rPr>
        <w:t>laws (</w:t>
      </w:r>
      <w:r>
        <w:rPr>
          <w:lang w:val="en-GB"/>
        </w:rPr>
        <w:t>COSO, Executive Summary, 2th paragraph, 1992)</w:t>
      </w:r>
      <w:r w:rsidRPr="009F1508">
        <w:rPr>
          <w:lang w:val="en-GB"/>
        </w:rPr>
        <w:t>. To</w:t>
      </w:r>
      <w:r>
        <w:rPr>
          <w:lang w:val="en-GB"/>
        </w:rPr>
        <w:t xml:space="preserve"> achieve these objectives the framework consists of five components which cover different areas where controls need to be in place. These components are:  1) Control Environment, 2) Risk Assessment, 3) Control Activities, 4) Information and Communication, and 5) Monitoring </w:t>
      </w:r>
      <w:r w:rsidRPr="00585D91">
        <w:rPr>
          <w:lang w:val="en-GB"/>
        </w:rPr>
        <w:t>(</w:t>
      </w:r>
      <w:r w:rsidR="00487FD6" w:rsidRPr="00585D91">
        <w:rPr>
          <w:lang w:val="en-GB"/>
        </w:rPr>
        <w:t>COSO, 1992</w:t>
      </w:r>
      <w:r w:rsidR="00344016" w:rsidRPr="00585D91">
        <w:rPr>
          <w:lang w:val="en-GB"/>
        </w:rPr>
        <w:t xml:space="preserve"> (3-7th paragraph)</w:t>
      </w:r>
      <w:r w:rsidRPr="00585D91">
        <w:rPr>
          <w:lang w:val="en-GB"/>
        </w:rPr>
        <w:t>).</w:t>
      </w:r>
    </w:p>
    <w:p w:rsidR="00374723" w:rsidRDefault="00374723" w:rsidP="00374723">
      <w:pPr>
        <w:rPr>
          <w:lang w:val="en-GB"/>
        </w:rPr>
      </w:pPr>
      <w:r>
        <w:rPr>
          <w:lang w:val="en-GB"/>
        </w:rPr>
        <w:t xml:space="preserve">For each of these components there are several controls to guarantee the proper operation of the internal control system. Regulations like SOX (Section 404) and SAS No. 1 only require that financial reporting internal controls are working properly, causing auditors to focus mainly on internal controls that prevent material misstatements in the financial reports </w:t>
      </w:r>
      <w:r w:rsidRPr="00E20388">
        <w:rPr>
          <w:lang w:val="en-GB"/>
        </w:rPr>
        <w:t>(Yang and Guan, 2004)</w:t>
      </w:r>
      <w:r>
        <w:rPr>
          <w:lang w:val="en-GB"/>
        </w:rPr>
        <w:t xml:space="preserve">. </w:t>
      </w:r>
      <w:r>
        <w:rPr>
          <w:lang w:val="en-GB"/>
        </w:rPr>
        <w:br/>
        <w:t>The first component of COSO is the control environment; this component focuses on the structure and policies of management to implement,</w:t>
      </w:r>
      <w:r w:rsidR="00E80B96">
        <w:rPr>
          <w:lang w:val="en-GB"/>
        </w:rPr>
        <w:t xml:space="preserve"> </w:t>
      </w:r>
      <w:r>
        <w:rPr>
          <w:lang w:val="en-GB"/>
        </w:rPr>
        <w:t>maintain and communicate the internal controls to the employees. The second component is a risk assessment, considering threats to the financial reporting</w:t>
      </w:r>
      <w:r w:rsidRPr="00265764">
        <w:rPr>
          <w:lang w:val="en-GB"/>
        </w:rPr>
        <w:t xml:space="preserve"> </w:t>
      </w:r>
      <w:r>
        <w:rPr>
          <w:lang w:val="en-GB"/>
        </w:rPr>
        <w:t xml:space="preserve">operations. Control activities are also a component of the framework, reviewing procedures intended to make sure that objectives are met (for example separation of duties and authorizations). The fourth component is information and communication, looking at the methods used to process and record transactions. The last component is monitoring to see whether the controls stay effective at a certain level. When controls appear to fail, there should be a proper </w:t>
      </w:r>
      <w:r w:rsidRPr="0006085D">
        <w:rPr>
          <w:lang w:val="en-GB"/>
        </w:rPr>
        <w:t>response (</w:t>
      </w:r>
      <w:r w:rsidR="00487FD6" w:rsidRPr="0006085D">
        <w:rPr>
          <w:lang w:val="en-GB"/>
        </w:rPr>
        <w:t>COSO, 1992</w:t>
      </w:r>
      <w:r w:rsidR="00344016" w:rsidRPr="0006085D">
        <w:rPr>
          <w:lang w:val="en-GB"/>
        </w:rPr>
        <w:t xml:space="preserve"> (3-7th paragraph)</w:t>
      </w:r>
      <w:r w:rsidRPr="0006085D">
        <w:rPr>
          <w:lang w:val="en-GB"/>
        </w:rPr>
        <w:t>).</w:t>
      </w:r>
      <w:r>
        <w:rPr>
          <w:lang w:val="en-GB"/>
        </w:rPr>
        <w:t xml:space="preserve"> </w:t>
      </w:r>
    </w:p>
    <w:p w:rsidR="00374723" w:rsidRDefault="00374723" w:rsidP="00374723">
      <w:pPr>
        <w:rPr>
          <w:lang w:val="en-GB"/>
        </w:rPr>
      </w:pPr>
      <w:r>
        <w:rPr>
          <w:lang w:val="en-GB"/>
        </w:rPr>
        <w:t xml:space="preserve">Since the original internal control framework was introduced in 1992 the COSO Commission decided to develop an updated internal control framework which is released in May 2013 </w:t>
      </w:r>
      <w:r w:rsidRPr="0006085D">
        <w:rPr>
          <w:lang w:val="en-GB"/>
        </w:rPr>
        <w:t>(</w:t>
      </w:r>
      <w:r w:rsidR="00487FD6" w:rsidRPr="0006085D">
        <w:rPr>
          <w:lang w:val="en-GB"/>
        </w:rPr>
        <w:t>COSO, 2013)</w:t>
      </w:r>
      <w:r w:rsidRPr="0006085D">
        <w:rPr>
          <w:lang w:val="en-GB"/>
        </w:rPr>
        <w:t>.</w:t>
      </w:r>
      <w:r>
        <w:rPr>
          <w:lang w:val="en-GB"/>
        </w:rPr>
        <w:t xml:space="preserve">  Although this improved framework </w:t>
      </w:r>
      <w:r w:rsidR="0026037E">
        <w:rPr>
          <w:lang w:val="en-GB"/>
        </w:rPr>
        <w:t>is not</w:t>
      </w:r>
      <w:r>
        <w:rPr>
          <w:lang w:val="en-GB"/>
        </w:rPr>
        <w:t xml:space="preserve"> used by the firms in the sample of this study, it is still important to see in which areas the COSO framework is adjusted to see the possible weaknesses in the original framework. The reasons for the update is that the business environment has changed dramatically, because of globalisation, more shared services, changed standards, more information technology in operations and higher standards on governance quality (COSO executive summary, 2013). The new framework still has the same five components of internal controls as mentioned above, but these components in the new framework are further specified with additional principles. These additional principles make sure that the organization not only focuses on the external financial </w:t>
      </w:r>
      <w:r>
        <w:rPr>
          <w:lang w:val="en-GB"/>
        </w:rPr>
        <w:lastRenderedPageBreak/>
        <w:t xml:space="preserve">reporting internal controls, but also on the overall reporting operations within the firm. Within the principles the new framework also adds points of focus that can help management properly implement the controls </w:t>
      </w:r>
      <w:r w:rsidRPr="0006085D">
        <w:rPr>
          <w:lang w:val="en-GB"/>
        </w:rPr>
        <w:t>(</w:t>
      </w:r>
      <w:r w:rsidR="00487FD6" w:rsidRPr="0006085D">
        <w:rPr>
          <w:lang w:val="en-GB"/>
        </w:rPr>
        <w:t>COSO, 2013</w:t>
      </w:r>
      <w:r w:rsidRPr="0006085D">
        <w:rPr>
          <w:lang w:val="en-GB"/>
        </w:rPr>
        <w:t>).</w:t>
      </w:r>
    </w:p>
    <w:p w:rsidR="00E20388" w:rsidRPr="00FC3028" w:rsidRDefault="00374723" w:rsidP="00374723">
      <w:pPr>
        <w:rPr>
          <w:lang w:val="en-GB"/>
        </w:rPr>
      </w:pPr>
      <w:r>
        <w:rPr>
          <w:lang w:val="en-GB"/>
        </w:rPr>
        <w:t>When the auditor has assessed and tested the quality of the internal controls, SOX Section 404 requires that all material weaknesses in the internal control affecting the financial reporting should be published in the auditor’s report. Following the definition of the COSO framework, a material weakness in internal control exist</w:t>
      </w:r>
      <w:r w:rsidR="00040395">
        <w:rPr>
          <w:lang w:val="en-GB"/>
        </w:rPr>
        <w:t>s</w:t>
      </w:r>
      <w:r>
        <w:rPr>
          <w:lang w:val="en-GB"/>
        </w:rPr>
        <w:t xml:space="preserve"> when the weakness ’severely reduces the likelihood’ of the firm achieving their objectives </w:t>
      </w:r>
      <w:r w:rsidRPr="0006085D">
        <w:rPr>
          <w:lang w:val="en-GB"/>
        </w:rPr>
        <w:t>(</w:t>
      </w:r>
      <w:r w:rsidR="00487FD6" w:rsidRPr="0006085D">
        <w:rPr>
          <w:lang w:val="en-GB"/>
        </w:rPr>
        <w:t>COSO, 2013</w:t>
      </w:r>
      <w:r w:rsidRPr="0006085D">
        <w:rPr>
          <w:lang w:val="en-GB"/>
        </w:rPr>
        <w:t>). This</w:t>
      </w:r>
      <w:r>
        <w:rPr>
          <w:lang w:val="en-GB"/>
        </w:rPr>
        <w:t xml:space="preserve"> means that weaknesses in the internal controls that do not affect the financial reporting and objectives are (usually) not communicated (Doyle et al., 2007). When no material weaknesses are identified, the auditor issues an unqualified opinion. An adverse opinion is issued when the auditor finds one or multiple material weaknesses in the controls. A qualified/ disclaimer opinion is possible when the auditor has not been able to test the controls (properly). This may occur when the auditor is unable to assess the materiality of a weakness or when the company does not provide sufficient information (Arens et al., 2012).</w:t>
      </w:r>
    </w:p>
    <w:p w:rsidR="00E05DE1" w:rsidRPr="00BC5115" w:rsidRDefault="00C35DD3" w:rsidP="00BC5115">
      <w:pPr>
        <w:pStyle w:val="Heading2"/>
      </w:pPr>
      <w:r w:rsidRPr="00BC5115">
        <w:tab/>
      </w:r>
      <w:bookmarkStart w:id="35" w:name="_Toc363840759"/>
      <w:r w:rsidR="00FC3028">
        <w:t xml:space="preserve">Framework to determine </w:t>
      </w:r>
      <w:r w:rsidR="00BA4E1E">
        <w:t xml:space="preserve">the </w:t>
      </w:r>
      <w:r w:rsidR="00FC3028">
        <w:t xml:space="preserve">quality </w:t>
      </w:r>
      <w:r w:rsidR="00BA4E1E">
        <w:t xml:space="preserve">of </w:t>
      </w:r>
      <w:r w:rsidR="00FC3028">
        <w:t>IT controls (COBIT)</w:t>
      </w:r>
      <w:bookmarkEnd w:id="35"/>
    </w:p>
    <w:p w:rsidR="00374723" w:rsidRDefault="00374723" w:rsidP="00374723">
      <w:pPr>
        <w:autoSpaceDE w:val="0"/>
        <w:autoSpaceDN w:val="0"/>
        <w:adjustRightInd w:val="0"/>
        <w:spacing w:after="0"/>
        <w:rPr>
          <w:rFonts w:cs="AdvTimes"/>
          <w:lang w:val="en-US"/>
        </w:rPr>
      </w:pPr>
      <w:r>
        <w:rPr>
          <w:rFonts w:cs="AdvTimes"/>
          <w:lang w:val="en-US"/>
        </w:rPr>
        <w:t>The COSO framework provides a broad standard to determine the quality of internal controls, but when it comes to determining the quality of IT-related internal controls companies need to rely on more specific frameworks. Because this research study focuses on the</w:t>
      </w:r>
      <w:r w:rsidR="000B3301">
        <w:rPr>
          <w:rFonts w:cs="AdvTimes"/>
          <w:lang w:val="en-US"/>
        </w:rPr>
        <w:t xml:space="preserve"> material IT control weaknesses</w:t>
      </w:r>
      <w:r>
        <w:rPr>
          <w:rFonts w:cs="AdvTimes"/>
          <w:lang w:val="en-US"/>
        </w:rPr>
        <w:t xml:space="preserve"> it is also important to know which framework is used to determine what a material weakness is in an IT environment.  Since 2003 the audit standard SAS no. 1 paragraph 2.3 from AICPA demand that general IT controls need to be reviewed when the internal controls are being audited. The audit standards do not make explicit which controls need to be in place, so companies need to make an assessment to which extent information technology is important to their internal control systems. The assessment needs to contain information on how the IT controls are integrated in the COSO framework and information whether the IT controls are functioning correctly </w:t>
      </w:r>
      <w:r w:rsidRPr="00434256">
        <w:rPr>
          <w:rFonts w:cs="AdvTimes"/>
          <w:lang w:val="en-US"/>
        </w:rPr>
        <w:t>(Demianides, 2004).</w:t>
      </w:r>
      <w:r>
        <w:rPr>
          <w:rFonts w:cs="AdvTimes"/>
          <w:lang w:val="en-US"/>
        </w:rPr>
        <w:t xml:space="preserve"> The dominant IT governance framework used to assess IT controls in the U.S.A. is COBIT (Control Objectives for Information and Related Technology). This framework contains IT control objectives related to financial reporting, compliance and operational areas and is developed by the Information System Audit and Control Association (ISACA). COBIT is partly based on COSO, but has only four main domains, which are: 1) Planning and organization, 2) Acquisitions and implementations, 3) Delivery and support of IT services and 4) Monitoring and evaluation </w:t>
      </w:r>
      <w:r w:rsidRPr="0006085D">
        <w:rPr>
          <w:rFonts w:cs="AdvTimes"/>
          <w:lang w:val="en-US"/>
        </w:rPr>
        <w:t>(</w:t>
      </w:r>
      <w:r w:rsidR="00487FD6" w:rsidRPr="0006085D">
        <w:rPr>
          <w:rFonts w:cs="AdvTimes"/>
          <w:lang w:val="en-US"/>
        </w:rPr>
        <w:t>ISACA</w:t>
      </w:r>
      <w:r w:rsidR="00344016" w:rsidRPr="0006085D">
        <w:rPr>
          <w:rFonts w:cs="AdvTimes"/>
          <w:lang w:val="en-US"/>
        </w:rPr>
        <w:t>,</w:t>
      </w:r>
      <w:r w:rsidR="00487FD6" w:rsidRPr="0006085D">
        <w:rPr>
          <w:rFonts w:cs="AdvTimes"/>
          <w:lang w:val="en-US"/>
        </w:rPr>
        <w:t xml:space="preserve"> 2007</w:t>
      </w:r>
      <w:r w:rsidRPr="0006085D">
        <w:rPr>
          <w:rFonts w:cs="AdvTimes"/>
          <w:lang w:val="en-US"/>
        </w:rPr>
        <w:t>). The</w:t>
      </w:r>
      <w:r>
        <w:rPr>
          <w:rFonts w:cs="AdvTimes"/>
          <w:lang w:val="en-US"/>
        </w:rPr>
        <w:t xml:space="preserve"> control objectives formulated by COBIT have been adjusted and expanded over time and continue to be changed due to new developments and insights. In this chapter the two latest versions of the framework will be discussed, namely COBIT 4.1 and COBIT 5.0 (2012). </w:t>
      </w:r>
    </w:p>
    <w:p w:rsidR="00374723" w:rsidRDefault="00374723" w:rsidP="00374723">
      <w:pPr>
        <w:autoSpaceDE w:val="0"/>
        <w:autoSpaceDN w:val="0"/>
        <w:adjustRightInd w:val="0"/>
        <w:spacing w:after="0"/>
        <w:rPr>
          <w:rFonts w:cs="AdvTimes"/>
          <w:lang w:val="en-US"/>
        </w:rPr>
      </w:pPr>
    </w:p>
    <w:p w:rsidR="00374723" w:rsidRDefault="00374723" w:rsidP="00374723">
      <w:pPr>
        <w:autoSpaceDE w:val="0"/>
        <w:autoSpaceDN w:val="0"/>
        <w:adjustRightInd w:val="0"/>
        <w:spacing w:after="0"/>
        <w:rPr>
          <w:rFonts w:cs="AdvTimes"/>
          <w:lang w:val="en-US"/>
        </w:rPr>
      </w:pPr>
      <w:r>
        <w:rPr>
          <w:rFonts w:cs="AdvTimes"/>
          <w:lang w:val="en-US"/>
        </w:rPr>
        <w:t xml:space="preserve">COBIT 4.1 was introduced in 2007 and is currently used in many organizations </w:t>
      </w:r>
      <w:r w:rsidRPr="001261A3">
        <w:rPr>
          <w:rFonts w:cs="AdvTimes"/>
          <w:lang w:val="en-US"/>
        </w:rPr>
        <w:t>(Oliver and Lainhart, 2012).</w:t>
      </w:r>
      <w:r>
        <w:rPr>
          <w:rFonts w:cs="AdvTimes"/>
          <w:lang w:val="en-US"/>
        </w:rPr>
        <w:t xml:space="preserve"> This framework contains four domains (as mentioned above) which consist of 34 high-level processes where IT controls need to be applied. The method is process oriented to make sure that all critical processes are managed by IT controls.  The target users for this framework are not only auditors, but also managers involved in managing IT resources. Therefore COBIT also focuses on linking the business requirements to the IT resources. So the main principle is that IT resources are controlled by IT processes so that the IT objectives are achieved to respond to the business requirements. These business requirements include 7 requirements for the IT function: effectiveness, </w:t>
      </w:r>
      <w:r>
        <w:rPr>
          <w:rFonts w:cs="AdvTimes"/>
          <w:lang w:val="en-US"/>
        </w:rPr>
        <w:lastRenderedPageBreak/>
        <w:t>efficiency, confidentiality, integrity, availability, compliance and reliability. The IT resources are the applications, information, infrastructure and the people interacting with IT</w:t>
      </w:r>
      <w:r w:rsidRPr="00DF680E">
        <w:rPr>
          <w:rFonts w:cs="AdvTimes"/>
          <w:lang w:val="en-US"/>
        </w:rPr>
        <w:t xml:space="preserve"> (</w:t>
      </w:r>
      <w:r w:rsidR="00487FD6" w:rsidRPr="0006085D">
        <w:rPr>
          <w:rFonts w:cs="AdvTimes"/>
          <w:lang w:val="en-US"/>
        </w:rPr>
        <w:t>ISACA</w:t>
      </w:r>
      <w:r w:rsidR="00344016" w:rsidRPr="0006085D">
        <w:rPr>
          <w:rFonts w:cs="AdvTimes"/>
          <w:lang w:val="en-US"/>
        </w:rPr>
        <w:t>,</w:t>
      </w:r>
      <w:r w:rsidR="00487FD6" w:rsidRPr="0006085D">
        <w:rPr>
          <w:rFonts w:cs="AdvTimes"/>
          <w:lang w:val="en-US"/>
        </w:rPr>
        <w:t xml:space="preserve"> 2007</w:t>
      </w:r>
      <w:r w:rsidRPr="0006085D">
        <w:rPr>
          <w:rFonts w:cs="AdvTimes"/>
          <w:lang w:val="en-US"/>
        </w:rPr>
        <w:t>).</w:t>
      </w:r>
    </w:p>
    <w:p w:rsidR="00374723" w:rsidRDefault="00374723" w:rsidP="00374723">
      <w:pPr>
        <w:autoSpaceDE w:val="0"/>
        <w:autoSpaceDN w:val="0"/>
        <w:adjustRightInd w:val="0"/>
        <w:spacing w:after="0"/>
        <w:rPr>
          <w:rFonts w:cs="AdvTimes"/>
          <w:lang w:val="en-US"/>
        </w:rPr>
      </w:pPr>
    </w:p>
    <w:p w:rsidR="00374723" w:rsidRDefault="00374723" w:rsidP="00374723">
      <w:pPr>
        <w:autoSpaceDE w:val="0"/>
        <w:autoSpaceDN w:val="0"/>
        <w:adjustRightInd w:val="0"/>
        <w:spacing w:after="0"/>
        <w:rPr>
          <w:rFonts w:cs="AdvTimes"/>
          <w:lang w:val="en-US"/>
        </w:rPr>
      </w:pPr>
      <w:r>
        <w:rPr>
          <w:rFonts w:cs="AdvTimes"/>
          <w:lang w:val="en-US"/>
        </w:rPr>
        <w:t xml:space="preserve">When an organization uses the COBIT 4.1 framework to assess the quality of IT controls, it follows the four main domains of COBIT. For each domain COBIT specifies what control objectives need to be achieved. The high level IT control objectives are shown in table 1 from </w:t>
      </w:r>
      <w:r w:rsidRPr="00415415">
        <w:rPr>
          <w:rFonts w:cs="AdvTimes"/>
          <w:lang w:val="en-US"/>
        </w:rPr>
        <w:t>Mead et al.</w:t>
      </w:r>
      <w:r>
        <w:rPr>
          <w:rFonts w:cs="AdvTimes"/>
          <w:lang w:val="en-US"/>
        </w:rPr>
        <w:t xml:space="preserve"> (</w:t>
      </w:r>
      <w:r w:rsidRPr="00415415">
        <w:rPr>
          <w:rFonts w:cs="AdvTimes"/>
          <w:lang w:val="en-US"/>
        </w:rPr>
        <w:t>2007</w:t>
      </w:r>
      <w:r>
        <w:rPr>
          <w:rFonts w:cs="AdvTimes"/>
          <w:lang w:val="en-US"/>
        </w:rPr>
        <w:t>)</w:t>
      </w:r>
      <w:r w:rsidRPr="00415415">
        <w:rPr>
          <w:rFonts w:cs="AdvTimes"/>
          <w:lang w:val="en-US"/>
        </w:rPr>
        <w:t>.</w:t>
      </w:r>
      <w:r>
        <w:rPr>
          <w:rFonts w:cs="AdvTimes"/>
          <w:lang w:val="en-US"/>
        </w:rPr>
        <w:t xml:space="preserve"> </w:t>
      </w:r>
    </w:p>
    <w:p w:rsidR="00374723" w:rsidRDefault="00374723" w:rsidP="00374723">
      <w:pPr>
        <w:autoSpaceDE w:val="0"/>
        <w:autoSpaceDN w:val="0"/>
        <w:adjustRightInd w:val="0"/>
        <w:spacing w:after="0"/>
        <w:rPr>
          <w:rFonts w:cs="AdvTimes"/>
          <w:lang w:val="en-US"/>
        </w:rPr>
      </w:pPr>
      <w:r>
        <w:rPr>
          <w:rFonts w:cs="AdvTimes"/>
          <w:lang w:val="en-US"/>
        </w:rPr>
        <w:t>The first domain in the table is the Planning and Organization, some examples of the IT controls related to planning and organization are: defining an IT plan, define the information architecture and also defining and managing the different IT functions. For the second COBIT domain Delivery and Support it is important that the organization manages the service desk, problems, data, operations and performance of the IT service organization, but also the education of users need to be in place. The third domain focuses on a proper Acquisition and Implementation of new IT systems in the organization, by implementing controls like change management, identification of new solutions and acquiring and maintaining new software and IT infrastructure. The last and fourth domain is Monitoring. For this objective the firms must monitor and evaluate IT processes and internal controls and make sure they comply with regulations. (Mead et al., 2007).</w:t>
      </w:r>
    </w:p>
    <w:p w:rsidR="00DC4E76" w:rsidRDefault="00DC4E76" w:rsidP="005956F7">
      <w:pPr>
        <w:autoSpaceDE w:val="0"/>
        <w:autoSpaceDN w:val="0"/>
        <w:adjustRightInd w:val="0"/>
        <w:spacing w:after="0"/>
        <w:rPr>
          <w:rFonts w:cs="AdvTimes"/>
          <w:lang w:val="en-US"/>
        </w:rPr>
      </w:pPr>
    </w:p>
    <w:tbl>
      <w:tblPr>
        <w:tblStyle w:val="TableGrid"/>
        <w:tblW w:w="0" w:type="auto"/>
        <w:tblLook w:val="04A0"/>
      </w:tblPr>
      <w:tblGrid>
        <w:gridCol w:w="9212"/>
      </w:tblGrid>
      <w:tr w:rsidR="00EC2BEC" w:rsidRPr="002D4197" w:rsidTr="005131D0">
        <w:tc>
          <w:tcPr>
            <w:tcW w:w="9212" w:type="dxa"/>
          </w:tcPr>
          <w:p w:rsidR="00EC2BEC" w:rsidRPr="00EC2BEC" w:rsidRDefault="00EC2BEC" w:rsidP="00EC2BEC">
            <w:pPr>
              <w:autoSpaceDE w:val="0"/>
              <w:autoSpaceDN w:val="0"/>
              <w:adjustRightInd w:val="0"/>
              <w:rPr>
                <w:rFonts w:cs="AdvTimes"/>
                <w:b/>
                <w:i/>
                <w:noProof/>
                <w:lang w:val="en-US"/>
              </w:rPr>
            </w:pPr>
            <w:r w:rsidRPr="00EC2BEC">
              <w:rPr>
                <w:rFonts w:cs="AdvTimes"/>
                <w:b/>
                <w:i/>
                <w:lang w:val="en-US"/>
              </w:rPr>
              <w:t>Table 1: The main high level control objectives of COBIT 4.1 (Mead et al.,2007, p.33)</w:t>
            </w:r>
          </w:p>
        </w:tc>
      </w:tr>
      <w:tr w:rsidR="005131D0" w:rsidTr="005131D0">
        <w:tc>
          <w:tcPr>
            <w:tcW w:w="9212" w:type="dxa"/>
          </w:tcPr>
          <w:p w:rsidR="005131D0" w:rsidRDefault="005131D0" w:rsidP="00376E37">
            <w:pPr>
              <w:autoSpaceDE w:val="0"/>
              <w:autoSpaceDN w:val="0"/>
              <w:adjustRightInd w:val="0"/>
              <w:jc w:val="center"/>
              <w:rPr>
                <w:rFonts w:cs="AdvTimes"/>
                <w:lang w:val="en-US"/>
              </w:rPr>
            </w:pPr>
            <w:r>
              <w:rPr>
                <w:rFonts w:cs="AdvTimes"/>
                <w:noProof/>
                <w:lang w:val="en-US" w:eastAsia="en-US"/>
              </w:rPr>
              <w:drawing>
                <wp:inline distT="0" distB="0" distL="0" distR="0">
                  <wp:extent cx="4762500" cy="35909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8172" cy="3610282"/>
                          </a:xfrm>
                          <a:prstGeom prst="rect">
                            <a:avLst/>
                          </a:prstGeom>
                          <a:noFill/>
                          <a:ln>
                            <a:noFill/>
                          </a:ln>
                        </pic:spPr>
                      </pic:pic>
                    </a:graphicData>
                  </a:graphic>
                </wp:inline>
              </w:drawing>
            </w:r>
          </w:p>
        </w:tc>
      </w:tr>
    </w:tbl>
    <w:p w:rsidR="005131D0" w:rsidRDefault="005131D0" w:rsidP="005956F7">
      <w:pPr>
        <w:autoSpaceDE w:val="0"/>
        <w:autoSpaceDN w:val="0"/>
        <w:adjustRightInd w:val="0"/>
        <w:spacing w:after="0"/>
        <w:rPr>
          <w:rFonts w:cs="AdvTimes"/>
          <w:lang w:val="en-US"/>
        </w:rPr>
      </w:pPr>
    </w:p>
    <w:p w:rsidR="00374723" w:rsidRDefault="00374723" w:rsidP="00374723">
      <w:pPr>
        <w:autoSpaceDE w:val="0"/>
        <w:autoSpaceDN w:val="0"/>
        <w:adjustRightInd w:val="0"/>
        <w:spacing w:after="0"/>
        <w:rPr>
          <w:rFonts w:cs="AdvTimes"/>
          <w:lang w:val="en-US"/>
        </w:rPr>
      </w:pPr>
      <w:r>
        <w:rPr>
          <w:rFonts w:cs="AdvTimes"/>
          <w:lang w:val="en-US"/>
        </w:rPr>
        <w:t xml:space="preserve">Since the introduction of COBIT 4.1 there have been many developments in the area of IT governance and the framework does not provide guidance for these new areas. New developments include the widespread use of enterprise information systems and increased sourcing of IT functions. Also COBIT 4.1 does not provide adequate objectives for innovations and new technology processes within a company, where different business objectives are important, like attracting new customers and development of new products. Other developments are that businesses want more structures and policies to get </w:t>
      </w:r>
      <w:r w:rsidR="00E80B96">
        <w:rPr>
          <w:rFonts w:cs="AdvTimes"/>
          <w:lang w:val="en-US"/>
        </w:rPr>
        <w:t>better</w:t>
      </w:r>
      <w:r>
        <w:rPr>
          <w:rFonts w:cs="AdvTimes"/>
          <w:lang w:val="en-US"/>
        </w:rPr>
        <w:t xml:space="preserve"> IT governance. Management also needs a framework on how to cope with user initiated and managed IT </w:t>
      </w:r>
      <w:r w:rsidRPr="0088497C">
        <w:rPr>
          <w:rFonts w:cs="AdvTimes"/>
          <w:lang w:val="en-US"/>
        </w:rPr>
        <w:t>systems (Oliver and Lainhart, 2012).</w:t>
      </w:r>
      <w:r>
        <w:rPr>
          <w:rFonts w:cs="AdvTimes"/>
          <w:lang w:val="en-US"/>
        </w:rPr>
        <w:t xml:space="preserve"> COBIT 5.0 wants to improve on these areas and includes more processes and IT controls to be more comprehensive. The new framework was introduced in 2012 and currently not many organizations have implemented it. However, it is still important to consider COBIT 5.0, because the new framework has some significant adjustments. </w:t>
      </w:r>
    </w:p>
    <w:p w:rsidR="00374723" w:rsidRPr="00CD405D" w:rsidRDefault="00374723" w:rsidP="00374723">
      <w:pPr>
        <w:autoSpaceDE w:val="0"/>
        <w:autoSpaceDN w:val="0"/>
        <w:adjustRightInd w:val="0"/>
        <w:spacing w:after="0"/>
        <w:rPr>
          <w:rFonts w:cs="AdvTimes"/>
          <w:lang w:val="en-US"/>
        </w:rPr>
      </w:pPr>
    </w:p>
    <w:p w:rsidR="00374723" w:rsidRDefault="00374723" w:rsidP="00374723">
      <w:pPr>
        <w:autoSpaceDE w:val="0"/>
        <w:autoSpaceDN w:val="0"/>
        <w:adjustRightInd w:val="0"/>
        <w:spacing w:after="0"/>
        <w:rPr>
          <w:rFonts w:cs="AdvTimes"/>
          <w:lang w:val="en-US"/>
        </w:rPr>
      </w:pPr>
      <w:r>
        <w:rPr>
          <w:rFonts w:cs="AdvTimes"/>
          <w:lang w:val="en-US"/>
        </w:rPr>
        <w:t xml:space="preserve">One of the major differences between 4.1 and 5.0 is that the new framework focuses on five principles. These principles are: 1) Meeting stakeholder demands, 2) To cover end to end business, 3) Having one single integrated framework, 4) A Holistic approach and 5) Separating governance from </w:t>
      </w:r>
      <w:r w:rsidRPr="0006085D">
        <w:rPr>
          <w:rFonts w:cs="AdvTimes"/>
          <w:lang w:val="en-US"/>
        </w:rPr>
        <w:t>management (</w:t>
      </w:r>
      <w:r w:rsidR="00487FD6" w:rsidRPr="0006085D">
        <w:rPr>
          <w:rFonts w:cs="AdvTimes"/>
          <w:lang w:val="en-US"/>
        </w:rPr>
        <w:t>ISACA</w:t>
      </w:r>
      <w:r w:rsidR="00344016" w:rsidRPr="0006085D">
        <w:rPr>
          <w:rFonts w:cs="AdvTimes"/>
          <w:lang w:val="en-US"/>
        </w:rPr>
        <w:t>,</w:t>
      </w:r>
      <w:r w:rsidR="00487FD6" w:rsidRPr="0006085D">
        <w:rPr>
          <w:rFonts w:cs="AdvTimes"/>
          <w:lang w:val="en-US"/>
        </w:rPr>
        <w:t xml:space="preserve"> 2012</w:t>
      </w:r>
      <w:r w:rsidRPr="0006085D">
        <w:rPr>
          <w:rFonts w:cs="AdvTimes"/>
          <w:lang w:val="en-US"/>
        </w:rPr>
        <w:t>).</w:t>
      </w:r>
    </w:p>
    <w:p w:rsidR="00374723" w:rsidRDefault="00374723" w:rsidP="00374723">
      <w:pPr>
        <w:autoSpaceDE w:val="0"/>
        <w:autoSpaceDN w:val="0"/>
        <w:adjustRightInd w:val="0"/>
        <w:spacing w:after="0"/>
        <w:rPr>
          <w:rFonts w:cs="AdvTimes"/>
          <w:lang w:val="en-US"/>
        </w:rPr>
      </w:pPr>
    </w:p>
    <w:p w:rsidR="00374723" w:rsidRDefault="00374723" w:rsidP="00374723">
      <w:pPr>
        <w:autoSpaceDE w:val="0"/>
        <w:autoSpaceDN w:val="0"/>
        <w:adjustRightInd w:val="0"/>
        <w:spacing w:after="0"/>
        <w:rPr>
          <w:rFonts w:cs="AdvTimes"/>
          <w:lang w:val="en-US"/>
        </w:rPr>
      </w:pPr>
      <w:r>
        <w:rPr>
          <w:rFonts w:cs="AdvTimes"/>
          <w:lang w:val="en-US"/>
        </w:rPr>
        <w:t>There are also new processes included that integrate the IT value delivery (Val IT) and IT risk (Risk IT); frameworks that cover area’s like: security, innovation, relationship and organizational changes. These additions to the processes are introduced to align COBIT with the ISO 38500 governance standard (Taylor and Francis, 2012). Besides the changes in the processes, also the objectives and the measurements have changed. In COBIT 5.0 there is still a focus on the link between business objectives and IT resources. However, it provides guidelines at enterprise and management levels and not on a lower process level</w:t>
      </w:r>
      <w:r w:rsidRPr="00AB7732">
        <w:rPr>
          <w:rFonts w:cs="AdvTimes"/>
          <w:lang w:val="en-US"/>
        </w:rPr>
        <w:t xml:space="preserve"> </w:t>
      </w:r>
      <w:r>
        <w:rPr>
          <w:rFonts w:cs="AdvTimes"/>
          <w:lang w:val="en-US"/>
        </w:rPr>
        <w:t>like COBIT 4.1</w:t>
      </w:r>
      <w:r w:rsidRPr="00914F30">
        <w:rPr>
          <w:lang w:val="en-US"/>
        </w:rPr>
        <w:t xml:space="preserve"> </w:t>
      </w:r>
      <w:r w:rsidRPr="0006085D">
        <w:rPr>
          <w:rFonts w:cs="AdvTimes"/>
          <w:lang w:val="en-US"/>
        </w:rPr>
        <w:t>(</w:t>
      </w:r>
      <w:r w:rsidR="00487FD6" w:rsidRPr="0006085D">
        <w:rPr>
          <w:rFonts w:cs="AdvTimes"/>
          <w:lang w:val="en-US"/>
        </w:rPr>
        <w:t>ISACA</w:t>
      </w:r>
      <w:r w:rsidR="00344016" w:rsidRPr="0006085D">
        <w:rPr>
          <w:rFonts w:cs="AdvTimes"/>
          <w:lang w:val="en-US"/>
        </w:rPr>
        <w:t>,</w:t>
      </w:r>
      <w:r w:rsidR="00487FD6" w:rsidRPr="0006085D">
        <w:rPr>
          <w:rFonts w:cs="AdvTimes"/>
          <w:lang w:val="en-US"/>
        </w:rPr>
        <w:t xml:space="preserve"> 2012</w:t>
      </w:r>
      <w:r w:rsidRPr="0006085D">
        <w:rPr>
          <w:rFonts w:cs="AdvTimes"/>
          <w:lang w:val="en-US"/>
        </w:rPr>
        <w:t>).</w:t>
      </w:r>
    </w:p>
    <w:p w:rsidR="00374723" w:rsidRDefault="00374723" w:rsidP="00374723">
      <w:pPr>
        <w:autoSpaceDE w:val="0"/>
        <w:autoSpaceDN w:val="0"/>
        <w:adjustRightInd w:val="0"/>
        <w:spacing w:after="0"/>
        <w:rPr>
          <w:rFonts w:cs="AdvTimes"/>
          <w:lang w:val="en-US"/>
        </w:rPr>
      </w:pPr>
    </w:p>
    <w:p w:rsidR="00914F30" w:rsidRDefault="00374723" w:rsidP="00541CC0">
      <w:pPr>
        <w:autoSpaceDE w:val="0"/>
        <w:autoSpaceDN w:val="0"/>
        <w:adjustRightInd w:val="0"/>
        <w:rPr>
          <w:rFonts w:cs="AdvTimes"/>
          <w:lang w:val="en-US"/>
        </w:rPr>
      </w:pPr>
      <w:r>
        <w:rPr>
          <w:rFonts w:cs="AdvTimes"/>
          <w:lang w:val="en-US"/>
        </w:rPr>
        <w:t>Since the introduction of the new COBIT framework in 2012, not much information has become available about the ‘real world improvements’ of COBIT 5.0 over COBIT 4.1. Anyway the adjustments in the framework make it clear that the developments in IT continue and that guidelines become more extensive over time. This has also an effect on the disclosure of IT control weaknesses, because the implementation of a new framework by management or auditors may result in more disclosed weaknesses than before. Therefore in this research study the empirical results are controlled for the introduction of the new frameworks and standards related to IT controls</w:t>
      </w:r>
      <w:r w:rsidR="0088004F">
        <w:rPr>
          <w:rFonts w:cs="AdvTimes"/>
          <w:lang w:val="en-US"/>
        </w:rPr>
        <w:t xml:space="preserve">. </w:t>
      </w:r>
    </w:p>
    <w:p w:rsidR="009C5D2C" w:rsidRPr="00BC5115" w:rsidRDefault="000A6050" w:rsidP="00BC5115">
      <w:pPr>
        <w:pStyle w:val="Heading2"/>
      </w:pPr>
      <w:r>
        <w:rPr>
          <w:rFonts w:cs="AdvTimes"/>
          <w:lang w:val="en-US"/>
        </w:rPr>
        <w:tab/>
      </w:r>
      <w:bookmarkStart w:id="36" w:name="_Toc363840760"/>
      <w:r w:rsidR="00353985">
        <w:rPr>
          <w:rFonts w:cs="AdvTimes"/>
          <w:lang w:val="en-US"/>
        </w:rPr>
        <w:t xml:space="preserve">Background </w:t>
      </w:r>
      <w:r w:rsidR="00B37B50">
        <w:rPr>
          <w:rFonts w:cs="AdvTimes"/>
          <w:lang w:val="en-US"/>
        </w:rPr>
        <w:t xml:space="preserve">on </w:t>
      </w:r>
      <w:r w:rsidR="00353985">
        <w:rPr>
          <w:rFonts w:cs="AdvTimes"/>
          <w:lang w:val="en-US"/>
        </w:rPr>
        <w:t xml:space="preserve">the </w:t>
      </w:r>
      <w:r w:rsidR="00353985">
        <w:rPr>
          <w:rStyle w:val="Heading2Char"/>
          <w:b/>
        </w:rPr>
        <w:t>explanatory</w:t>
      </w:r>
      <w:r w:rsidR="00773BA0">
        <w:rPr>
          <w:rStyle w:val="Heading2Char"/>
          <w:b/>
        </w:rPr>
        <w:t xml:space="preserve"> variables </w:t>
      </w:r>
      <w:r w:rsidR="00353985">
        <w:rPr>
          <w:rStyle w:val="Heading2Char"/>
          <w:b/>
        </w:rPr>
        <w:t>industry differences</w:t>
      </w:r>
      <w:bookmarkEnd w:id="36"/>
      <w:r w:rsidR="00353985">
        <w:rPr>
          <w:rStyle w:val="Heading2Char"/>
          <w:b/>
        </w:rPr>
        <w:t xml:space="preserve"> </w:t>
      </w:r>
    </w:p>
    <w:p w:rsidR="00374723" w:rsidRPr="00BB7069" w:rsidRDefault="00374723" w:rsidP="00374723">
      <w:pPr>
        <w:autoSpaceDE w:val="0"/>
        <w:autoSpaceDN w:val="0"/>
        <w:adjustRightInd w:val="0"/>
        <w:spacing w:after="0"/>
        <w:rPr>
          <w:rFonts w:cs="AdvTimes"/>
          <w:lang w:val="en-US"/>
        </w:rPr>
      </w:pPr>
      <w:r>
        <w:rPr>
          <w:rFonts w:cs="AdvTimes"/>
          <w:lang w:val="en-US"/>
        </w:rPr>
        <w:t xml:space="preserve">Besides providing a background on the regulations and frameworks of internal controls and IT </w:t>
      </w:r>
      <w:r w:rsidR="000B3301">
        <w:rPr>
          <w:rFonts w:cs="AdvTimes"/>
          <w:lang w:val="en-US"/>
        </w:rPr>
        <w:t>controls</w:t>
      </w:r>
      <w:r>
        <w:rPr>
          <w:rFonts w:cs="AdvTimes"/>
          <w:lang w:val="en-US"/>
        </w:rPr>
        <w:t xml:space="preserve">, it is also important to introduce the theories behind the explanatory variables industry differences and restructuring. The variable industry differences is discussed in this </w:t>
      </w:r>
      <w:r w:rsidR="00040395">
        <w:rPr>
          <w:rFonts w:cs="AdvTimes"/>
          <w:lang w:val="en-US"/>
        </w:rPr>
        <w:t>section</w:t>
      </w:r>
      <w:r>
        <w:rPr>
          <w:rFonts w:cs="AdvTimes"/>
          <w:lang w:val="en-US"/>
        </w:rPr>
        <w:t xml:space="preserve"> (2.4) and the variable restructuring is discussed in the next </w:t>
      </w:r>
      <w:r w:rsidR="00040395">
        <w:rPr>
          <w:rFonts w:cs="AdvTimes"/>
          <w:lang w:val="en-US"/>
        </w:rPr>
        <w:t xml:space="preserve">section </w:t>
      </w:r>
      <w:r>
        <w:rPr>
          <w:rFonts w:cs="AdvTimes"/>
          <w:lang w:val="en-US"/>
        </w:rPr>
        <w:t xml:space="preserve">(2.5). </w:t>
      </w:r>
    </w:p>
    <w:p w:rsidR="00374723" w:rsidRDefault="00374723" w:rsidP="00374723">
      <w:pPr>
        <w:autoSpaceDE w:val="0"/>
        <w:autoSpaceDN w:val="0"/>
        <w:adjustRightInd w:val="0"/>
        <w:spacing w:after="0"/>
        <w:rPr>
          <w:rFonts w:cs="AdvTimes"/>
          <w:i/>
          <w:lang w:val="en-US"/>
        </w:rPr>
      </w:pPr>
    </w:p>
    <w:p w:rsidR="00374723" w:rsidRDefault="00374723" w:rsidP="00374723">
      <w:pPr>
        <w:autoSpaceDE w:val="0"/>
        <w:autoSpaceDN w:val="0"/>
        <w:adjustRightInd w:val="0"/>
        <w:spacing w:after="0"/>
        <w:rPr>
          <w:rFonts w:cs="AdvTimes"/>
          <w:lang w:val="en-US"/>
        </w:rPr>
      </w:pPr>
      <w:r>
        <w:rPr>
          <w:rFonts w:cs="AdvTimes"/>
          <w:lang w:val="en-US"/>
        </w:rPr>
        <w:t>The theory behind the association between the type of industry and material internal control weaknesses is based on empirical studies (Bell and Carcello, 2000; Beasley et al., 2000; Giroud and Mueller, 2007) that show (the impact of) differences between industries. The rationale behind this finding is that industries with complex financial processes have a higher chance of a deficiency than for example a straight forward manufacturing company.</w:t>
      </w:r>
    </w:p>
    <w:p w:rsidR="00374723" w:rsidRDefault="00374723" w:rsidP="00374723">
      <w:pPr>
        <w:autoSpaceDE w:val="0"/>
        <w:autoSpaceDN w:val="0"/>
        <w:adjustRightInd w:val="0"/>
        <w:spacing w:after="0"/>
        <w:rPr>
          <w:rFonts w:cs="AdvTimes"/>
          <w:lang w:val="en-US"/>
        </w:rPr>
      </w:pPr>
    </w:p>
    <w:p w:rsidR="00374723" w:rsidRDefault="00374723" w:rsidP="00374723">
      <w:pPr>
        <w:autoSpaceDE w:val="0"/>
        <w:autoSpaceDN w:val="0"/>
        <w:adjustRightInd w:val="0"/>
        <w:spacing w:after="0"/>
        <w:rPr>
          <w:rFonts w:cs="AdvTimes"/>
          <w:lang w:val="en-US"/>
        </w:rPr>
      </w:pPr>
      <w:r w:rsidRPr="003E3F55">
        <w:rPr>
          <w:rFonts w:cs="AdvTimes"/>
          <w:lang w:val="en-US"/>
        </w:rPr>
        <w:t>Beasley et al. (2000) give</w:t>
      </w:r>
      <w:r>
        <w:rPr>
          <w:rFonts w:cs="AdvTimes"/>
          <w:lang w:val="en-US"/>
        </w:rPr>
        <w:t xml:space="preserve"> some more background on the industry differences, but then applied to the occurrence of financial reporting fraud. Beasley et al. (2000) give three indicators to prove that there are industry differences: </w:t>
      </w:r>
      <w:r>
        <w:rPr>
          <w:rFonts w:cs="AdvTimes"/>
          <w:lang w:val="en-US"/>
        </w:rPr>
        <w:br/>
        <w:t xml:space="preserve">1) The number of fraud cases related to the financial statements differ across the industries. Some industries, like technology, financial institutions and healthcare, account for 40 percent of all fraud </w:t>
      </w:r>
      <w:r w:rsidRPr="003E3F55">
        <w:rPr>
          <w:rFonts w:cs="AdvTimes"/>
          <w:lang w:val="en-US"/>
        </w:rPr>
        <w:t>reports (Carcello and Hermanson, 1999).</w:t>
      </w:r>
      <w:r>
        <w:rPr>
          <w:rFonts w:cs="AdvTimes"/>
          <w:lang w:val="en-US"/>
        </w:rPr>
        <w:t xml:space="preserve"> So these industries seem to have a higher concentration of fraud cases.  </w:t>
      </w:r>
      <w:r>
        <w:rPr>
          <w:rFonts w:cs="AdvTimes"/>
          <w:lang w:val="en-US"/>
        </w:rPr>
        <w:br/>
        <w:t xml:space="preserve">2) Also other empirical studies (Bell and Carcello, 2000; Beasley et al., 2000) indicate relatively more </w:t>
      </w:r>
      <w:r w:rsidRPr="00893200">
        <w:rPr>
          <w:rFonts w:cs="AdvTimes"/>
          <w:lang w:val="en-US"/>
        </w:rPr>
        <w:t>reporting fraud in</w:t>
      </w:r>
      <w:r w:rsidRPr="00893200">
        <w:rPr>
          <w:lang w:val="en-US"/>
        </w:rPr>
        <w:t xml:space="preserve"> technology, health care and financial services </w:t>
      </w:r>
      <w:r w:rsidRPr="00893200">
        <w:rPr>
          <w:rFonts w:cs="AdvTimes"/>
          <w:lang w:val="en-US"/>
        </w:rPr>
        <w:t>industries.</w:t>
      </w:r>
      <w:r>
        <w:rPr>
          <w:rFonts w:cs="AdvTimes"/>
          <w:lang w:val="en-US"/>
        </w:rPr>
        <w:br/>
        <w:t xml:space="preserve">3) There is also a trend that audit firms structure is focused on the type of industry indicating there are differences in industry specific (fraud) risks. </w:t>
      </w:r>
    </w:p>
    <w:p w:rsidR="00374723" w:rsidRDefault="00374723" w:rsidP="00374723">
      <w:pPr>
        <w:autoSpaceDE w:val="0"/>
        <w:autoSpaceDN w:val="0"/>
        <w:adjustRightInd w:val="0"/>
        <w:spacing w:after="0"/>
        <w:rPr>
          <w:rFonts w:cs="AdvTimes"/>
          <w:lang w:val="en-US"/>
        </w:rPr>
      </w:pPr>
      <w:r>
        <w:rPr>
          <w:rFonts w:cs="AdvTimes"/>
          <w:lang w:val="en-US"/>
        </w:rPr>
        <w:t>The theory behind industry differences has to do with specific fraud opportunities in certain individual industries. In t</w:t>
      </w:r>
      <w:r w:rsidRPr="00BB7069">
        <w:rPr>
          <w:lang w:val="en-US"/>
        </w:rPr>
        <w:t xml:space="preserve">echnology, </w:t>
      </w:r>
      <w:r>
        <w:rPr>
          <w:lang w:val="en-US"/>
        </w:rPr>
        <w:t>h</w:t>
      </w:r>
      <w:r w:rsidRPr="00BB7069">
        <w:rPr>
          <w:lang w:val="en-US"/>
        </w:rPr>
        <w:t xml:space="preserve">ealth </w:t>
      </w:r>
      <w:r>
        <w:rPr>
          <w:lang w:val="en-US"/>
        </w:rPr>
        <w:t>c</w:t>
      </w:r>
      <w:r w:rsidRPr="00BB7069">
        <w:rPr>
          <w:lang w:val="en-US"/>
        </w:rPr>
        <w:t xml:space="preserve">are and financial </w:t>
      </w:r>
      <w:r>
        <w:rPr>
          <w:lang w:val="en-US"/>
        </w:rPr>
        <w:t xml:space="preserve">services </w:t>
      </w:r>
      <w:r w:rsidRPr="00BB7069">
        <w:rPr>
          <w:rFonts w:cs="AdvTimes"/>
          <w:lang w:val="en-US"/>
        </w:rPr>
        <w:t>industries</w:t>
      </w:r>
      <w:r>
        <w:rPr>
          <w:rFonts w:cs="AdvTimes"/>
          <w:lang w:val="en-US"/>
        </w:rPr>
        <w:t xml:space="preserve"> there are relatively more opportunities to commit fraud and therefore these companies are more difficult to control. These fraud opportunities arise because in these industries there is often a more complex organizational structure and complex financial reporting. Based on the study of Beasley et al. (2000) it can be expected that in certain industries there will be a higher concentration of IT control weaknesses. This expectation is based on: 1) Some industries (</w:t>
      </w:r>
      <w:r w:rsidRPr="00BB7069">
        <w:rPr>
          <w:lang w:val="en-US"/>
        </w:rPr>
        <w:t xml:space="preserve">technology, </w:t>
      </w:r>
      <w:r>
        <w:rPr>
          <w:lang w:val="en-US"/>
        </w:rPr>
        <w:t>h</w:t>
      </w:r>
      <w:r w:rsidRPr="00BB7069">
        <w:rPr>
          <w:lang w:val="en-US"/>
        </w:rPr>
        <w:t xml:space="preserve">ealth </w:t>
      </w:r>
      <w:r>
        <w:rPr>
          <w:lang w:val="en-US"/>
        </w:rPr>
        <w:t>c</w:t>
      </w:r>
      <w:r w:rsidRPr="00BB7069">
        <w:rPr>
          <w:lang w:val="en-US"/>
        </w:rPr>
        <w:t xml:space="preserve">are and financial </w:t>
      </w:r>
      <w:r>
        <w:rPr>
          <w:lang w:val="en-US"/>
        </w:rPr>
        <w:t xml:space="preserve">services </w:t>
      </w:r>
      <w:r w:rsidRPr="00BB7069">
        <w:rPr>
          <w:rFonts w:cs="AdvTimes"/>
          <w:lang w:val="en-US"/>
        </w:rPr>
        <w:t>industries</w:t>
      </w:r>
      <w:r>
        <w:rPr>
          <w:rFonts w:cs="AdvTimes"/>
          <w:lang w:val="en-US"/>
        </w:rPr>
        <w:t>) have specific possibilities for weaknesses in financial reporting and 2) There are differences between industries concerning complexity of financial reporting and governance. The empirical results of Beasley et al. (2000) and the method used to measure the industry differences is discussed in chapter 5.</w:t>
      </w:r>
    </w:p>
    <w:p w:rsidR="00374723" w:rsidRDefault="00374723" w:rsidP="00374723">
      <w:pPr>
        <w:autoSpaceDE w:val="0"/>
        <w:autoSpaceDN w:val="0"/>
        <w:adjustRightInd w:val="0"/>
        <w:spacing w:after="0"/>
        <w:rPr>
          <w:rFonts w:cs="AdvTimes"/>
          <w:lang w:val="en-US"/>
        </w:rPr>
      </w:pPr>
    </w:p>
    <w:p w:rsidR="00D53601" w:rsidRDefault="00374723" w:rsidP="00541CC0">
      <w:pPr>
        <w:autoSpaceDE w:val="0"/>
        <w:autoSpaceDN w:val="0"/>
        <w:adjustRightInd w:val="0"/>
        <w:rPr>
          <w:rFonts w:cs="AdvTimes"/>
          <w:lang w:val="en-US"/>
        </w:rPr>
      </w:pPr>
      <w:r w:rsidRPr="00BF4BB4">
        <w:rPr>
          <w:rFonts w:cs="AdvTimes"/>
          <w:lang w:val="en-US"/>
        </w:rPr>
        <w:t xml:space="preserve">Giroud and Mueller (2007) </w:t>
      </w:r>
      <w:r>
        <w:rPr>
          <w:rFonts w:cs="AdvTimes"/>
          <w:lang w:val="en-US"/>
        </w:rPr>
        <w:t xml:space="preserve">indicate </w:t>
      </w:r>
      <w:r w:rsidRPr="00BF4BB4">
        <w:rPr>
          <w:rFonts w:cs="AdvTimes"/>
          <w:lang w:val="en-US"/>
        </w:rPr>
        <w:t xml:space="preserve">that differences in governance </w:t>
      </w:r>
      <w:r>
        <w:rPr>
          <w:rFonts w:cs="AdvTimes"/>
          <w:lang w:val="en-US"/>
        </w:rPr>
        <w:t xml:space="preserve">exist </w:t>
      </w:r>
      <w:r w:rsidRPr="00BF4BB4">
        <w:rPr>
          <w:rFonts w:cs="AdvTimes"/>
          <w:lang w:val="en-US"/>
        </w:rPr>
        <w:t>between competitive and non-competitive</w:t>
      </w:r>
      <w:r w:rsidRPr="00D53601">
        <w:rPr>
          <w:rFonts w:cs="AdvTimes"/>
          <w:lang w:val="en-US"/>
        </w:rPr>
        <w:t xml:space="preserve"> industries.</w:t>
      </w:r>
      <w:r>
        <w:rPr>
          <w:rFonts w:cs="AdvTimes"/>
          <w:lang w:val="en-US"/>
        </w:rPr>
        <w:t xml:space="preserve"> The reason to expect such differences is based on the opinion of economists like Friedman (1953) and Leibenstein</w:t>
      </w:r>
      <w:r w:rsidRPr="003758FB">
        <w:rPr>
          <w:rFonts w:cs="AdvTimes"/>
          <w:lang w:val="en-US"/>
        </w:rPr>
        <w:t xml:space="preserve"> (1966)</w:t>
      </w:r>
      <w:r>
        <w:rPr>
          <w:rFonts w:cs="AdvTimes"/>
          <w:lang w:val="en-US"/>
        </w:rPr>
        <w:t>, that a firm in a competitive industry has less management/budgetary slack than firms in non-competitive markets. The consideration is that the pressure of competitive markets makes sure that agency problems disappear, because the individual objectives of management (maxim</w:t>
      </w:r>
      <w:r w:rsidR="00040395">
        <w:rPr>
          <w:rFonts w:cs="AdvTimes"/>
          <w:lang w:val="en-US"/>
        </w:rPr>
        <w:t>ize</w:t>
      </w:r>
      <w:r>
        <w:rPr>
          <w:rFonts w:cs="AdvTimes"/>
          <w:lang w:val="en-US"/>
        </w:rPr>
        <w:t xml:space="preserve"> income) and the shareholder (maxim</w:t>
      </w:r>
      <w:r w:rsidR="00040395">
        <w:rPr>
          <w:rFonts w:cs="AdvTimes"/>
          <w:lang w:val="en-US"/>
        </w:rPr>
        <w:t>ize</w:t>
      </w:r>
      <w:r>
        <w:rPr>
          <w:rFonts w:cs="AdvTimes"/>
          <w:lang w:val="en-US"/>
        </w:rPr>
        <w:t xml:space="preserve"> dividend) are aligned in a competitive environment. The implication of this theory is that a difference between industries may exist in the occurrence of agency problems and managerial slack. These governance problems can also results in internal control weaknesses or more specific IT control weaknesses. The theory behind this is based on the Alchian-Friedman-Stigler Hypothesis (Stigler, 1958), which states that in a competitive industry there is no opportunity for managerial slack. In other words the operating performance is more efficient than for non-competitive industry companies. The empirical study of Giroud and Mueller (2007) indicates support for the </w:t>
      </w:r>
      <w:r w:rsidRPr="00A569B3">
        <w:rPr>
          <w:rFonts w:cs="AdvTimes"/>
          <w:lang w:val="en-US"/>
        </w:rPr>
        <w:t>Alchian-Friedman-Stigler Hypothesis</w:t>
      </w:r>
      <w:r>
        <w:rPr>
          <w:rFonts w:cs="AdvTimes"/>
          <w:lang w:val="en-US"/>
        </w:rPr>
        <w:t>, by establishing the absence of managerial slack and a constant operating performance in competitive industry firms. Companies in a non-competitive industry have more managerial slack opportunities and have weaker corporate governance. These results indicate that there is a difference between industries in the occurrence of weak corporate governance and management slack. Therefore it may be expected that in non-competitive industries IT control weaknesses will occur more often than in competitive industries, because in competitive industries there is no opportunity for a (persistent) corporate governance</w:t>
      </w:r>
      <w:r w:rsidRPr="003E6BDD">
        <w:rPr>
          <w:rFonts w:cs="AdvTimes"/>
          <w:lang w:val="en-US"/>
        </w:rPr>
        <w:t xml:space="preserve"> </w:t>
      </w:r>
      <w:r>
        <w:rPr>
          <w:rFonts w:cs="AdvTimes"/>
          <w:lang w:val="en-US"/>
        </w:rPr>
        <w:t>weaknesses.  The method and the results of the empirical study of Giroud and Mueller (2007) are discussed in chapter 5 where the proxies for industries differences are formulated</w:t>
      </w:r>
      <w:r w:rsidR="00062C5A">
        <w:rPr>
          <w:rFonts w:cs="AdvTimes"/>
          <w:lang w:val="en-US"/>
        </w:rPr>
        <w:t>.</w:t>
      </w:r>
    </w:p>
    <w:p w:rsidR="00BC2753" w:rsidRPr="00062C5A" w:rsidRDefault="00BC2753" w:rsidP="00062C5A">
      <w:pPr>
        <w:pStyle w:val="Heading2"/>
      </w:pPr>
      <w:bookmarkStart w:id="37" w:name="_Toc363840761"/>
      <w:r w:rsidRPr="00062C5A">
        <w:t>Background on Restructuring</w:t>
      </w:r>
      <w:bookmarkEnd w:id="37"/>
      <w:r w:rsidRPr="00062C5A">
        <w:t xml:space="preserve"> </w:t>
      </w:r>
    </w:p>
    <w:p w:rsidR="00374723" w:rsidRDefault="00374723" w:rsidP="00374723">
      <w:pPr>
        <w:autoSpaceDE w:val="0"/>
        <w:autoSpaceDN w:val="0"/>
        <w:adjustRightInd w:val="0"/>
        <w:spacing w:after="0"/>
        <w:rPr>
          <w:rFonts w:cs="AdvTimes"/>
          <w:lang w:val="en-US"/>
        </w:rPr>
      </w:pPr>
      <w:r>
        <w:rPr>
          <w:rFonts w:cs="AdvTimes"/>
          <w:lang w:val="en-US"/>
        </w:rPr>
        <w:t>Not only the association between the type of industry and IT control weaknesses is investigated in this study, but also another possible explanatory variable is taken into account, namely the restructuring of a company. There are several reasons why this relation between restructuring and control weaknesses may be found. Doyle et al. (2007) name the following reasons why firms</w:t>
      </w:r>
      <w:r w:rsidRPr="000110E3">
        <w:rPr>
          <w:rFonts w:cs="AdvTimes"/>
          <w:lang w:val="en-US"/>
        </w:rPr>
        <w:t xml:space="preserve"> that </w:t>
      </w:r>
      <w:r>
        <w:rPr>
          <w:rFonts w:cs="AdvTimes"/>
          <w:lang w:val="en-US"/>
        </w:rPr>
        <w:t xml:space="preserve">undergo </w:t>
      </w:r>
      <w:r w:rsidRPr="000110E3">
        <w:rPr>
          <w:rFonts w:cs="AdvTimes"/>
          <w:lang w:val="en-US"/>
        </w:rPr>
        <w:t>restructur</w:t>
      </w:r>
      <w:r>
        <w:rPr>
          <w:rFonts w:cs="AdvTimes"/>
          <w:lang w:val="en-US"/>
        </w:rPr>
        <w:t>ing</w:t>
      </w:r>
      <w:r w:rsidRPr="000110E3">
        <w:rPr>
          <w:rFonts w:cs="AdvTimes"/>
          <w:lang w:val="en-US"/>
        </w:rPr>
        <w:t xml:space="preserve"> have relatively more internal control weaknesses. </w:t>
      </w:r>
      <w:r>
        <w:rPr>
          <w:rFonts w:cs="AdvTimes"/>
          <w:lang w:val="en-US"/>
        </w:rPr>
        <w:t>The f</w:t>
      </w:r>
      <w:r w:rsidRPr="000110E3">
        <w:rPr>
          <w:rFonts w:cs="AdvTimes"/>
          <w:lang w:val="en-US"/>
        </w:rPr>
        <w:t xml:space="preserve">irst reason is that restructuring often </w:t>
      </w:r>
      <w:r>
        <w:rPr>
          <w:rFonts w:cs="AdvTimes"/>
          <w:lang w:val="en-US"/>
        </w:rPr>
        <w:t>results in downsized</w:t>
      </w:r>
      <w:r w:rsidRPr="000110E3">
        <w:rPr>
          <w:rFonts w:cs="AdvTimes"/>
          <w:lang w:val="en-US"/>
        </w:rPr>
        <w:t xml:space="preserve"> business units, </w:t>
      </w:r>
      <w:r>
        <w:rPr>
          <w:rFonts w:cs="AdvTimes"/>
          <w:lang w:val="en-US"/>
        </w:rPr>
        <w:t xml:space="preserve">the experience of fired workers is </w:t>
      </w:r>
      <w:r w:rsidRPr="000110E3">
        <w:rPr>
          <w:rFonts w:cs="AdvTimes"/>
          <w:lang w:val="en-US"/>
        </w:rPr>
        <w:t>los</w:t>
      </w:r>
      <w:r>
        <w:rPr>
          <w:rFonts w:cs="AdvTimes"/>
          <w:lang w:val="en-US"/>
        </w:rPr>
        <w:t>t</w:t>
      </w:r>
      <w:r w:rsidRPr="000110E3">
        <w:rPr>
          <w:rFonts w:cs="AdvTimes"/>
          <w:lang w:val="en-US"/>
        </w:rPr>
        <w:t xml:space="preserve"> in a situation of adjustment to a new structure. Also the internal control system must be restructured to complement the </w:t>
      </w:r>
      <w:r>
        <w:rPr>
          <w:rFonts w:cs="AdvTimes"/>
          <w:lang w:val="en-US"/>
        </w:rPr>
        <w:t xml:space="preserve">new </w:t>
      </w:r>
      <w:r w:rsidRPr="000110E3">
        <w:rPr>
          <w:rFonts w:cs="AdvTimes"/>
          <w:lang w:val="en-US"/>
        </w:rPr>
        <w:t>structure. The second reason for more material control weaknesses is that restructuring involves difficult accrual estimations and adjustments</w:t>
      </w:r>
      <w:r>
        <w:rPr>
          <w:rFonts w:cs="AdvTimes"/>
          <w:lang w:val="en-US"/>
        </w:rPr>
        <w:t>, because there is less staff</w:t>
      </w:r>
      <w:r w:rsidRPr="000110E3">
        <w:rPr>
          <w:rFonts w:cs="AdvTimes"/>
          <w:lang w:val="en-US"/>
        </w:rPr>
        <w:t xml:space="preserve"> and more estimation</w:t>
      </w:r>
      <w:r>
        <w:rPr>
          <w:rFonts w:cs="AdvTimes"/>
          <w:lang w:val="en-US"/>
        </w:rPr>
        <w:t xml:space="preserve">s may eventually </w:t>
      </w:r>
      <w:r w:rsidRPr="000110E3">
        <w:rPr>
          <w:rFonts w:cs="AdvTimes"/>
          <w:lang w:val="en-US"/>
        </w:rPr>
        <w:t xml:space="preserve">lead to more internal control </w:t>
      </w:r>
      <w:r>
        <w:rPr>
          <w:rFonts w:cs="AdvTimes"/>
          <w:lang w:val="en-US"/>
        </w:rPr>
        <w:t>problems</w:t>
      </w:r>
      <w:r w:rsidRPr="000110E3">
        <w:rPr>
          <w:rFonts w:cs="AdvTimes"/>
          <w:lang w:val="en-US"/>
        </w:rPr>
        <w:t xml:space="preserve">. </w:t>
      </w:r>
      <w:r>
        <w:rPr>
          <w:rFonts w:cs="AdvTimes"/>
          <w:lang w:val="en-US"/>
        </w:rPr>
        <w:t>So Doyle et al. (2007) has t</w:t>
      </w:r>
      <w:r w:rsidRPr="000110E3">
        <w:rPr>
          <w:rFonts w:cs="AdvTimes"/>
          <w:lang w:val="en-US"/>
        </w:rPr>
        <w:t>he theory that larger restructuring</w:t>
      </w:r>
      <w:r>
        <w:rPr>
          <w:rFonts w:cs="AdvTimes"/>
          <w:lang w:val="en-US"/>
        </w:rPr>
        <w:t>s</w:t>
      </w:r>
      <w:r w:rsidRPr="000110E3">
        <w:rPr>
          <w:rFonts w:cs="AdvTimes"/>
          <w:lang w:val="en-US"/>
        </w:rPr>
        <w:t xml:space="preserve"> in time or costs are likely to cause proportionally larger challenges for internal control system</w:t>
      </w:r>
      <w:r>
        <w:rPr>
          <w:rFonts w:cs="AdvTimes"/>
          <w:lang w:val="en-US"/>
        </w:rPr>
        <w:t>s.</w:t>
      </w:r>
    </w:p>
    <w:p w:rsidR="00374723" w:rsidRDefault="00374723" w:rsidP="00374723">
      <w:pPr>
        <w:autoSpaceDE w:val="0"/>
        <w:autoSpaceDN w:val="0"/>
        <w:adjustRightInd w:val="0"/>
        <w:spacing w:after="0"/>
        <w:rPr>
          <w:rFonts w:cs="AdvTimes"/>
          <w:lang w:val="en-US"/>
        </w:rPr>
      </w:pPr>
    </w:p>
    <w:p w:rsidR="00374723" w:rsidRDefault="00374723" w:rsidP="00374723">
      <w:pPr>
        <w:autoSpaceDE w:val="0"/>
        <w:autoSpaceDN w:val="0"/>
        <w:adjustRightInd w:val="0"/>
        <w:spacing w:after="0"/>
        <w:rPr>
          <w:rFonts w:cs="AdvTimes"/>
          <w:lang w:val="en-US"/>
        </w:rPr>
      </w:pPr>
      <w:r>
        <w:rPr>
          <w:rFonts w:cs="AdvTimes"/>
          <w:lang w:val="en-US"/>
        </w:rPr>
        <w:t xml:space="preserve">Another study that more specifically investigated the effects of restructuring is the research of </w:t>
      </w:r>
      <w:r w:rsidRPr="004A5CAA">
        <w:rPr>
          <w:rFonts w:cs="AdvTimes"/>
          <w:lang w:val="en-US"/>
        </w:rPr>
        <w:t>Chaney et al. (1999). This</w:t>
      </w:r>
      <w:r>
        <w:rPr>
          <w:rFonts w:cs="AdvTimes"/>
          <w:lang w:val="en-US"/>
        </w:rPr>
        <w:t xml:space="preserve"> study is based on the theory that restructuring charges are an indication for analysts that the performance of the firm declines in the short run due to the restructuring. The decrease in performance is caused by an increase in expenses for the current period, which endures in future periods.  The empirical results of Chaney et al. (1999) show that the performance after reporting the restructuring charges has decreased and no increase in profitability is observed within 3 to 5 years after the restructuring. This last result is surprising because the main goal of restructuring is usually an improvement in performance. </w:t>
      </w:r>
    </w:p>
    <w:p w:rsidR="00374723" w:rsidRDefault="00374723" w:rsidP="00374723">
      <w:pPr>
        <w:autoSpaceDE w:val="0"/>
        <w:autoSpaceDN w:val="0"/>
        <w:adjustRightInd w:val="0"/>
        <w:spacing w:after="0"/>
        <w:rPr>
          <w:rFonts w:cs="AdvTimes"/>
          <w:lang w:val="en-US"/>
        </w:rPr>
      </w:pPr>
    </w:p>
    <w:p w:rsidR="007627A6" w:rsidRDefault="00374723" w:rsidP="00541CC0">
      <w:pPr>
        <w:autoSpaceDE w:val="0"/>
        <w:autoSpaceDN w:val="0"/>
        <w:adjustRightInd w:val="0"/>
        <w:rPr>
          <w:rFonts w:cs="AdvTimes"/>
          <w:lang w:val="en-US"/>
        </w:rPr>
      </w:pPr>
      <w:r>
        <w:rPr>
          <w:rFonts w:cs="AdvTimes"/>
          <w:lang w:val="en-US"/>
        </w:rPr>
        <w:t>Both Doyle et al. (2007) and Chaney et al. (1999) indicate that restructuring can have an effect on the performance and the internal control weaknesses. Therefore it is interesting to see if there is empirical evidence for a relation between IT control weaknesses and the restructuring of a firm. Another reason to study this relation is that restructuring often results in a change in the IT structure. This change can also result in adjustment problems which in turn lead to IT control weaknesses</w:t>
      </w:r>
      <w:r w:rsidR="00623256">
        <w:rPr>
          <w:rFonts w:cs="AdvTimes"/>
          <w:lang w:val="en-US"/>
        </w:rPr>
        <w:t>.</w:t>
      </w:r>
    </w:p>
    <w:p w:rsidR="008B15F1" w:rsidRDefault="008B15F1" w:rsidP="008B15F1">
      <w:pPr>
        <w:pStyle w:val="Heading2"/>
      </w:pPr>
      <w:bookmarkStart w:id="38" w:name="_Toc363840762"/>
      <w:r>
        <w:t>Summary chapter 2</w:t>
      </w:r>
      <w:bookmarkEnd w:id="38"/>
      <w:r>
        <w:t xml:space="preserve"> </w:t>
      </w:r>
    </w:p>
    <w:p w:rsidR="00374723" w:rsidRDefault="00374723" w:rsidP="00374723">
      <w:pPr>
        <w:rPr>
          <w:lang w:val="en-GB"/>
        </w:rPr>
      </w:pPr>
      <w:r>
        <w:rPr>
          <w:lang w:val="en-GB"/>
        </w:rPr>
        <w:t>This chapter has introduced the institutional background and theories on which this research is based. First the Sarbanes Oxley act section 404 which is the main regulation in the U.S.A. in the field of internal control quality. It forms the basis for other frameworks that help companies to comply with the mandatory regulations of SOX. One of the main frameworks for determining internal control quality is the COSO framework introduced in 1992. With its five main components it provides standards that can be customised for each company. This flexibility is even more improved by the new 2013 COSO framework which is adjusted to the new business environment. Because this research study is about IT control quality, it is also important to know which specific framework is used to determine the IT quality. In the U.S.A. the main framework for IT controls is COBIT which is partly based on COSO, but has different domains. These domains and standards form a benchmark on which auditors can make a judgement whether functions and controls are present or not. Also COBIT has had a recent update with COBIT 5.0 (2012). This new framework integrates more areas, like IT value delivery and IT risk management, and has more focus on management level rather than operational levels.</w:t>
      </w:r>
    </w:p>
    <w:p w:rsidR="00BF595F" w:rsidRDefault="00374723" w:rsidP="00374723">
      <w:pPr>
        <w:rPr>
          <w:b/>
          <w:lang w:val="en-US"/>
        </w:rPr>
      </w:pPr>
      <w:r>
        <w:rPr>
          <w:lang w:val="en-GB"/>
        </w:rPr>
        <w:t xml:space="preserve">In the last section of this chapter the theoretical backgrounds of the explanatory variables industry differences and restructuring are presented. The theories behind industry differences in financial reporting fraud are based on the differences in complexity in the organization and financial reporting. </w:t>
      </w:r>
      <w:r w:rsidRPr="007723DA">
        <w:rPr>
          <w:lang w:val="en-US"/>
        </w:rPr>
        <w:t xml:space="preserve">Beasley et al. (2000) supported this theory by showing that industries </w:t>
      </w:r>
      <w:r>
        <w:rPr>
          <w:lang w:val="en-US"/>
        </w:rPr>
        <w:t xml:space="preserve">with more fraud opportunities, </w:t>
      </w:r>
      <w:r w:rsidRPr="007723DA">
        <w:rPr>
          <w:lang w:val="en-US"/>
        </w:rPr>
        <w:t xml:space="preserve">like technology, health care and financial services industries have more fraud cases than other industries. </w:t>
      </w:r>
      <w:r>
        <w:rPr>
          <w:lang w:val="en-US"/>
        </w:rPr>
        <w:t xml:space="preserve">A different theory on industry differences is provided by </w:t>
      </w:r>
      <w:r w:rsidRPr="007723DA">
        <w:rPr>
          <w:lang w:val="en-US"/>
        </w:rPr>
        <w:t>Giroud and Mueller (2007)</w:t>
      </w:r>
      <w:r>
        <w:rPr>
          <w:lang w:val="en-US"/>
        </w:rPr>
        <w:t xml:space="preserve">. They argue that the level of competitiveness has an effect on the quality of governance. The theory is that non-competitive industries have less pressure to have good governance than high competitive industries. Combining the two theories of </w:t>
      </w:r>
      <w:r w:rsidRPr="007723DA">
        <w:rPr>
          <w:lang w:val="en-US"/>
        </w:rPr>
        <w:t>Beasley et al. (2000)</w:t>
      </w:r>
      <w:r>
        <w:rPr>
          <w:lang w:val="en-US"/>
        </w:rPr>
        <w:t xml:space="preserve"> and </w:t>
      </w:r>
      <w:r w:rsidRPr="007723DA">
        <w:rPr>
          <w:lang w:val="en-US"/>
        </w:rPr>
        <w:t>Giroud and Mueller (2007)</w:t>
      </w:r>
      <w:r>
        <w:rPr>
          <w:lang w:val="en-US"/>
        </w:rPr>
        <w:t xml:space="preserve"> results in the conclusion that more complex and non-competitive industries are likely to suffer more from fraud and have more difficulty with good governance. They are therefore more likely to report internal control weaknesses. Finally the theories of </w:t>
      </w:r>
      <w:r w:rsidRPr="00AF7ECD">
        <w:rPr>
          <w:lang w:val="en-US"/>
        </w:rPr>
        <w:t xml:space="preserve">Doyle et al. (2007) and Chaney et al. (1999) </w:t>
      </w:r>
      <w:r>
        <w:rPr>
          <w:lang w:val="en-US"/>
        </w:rPr>
        <w:t>show that restructuring could have a short term negative effect on the operations of a company. The reasoning is that restructuring may cause a loss of experienced workers and generate adjustment problems and therefore results in a higher chance of material weaknesses. In the next chapters the empirical results and methods in the field of (IT) control weaknesses are discussed to see whether the theories can be tested and generate significant results</w:t>
      </w:r>
      <w:r w:rsidR="00B73206">
        <w:rPr>
          <w:lang w:val="en-US"/>
        </w:rPr>
        <w:t>.</w:t>
      </w:r>
    </w:p>
    <w:p w:rsidR="00E14E59" w:rsidRDefault="00E14E59">
      <w:pPr>
        <w:rPr>
          <w:b/>
          <w:sz w:val="32"/>
          <w:szCs w:val="44"/>
          <w:lang w:val="en-GB"/>
        </w:rPr>
      </w:pPr>
      <w:bookmarkStart w:id="39" w:name="_Toc363840763"/>
      <w:r>
        <w:br w:type="page"/>
      </w:r>
    </w:p>
    <w:p w:rsidR="00B72227" w:rsidRDefault="00B72227" w:rsidP="00C514CA">
      <w:pPr>
        <w:pStyle w:val="Heading1"/>
      </w:pPr>
      <w:r>
        <w:t>Chapter 3</w:t>
      </w:r>
      <w:r>
        <w:tab/>
        <w:t>Literature review</w:t>
      </w:r>
      <w:bookmarkEnd w:id="39"/>
    </w:p>
    <w:p w:rsidR="00F272E7" w:rsidRPr="00F272E7" w:rsidRDefault="00374723" w:rsidP="00F272E7">
      <w:pPr>
        <w:rPr>
          <w:lang w:val="en-GB"/>
        </w:rPr>
      </w:pPr>
      <w:r>
        <w:rPr>
          <w:lang w:val="en-GB"/>
        </w:rPr>
        <w:t>The literature review in this chapter provides an overview of the relevant empirical research done in the field of internal controls and IT controls in relation to financial reporting. The first part of this chapter shows the empirical research done in the field of internal control weaknesses. These studies look at the possible explanatory variables that explain the occurrence of control weaknesses. The second part looks more specifically at empirical results in the field of IT control weaknesses in the context of financial reporting.</w:t>
      </w:r>
      <w:r w:rsidR="00784147">
        <w:rPr>
          <w:lang w:val="en-GB"/>
        </w:rPr>
        <w:t xml:space="preserve">   </w:t>
      </w:r>
    </w:p>
    <w:p w:rsidR="004426DD" w:rsidRPr="004426DD" w:rsidRDefault="004426DD" w:rsidP="004426DD">
      <w:pPr>
        <w:pStyle w:val="ListParagraph"/>
        <w:numPr>
          <w:ilvl w:val="0"/>
          <w:numId w:val="7"/>
        </w:numPr>
        <w:outlineLvl w:val="1"/>
        <w:rPr>
          <w:rStyle w:val="Heading2Char"/>
          <w:b w:val="0"/>
          <w:vanish/>
        </w:rPr>
      </w:pPr>
      <w:bookmarkStart w:id="40" w:name="_Toc348708579"/>
      <w:bookmarkStart w:id="41" w:name="_Toc351293177"/>
      <w:bookmarkStart w:id="42" w:name="_Toc351826174"/>
      <w:bookmarkStart w:id="43" w:name="_Toc351826258"/>
      <w:bookmarkStart w:id="44" w:name="_Toc351826499"/>
      <w:bookmarkStart w:id="45" w:name="_Toc358741758"/>
      <w:bookmarkStart w:id="46" w:name="_Toc358741907"/>
      <w:bookmarkStart w:id="47" w:name="_Toc363126463"/>
      <w:bookmarkStart w:id="48" w:name="_Toc363126544"/>
      <w:bookmarkStart w:id="49" w:name="_Toc363126715"/>
      <w:bookmarkStart w:id="50" w:name="_Toc363126803"/>
      <w:bookmarkStart w:id="51" w:name="_Toc363204347"/>
      <w:bookmarkStart w:id="52" w:name="_Toc363840764"/>
      <w:bookmarkEnd w:id="40"/>
      <w:bookmarkEnd w:id="41"/>
      <w:bookmarkEnd w:id="42"/>
      <w:bookmarkEnd w:id="43"/>
      <w:bookmarkEnd w:id="44"/>
      <w:bookmarkEnd w:id="45"/>
      <w:bookmarkEnd w:id="46"/>
      <w:bookmarkEnd w:id="47"/>
      <w:bookmarkEnd w:id="48"/>
      <w:bookmarkEnd w:id="49"/>
      <w:bookmarkEnd w:id="50"/>
      <w:bookmarkEnd w:id="51"/>
      <w:bookmarkEnd w:id="52"/>
    </w:p>
    <w:p w:rsidR="00B73206" w:rsidRDefault="00773BA0" w:rsidP="00B73206">
      <w:pPr>
        <w:pStyle w:val="Heading2"/>
        <w:rPr>
          <w:rStyle w:val="Heading2Char"/>
          <w:b/>
        </w:rPr>
      </w:pPr>
      <w:bookmarkStart w:id="53" w:name="_Toc363840765"/>
      <w:r>
        <w:rPr>
          <w:rStyle w:val="Heading2Char"/>
          <w:b/>
        </w:rPr>
        <w:t>I</w:t>
      </w:r>
      <w:r w:rsidR="007A3630" w:rsidRPr="007A3630">
        <w:rPr>
          <w:rStyle w:val="Heading2Char"/>
          <w:b/>
        </w:rPr>
        <w:t xml:space="preserve">nternal control weaknesses </w:t>
      </w:r>
      <w:r w:rsidR="00A0157D">
        <w:rPr>
          <w:rStyle w:val="Heading2Char"/>
          <w:b/>
        </w:rPr>
        <w:t>determinants</w:t>
      </w:r>
      <w:bookmarkEnd w:id="53"/>
    </w:p>
    <w:p w:rsidR="00374723" w:rsidRPr="008F0211" w:rsidRDefault="00374723" w:rsidP="00374723">
      <w:pPr>
        <w:rPr>
          <w:lang w:val="en-US"/>
        </w:rPr>
      </w:pPr>
      <w:r w:rsidRPr="00680CC7">
        <w:rPr>
          <w:lang w:val="en-US"/>
        </w:rPr>
        <w:t xml:space="preserve">In this </w:t>
      </w:r>
      <w:r w:rsidR="00040395">
        <w:rPr>
          <w:lang w:val="en-US"/>
        </w:rPr>
        <w:t>section</w:t>
      </w:r>
      <w:r w:rsidRPr="00680CC7">
        <w:rPr>
          <w:lang w:val="en-US"/>
        </w:rPr>
        <w:t xml:space="preserve"> two studies (Doyle et al., 2007; Morris, 2011) are discussed. </w:t>
      </w:r>
      <w:r w:rsidRPr="008F0211">
        <w:rPr>
          <w:lang w:val="en-US"/>
        </w:rPr>
        <w:t xml:space="preserve">These studies </w:t>
      </w:r>
      <w:r>
        <w:rPr>
          <w:lang w:val="en-US"/>
        </w:rPr>
        <w:t>provide</w:t>
      </w:r>
      <w:r w:rsidRPr="008F0211">
        <w:rPr>
          <w:lang w:val="en-US"/>
        </w:rPr>
        <w:t xml:space="preserve"> empirical research </w:t>
      </w:r>
      <w:r>
        <w:rPr>
          <w:lang w:val="en-US"/>
        </w:rPr>
        <w:t>about</w:t>
      </w:r>
      <w:r w:rsidRPr="008F0211">
        <w:rPr>
          <w:lang w:val="en-US"/>
        </w:rPr>
        <w:t xml:space="preserve"> the effect of firm</w:t>
      </w:r>
      <w:r w:rsidR="00040395">
        <w:rPr>
          <w:lang w:val="en-US"/>
        </w:rPr>
        <w:t>-</w:t>
      </w:r>
      <w:r w:rsidRPr="008F0211">
        <w:rPr>
          <w:lang w:val="en-US"/>
        </w:rPr>
        <w:t>specific characteristics on internal control weaknesses.</w:t>
      </w:r>
      <w:r>
        <w:rPr>
          <w:lang w:val="en-US"/>
        </w:rPr>
        <w:t xml:space="preserve"> Research to the effect of internal control weaknesses is related to </w:t>
      </w:r>
      <w:r w:rsidR="000B3301">
        <w:rPr>
          <w:lang w:val="en-US"/>
        </w:rPr>
        <w:t>material IT control weaknesses</w:t>
      </w:r>
      <w:r>
        <w:rPr>
          <w:lang w:val="en-US"/>
        </w:rPr>
        <w:t xml:space="preserve">, because IT weaknesses form a specific part of the total internal control system. </w:t>
      </w:r>
      <w:r w:rsidRPr="00B73206">
        <w:rPr>
          <w:rStyle w:val="Heading2Char"/>
        </w:rPr>
        <w:t xml:space="preserve"> </w:t>
      </w:r>
      <w:r>
        <w:rPr>
          <w:rStyle w:val="Heading2Char"/>
          <w:b w:val="0"/>
        </w:rPr>
        <w:t xml:space="preserve"> </w:t>
      </w:r>
    </w:p>
    <w:p w:rsidR="00374723" w:rsidRDefault="00374723" w:rsidP="00374723">
      <w:pPr>
        <w:rPr>
          <w:rFonts w:eastAsiaTheme="minorHAnsi"/>
          <w:lang w:val="en-US" w:eastAsia="en-US"/>
        </w:rPr>
      </w:pPr>
      <w:r>
        <w:rPr>
          <w:rFonts w:eastAsiaTheme="minorHAnsi"/>
          <w:lang w:val="en-US" w:eastAsia="en-US"/>
        </w:rPr>
        <w:t>Doyle et al. (2007) examine the firm characteristics in relation to internal control weaknesses as a whole. In this research the material internal control weaknesses are defined as significant flaws that may result in material misstatements that are not detected (PCAOB, 2004). The associated investigated variables (mainly related to the firm characteristics) are: 1) firm size, 2) firm age, 3) the financial health of a company (measured by leverage ratio), 4) complexity of financial reporting, 5) fast growth, 6) restructuring charges and 7) corporate governance. Especially the variable of restructuring charges appears to be relevant, because this may prove a possible empirical relation between internal control weaknesses and restructuring costs. The restructuring charge is measured by a continuous variable that aggregates multiple restructuring costs for multiple years. The hypothesis is that the longer the restructuring takes, the more control weaknesses are noted. To do the empirical research Doyle et al. use an archival research with a sample of about 970 firms (from 2002 to 2005). The observed internal control weaknesses are disclosed mandatory under the SOX 302 and 404 rules. The results show that the firm size and age are significantly related to the number of material weaknesses, so younger and smaller companies tend to have relatively more weaknesses than larger and older firms. The multivariate analysis also shows that firms undergoing restructuring are more likely to have more material weaknesses in internal controls. This study also differentiates the type of weaknesses into two groups: Account</w:t>
      </w:r>
      <w:r w:rsidR="00040395">
        <w:rPr>
          <w:rFonts w:eastAsiaTheme="minorHAnsi"/>
          <w:lang w:val="en-US" w:eastAsia="en-US"/>
        </w:rPr>
        <w:t>-</w:t>
      </w:r>
      <w:r>
        <w:rPr>
          <w:rFonts w:eastAsiaTheme="minorHAnsi"/>
          <w:lang w:val="en-US" w:eastAsia="en-US"/>
        </w:rPr>
        <w:t>specific weaknesses and Company level weaknesses. Account</w:t>
      </w:r>
      <w:r w:rsidR="00040395">
        <w:rPr>
          <w:rFonts w:eastAsiaTheme="minorHAnsi"/>
          <w:lang w:val="en-US" w:eastAsia="en-US"/>
        </w:rPr>
        <w:t>-</w:t>
      </w:r>
      <w:r>
        <w:rPr>
          <w:rFonts w:eastAsiaTheme="minorHAnsi"/>
          <w:lang w:val="en-US" w:eastAsia="en-US"/>
        </w:rPr>
        <w:t xml:space="preserve">specific weaknesses are weaknesses that are related to a specific account balance/transaction level process. The company-level weaknesses are about controls for the overall financial reporting operations and governance of the controls; in other </w:t>
      </w:r>
      <w:r w:rsidR="00E80B96">
        <w:rPr>
          <w:rFonts w:eastAsiaTheme="minorHAnsi"/>
          <w:lang w:val="en-US" w:eastAsia="en-US"/>
        </w:rPr>
        <w:t>words when</w:t>
      </w:r>
      <w:r>
        <w:rPr>
          <w:rFonts w:eastAsiaTheme="minorHAnsi"/>
          <w:lang w:val="en-US" w:eastAsia="en-US"/>
        </w:rPr>
        <w:t xml:space="preserve"> a company-level weakness occurs, management is unable to properly control the firm. The results of this differentiation in type of weakness show that account</w:t>
      </w:r>
      <w:r w:rsidR="00040395">
        <w:rPr>
          <w:rFonts w:eastAsiaTheme="minorHAnsi"/>
          <w:lang w:val="en-US" w:eastAsia="en-US"/>
        </w:rPr>
        <w:t>-</w:t>
      </w:r>
      <w:r>
        <w:rPr>
          <w:rFonts w:eastAsiaTheme="minorHAnsi"/>
          <w:lang w:val="en-US" w:eastAsia="en-US"/>
        </w:rPr>
        <w:t>specific material weaknesses are more common for larger, older and financially stronger firms in comparison with company level weaknesses. An important thing to consider is that the sample dates from 2002 to 2005, the first years after the SOX implementation. It is possible that future periods show fewer weaknesses due to more experience with SOX regulations.</w:t>
      </w:r>
    </w:p>
    <w:p w:rsidR="00BB133F" w:rsidRDefault="00374723" w:rsidP="00374723">
      <w:pPr>
        <w:rPr>
          <w:rFonts w:eastAsiaTheme="minorHAnsi"/>
          <w:lang w:val="en-US" w:eastAsia="en-US"/>
        </w:rPr>
      </w:pPr>
      <w:r>
        <w:rPr>
          <w:rFonts w:eastAsiaTheme="minorHAnsi"/>
          <w:lang w:val="en-US" w:eastAsia="en-US"/>
        </w:rPr>
        <w:t xml:space="preserve">Morris (2011) is another study investigating possible explanatory variables influencing the effectiveness of internal control systems. In comparison with Doyle et al. (2007) Morris focuses more on one specific variable, namely the influence of Enterprise Resource Planning (ERP) systems. ERP systems should bring all kinds of improvements in the organization like better and faster communications between management and the operational units and an improved internal control system. The theory behind this relation is based on the consideration that ERP systems have a lot of build-in controls that could make the internal control over financial reporting easier to establish. The software controls embedded in ERP systems are designed to reduce the impact of possible agency problems and therefore lower the risk of a material internal control weakness. The empirical results are derived from a database research on data from Audit Analytics. The sample is separated into a group of ERP firm (108) and a group of non-ERP firms (377), collected between 1997 and 2008. The included control variables are restructuring costs, earnings, big 4 audits, foreign transactions, acquisitions, number of segments and firm age. </w:t>
      </w:r>
      <w:r>
        <w:rPr>
          <w:rFonts w:eastAsiaTheme="minorHAnsi"/>
          <w:lang w:val="en-US" w:eastAsia="en-US"/>
        </w:rPr>
        <w:br/>
        <w:t xml:space="preserve">The regressions show that ERP firms have significantly less internal control weaknesses than non-ERP companies. When looking at the control variables, the analysis shows that acquisitions, sales growth and market value have significant effects on the existence of internal control weaknesses. Restructuring cost, foreign transactions, segments and firm age do not have significant values, while study results of Doyle et al. (2007) do show very significant effects for all these control variables. It is possible that the inclusion of other explanatory variables and a different data sample explain these differences between Doyle et al. (2007) and Morris (2011), but from these results there </w:t>
      </w:r>
      <w:r w:rsidR="0026037E">
        <w:rPr>
          <w:rFonts w:eastAsiaTheme="minorHAnsi"/>
          <w:lang w:val="en-US" w:eastAsia="en-US"/>
        </w:rPr>
        <w:t>is not</w:t>
      </w:r>
      <w:r>
        <w:rPr>
          <w:rFonts w:eastAsiaTheme="minorHAnsi"/>
          <w:lang w:val="en-US" w:eastAsia="en-US"/>
        </w:rPr>
        <w:t xml:space="preserve"> a clear indication which variables are consistently important for internal control weaknesses. Like Doyle et al. (2007) Morris (2011) differentiates between the two types of internal control weaknesses: general or entity-level weaknesses (company-level) and individual or account-level weaknesses (account-specific). The additional analysis shows that there is no difference between specific and general control weaknesses for ERP firms, only the non-ERP group shows more general control weaknesses than specific weaknesses. This result is difficult to compare with Doyle et al. (2007), but may indicate that smaller and weaker firms are in the non-ERP group, because this group has more general control weaknesses than specific weaknesses.</w:t>
      </w:r>
    </w:p>
    <w:p w:rsidR="007A46DA" w:rsidRPr="004426DD" w:rsidRDefault="00773BA0" w:rsidP="004426DD">
      <w:pPr>
        <w:pStyle w:val="Heading2"/>
      </w:pPr>
      <w:bookmarkStart w:id="54" w:name="_Toc363840766"/>
      <w:r>
        <w:t xml:space="preserve">Relation IT controls and </w:t>
      </w:r>
      <w:r w:rsidR="00040395">
        <w:t>f</w:t>
      </w:r>
      <w:r>
        <w:t>inancial reporting</w:t>
      </w:r>
      <w:bookmarkEnd w:id="54"/>
    </w:p>
    <w:p w:rsidR="00B522AF" w:rsidRDefault="00B522AF" w:rsidP="00B522AF">
      <w:pPr>
        <w:rPr>
          <w:rFonts w:eastAsiaTheme="minorHAnsi"/>
          <w:lang w:val="en-US" w:eastAsia="en-US"/>
        </w:rPr>
      </w:pPr>
      <w:r>
        <w:rPr>
          <w:rFonts w:eastAsiaTheme="minorHAnsi"/>
          <w:lang w:val="en-US" w:eastAsia="en-US"/>
        </w:rPr>
        <w:t>Concerning the disclosure of IT control weaknesses there are a couple of studies specifically looking at possible explanatory variables hav</w:t>
      </w:r>
      <w:r w:rsidR="00173633">
        <w:rPr>
          <w:rFonts w:eastAsiaTheme="minorHAnsi"/>
          <w:lang w:val="en-US" w:eastAsia="en-US"/>
        </w:rPr>
        <w:t>ing</w:t>
      </w:r>
      <w:r>
        <w:rPr>
          <w:rFonts w:eastAsiaTheme="minorHAnsi"/>
          <w:lang w:val="en-US" w:eastAsia="en-US"/>
        </w:rPr>
        <w:t xml:space="preserve"> a</w:t>
      </w:r>
      <w:r w:rsidR="00040395">
        <w:rPr>
          <w:rFonts w:eastAsiaTheme="minorHAnsi"/>
          <w:lang w:val="en-US" w:eastAsia="en-US"/>
        </w:rPr>
        <w:t>n</w:t>
      </w:r>
      <w:r>
        <w:rPr>
          <w:rFonts w:eastAsiaTheme="minorHAnsi"/>
          <w:lang w:val="en-US" w:eastAsia="en-US"/>
        </w:rPr>
        <w:t xml:space="preserve"> impact on IT-related material control weaknesses. In this section the studies of Li et al. (2012), Stoel and Muhanna (2011), Klamm et al. (2012), </w:t>
      </w:r>
      <w:r w:rsidRPr="00AD785A">
        <w:rPr>
          <w:rFonts w:eastAsiaTheme="minorHAnsi"/>
          <w:lang w:val="en-US" w:eastAsia="en-US"/>
        </w:rPr>
        <w:t>Grant et al. (2008)</w:t>
      </w:r>
      <w:r>
        <w:rPr>
          <w:rFonts w:eastAsiaTheme="minorHAnsi"/>
          <w:lang w:val="en-US" w:eastAsia="en-US"/>
        </w:rPr>
        <w:t xml:space="preserve"> and Li et al. (2007) are reviewed to see what relations have been investigated.  Most of these studies are from the period 2007-2012, because SOX 404 has been introduced in 2002, which made it possible to conduct empirical research on the relations with IT control weaknesses. </w:t>
      </w:r>
    </w:p>
    <w:p w:rsidR="00B522AF" w:rsidRDefault="00B522AF" w:rsidP="00B522AF">
      <w:pPr>
        <w:rPr>
          <w:rFonts w:eastAsiaTheme="minorHAnsi"/>
          <w:lang w:val="en-US" w:eastAsia="en-US"/>
        </w:rPr>
      </w:pPr>
      <w:r>
        <w:rPr>
          <w:rFonts w:eastAsiaTheme="minorHAnsi"/>
          <w:lang w:val="en-US" w:eastAsia="en-US"/>
        </w:rPr>
        <w:t>Li et al. (2012) look at the relation between IT control weaknesses and the management information system. The internal controls in management information systems are important for producing reliable management forecasts. The theory is that IT control weaknesses may reduce the reliability of financial reporting, thereby making the data on which management has to base its forecasts less accurate. To conduct the empirical research Li et al. (2012) use information from internal control reports (also SOX 404 reports) that are collected from Au</w:t>
      </w:r>
      <w:r w:rsidR="00E14E59">
        <w:rPr>
          <w:rFonts w:eastAsiaTheme="minorHAnsi"/>
          <w:lang w:val="en-US" w:eastAsia="en-US"/>
        </w:rPr>
        <w:t>dit Analytics. The sample of 14</w:t>
      </w:r>
      <w:r>
        <w:rPr>
          <w:rFonts w:eastAsiaTheme="minorHAnsi"/>
          <w:lang w:val="en-US" w:eastAsia="en-US"/>
        </w:rPr>
        <w:t xml:space="preserve">091 firms (from 2004 to 2008) covers 250 IT control weaknesses and 934 non-IT weaknesses. </w:t>
      </w:r>
      <w:r>
        <w:rPr>
          <w:rFonts w:eastAsiaTheme="minorHAnsi"/>
          <w:lang w:val="en-US" w:eastAsia="en-US"/>
        </w:rPr>
        <w:br/>
        <w:t xml:space="preserve">The main variables are the analyst’s forecasts, forecast horizons and forecast revisions. The included control variables are: firm size, firm age, cash flows, earnings, segments and foreign transactions. </w:t>
      </w:r>
      <w:r>
        <w:rPr>
          <w:rFonts w:eastAsiaTheme="minorHAnsi"/>
          <w:lang w:val="en-US" w:eastAsia="en-US"/>
        </w:rPr>
        <w:br/>
        <w:t xml:space="preserve">The descriptive statistics include a distribution of the weaknesses between different industries, but this is not further analyzed or used in the regression analysis. However, it shows that certain industries have far more </w:t>
      </w:r>
      <w:r w:rsidR="000B3301">
        <w:rPr>
          <w:rFonts w:eastAsiaTheme="minorHAnsi"/>
          <w:lang w:val="en-US" w:eastAsia="en-US"/>
        </w:rPr>
        <w:t>material IT control weaknesses</w:t>
      </w:r>
      <w:r>
        <w:rPr>
          <w:rFonts w:eastAsiaTheme="minorHAnsi"/>
          <w:lang w:val="en-US" w:eastAsia="en-US"/>
        </w:rPr>
        <w:t xml:space="preserve">. These industries are </w:t>
      </w:r>
      <w:r w:rsidRPr="00242B0C">
        <w:rPr>
          <w:rFonts w:eastAsiaTheme="minorHAnsi"/>
          <w:lang w:val="en-US" w:eastAsia="en-US"/>
        </w:rPr>
        <w:t xml:space="preserve">Measuring, </w:t>
      </w:r>
      <w:r>
        <w:rPr>
          <w:rFonts w:eastAsiaTheme="minorHAnsi"/>
          <w:lang w:val="en-US" w:eastAsia="en-US"/>
        </w:rPr>
        <w:t>a</w:t>
      </w:r>
      <w:r w:rsidRPr="00242B0C">
        <w:rPr>
          <w:rFonts w:eastAsiaTheme="minorHAnsi"/>
          <w:lang w:val="en-US" w:eastAsia="en-US"/>
        </w:rPr>
        <w:t xml:space="preserve">nalyzing, </w:t>
      </w:r>
      <w:r>
        <w:rPr>
          <w:rFonts w:eastAsiaTheme="minorHAnsi"/>
          <w:lang w:val="en-US" w:eastAsia="en-US"/>
        </w:rPr>
        <w:t>a</w:t>
      </w:r>
      <w:r w:rsidRPr="00242B0C">
        <w:rPr>
          <w:rFonts w:eastAsiaTheme="minorHAnsi"/>
          <w:lang w:val="en-US" w:eastAsia="en-US"/>
        </w:rPr>
        <w:t xml:space="preserve">nd </w:t>
      </w:r>
      <w:r>
        <w:rPr>
          <w:rFonts w:eastAsiaTheme="minorHAnsi"/>
          <w:lang w:val="en-US" w:eastAsia="en-US"/>
        </w:rPr>
        <w:t>c</w:t>
      </w:r>
      <w:r w:rsidRPr="00242B0C">
        <w:rPr>
          <w:rFonts w:eastAsiaTheme="minorHAnsi"/>
          <w:lang w:val="en-US" w:eastAsia="en-US"/>
        </w:rPr>
        <w:t xml:space="preserve">ontrolling </w:t>
      </w:r>
      <w:r>
        <w:rPr>
          <w:rFonts w:eastAsiaTheme="minorHAnsi"/>
          <w:lang w:val="en-US" w:eastAsia="en-US"/>
        </w:rPr>
        <w:t>i</w:t>
      </w:r>
      <w:r w:rsidRPr="00242B0C">
        <w:rPr>
          <w:rFonts w:eastAsiaTheme="minorHAnsi"/>
          <w:lang w:val="en-US" w:eastAsia="en-US"/>
        </w:rPr>
        <w:t>nstruments</w:t>
      </w:r>
      <w:r>
        <w:rPr>
          <w:rFonts w:eastAsiaTheme="minorHAnsi"/>
          <w:lang w:val="en-US" w:eastAsia="en-US"/>
        </w:rPr>
        <w:t xml:space="preserve"> (SIC 38), Chemical industries (SIC 28), Electric industries (SIC 49) and Business services (SIC 73).  The multivariate regressions and results show that there is significant support for the relation between IT control weaknesses and a lower reliability of management forecasts. So a firm with an IT control weakness is less likely to produce accurate forecasts, than a firm with non-IT control weaknesses or no weakness at all. The significant control variables were earnings, firm size and sales growth, but the study results only indicate the effect of those variables on forecast errors and not on </w:t>
      </w:r>
      <w:r w:rsidR="000B3301">
        <w:rPr>
          <w:rFonts w:eastAsiaTheme="minorHAnsi"/>
          <w:lang w:val="en-US" w:eastAsia="en-US"/>
        </w:rPr>
        <w:t>material IT control weaknesses</w:t>
      </w:r>
      <w:r>
        <w:rPr>
          <w:rFonts w:eastAsiaTheme="minorHAnsi"/>
          <w:lang w:val="en-US" w:eastAsia="en-US"/>
        </w:rPr>
        <w:t>. The additional analysis of a change in IT control quality shows that firms with an improvement (deterioration) in quality have less (more) forecast errors. This study shows empirical evidence that IT controls have an influence on the operations of the company.</w:t>
      </w:r>
    </w:p>
    <w:p w:rsidR="00B522AF" w:rsidRDefault="00B522AF" w:rsidP="00B522AF">
      <w:pPr>
        <w:rPr>
          <w:rFonts w:eastAsiaTheme="minorHAnsi"/>
          <w:lang w:val="en-US" w:eastAsia="en-US"/>
        </w:rPr>
      </w:pPr>
      <w:r>
        <w:rPr>
          <w:rFonts w:eastAsiaTheme="minorHAnsi"/>
          <w:lang w:val="en-US" w:eastAsia="en-US"/>
        </w:rPr>
        <w:t xml:space="preserve">Stoel and Muhanna (2011) also focus on the IT internal control weaknesses and investigate the relation between IT control weaknesses and the company’s performance. The study consists of two analyses; the first analysis is the relation between IT control quality and the current firm performance measured by the return on assets. The second analysis is the relation between the IT control weaknesses and the stock market valuation of the company. </w:t>
      </w:r>
      <w:r>
        <w:rPr>
          <w:rFonts w:eastAsiaTheme="minorHAnsi"/>
          <w:lang w:val="en-US" w:eastAsia="en-US"/>
        </w:rPr>
        <w:br/>
        <w:t xml:space="preserve">The theory which should explain the relation between IT controls and firm performance is based on strategy theories. Stoel and Muhanna (2011) argue that the competitive advantage strategy theory proves the relation between IT control quality and performance, because IT can be a source of competitive advantage. If a company does not invest enough in IT, this is a competitive disadvantage and therefore negatively impacts the performance.  The second theory of Stoel and Muhanna argues that a material IT control weakness in financial reporting has a greater impact on the quality of operations than non-IT weaknesses in financial reporting. This is because most IT systems are used for financial reporting, but also in production processes. Therefore IT control weaknesses may have an effect on performance. </w:t>
      </w:r>
      <w:r>
        <w:rPr>
          <w:rFonts w:eastAsiaTheme="minorHAnsi"/>
          <w:lang w:val="en-US" w:eastAsia="en-US"/>
        </w:rPr>
        <w:br/>
        <w:t>The data used for the empirical database research is derived from Audit Analytics and Compustat. The sample consists of 16415 observations and includes a group of firms with IT control weaknesses and a group with no IT control weaknesses (from 2004 to 2008).</w:t>
      </w:r>
      <w:r>
        <w:rPr>
          <w:rFonts w:eastAsiaTheme="minorHAnsi"/>
          <w:lang w:val="en-US" w:eastAsia="en-US"/>
        </w:rPr>
        <w:br/>
        <w:t>The results show that firms with material IT control weaknesses have a lower return on assets and have lower overall earnings than other companies. The results also show that control variables like firm age, foreign transactions, restructuring and total assets,</w:t>
      </w:r>
      <w:r w:rsidRPr="006E7A56">
        <w:rPr>
          <w:rFonts w:eastAsiaTheme="minorHAnsi"/>
          <w:lang w:val="en-US" w:eastAsia="en-US"/>
        </w:rPr>
        <w:t xml:space="preserve"> </w:t>
      </w:r>
      <w:r>
        <w:rPr>
          <w:rFonts w:eastAsiaTheme="minorHAnsi"/>
          <w:lang w:val="en-US" w:eastAsia="en-US"/>
        </w:rPr>
        <w:t>all have a significant effect on the existence of IT control weaknesses, while other control variables like big 4 audits, number of segments and sales growth, are not significant.</w:t>
      </w:r>
      <w:r>
        <w:rPr>
          <w:rStyle w:val="FootnoteReference"/>
          <w:rFonts w:eastAsiaTheme="minorHAnsi"/>
          <w:lang w:val="en-US" w:eastAsia="en-US"/>
        </w:rPr>
        <w:footnoteReference w:id="2"/>
      </w:r>
      <w:r>
        <w:rPr>
          <w:rFonts w:eastAsiaTheme="minorHAnsi"/>
          <w:lang w:val="en-US" w:eastAsia="en-US"/>
        </w:rPr>
        <w:t xml:space="preserve"> The inclusion of control variables and the variable of the existence of non-IT weaknesses besides </w:t>
      </w:r>
      <w:r w:rsidR="000B3301">
        <w:rPr>
          <w:rFonts w:eastAsiaTheme="minorHAnsi"/>
          <w:lang w:val="en-US" w:eastAsia="en-US"/>
        </w:rPr>
        <w:t>material IT control weaknesses</w:t>
      </w:r>
      <w:r>
        <w:rPr>
          <w:rFonts w:eastAsiaTheme="minorHAnsi"/>
          <w:lang w:val="en-US" w:eastAsia="en-US"/>
        </w:rPr>
        <w:t xml:space="preserve"> did show that the main relation between </w:t>
      </w:r>
      <w:r w:rsidR="000B3301">
        <w:rPr>
          <w:rFonts w:eastAsiaTheme="minorHAnsi"/>
          <w:lang w:val="en-US" w:eastAsia="en-US"/>
        </w:rPr>
        <w:t>material IT control weaknesses</w:t>
      </w:r>
      <w:r>
        <w:rPr>
          <w:rFonts w:eastAsiaTheme="minorHAnsi"/>
          <w:lang w:val="en-US" w:eastAsia="en-US"/>
        </w:rPr>
        <w:t xml:space="preserve"> and firm performance remained significant. </w:t>
      </w:r>
    </w:p>
    <w:p w:rsidR="00B522AF" w:rsidRDefault="00B522AF" w:rsidP="00B522AF">
      <w:pPr>
        <w:spacing w:after="0"/>
        <w:rPr>
          <w:rFonts w:eastAsiaTheme="minorHAnsi"/>
          <w:lang w:val="en-US" w:eastAsia="en-US"/>
        </w:rPr>
      </w:pPr>
      <w:r>
        <w:rPr>
          <w:rFonts w:eastAsiaTheme="minorHAnsi"/>
          <w:lang w:val="en-US" w:eastAsia="en-US"/>
        </w:rPr>
        <w:t>Klamm et al. (</w:t>
      </w:r>
      <w:r w:rsidRPr="00766FB8">
        <w:rPr>
          <w:rFonts w:eastAsiaTheme="minorHAnsi"/>
          <w:lang w:val="en-US" w:eastAsia="en-US"/>
        </w:rPr>
        <w:t>2012</w:t>
      </w:r>
      <w:r>
        <w:rPr>
          <w:rFonts w:eastAsiaTheme="minorHAnsi"/>
          <w:lang w:val="en-US" w:eastAsia="en-US"/>
        </w:rPr>
        <w:t xml:space="preserve">) try to determine what makes a company disclose internal control weaknesses for a longer time. The relevance of this study is that current material weaknesses in controls may be an indication for the future quality of the internal control system. The material internal control weaknesses are separated into IT and non-IT control weaknesses and the other distinction is between entity level and account level weaknesses, just like Doyle et al. (2007). The hypothesis for the distinction between IT and non-IT weaknesses is based on the theory that firms with </w:t>
      </w:r>
      <w:r w:rsidR="000B3301">
        <w:rPr>
          <w:rFonts w:eastAsiaTheme="minorHAnsi"/>
          <w:lang w:val="en-US" w:eastAsia="en-US"/>
        </w:rPr>
        <w:t>material IT control weaknesses</w:t>
      </w:r>
      <w:r w:rsidR="00D16E1E">
        <w:rPr>
          <w:rFonts w:eastAsiaTheme="minorHAnsi"/>
          <w:lang w:val="en-US" w:eastAsia="en-US"/>
        </w:rPr>
        <w:t xml:space="preserve"> have</w:t>
      </w:r>
      <w:r>
        <w:rPr>
          <w:rFonts w:eastAsiaTheme="minorHAnsi"/>
          <w:lang w:val="en-US" w:eastAsia="en-US"/>
        </w:rPr>
        <w:t xml:space="preserve"> more other material weaknesses, lower quality of financial statements and management troubles. Therefore Klamm et al. (2012) expect that IT control weaknesses are an indication for future material weaknesses in internal controls. The research is conducted by doing an archival research using the Audit Analytics database for the pe</w:t>
      </w:r>
      <w:r w:rsidR="00E14E59">
        <w:rPr>
          <w:rFonts w:eastAsiaTheme="minorHAnsi"/>
          <w:lang w:val="en-US" w:eastAsia="en-US"/>
        </w:rPr>
        <w:t>riod of 2004 to 2009. Of the 20</w:t>
      </w:r>
      <w:r>
        <w:rPr>
          <w:rFonts w:eastAsiaTheme="minorHAnsi"/>
          <w:lang w:val="en-US" w:eastAsia="en-US"/>
        </w:rPr>
        <w:t>318 observations there are 397 SOX 404 reports that have at least one IT ma</w:t>
      </w:r>
      <w:r w:rsidR="00E14E59">
        <w:rPr>
          <w:rFonts w:eastAsiaTheme="minorHAnsi"/>
          <w:lang w:val="en-US" w:eastAsia="en-US"/>
        </w:rPr>
        <w:t>terial weakness and there are 1</w:t>
      </w:r>
      <w:r>
        <w:rPr>
          <w:rFonts w:eastAsiaTheme="minorHAnsi"/>
          <w:lang w:val="en-US" w:eastAsia="en-US"/>
        </w:rPr>
        <w:t>386 non-IT SOX 404 reports.</w:t>
      </w:r>
    </w:p>
    <w:p w:rsidR="00B522AF" w:rsidRPr="0049590E" w:rsidRDefault="00B522AF" w:rsidP="00B522AF">
      <w:pPr>
        <w:rPr>
          <w:rFonts w:eastAsiaTheme="minorHAnsi"/>
          <w:lang w:val="en-US" w:eastAsia="en-US"/>
        </w:rPr>
      </w:pPr>
      <w:r>
        <w:rPr>
          <w:rFonts w:eastAsiaTheme="minorHAnsi"/>
          <w:lang w:val="en-US" w:eastAsia="en-US"/>
        </w:rPr>
        <w:t xml:space="preserve">The multiple empirical </w:t>
      </w:r>
      <w:r w:rsidR="000B3301">
        <w:rPr>
          <w:rFonts w:eastAsiaTheme="minorHAnsi"/>
          <w:lang w:val="en-US" w:eastAsia="en-US"/>
        </w:rPr>
        <w:t>analyses</w:t>
      </w:r>
      <w:r>
        <w:rPr>
          <w:rFonts w:eastAsiaTheme="minorHAnsi"/>
          <w:lang w:val="en-US" w:eastAsia="en-US"/>
        </w:rPr>
        <w:t xml:space="preserve"> shows that firms with </w:t>
      </w:r>
      <w:r w:rsidR="000B3301">
        <w:rPr>
          <w:rFonts w:eastAsiaTheme="minorHAnsi"/>
          <w:lang w:val="en-US" w:eastAsia="en-US"/>
        </w:rPr>
        <w:t>material IT control weaknesses</w:t>
      </w:r>
      <w:r>
        <w:rPr>
          <w:rFonts w:eastAsiaTheme="minorHAnsi"/>
          <w:lang w:val="en-US" w:eastAsia="en-US"/>
        </w:rPr>
        <w:t xml:space="preserve"> have more non-IT deficiencies, entity-level /company-level and account-level weaknesses in the same year. Also the number of future material weaknesses is higher and these weaknesses persist longer for the IT material weakness firm</w:t>
      </w:r>
      <w:r w:rsidR="00040395">
        <w:rPr>
          <w:rFonts w:eastAsiaTheme="minorHAnsi"/>
          <w:lang w:val="en-US" w:eastAsia="en-US"/>
        </w:rPr>
        <w:t>s</w:t>
      </w:r>
      <w:r>
        <w:rPr>
          <w:rFonts w:eastAsiaTheme="minorHAnsi"/>
          <w:lang w:val="en-US" w:eastAsia="en-US"/>
        </w:rPr>
        <w:t>, than for the non-IT weaknesses firms. The multivariate analysis also shows that firms with non-IT entity-level/company-level weaknesses have an even higher number of future material weaknesses than other kinds of weaknesses. The analysis of the persistence of the different types of material weaknesses in internal controls shows that for the non-IT material weaknesses, the senior management and training weaknesses are associated with more persistence of material weaknesses, while for IT-related material weaknesses the results show only significant persistence in IT control environment weaknesses. So senior management, training or IT control environment weaknesses can be an indication of more future material weaknesses for a longer time. These results hold for both account-level and entity</w:t>
      </w:r>
      <w:r w:rsidR="00040395">
        <w:rPr>
          <w:rFonts w:eastAsiaTheme="minorHAnsi"/>
          <w:lang w:val="en-US" w:eastAsia="en-US"/>
        </w:rPr>
        <w:t>-level</w:t>
      </w:r>
      <w:r>
        <w:rPr>
          <w:rFonts w:eastAsiaTheme="minorHAnsi"/>
          <w:lang w:val="en-US" w:eastAsia="en-US"/>
        </w:rPr>
        <w:t>/company-level material weaknesses.</w:t>
      </w:r>
    </w:p>
    <w:p w:rsidR="00B522AF" w:rsidRPr="007A3630" w:rsidRDefault="00B522AF" w:rsidP="00B522AF">
      <w:pPr>
        <w:rPr>
          <w:rFonts w:eastAsiaTheme="minorHAnsi"/>
          <w:lang w:val="en-US" w:eastAsia="en-US"/>
        </w:rPr>
      </w:pPr>
      <w:r w:rsidRPr="007A3630">
        <w:rPr>
          <w:rFonts w:eastAsiaTheme="minorHAnsi"/>
          <w:lang w:val="en-US" w:eastAsia="en-US"/>
        </w:rPr>
        <w:t xml:space="preserve">Grant et al. (2008) </w:t>
      </w:r>
      <w:r>
        <w:rPr>
          <w:rFonts w:eastAsiaTheme="minorHAnsi"/>
          <w:lang w:val="en-US" w:eastAsia="en-US"/>
        </w:rPr>
        <w:t xml:space="preserve">study </w:t>
      </w:r>
      <w:r w:rsidRPr="007A3630">
        <w:rPr>
          <w:rFonts w:eastAsiaTheme="minorHAnsi"/>
          <w:lang w:val="en-US" w:eastAsia="en-US"/>
        </w:rPr>
        <w:t xml:space="preserve">the effect of IT control weaknesses on financial reporting. IT control weaknesses </w:t>
      </w:r>
      <w:r>
        <w:rPr>
          <w:rFonts w:eastAsiaTheme="minorHAnsi"/>
          <w:lang w:val="en-US" w:eastAsia="en-US"/>
        </w:rPr>
        <w:t>may</w:t>
      </w:r>
      <w:r w:rsidRPr="007A3630">
        <w:rPr>
          <w:rFonts w:eastAsiaTheme="minorHAnsi"/>
          <w:lang w:val="en-US" w:eastAsia="en-US"/>
        </w:rPr>
        <w:t xml:space="preserve"> indicate that software, hardware, IT organization or access control</w:t>
      </w:r>
      <w:r>
        <w:rPr>
          <w:rFonts w:eastAsiaTheme="minorHAnsi"/>
          <w:lang w:val="en-US" w:eastAsia="en-US"/>
        </w:rPr>
        <w:t>s</w:t>
      </w:r>
      <w:r w:rsidRPr="007A3630">
        <w:rPr>
          <w:rFonts w:eastAsiaTheme="minorHAnsi"/>
          <w:lang w:val="en-US" w:eastAsia="en-US"/>
        </w:rPr>
        <w:t xml:space="preserve"> to accounting data/ programs </w:t>
      </w:r>
      <w:r>
        <w:rPr>
          <w:rFonts w:eastAsiaTheme="minorHAnsi"/>
          <w:lang w:val="en-US" w:eastAsia="en-US"/>
        </w:rPr>
        <w:t>are</w:t>
      </w:r>
      <w:r w:rsidR="00D16E1E">
        <w:rPr>
          <w:rFonts w:eastAsiaTheme="minorHAnsi"/>
          <w:lang w:val="en-US" w:eastAsia="en-US"/>
        </w:rPr>
        <w:t xml:space="preserve"> not properly working. That is</w:t>
      </w:r>
      <w:r w:rsidRPr="007A3630">
        <w:rPr>
          <w:rFonts w:eastAsiaTheme="minorHAnsi"/>
          <w:lang w:val="en-US" w:eastAsia="en-US"/>
        </w:rPr>
        <w:t xml:space="preserve"> why this study looks at the relation between IT control weaknesses and accounting errors.</w:t>
      </w:r>
      <w:r w:rsidRPr="007A3630">
        <w:rPr>
          <w:rFonts w:eastAsiaTheme="minorHAnsi"/>
          <w:lang w:val="en-US" w:eastAsia="en-US"/>
        </w:rPr>
        <w:br/>
        <w:t>The IT control weaknesses are measured by looking at the disclosed internal control weaknesses under the SOX 404 rule. For accounting errors the authors look at the most common financial reporting errors</w:t>
      </w:r>
      <w:r>
        <w:rPr>
          <w:rFonts w:eastAsiaTheme="minorHAnsi"/>
          <w:lang w:val="en-US" w:eastAsia="en-US"/>
        </w:rPr>
        <w:t xml:space="preserve"> reported under SOX and coded by Audit Analytics</w:t>
      </w:r>
      <w:r w:rsidRPr="007A3630">
        <w:rPr>
          <w:rFonts w:eastAsiaTheme="minorHAnsi"/>
          <w:lang w:val="en-US" w:eastAsia="en-US"/>
        </w:rPr>
        <w:t xml:space="preserve"> and </w:t>
      </w:r>
      <w:r>
        <w:rPr>
          <w:rFonts w:eastAsiaTheme="minorHAnsi"/>
          <w:lang w:val="en-US" w:eastAsia="en-US"/>
        </w:rPr>
        <w:t xml:space="preserve">see if there is a significant </w:t>
      </w:r>
      <w:r w:rsidRPr="007A3630">
        <w:rPr>
          <w:rFonts w:eastAsiaTheme="minorHAnsi"/>
          <w:lang w:val="en-US" w:eastAsia="en-US"/>
        </w:rPr>
        <w:t>relation with IT control weaknesses.</w:t>
      </w:r>
      <w:r w:rsidRPr="007A3630">
        <w:rPr>
          <w:rFonts w:eastAsiaTheme="minorHAnsi"/>
          <w:lang w:val="en-US" w:eastAsia="en-US"/>
        </w:rPr>
        <w:br/>
        <w:t>The sample consist</w:t>
      </w:r>
      <w:r>
        <w:rPr>
          <w:rFonts w:eastAsiaTheme="minorHAnsi"/>
          <w:lang w:val="en-US" w:eastAsia="en-US"/>
        </w:rPr>
        <w:t>s</w:t>
      </w:r>
      <w:r w:rsidRPr="007A3630">
        <w:rPr>
          <w:rFonts w:eastAsiaTheme="minorHAnsi"/>
          <w:lang w:val="en-US" w:eastAsia="en-US"/>
        </w:rPr>
        <w:t xml:space="preserve"> of 278 U.S. based firms report</w:t>
      </w:r>
      <w:r>
        <w:rPr>
          <w:rFonts w:eastAsiaTheme="minorHAnsi"/>
          <w:lang w:val="en-US" w:eastAsia="en-US"/>
        </w:rPr>
        <w:t>ing</w:t>
      </w:r>
      <w:r w:rsidRPr="007A3630">
        <w:rPr>
          <w:rFonts w:eastAsiaTheme="minorHAnsi"/>
          <w:lang w:val="en-US" w:eastAsia="en-US"/>
        </w:rPr>
        <w:t xml:space="preserve"> under SOX 404. The </w:t>
      </w:r>
      <w:r>
        <w:rPr>
          <w:rFonts w:eastAsiaTheme="minorHAnsi"/>
          <w:lang w:val="en-US" w:eastAsia="en-US"/>
        </w:rPr>
        <w:t>review</w:t>
      </w:r>
      <w:r w:rsidRPr="007A3630">
        <w:rPr>
          <w:rFonts w:eastAsiaTheme="minorHAnsi"/>
          <w:lang w:val="en-US" w:eastAsia="en-US"/>
        </w:rPr>
        <w:t xml:space="preserve"> period </w:t>
      </w:r>
      <w:r>
        <w:rPr>
          <w:rFonts w:eastAsiaTheme="minorHAnsi"/>
          <w:lang w:val="en-US" w:eastAsia="en-US"/>
        </w:rPr>
        <w:t>is</w:t>
      </w:r>
      <w:r w:rsidRPr="007A3630">
        <w:rPr>
          <w:rFonts w:eastAsiaTheme="minorHAnsi"/>
          <w:lang w:val="en-US" w:eastAsia="en-US"/>
        </w:rPr>
        <w:t xml:space="preserve"> 2004 t</w:t>
      </w:r>
      <w:r>
        <w:rPr>
          <w:rFonts w:eastAsiaTheme="minorHAnsi"/>
          <w:lang w:val="en-US" w:eastAsia="en-US"/>
        </w:rPr>
        <w:t>o</w:t>
      </w:r>
      <w:r w:rsidRPr="007A3630">
        <w:rPr>
          <w:rFonts w:eastAsiaTheme="minorHAnsi"/>
          <w:lang w:val="en-US" w:eastAsia="en-US"/>
        </w:rPr>
        <w:t xml:space="preserve"> 2006 and the data </w:t>
      </w:r>
      <w:r>
        <w:rPr>
          <w:rFonts w:eastAsiaTheme="minorHAnsi"/>
          <w:lang w:val="en-US" w:eastAsia="en-US"/>
        </w:rPr>
        <w:t>are</w:t>
      </w:r>
      <w:r w:rsidRPr="007A3630">
        <w:rPr>
          <w:rFonts w:eastAsiaTheme="minorHAnsi"/>
          <w:lang w:val="en-US" w:eastAsia="en-US"/>
        </w:rPr>
        <w:t xml:space="preserve"> collected from Audit Analytics. </w:t>
      </w:r>
      <w:r>
        <w:rPr>
          <w:rFonts w:eastAsiaTheme="minorHAnsi"/>
          <w:lang w:val="en-US" w:eastAsia="en-US"/>
        </w:rPr>
        <w:t>The accounting errors used by Grant et al. (2008) are coming from audit reports disclosed under SOX and categorized by Audit Analytics.</w:t>
      </w:r>
      <w:r>
        <w:rPr>
          <w:rFonts w:eastAsiaTheme="minorHAnsi"/>
          <w:lang w:val="en-US" w:eastAsia="en-US"/>
        </w:rPr>
        <w:br/>
      </w:r>
      <w:r w:rsidRPr="007A3630">
        <w:rPr>
          <w:rFonts w:eastAsiaTheme="minorHAnsi"/>
          <w:lang w:val="en-US" w:eastAsia="en-US"/>
        </w:rPr>
        <w:t>In the results of the statistical analysis the authors find that four accounting errors are significant</w:t>
      </w:r>
      <w:r>
        <w:rPr>
          <w:rFonts w:eastAsiaTheme="minorHAnsi"/>
          <w:lang w:val="en-US" w:eastAsia="en-US"/>
        </w:rPr>
        <w:t>ly</w:t>
      </w:r>
      <w:r w:rsidRPr="007A3630">
        <w:rPr>
          <w:rFonts w:eastAsiaTheme="minorHAnsi"/>
          <w:lang w:val="en-US" w:eastAsia="en-US"/>
        </w:rPr>
        <w:t xml:space="preserve"> correlated to IT control weaknesses. These accounting errors are: revenue recognition problems, receivables/investments/cash issues, vendor/cost of sales problems and disclosure issues (footnotes, US GAAP, segments etc.)</w:t>
      </w:r>
      <w:r>
        <w:rPr>
          <w:rFonts w:eastAsiaTheme="minorHAnsi"/>
          <w:lang w:val="en-US" w:eastAsia="en-US"/>
        </w:rPr>
        <w:t>.</w:t>
      </w:r>
      <w:r w:rsidRPr="007A3630">
        <w:rPr>
          <w:rFonts w:eastAsiaTheme="minorHAnsi"/>
          <w:lang w:val="en-US" w:eastAsia="en-US"/>
        </w:rPr>
        <w:t xml:space="preserve"> The limitation of this observational study is that the results only count for companies that report under SOX</w:t>
      </w:r>
      <w:r>
        <w:rPr>
          <w:rFonts w:eastAsiaTheme="minorHAnsi"/>
          <w:lang w:val="en-US" w:eastAsia="en-US"/>
        </w:rPr>
        <w:t>. This means that</w:t>
      </w:r>
      <w:r w:rsidRPr="007A3630">
        <w:rPr>
          <w:rFonts w:eastAsiaTheme="minorHAnsi"/>
          <w:lang w:val="en-US" w:eastAsia="en-US"/>
        </w:rPr>
        <w:t xml:space="preserve"> for smaller firm</w:t>
      </w:r>
      <w:r>
        <w:rPr>
          <w:rFonts w:eastAsiaTheme="minorHAnsi"/>
          <w:lang w:val="en-US" w:eastAsia="en-US"/>
        </w:rPr>
        <w:t>s,</w:t>
      </w:r>
      <w:r w:rsidRPr="007A3630">
        <w:rPr>
          <w:rFonts w:eastAsiaTheme="minorHAnsi"/>
          <w:lang w:val="en-US" w:eastAsia="en-US"/>
        </w:rPr>
        <w:t xml:space="preserve"> </w:t>
      </w:r>
      <w:r>
        <w:rPr>
          <w:rFonts w:eastAsiaTheme="minorHAnsi"/>
          <w:lang w:val="en-US" w:eastAsia="en-US"/>
        </w:rPr>
        <w:t>not</w:t>
      </w:r>
      <w:r w:rsidRPr="007A3630">
        <w:rPr>
          <w:rFonts w:eastAsiaTheme="minorHAnsi"/>
          <w:lang w:val="en-US" w:eastAsia="en-US"/>
        </w:rPr>
        <w:t xml:space="preserve"> hav</w:t>
      </w:r>
      <w:r>
        <w:rPr>
          <w:rFonts w:eastAsiaTheme="minorHAnsi"/>
          <w:lang w:val="en-US" w:eastAsia="en-US"/>
        </w:rPr>
        <w:t>ing</w:t>
      </w:r>
      <w:r w:rsidRPr="007A3630">
        <w:rPr>
          <w:rFonts w:eastAsiaTheme="minorHAnsi"/>
          <w:lang w:val="en-US" w:eastAsia="en-US"/>
        </w:rPr>
        <w:t xml:space="preserve"> to file IT control weaknesses</w:t>
      </w:r>
      <w:r>
        <w:rPr>
          <w:rFonts w:eastAsiaTheme="minorHAnsi"/>
          <w:lang w:val="en-US" w:eastAsia="en-US"/>
        </w:rPr>
        <w:t>,</w:t>
      </w:r>
      <w:r w:rsidRPr="007A3630">
        <w:rPr>
          <w:rFonts w:eastAsiaTheme="minorHAnsi"/>
          <w:lang w:val="en-US" w:eastAsia="en-US"/>
        </w:rPr>
        <w:t xml:space="preserve"> the result</w:t>
      </w:r>
      <w:r>
        <w:rPr>
          <w:rFonts w:eastAsiaTheme="minorHAnsi"/>
          <w:lang w:val="en-US" w:eastAsia="en-US"/>
        </w:rPr>
        <w:t>s</w:t>
      </w:r>
      <w:r w:rsidRPr="007A3630">
        <w:rPr>
          <w:rFonts w:eastAsiaTheme="minorHAnsi"/>
          <w:lang w:val="en-US" w:eastAsia="en-US"/>
        </w:rPr>
        <w:t xml:space="preserve"> c</w:t>
      </w:r>
      <w:r>
        <w:rPr>
          <w:rFonts w:eastAsiaTheme="minorHAnsi"/>
          <w:lang w:val="en-US" w:eastAsia="en-US"/>
        </w:rPr>
        <w:t>an</w:t>
      </w:r>
      <w:r w:rsidRPr="007A3630">
        <w:rPr>
          <w:rFonts w:eastAsiaTheme="minorHAnsi"/>
          <w:lang w:val="en-US" w:eastAsia="en-US"/>
        </w:rPr>
        <w:t xml:space="preserve"> be different.</w:t>
      </w:r>
    </w:p>
    <w:p w:rsidR="00B522AF" w:rsidRDefault="00B522AF" w:rsidP="00B522AF">
      <w:pPr>
        <w:rPr>
          <w:rFonts w:eastAsiaTheme="minorHAnsi"/>
          <w:lang w:val="en-US" w:eastAsia="en-US"/>
        </w:rPr>
      </w:pPr>
      <w:r w:rsidRPr="007A3630">
        <w:rPr>
          <w:rFonts w:eastAsiaTheme="minorHAnsi"/>
          <w:lang w:val="en-US" w:eastAsia="en-US"/>
        </w:rPr>
        <w:t>Li et al. (2007) investigate the relation between internal and external governance on IT control weaknesses. The governance is defined by the</w:t>
      </w:r>
      <w:r>
        <w:rPr>
          <w:rFonts w:eastAsiaTheme="minorHAnsi"/>
          <w:lang w:val="en-US" w:eastAsia="en-US"/>
        </w:rPr>
        <w:t xml:space="preserve"> quality</w:t>
      </w:r>
      <w:r w:rsidRPr="007A3630">
        <w:rPr>
          <w:rFonts w:eastAsiaTheme="minorHAnsi"/>
          <w:lang w:val="en-US" w:eastAsia="en-US"/>
        </w:rPr>
        <w:t xml:space="preserve"> of senior management, board of directors and audit committee on IT controls. The implementation of SOX </w:t>
      </w:r>
      <w:r>
        <w:rPr>
          <w:rFonts w:eastAsiaTheme="minorHAnsi"/>
          <w:lang w:val="en-US" w:eastAsia="en-US"/>
        </w:rPr>
        <w:t xml:space="preserve">is supposed to </w:t>
      </w:r>
      <w:r w:rsidRPr="007A3630">
        <w:rPr>
          <w:rFonts w:eastAsiaTheme="minorHAnsi"/>
          <w:lang w:val="en-US" w:eastAsia="en-US"/>
        </w:rPr>
        <w:t>ha</w:t>
      </w:r>
      <w:r>
        <w:rPr>
          <w:rFonts w:eastAsiaTheme="minorHAnsi"/>
          <w:lang w:val="en-US" w:eastAsia="en-US"/>
        </w:rPr>
        <w:t>ve</w:t>
      </w:r>
      <w:r w:rsidRPr="007A3630">
        <w:rPr>
          <w:rFonts w:eastAsiaTheme="minorHAnsi"/>
          <w:lang w:val="en-US" w:eastAsia="en-US"/>
        </w:rPr>
        <w:t xml:space="preserve"> </w:t>
      </w:r>
      <w:r>
        <w:rPr>
          <w:rFonts w:eastAsiaTheme="minorHAnsi"/>
          <w:lang w:val="en-US" w:eastAsia="en-US"/>
        </w:rPr>
        <w:t>improved</w:t>
      </w:r>
      <w:r w:rsidRPr="007A3630">
        <w:rPr>
          <w:rFonts w:eastAsiaTheme="minorHAnsi"/>
          <w:lang w:val="en-US" w:eastAsia="en-US"/>
        </w:rPr>
        <w:t xml:space="preserve"> the effectiveness of internal controls and also IT controls. Therefore th</w:t>
      </w:r>
      <w:r>
        <w:rPr>
          <w:rFonts w:eastAsiaTheme="minorHAnsi"/>
          <w:lang w:val="en-US" w:eastAsia="en-US"/>
        </w:rPr>
        <w:t>e authors</w:t>
      </w:r>
      <w:r w:rsidRPr="007A3630">
        <w:rPr>
          <w:rFonts w:eastAsiaTheme="minorHAnsi"/>
          <w:lang w:val="en-US" w:eastAsia="en-US"/>
        </w:rPr>
        <w:t xml:space="preserve"> want to examine the relation between the quality of senior management, directors and audit committee on IT control effectiveness.</w:t>
      </w:r>
      <w:r>
        <w:rPr>
          <w:rFonts w:eastAsiaTheme="minorHAnsi"/>
          <w:lang w:val="en-US" w:eastAsia="en-US"/>
        </w:rPr>
        <w:t xml:space="preserve"> The quality of the governance is measured by looking at different proxies that look at experience in IT or independent directors and the existence of a Chief Information Officer (CIO) position.</w:t>
      </w:r>
      <w:r w:rsidRPr="007A3630">
        <w:rPr>
          <w:rFonts w:eastAsiaTheme="minorHAnsi"/>
          <w:lang w:val="en-US" w:eastAsia="en-US"/>
        </w:rPr>
        <w:br/>
        <w:t xml:space="preserve">The IT control weaknesses are </w:t>
      </w:r>
      <w:r>
        <w:rPr>
          <w:rFonts w:eastAsiaTheme="minorHAnsi"/>
          <w:lang w:val="en-US" w:eastAsia="en-US"/>
        </w:rPr>
        <w:t>deriv</w:t>
      </w:r>
      <w:r w:rsidRPr="007A3630">
        <w:rPr>
          <w:rFonts w:eastAsiaTheme="minorHAnsi"/>
          <w:lang w:val="en-US" w:eastAsia="en-US"/>
        </w:rPr>
        <w:t>ed from the disclosure of SOX 404 report</w:t>
      </w:r>
      <w:r>
        <w:rPr>
          <w:rFonts w:eastAsiaTheme="minorHAnsi"/>
          <w:lang w:val="en-US" w:eastAsia="en-US"/>
        </w:rPr>
        <w:t>s</w:t>
      </w:r>
      <w:r w:rsidRPr="007A3630">
        <w:rPr>
          <w:rFonts w:eastAsiaTheme="minorHAnsi"/>
          <w:lang w:val="en-US" w:eastAsia="en-US"/>
        </w:rPr>
        <w:t xml:space="preserve"> on material weaknesses. The authors categorize all disclosed material weaknesses to IT related or not-IT related. The internal and external governance variables are: 1) IT experience CEO/CFO, 2) existence of</w:t>
      </w:r>
      <w:r>
        <w:rPr>
          <w:rFonts w:eastAsiaTheme="minorHAnsi"/>
          <w:lang w:val="en-US" w:eastAsia="en-US"/>
        </w:rPr>
        <w:t xml:space="preserve"> CIO</w:t>
      </w:r>
      <w:r w:rsidRPr="007A3630">
        <w:rPr>
          <w:rFonts w:eastAsiaTheme="minorHAnsi"/>
          <w:lang w:val="en-US" w:eastAsia="en-US"/>
        </w:rPr>
        <w:t xml:space="preserve"> position, 3) IT experience senior management and 4) number of independent directors. The sample is taken from Audit Analytics for the SOX 404 disclosure of material weaknesses</w:t>
      </w:r>
      <w:r>
        <w:rPr>
          <w:rFonts w:eastAsiaTheme="minorHAnsi"/>
          <w:lang w:val="en-US" w:eastAsia="en-US"/>
        </w:rPr>
        <w:t>. The data on</w:t>
      </w:r>
      <w:r w:rsidRPr="007A3630">
        <w:rPr>
          <w:rFonts w:eastAsiaTheme="minorHAnsi"/>
          <w:lang w:val="en-US" w:eastAsia="en-US"/>
        </w:rPr>
        <w:t xml:space="preserve"> financial control variables </w:t>
      </w:r>
      <w:r>
        <w:rPr>
          <w:rFonts w:eastAsiaTheme="minorHAnsi"/>
          <w:lang w:val="en-US" w:eastAsia="en-US"/>
        </w:rPr>
        <w:t>i</w:t>
      </w:r>
      <w:r w:rsidRPr="007A3630">
        <w:rPr>
          <w:rFonts w:eastAsiaTheme="minorHAnsi"/>
          <w:lang w:val="en-US" w:eastAsia="en-US"/>
        </w:rPr>
        <w:t>s taken from Compustat. The sample consist</w:t>
      </w:r>
      <w:r>
        <w:rPr>
          <w:rFonts w:eastAsiaTheme="minorHAnsi"/>
          <w:lang w:val="en-US" w:eastAsia="en-US"/>
        </w:rPr>
        <w:t>s</w:t>
      </w:r>
      <w:r w:rsidRPr="007A3630">
        <w:rPr>
          <w:rFonts w:eastAsiaTheme="minorHAnsi"/>
          <w:lang w:val="en-US" w:eastAsia="en-US"/>
        </w:rPr>
        <w:t xml:space="preserve"> of 626 companies, of which 110 had IT control weaknesses.</w:t>
      </w:r>
      <w:r>
        <w:rPr>
          <w:rFonts w:eastAsiaTheme="minorHAnsi"/>
          <w:lang w:val="en-US" w:eastAsia="en-US"/>
        </w:rPr>
        <w:t xml:space="preserve"> The sample </w:t>
      </w:r>
      <w:r w:rsidRPr="007A3630">
        <w:rPr>
          <w:rFonts w:eastAsiaTheme="minorHAnsi"/>
          <w:lang w:val="en-US" w:eastAsia="en-US"/>
        </w:rPr>
        <w:t>period is the year 2005</w:t>
      </w:r>
      <w:r>
        <w:rPr>
          <w:rFonts w:eastAsiaTheme="minorHAnsi"/>
          <w:lang w:val="en-US" w:eastAsia="en-US"/>
        </w:rPr>
        <w:t>.</w:t>
      </w:r>
      <w:r w:rsidRPr="007A3630">
        <w:rPr>
          <w:rFonts w:eastAsiaTheme="minorHAnsi"/>
          <w:lang w:val="en-US" w:eastAsia="en-US"/>
        </w:rPr>
        <w:br/>
      </w:r>
      <w:r>
        <w:rPr>
          <w:rFonts w:eastAsiaTheme="minorHAnsi"/>
          <w:lang w:val="en-US" w:eastAsia="en-US"/>
        </w:rPr>
        <w:t>On the basis of</w:t>
      </w:r>
      <w:r w:rsidRPr="007A3630">
        <w:rPr>
          <w:rFonts w:eastAsiaTheme="minorHAnsi"/>
          <w:lang w:val="en-US" w:eastAsia="en-US"/>
        </w:rPr>
        <w:t xml:space="preserve"> </w:t>
      </w:r>
      <w:r>
        <w:rPr>
          <w:rFonts w:eastAsiaTheme="minorHAnsi"/>
          <w:lang w:val="en-US" w:eastAsia="en-US"/>
        </w:rPr>
        <w:t xml:space="preserve">multivariate regression </w:t>
      </w:r>
      <w:r w:rsidRPr="007A3630">
        <w:rPr>
          <w:rFonts w:eastAsiaTheme="minorHAnsi"/>
          <w:lang w:val="en-US" w:eastAsia="en-US"/>
        </w:rPr>
        <w:t xml:space="preserve">the authors conclude that companies </w:t>
      </w:r>
      <w:r>
        <w:rPr>
          <w:rFonts w:eastAsiaTheme="minorHAnsi"/>
          <w:lang w:val="en-US" w:eastAsia="en-US"/>
        </w:rPr>
        <w:t xml:space="preserve">having </w:t>
      </w:r>
      <w:r w:rsidRPr="007A3630">
        <w:rPr>
          <w:rFonts w:eastAsiaTheme="minorHAnsi"/>
          <w:lang w:val="en-US" w:eastAsia="en-US"/>
        </w:rPr>
        <w:t>managers with IT experience are significant</w:t>
      </w:r>
      <w:r>
        <w:rPr>
          <w:rFonts w:eastAsiaTheme="minorHAnsi"/>
          <w:lang w:val="en-US" w:eastAsia="en-US"/>
        </w:rPr>
        <w:t>ly</w:t>
      </w:r>
      <w:r w:rsidRPr="007A3630">
        <w:rPr>
          <w:rFonts w:eastAsiaTheme="minorHAnsi"/>
          <w:lang w:val="en-US" w:eastAsia="en-US"/>
        </w:rPr>
        <w:t xml:space="preserve"> less likely to have IT control weaknesses than companies </w:t>
      </w:r>
      <w:r>
        <w:rPr>
          <w:rFonts w:eastAsiaTheme="minorHAnsi"/>
          <w:lang w:val="en-US" w:eastAsia="en-US"/>
        </w:rPr>
        <w:t>having</w:t>
      </w:r>
      <w:r w:rsidRPr="007A3630">
        <w:rPr>
          <w:rFonts w:eastAsiaTheme="minorHAnsi"/>
          <w:lang w:val="en-US" w:eastAsia="en-US"/>
        </w:rPr>
        <w:t xml:space="preserve"> </w:t>
      </w:r>
      <w:r>
        <w:rPr>
          <w:rFonts w:eastAsiaTheme="minorHAnsi"/>
          <w:lang w:val="en-US" w:eastAsia="en-US"/>
        </w:rPr>
        <w:t xml:space="preserve">managers without </w:t>
      </w:r>
      <w:r w:rsidRPr="007A3630">
        <w:rPr>
          <w:rFonts w:eastAsiaTheme="minorHAnsi"/>
          <w:lang w:val="en-US" w:eastAsia="en-US"/>
        </w:rPr>
        <w:t>IT experience. Also relatively more independent directors mean significant</w:t>
      </w:r>
      <w:r>
        <w:rPr>
          <w:rFonts w:eastAsiaTheme="minorHAnsi"/>
          <w:lang w:val="en-US" w:eastAsia="en-US"/>
        </w:rPr>
        <w:t>ly</w:t>
      </w:r>
      <w:r w:rsidRPr="007A3630">
        <w:rPr>
          <w:rFonts w:eastAsiaTheme="minorHAnsi"/>
          <w:lang w:val="en-US" w:eastAsia="en-US"/>
        </w:rPr>
        <w:t xml:space="preserve"> less IT control weaknesses. The main conclusion is that internal and external governance have an influence on IT control quality.</w:t>
      </w:r>
      <w:r>
        <w:rPr>
          <w:rFonts w:eastAsiaTheme="minorHAnsi"/>
          <w:lang w:val="en-US" w:eastAsia="en-US"/>
        </w:rPr>
        <w:t xml:space="preserve"> Like Li et al. (2012) Li et al. (2007) have similar results for the control variables; restructuring does</w:t>
      </w:r>
      <w:r w:rsidR="00173633">
        <w:rPr>
          <w:rFonts w:eastAsiaTheme="minorHAnsi"/>
          <w:lang w:val="en-US" w:eastAsia="en-US"/>
        </w:rPr>
        <w:t xml:space="preserve"> </w:t>
      </w:r>
      <w:r>
        <w:rPr>
          <w:rFonts w:eastAsiaTheme="minorHAnsi"/>
          <w:lang w:val="en-US" w:eastAsia="en-US"/>
        </w:rPr>
        <w:t>n</w:t>
      </w:r>
      <w:r w:rsidR="00173633">
        <w:rPr>
          <w:rFonts w:eastAsiaTheme="minorHAnsi"/>
          <w:lang w:val="en-US" w:eastAsia="en-US"/>
        </w:rPr>
        <w:t>o</w:t>
      </w:r>
      <w:r>
        <w:rPr>
          <w:rFonts w:eastAsiaTheme="minorHAnsi"/>
          <w:lang w:val="en-US" w:eastAsia="en-US"/>
        </w:rPr>
        <w:t>t have a significant effect, while sales growth, leverage and earnings are significant.</w:t>
      </w:r>
      <w:r w:rsidRPr="007A3630">
        <w:rPr>
          <w:rFonts w:eastAsiaTheme="minorHAnsi"/>
          <w:lang w:val="en-US" w:eastAsia="en-US"/>
        </w:rPr>
        <w:t xml:space="preserve"> The importan</w:t>
      </w:r>
      <w:r w:rsidR="00D16E1E">
        <w:rPr>
          <w:rFonts w:eastAsiaTheme="minorHAnsi"/>
          <w:lang w:val="en-US" w:eastAsia="en-US"/>
        </w:rPr>
        <w:t>t limitation of this research is</w:t>
      </w:r>
      <w:r w:rsidRPr="007A3630">
        <w:rPr>
          <w:rFonts w:eastAsiaTheme="minorHAnsi"/>
          <w:lang w:val="en-US" w:eastAsia="en-US"/>
        </w:rPr>
        <w:t xml:space="preserve"> the sample size and the length of the sample period, there are only 626 firms investigated for only one year</w:t>
      </w:r>
      <w:r>
        <w:rPr>
          <w:rFonts w:eastAsiaTheme="minorHAnsi"/>
          <w:lang w:val="en-US" w:eastAsia="en-US"/>
        </w:rPr>
        <w:t>. T</w:t>
      </w:r>
      <w:r w:rsidRPr="007A3630">
        <w:rPr>
          <w:rFonts w:eastAsiaTheme="minorHAnsi"/>
          <w:lang w:val="en-US" w:eastAsia="en-US"/>
        </w:rPr>
        <w:t xml:space="preserve">his could be expanded to increase the robustness. </w:t>
      </w:r>
    </w:p>
    <w:p w:rsidR="00B522AF" w:rsidRDefault="00173633" w:rsidP="007A3630">
      <w:pPr>
        <w:rPr>
          <w:rFonts w:eastAsiaTheme="minorHAnsi"/>
          <w:b/>
          <w:i/>
          <w:lang w:val="en-US" w:eastAsia="en-US"/>
        </w:rPr>
      </w:pPr>
      <w:r>
        <w:rPr>
          <w:rFonts w:eastAsiaTheme="minorHAnsi"/>
          <w:lang w:val="en-US" w:eastAsia="en-US"/>
        </w:rPr>
        <w:t>T</w:t>
      </w:r>
      <w:r w:rsidR="008F51BA">
        <w:rPr>
          <w:rFonts w:eastAsiaTheme="minorHAnsi"/>
          <w:lang w:val="en-US" w:eastAsia="en-US"/>
        </w:rPr>
        <w:t xml:space="preserve">able 2 </w:t>
      </w:r>
      <w:r>
        <w:rPr>
          <w:rFonts w:eastAsiaTheme="minorHAnsi"/>
          <w:lang w:val="en-US" w:eastAsia="en-US"/>
        </w:rPr>
        <w:t xml:space="preserve">summarizes </w:t>
      </w:r>
      <w:r w:rsidR="008F51BA">
        <w:rPr>
          <w:rFonts w:eastAsiaTheme="minorHAnsi"/>
          <w:lang w:val="en-US" w:eastAsia="en-US"/>
        </w:rPr>
        <w:t xml:space="preserve">all literature </w:t>
      </w:r>
      <w:r>
        <w:rPr>
          <w:rFonts w:eastAsiaTheme="minorHAnsi"/>
          <w:lang w:val="en-US" w:eastAsia="en-US"/>
        </w:rPr>
        <w:t xml:space="preserve">discussed </w:t>
      </w:r>
      <w:r w:rsidR="008F51BA">
        <w:rPr>
          <w:rFonts w:eastAsiaTheme="minorHAnsi"/>
          <w:lang w:val="en-US" w:eastAsia="en-US"/>
        </w:rPr>
        <w:t xml:space="preserve">and provides information about the authors, object of study, the sample selection, the research method and the outcome of the empirical </w:t>
      </w:r>
      <w:r w:rsidR="007E09B6">
        <w:rPr>
          <w:rFonts w:eastAsiaTheme="minorHAnsi"/>
          <w:lang w:val="en-US" w:eastAsia="en-US"/>
        </w:rPr>
        <w:t>regressions.</w:t>
      </w:r>
    </w:p>
    <w:p w:rsidR="00B522AF" w:rsidRPr="0006085D" w:rsidRDefault="00B522AF" w:rsidP="0006085D">
      <w:pPr>
        <w:pStyle w:val="NoSpacing"/>
        <w:rPr>
          <w:rFonts w:eastAsiaTheme="minorHAnsi"/>
          <w:b/>
          <w:i/>
          <w:lang w:eastAsia="en-US"/>
        </w:rPr>
      </w:pPr>
      <w:r w:rsidRPr="0006085D">
        <w:rPr>
          <w:rFonts w:eastAsiaTheme="minorHAnsi"/>
          <w:b/>
          <w:i/>
          <w:lang w:eastAsia="en-US"/>
        </w:rPr>
        <w:t>Table 2</w:t>
      </w:r>
      <w:r w:rsidR="009970FC" w:rsidRPr="0006085D">
        <w:rPr>
          <w:rFonts w:eastAsiaTheme="minorHAnsi"/>
          <w:b/>
          <w:i/>
          <w:lang w:eastAsia="en-US"/>
        </w:rPr>
        <w:t>:</w:t>
      </w:r>
      <w:r w:rsidRPr="0006085D">
        <w:rPr>
          <w:rFonts w:eastAsiaTheme="minorHAnsi"/>
          <w:b/>
          <w:i/>
          <w:lang w:eastAsia="en-US"/>
        </w:rPr>
        <w:t xml:space="preserve"> Summary of relevant empirical research in (IT -) material control weaknesses</w:t>
      </w:r>
    </w:p>
    <w:tbl>
      <w:tblPr>
        <w:tblStyle w:val="TableGrid"/>
        <w:tblW w:w="10568" w:type="dxa"/>
        <w:tblInd w:w="-459" w:type="dxa"/>
        <w:tblLook w:val="04A0"/>
      </w:tblPr>
      <w:tblGrid>
        <w:gridCol w:w="1135"/>
        <w:gridCol w:w="2268"/>
        <w:gridCol w:w="2267"/>
        <w:gridCol w:w="1560"/>
        <w:gridCol w:w="3338"/>
      </w:tblGrid>
      <w:tr w:rsidR="00B522AF" w:rsidRPr="009C4286" w:rsidTr="0006085D">
        <w:trPr>
          <w:trHeight w:val="559"/>
        </w:trPr>
        <w:tc>
          <w:tcPr>
            <w:tcW w:w="1135" w:type="dxa"/>
          </w:tcPr>
          <w:p w:rsidR="00B522AF" w:rsidRPr="00D827ED" w:rsidRDefault="00B522AF" w:rsidP="00383521">
            <w:pPr>
              <w:rPr>
                <w:b/>
                <w:lang w:val="en-US"/>
              </w:rPr>
            </w:pPr>
            <w:r>
              <w:rPr>
                <w:rFonts w:eastAsiaTheme="minorHAnsi"/>
                <w:lang w:val="en-US" w:eastAsia="en-US"/>
              </w:rPr>
              <w:br/>
            </w:r>
            <w:r w:rsidRPr="00D827ED">
              <w:rPr>
                <w:b/>
                <w:lang w:val="en-US"/>
              </w:rPr>
              <w:t>Authors</w:t>
            </w:r>
          </w:p>
        </w:tc>
        <w:tc>
          <w:tcPr>
            <w:tcW w:w="2268" w:type="dxa"/>
          </w:tcPr>
          <w:p w:rsidR="00B522AF" w:rsidRPr="00D827ED" w:rsidRDefault="00B522AF" w:rsidP="00383521">
            <w:pPr>
              <w:rPr>
                <w:b/>
                <w:lang w:val="en-US"/>
              </w:rPr>
            </w:pPr>
            <w:r w:rsidRPr="00D827ED">
              <w:rPr>
                <w:b/>
                <w:lang w:val="en-US"/>
              </w:rPr>
              <w:t>Object of study</w:t>
            </w:r>
          </w:p>
        </w:tc>
        <w:tc>
          <w:tcPr>
            <w:tcW w:w="2267" w:type="dxa"/>
          </w:tcPr>
          <w:p w:rsidR="00B522AF" w:rsidRPr="00D827ED" w:rsidRDefault="00B522AF" w:rsidP="00383521">
            <w:pPr>
              <w:rPr>
                <w:b/>
                <w:lang w:val="en-US"/>
              </w:rPr>
            </w:pPr>
            <w:r w:rsidRPr="00D827ED">
              <w:rPr>
                <w:b/>
                <w:lang w:val="en-US"/>
              </w:rPr>
              <w:t>Sample</w:t>
            </w:r>
          </w:p>
        </w:tc>
        <w:tc>
          <w:tcPr>
            <w:tcW w:w="1560" w:type="dxa"/>
          </w:tcPr>
          <w:p w:rsidR="00B522AF" w:rsidRPr="00D827ED" w:rsidRDefault="00B522AF" w:rsidP="00383521">
            <w:pPr>
              <w:rPr>
                <w:b/>
                <w:lang w:val="en-US"/>
              </w:rPr>
            </w:pPr>
            <w:r w:rsidRPr="00D827ED">
              <w:rPr>
                <w:b/>
                <w:lang w:val="en-US"/>
              </w:rPr>
              <w:t>Research methodology</w:t>
            </w:r>
          </w:p>
        </w:tc>
        <w:tc>
          <w:tcPr>
            <w:tcW w:w="3338" w:type="dxa"/>
          </w:tcPr>
          <w:p w:rsidR="00B522AF" w:rsidRPr="00D827ED" w:rsidRDefault="00B522AF" w:rsidP="00383521">
            <w:pPr>
              <w:rPr>
                <w:b/>
                <w:lang w:val="en-US"/>
              </w:rPr>
            </w:pPr>
            <w:r w:rsidRPr="00D827ED">
              <w:rPr>
                <w:b/>
                <w:lang w:val="en-US"/>
              </w:rPr>
              <w:t>Outcome</w:t>
            </w:r>
          </w:p>
        </w:tc>
      </w:tr>
      <w:tr w:rsidR="00B522AF" w:rsidRPr="002D4197" w:rsidTr="0006085D">
        <w:trPr>
          <w:trHeight w:val="1954"/>
        </w:trPr>
        <w:tc>
          <w:tcPr>
            <w:tcW w:w="1135" w:type="dxa"/>
          </w:tcPr>
          <w:p w:rsidR="00B522AF" w:rsidRPr="009C4286" w:rsidRDefault="00B522AF" w:rsidP="00383521">
            <w:pPr>
              <w:rPr>
                <w:lang w:val="en-US"/>
              </w:rPr>
            </w:pPr>
            <w:r w:rsidRPr="00F510BF">
              <w:rPr>
                <w:lang w:val="en-US"/>
              </w:rPr>
              <w:t>Doyle et al. (2007)</w:t>
            </w:r>
          </w:p>
        </w:tc>
        <w:tc>
          <w:tcPr>
            <w:tcW w:w="2268" w:type="dxa"/>
          </w:tcPr>
          <w:p w:rsidR="00B522AF" w:rsidRPr="009C4286" w:rsidRDefault="00B522AF" w:rsidP="00383521">
            <w:pPr>
              <w:rPr>
                <w:lang w:val="en-US"/>
              </w:rPr>
            </w:pPr>
            <w:r>
              <w:rPr>
                <w:lang w:val="en-US"/>
              </w:rPr>
              <w:t>Examining</w:t>
            </w:r>
            <w:r w:rsidRPr="009E7F80">
              <w:rPr>
                <w:lang w:val="en-US"/>
              </w:rPr>
              <w:t xml:space="preserve"> the firm characteristics</w:t>
            </w:r>
            <w:r>
              <w:rPr>
                <w:lang w:val="en-US"/>
              </w:rPr>
              <w:t xml:space="preserve"> (Firm size, firm age, financial distress etc.)</w:t>
            </w:r>
            <w:r w:rsidRPr="009E7F80">
              <w:rPr>
                <w:lang w:val="en-US"/>
              </w:rPr>
              <w:t xml:space="preserve"> </w:t>
            </w:r>
            <w:r>
              <w:rPr>
                <w:lang w:val="en-US"/>
              </w:rPr>
              <w:t xml:space="preserve">in relation to </w:t>
            </w:r>
            <w:r w:rsidRPr="009E7F80">
              <w:rPr>
                <w:lang w:val="en-US"/>
              </w:rPr>
              <w:t>internal control weaknesses</w:t>
            </w:r>
            <w:r>
              <w:rPr>
                <w:lang w:val="en-US"/>
              </w:rPr>
              <w:t>.</w:t>
            </w:r>
          </w:p>
        </w:tc>
        <w:tc>
          <w:tcPr>
            <w:tcW w:w="2267" w:type="dxa"/>
          </w:tcPr>
          <w:p w:rsidR="00B522AF" w:rsidRPr="009C4286" w:rsidRDefault="00B522AF" w:rsidP="00383521">
            <w:pPr>
              <w:rPr>
                <w:lang w:val="en-US"/>
              </w:rPr>
            </w:pPr>
            <w:r>
              <w:rPr>
                <w:lang w:val="en-US"/>
              </w:rPr>
              <w:t>S</w:t>
            </w:r>
            <w:r w:rsidRPr="009E7F80">
              <w:rPr>
                <w:lang w:val="en-US"/>
              </w:rPr>
              <w:t>ample</w:t>
            </w:r>
            <w:r>
              <w:rPr>
                <w:lang w:val="en-US"/>
              </w:rPr>
              <w:t xml:space="preserve"> consists of</w:t>
            </w:r>
            <w:r w:rsidRPr="009E7F80">
              <w:rPr>
                <w:lang w:val="en-US"/>
              </w:rPr>
              <w:t xml:space="preserve"> 970 firms </w:t>
            </w:r>
            <w:r>
              <w:rPr>
                <w:lang w:val="en-US"/>
              </w:rPr>
              <w:t>from 2002 to 2005 and is separated in a company level weakness group and an account specific weakness group.</w:t>
            </w:r>
          </w:p>
        </w:tc>
        <w:tc>
          <w:tcPr>
            <w:tcW w:w="1560" w:type="dxa"/>
          </w:tcPr>
          <w:p w:rsidR="00B522AF" w:rsidRPr="009C4286" w:rsidRDefault="00B522AF" w:rsidP="00383521">
            <w:pPr>
              <w:rPr>
                <w:lang w:val="en-US"/>
              </w:rPr>
            </w:pPr>
            <w:r w:rsidRPr="009E7F80">
              <w:rPr>
                <w:lang w:val="en-US"/>
              </w:rPr>
              <w:t>Archival/ database research from Audit Analytics and Compustat</w:t>
            </w:r>
            <w:r>
              <w:rPr>
                <w:lang w:val="en-US"/>
              </w:rPr>
              <w:t>.</w:t>
            </w:r>
          </w:p>
        </w:tc>
        <w:tc>
          <w:tcPr>
            <w:tcW w:w="3338" w:type="dxa"/>
          </w:tcPr>
          <w:p w:rsidR="00B522AF" w:rsidRPr="009C4286" w:rsidRDefault="00B522AF" w:rsidP="00383521">
            <w:pPr>
              <w:rPr>
                <w:lang w:val="en-US"/>
              </w:rPr>
            </w:pPr>
            <w:r>
              <w:rPr>
                <w:lang w:val="en-US"/>
              </w:rPr>
              <w:t xml:space="preserve">The </w:t>
            </w:r>
            <w:r w:rsidRPr="009E7F80">
              <w:rPr>
                <w:lang w:val="en-US"/>
              </w:rPr>
              <w:t>firm size and age are significant</w:t>
            </w:r>
            <w:r>
              <w:rPr>
                <w:lang w:val="en-US"/>
              </w:rPr>
              <w:t>ly</w:t>
            </w:r>
            <w:r w:rsidRPr="009E7F80">
              <w:rPr>
                <w:lang w:val="en-US"/>
              </w:rPr>
              <w:t xml:space="preserve"> related to</w:t>
            </w:r>
            <w:r>
              <w:rPr>
                <w:lang w:val="en-US"/>
              </w:rPr>
              <w:t xml:space="preserve"> the number of material weaknesses. Restructuring organizations are also more likely to have more weaknesses. </w:t>
            </w:r>
          </w:p>
        </w:tc>
      </w:tr>
      <w:tr w:rsidR="00B522AF" w:rsidRPr="002D4197" w:rsidTr="0006085D">
        <w:trPr>
          <w:trHeight w:val="1910"/>
        </w:trPr>
        <w:tc>
          <w:tcPr>
            <w:tcW w:w="1135" w:type="dxa"/>
          </w:tcPr>
          <w:p w:rsidR="00B522AF" w:rsidRPr="009C4286" w:rsidRDefault="00B522AF" w:rsidP="00383521">
            <w:pPr>
              <w:rPr>
                <w:lang w:val="en-US"/>
              </w:rPr>
            </w:pPr>
            <w:r w:rsidRPr="00F510BF">
              <w:rPr>
                <w:lang w:val="en-US"/>
              </w:rPr>
              <w:t>Morris (2011)</w:t>
            </w:r>
          </w:p>
        </w:tc>
        <w:tc>
          <w:tcPr>
            <w:tcW w:w="2268" w:type="dxa"/>
          </w:tcPr>
          <w:p w:rsidR="00B522AF" w:rsidRPr="00CE439A" w:rsidRDefault="00B522AF" w:rsidP="00383521">
            <w:pPr>
              <w:rPr>
                <w:lang w:val="en-US"/>
              </w:rPr>
            </w:pPr>
            <w:r>
              <w:rPr>
                <w:lang w:val="en-US"/>
              </w:rPr>
              <w:t xml:space="preserve">Studies </w:t>
            </w:r>
            <w:r w:rsidRPr="00CE439A">
              <w:rPr>
                <w:lang w:val="en-US"/>
              </w:rPr>
              <w:t>the influence of an Enterprise Resource Planning (ERP) system on the internal control system</w:t>
            </w:r>
            <w:r>
              <w:rPr>
                <w:lang w:val="en-US"/>
              </w:rPr>
              <w:t>.</w:t>
            </w:r>
          </w:p>
        </w:tc>
        <w:tc>
          <w:tcPr>
            <w:tcW w:w="2267" w:type="dxa"/>
          </w:tcPr>
          <w:p w:rsidR="00B522AF" w:rsidRPr="009C4286" w:rsidRDefault="00B522AF" w:rsidP="00383521">
            <w:pPr>
              <w:rPr>
                <w:lang w:val="en-US"/>
              </w:rPr>
            </w:pPr>
            <w:r w:rsidRPr="00CE439A">
              <w:rPr>
                <w:lang w:val="en-US"/>
              </w:rPr>
              <w:t xml:space="preserve">The sample </w:t>
            </w:r>
            <w:r>
              <w:rPr>
                <w:lang w:val="en-US"/>
              </w:rPr>
              <w:t>includes</w:t>
            </w:r>
            <w:r w:rsidRPr="00CE439A">
              <w:rPr>
                <w:lang w:val="en-US"/>
              </w:rPr>
              <w:t xml:space="preserve"> a group of ERP firm</w:t>
            </w:r>
            <w:r>
              <w:rPr>
                <w:lang w:val="en-US"/>
              </w:rPr>
              <w:t>s</w:t>
            </w:r>
            <w:r w:rsidRPr="00CE439A">
              <w:rPr>
                <w:lang w:val="en-US"/>
              </w:rPr>
              <w:t xml:space="preserve"> (108) and a group </w:t>
            </w:r>
            <w:r>
              <w:rPr>
                <w:lang w:val="en-US"/>
              </w:rPr>
              <w:t>of</w:t>
            </w:r>
            <w:r w:rsidRPr="00CE439A">
              <w:rPr>
                <w:lang w:val="en-US"/>
              </w:rPr>
              <w:t xml:space="preserve"> non-ERP firms (377) and was collected between 1997 </w:t>
            </w:r>
            <w:r>
              <w:rPr>
                <w:lang w:val="en-US"/>
              </w:rPr>
              <w:t>and</w:t>
            </w:r>
            <w:r w:rsidRPr="00CE439A">
              <w:rPr>
                <w:lang w:val="en-US"/>
              </w:rPr>
              <w:t xml:space="preserve"> 2008.</w:t>
            </w:r>
          </w:p>
        </w:tc>
        <w:tc>
          <w:tcPr>
            <w:tcW w:w="1560" w:type="dxa"/>
          </w:tcPr>
          <w:p w:rsidR="00B522AF" w:rsidRPr="009C4286" w:rsidRDefault="00B522AF" w:rsidP="00383521">
            <w:pPr>
              <w:rPr>
                <w:lang w:val="en-US"/>
              </w:rPr>
            </w:pPr>
            <w:r w:rsidRPr="00CE439A">
              <w:rPr>
                <w:lang w:val="en-US"/>
              </w:rPr>
              <w:t>Archival/ database research from Audit Analytics</w:t>
            </w:r>
            <w:r>
              <w:rPr>
                <w:lang w:val="en-US"/>
              </w:rPr>
              <w:t>.</w:t>
            </w:r>
            <w:r w:rsidRPr="00CE439A">
              <w:rPr>
                <w:lang w:val="en-US"/>
              </w:rPr>
              <w:t xml:space="preserve"> </w:t>
            </w:r>
          </w:p>
        </w:tc>
        <w:tc>
          <w:tcPr>
            <w:tcW w:w="3338" w:type="dxa"/>
          </w:tcPr>
          <w:p w:rsidR="00B522AF" w:rsidRPr="009F18AB" w:rsidRDefault="00B522AF" w:rsidP="00383521">
            <w:pPr>
              <w:rPr>
                <w:lang w:val="en-US"/>
              </w:rPr>
            </w:pPr>
            <w:r w:rsidRPr="009F18AB">
              <w:rPr>
                <w:lang w:val="en-US"/>
              </w:rPr>
              <w:t>ERP firms have significant</w:t>
            </w:r>
            <w:r>
              <w:rPr>
                <w:lang w:val="en-US"/>
              </w:rPr>
              <w:t>ly</w:t>
            </w:r>
            <w:r w:rsidRPr="009F18AB">
              <w:rPr>
                <w:lang w:val="en-US"/>
              </w:rPr>
              <w:t xml:space="preserve"> less internal control weaknesses than non-ERP companies. The additional analysis show</w:t>
            </w:r>
            <w:r>
              <w:rPr>
                <w:lang w:val="en-US"/>
              </w:rPr>
              <w:t>s</w:t>
            </w:r>
            <w:r w:rsidRPr="009F18AB">
              <w:rPr>
                <w:lang w:val="en-US"/>
              </w:rPr>
              <w:t xml:space="preserve"> that there is no difference between specific and general contr</w:t>
            </w:r>
            <w:r>
              <w:rPr>
                <w:lang w:val="en-US"/>
              </w:rPr>
              <w:t>ol weaknesses for the ERP firms.</w:t>
            </w:r>
            <w:r w:rsidRPr="009F18AB">
              <w:rPr>
                <w:lang w:val="en-US"/>
              </w:rPr>
              <w:t xml:space="preserve"> </w:t>
            </w:r>
          </w:p>
        </w:tc>
      </w:tr>
      <w:tr w:rsidR="00B522AF" w:rsidRPr="002D4197" w:rsidTr="0006085D">
        <w:trPr>
          <w:trHeight w:val="1806"/>
        </w:trPr>
        <w:tc>
          <w:tcPr>
            <w:tcW w:w="1135" w:type="dxa"/>
          </w:tcPr>
          <w:p w:rsidR="00B522AF" w:rsidRPr="009C4286" w:rsidRDefault="00B522AF" w:rsidP="00383521">
            <w:pPr>
              <w:rPr>
                <w:lang w:val="en-US"/>
              </w:rPr>
            </w:pPr>
            <w:r w:rsidRPr="00F510BF">
              <w:rPr>
                <w:lang w:val="en-US"/>
              </w:rPr>
              <w:t>Li et al. (2012)</w:t>
            </w:r>
          </w:p>
        </w:tc>
        <w:tc>
          <w:tcPr>
            <w:tcW w:w="2268" w:type="dxa"/>
          </w:tcPr>
          <w:p w:rsidR="00B522AF" w:rsidRPr="009C4286" w:rsidRDefault="00B522AF" w:rsidP="00383521">
            <w:pPr>
              <w:rPr>
                <w:lang w:val="en-US"/>
              </w:rPr>
            </w:pPr>
            <w:r>
              <w:rPr>
                <w:lang w:val="en-US"/>
              </w:rPr>
              <w:t>R</w:t>
            </w:r>
            <w:r w:rsidRPr="00200C46">
              <w:rPr>
                <w:lang w:val="en-US"/>
              </w:rPr>
              <w:t>elation between the IT control weaknesses and the management information system</w:t>
            </w:r>
            <w:r>
              <w:rPr>
                <w:lang w:val="en-US"/>
              </w:rPr>
              <w:t>.</w:t>
            </w:r>
          </w:p>
        </w:tc>
        <w:tc>
          <w:tcPr>
            <w:tcW w:w="2267" w:type="dxa"/>
          </w:tcPr>
          <w:p w:rsidR="00B522AF" w:rsidRPr="009C4286" w:rsidRDefault="00B522AF" w:rsidP="00E14E59">
            <w:pPr>
              <w:rPr>
                <w:lang w:val="en-US"/>
              </w:rPr>
            </w:pPr>
            <w:r>
              <w:rPr>
                <w:lang w:val="en-US"/>
              </w:rPr>
              <w:t>T</w:t>
            </w:r>
            <w:r w:rsidRPr="00200C46">
              <w:rPr>
                <w:lang w:val="en-US"/>
              </w:rPr>
              <w:t>he sample</w:t>
            </w:r>
            <w:r>
              <w:rPr>
                <w:lang w:val="en-US"/>
              </w:rPr>
              <w:t xml:space="preserve"> encompasses </w:t>
            </w:r>
            <w:r w:rsidRPr="00200C46">
              <w:rPr>
                <w:lang w:val="en-US"/>
              </w:rPr>
              <w:t>14091 firm</w:t>
            </w:r>
            <w:r>
              <w:rPr>
                <w:lang w:val="en-US"/>
              </w:rPr>
              <w:t>s</w:t>
            </w:r>
            <w:r w:rsidRPr="00200C46">
              <w:rPr>
                <w:lang w:val="en-US"/>
              </w:rPr>
              <w:t xml:space="preserve"> </w:t>
            </w:r>
            <w:r>
              <w:rPr>
                <w:lang w:val="en-US"/>
              </w:rPr>
              <w:t>(</w:t>
            </w:r>
            <w:r w:rsidRPr="00200C46">
              <w:rPr>
                <w:lang w:val="en-US"/>
              </w:rPr>
              <w:t>from 2004 to 2008</w:t>
            </w:r>
            <w:r>
              <w:rPr>
                <w:lang w:val="en-US"/>
              </w:rPr>
              <w:t xml:space="preserve">). </w:t>
            </w:r>
            <w:r w:rsidRPr="00200C46">
              <w:rPr>
                <w:lang w:val="en-US"/>
              </w:rPr>
              <w:t xml:space="preserve">250 IT control weaknesses </w:t>
            </w:r>
            <w:r>
              <w:rPr>
                <w:lang w:val="en-US"/>
              </w:rPr>
              <w:t xml:space="preserve">were observed </w:t>
            </w:r>
            <w:r w:rsidRPr="00200C46">
              <w:rPr>
                <w:lang w:val="en-US"/>
              </w:rPr>
              <w:t>and 934 non-IT weaknesses</w:t>
            </w:r>
            <w:r>
              <w:rPr>
                <w:lang w:val="en-US"/>
              </w:rPr>
              <w:t>.</w:t>
            </w:r>
          </w:p>
        </w:tc>
        <w:tc>
          <w:tcPr>
            <w:tcW w:w="1560" w:type="dxa"/>
          </w:tcPr>
          <w:p w:rsidR="00B522AF" w:rsidRPr="009C4286" w:rsidRDefault="00B522AF" w:rsidP="00383521">
            <w:pPr>
              <w:rPr>
                <w:lang w:val="en-US"/>
              </w:rPr>
            </w:pPr>
            <w:r>
              <w:rPr>
                <w:lang w:val="en-US"/>
              </w:rPr>
              <w:t>Archival/ database research from Audit Analytics and Compustat.</w:t>
            </w:r>
          </w:p>
        </w:tc>
        <w:tc>
          <w:tcPr>
            <w:tcW w:w="3338" w:type="dxa"/>
          </w:tcPr>
          <w:p w:rsidR="00B522AF" w:rsidRPr="009C4286" w:rsidRDefault="00B522AF" w:rsidP="00383521">
            <w:pPr>
              <w:rPr>
                <w:lang w:val="en-US"/>
              </w:rPr>
            </w:pPr>
            <w:r>
              <w:rPr>
                <w:lang w:val="en-US"/>
              </w:rPr>
              <w:t>Support for the relation between IT control weaknesses and the number of forecast errors. In case of an improvement in IT control quality, also a decrease in forecast errors was noted.</w:t>
            </w:r>
          </w:p>
        </w:tc>
      </w:tr>
      <w:tr w:rsidR="00B522AF" w:rsidRPr="002D4197" w:rsidTr="0006085D">
        <w:trPr>
          <w:trHeight w:val="2243"/>
        </w:trPr>
        <w:tc>
          <w:tcPr>
            <w:tcW w:w="1135" w:type="dxa"/>
          </w:tcPr>
          <w:p w:rsidR="00B522AF" w:rsidRPr="009C4286" w:rsidRDefault="00B522AF" w:rsidP="00383521">
            <w:pPr>
              <w:rPr>
                <w:lang w:val="en-US"/>
              </w:rPr>
            </w:pPr>
            <w:r w:rsidRPr="00F510BF">
              <w:rPr>
                <w:lang w:val="en-US"/>
              </w:rPr>
              <w:t>Stoel and Muhanna (2011)</w:t>
            </w:r>
          </w:p>
        </w:tc>
        <w:tc>
          <w:tcPr>
            <w:tcW w:w="2268" w:type="dxa"/>
          </w:tcPr>
          <w:p w:rsidR="00B522AF" w:rsidRPr="00A91BB7" w:rsidRDefault="00B522AF" w:rsidP="00383521">
            <w:pPr>
              <w:rPr>
                <w:lang w:val="en-US"/>
              </w:rPr>
            </w:pPr>
            <w:r>
              <w:rPr>
                <w:lang w:val="en-US"/>
              </w:rPr>
              <w:t>I</w:t>
            </w:r>
            <w:r w:rsidRPr="00A91BB7">
              <w:rPr>
                <w:lang w:val="en-US"/>
              </w:rPr>
              <w:t>nvestigate the relation between IT control weaknesses and the company’s performance</w:t>
            </w:r>
            <w:r>
              <w:rPr>
                <w:lang w:val="en-US"/>
              </w:rPr>
              <w:t xml:space="preserve"> (ROA and stock market valuation).</w:t>
            </w:r>
          </w:p>
        </w:tc>
        <w:tc>
          <w:tcPr>
            <w:tcW w:w="2267" w:type="dxa"/>
          </w:tcPr>
          <w:p w:rsidR="00B522AF" w:rsidRPr="009C4286" w:rsidRDefault="00B522AF" w:rsidP="00383521">
            <w:pPr>
              <w:rPr>
                <w:lang w:val="en-US"/>
              </w:rPr>
            </w:pPr>
            <w:r w:rsidRPr="00A91BB7">
              <w:rPr>
                <w:lang w:val="en-US"/>
              </w:rPr>
              <w:t xml:space="preserve">The sample </w:t>
            </w:r>
            <w:r>
              <w:rPr>
                <w:lang w:val="en-US"/>
              </w:rPr>
              <w:t>consists</w:t>
            </w:r>
            <w:r w:rsidR="00E14E59">
              <w:rPr>
                <w:lang w:val="en-US"/>
              </w:rPr>
              <w:t xml:space="preserve"> of 16</w:t>
            </w:r>
            <w:r w:rsidRPr="00A91BB7">
              <w:rPr>
                <w:lang w:val="en-US"/>
              </w:rPr>
              <w:t xml:space="preserve">415 observations </w:t>
            </w:r>
            <w:r>
              <w:rPr>
                <w:lang w:val="en-US"/>
              </w:rPr>
              <w:t>(</w:t>
            </w:r>
            <w:r w:rsidRPr="00A91BB7">
              <w:rPr>
                <w:lang w:val="en-US"/>
              </w:rPr>
              <w:t>f</w:t>
            </w:r>
            <w:r>
              <w:rPr>
                <w:lang w:val="en-US"/>
              </w:rPr>
              <w:t>rom 2004 to 2008), separated in an IT weaknesses group and a non-IT weaknesses group.</w:t>
            </w:r>
          </w:p>
        </w:tc>
        <w:tc>
          <w:tcPr>
            <w:tcW w:w="1560" w:type="dxa"/>
          </w:tcPr>
          <w:p w:rsidR="00B522AF" w:rsidRPr="009C4286" w:rsidRDefault="00B522AF" w:rsidP="00383521">
            <w:pPr>
              <w:rPr>
                <w:lang w:val="en-US"/>
              </w:rPr>
            </w:pPr>
            <w:r w:rsidRPr="00A91BB7">
              <w:rPr>
                <w:lang w:val="en-US"/>
              </w:rPr>
              <w:t>Archival/ database research from Audit Analytics and Compustat</w:t>
            </w:r>
            <w:r>
              <w:rPr>
                <w:lang w:val="en-US"/>
              </w:rPr>
              <w:t>.</w:t>
            </w:r>
          </w:p>
        </w:tc>
        <w:tc>
          <w:tcPr>
            <w:tcW w:w="3338" w:type="dxa"/>
          </w:tcPr>
          <w:p w:rsidR="00B522AF" w:rsidRPr="00A91BB7" w:rsidRDefault="00B522AF" w:rsidP="00383521">
            <w:pPr>
              <w:rPr>
                <w:lang w:val="en-US"/>
              </w:rPr>
            </w:pPr>
            <w:r>
              <w:rPr>
                <w:lang w:val="en-US"/>
              </w:rPr>
              <w:t>F</w:t>
            </w:r>
            <w:r w:rsidRPr="00A91BB7">
              <w:rPr>
                <w:lang w:val="en-US"/>
              </w:rPr>
              <w:t xml:space="preserve">irms with </w:t>
            </w:r>
            <w:r w:rsidR="000B3301">
              <w:rPr>
                <w:lang w:val="en-US"/>
              </w:rPr>
              <w:t>material IT control weaknesses</w:t>
            </w:r>
            <w:r w:rsidRPr="00A91BB7">
              <w:rPr>
                <w:lang w:val="en-US"/>
              </w:rPr>
              <w:t xml:space="preserve"> have a lower return on assets and have lower overall earnings than other companies</w:t>
            </w:r>
            <w:r>
              <w:rPr>
                <w:lang w:val="en-US"/>
              </w:rPr>
              <w:t>. Also restructuring has a significant effect on the occurrence of IT control weaknesses.</w:t>
            </w:r>
          </w:p>
        </w:tc>
      </w:tr>
      <w:tr w:rsidR="00B522AF" w:rsidRPr="002D4197" w:rsidTr="0006085D">
        <w:trPr>
          <w:trHeight w:val="2541"/>
        </w:trPr>
        <w:tc>
          <w:tcPr>
            <w:tcW w:w="1135" w:type="dxa"/>
          </w:tcPr>
          <w:p w:rsidR="00B522AF" w:rsidRPr="009C4286" w:rsidRDefault="00B522AF" w:rsidP="00383521">
            <w:pPr>
              <w:rPr>
                <w:lang w:val="en-US"/>
              </w:rPr>
            </w:pPr>
            <w:r w:rsidRPr="00F510BF">
              <w:rPr>
                <w:lang w:val="en-US"/>
              </w:rPr>
              <w:t>Klamm et al. (2012)</w:t>
            </w:r>
          </w:p>
        </w:tc>
        <w:tc>
          <w:tcPr>
            <w:tcW w:w="2268" w:type="dxa"/>
          </w:tcPr>
          <w:p w:rsidR="00B522AF" w:rsidRPr="00FC2131" w:rsidRDefault="00B522AF" w:rsidP="00383521">
            <w:pPr>
              <w:rPr>
                <w:lang w:val="en-US"/>
              </w:rPr>
            </w:pPr>
            <w:r w:rsidRPr="00FC2131">
              <w:rPr>
                <w:lang w:val="en-US"/>
              </w:rPr>
              <w:t>Determinat</w:t>
            </w:r>
            <w:r>
              <w:rPr>
                <w:lang w:val="en-US"/>
              </w:rPr>
              <w:t>ion</w:t>
            </w:r>
            <w:r w:rsidRPr="00FC2131">
              <w:rPr>
                <w:lang w:val="en-US"/>
              </w:rPr>
              <w:t xml:space="preserve"> of the persistence of Internal control weaknesses and more specifically IT control weaknesses</w:t>
            </w:r>
            <w:r>
              <w:rPr>
                <w:lang w:val="en-US"/>
              </w:rPr>
              <w:t>.</w:t>
            </w:r>
          </w:p>
        </w:tc>
        <w:tc>
          <w:tcPr>
            <w:tcW w:w="2267" w:type="dxa"/>
          </w:tcPr>
          <w:p w:rsidR="00B522AF" w:rsidRPr="009C4286" w:rsidRDefault="00E14E59" w:rsidP="00383521">
            <w:pPr>
              <w:rPr>
                <w:lang w:val="en-US"/>
              </w:rPr>
            </w:pPr>
            <w:r>
              <w:rPr>
                <w:lang w:val="en-US"/>
              </w:rPr>
              <w:t>The sample has 20</w:t>
            </w:r>
            <w:r w:rsidR="00B522AF">
              <w:rPr>
                <w:lang w:val="en-US"/>
              </w:rPr>
              <w:t xml:space="preserve">318 observations of which </w:t>
            </w:r>
            <w:r>
              <w:rPr>
                <w:lang w:val="en-US"/>
              </w:rPr>
              <w:t>397 IT control weaknesses and 1</w:t>
            </w:r>
            <w:r w:rsidR="00B522AF">
              <w:rPr>
                <w:lang w:val="en-US"/>
              </w:rPr>
              <w:t>386 non-IT weaknesses. Sample period is 2004 to 2009.</w:t>
            </w:r>
          </w:p>
        </w:tc>
        <w:tc>
          <w:tcPr>
            <w:tcW w:w="1560" w:type="dxa"/>
          </w:tcPr>
          <w:p w:rsidR="00B522AF" w:rsidRPr="009C4286" w:rsidRDefault="00B522AF" w:rsidP="00383521">
            <w:pPr>
              <w:rPr>
                <w:lang w:val="en-US"/>
              </w:rPr>
            </w:pPr>
            <w:r w:rsidRPr="00FC2131">
              <w:rPr>
                <w:lang w:val="en-US"/>
              </w:rPr>
              <w:t>Archival/ database research from Audit Analytics</w:t>
            </w:r>
            <w:r>
              <w:rPr>
                <w:lang w:val="en-US"/>
              </w:rPr>
              <w:t>.</w:t>
            </w:r>
          </w:p>
        </w:tc>
        <w:tc>
          <w:tcPr>
            <w:tcW w:w="3338" w:type="dxa"/>
          </w:tcPr>
          <w:p w:rsidR="00B522AF" w:rsidRPr="00BC3315" w:rsidRDefault="00B522AF" w:rsidP="00383521">
            <w:pPr>
              <w:rPr>
                <w:lang w:val="en-US"/>
              </w:rPr>
            </w:pPr>
            <w:r>
              <w:rPr>
                <w:lang w:val="en-US"/>
              </w:rPr>
              <w:t>F</w:t>
            </w:r>
            <w:r w:rsidRPr="00BC3315">
              <w:rPr>
                <w:lang w:val="en-US"/>
              </w:rPr>
              <w:t xml:space="preserve">irms with </w:t>
            </w:r>
            <w:r w:rsidR="000B3301">
              <w:rPr>
                <w:lang w:val="en-US"/>
              </w:rPr>
              <w:t>material IT control weaknesses</w:t>
            </w:r>
            <w:r w:rsidRPr="00BC3315">
              <w:rPr>
                <w:lang w:val="en-US"/>
              </w:rPr>
              <w:t xml:space="preserve"> have more non-IT deficiencies, entity-level and account-level weaknesses in the same year</w:t>
            </w:r>
            <w:r>
              <w:rPr>
                <w:lang w:val="en-US"/>
              </w:rPr>
              <w:t>. T</w:t>
            </w:r>
            <w:r w:rsidRPr="00BC3315">
              <w:rPr>
                <w:lang w:val="en-US"/>
              </w:rPr>
              <w:t xml:space="preserve">he future material weaknesses </w:t>
            </w:r>
            <w:r>
              <w:rPr>
                <w:lang w:val="en-US"/>
              </w:rPr>
              <w:t>occur</w:t>
            </w:r>
            <w:r w:rsidRPr="00BC3315">
              <w:rPr>
                <w:lang w:val="en-US"/>
              </w:rPr>
              <w:t xml:space="preserve"> more </w:t>
            </w:r>
            <w:r>
              <w:rPr>
                <w:lang w:val="en-US"/>
              </w:rPr>
              <w:t xml:space="preserve">often </w:t>
            </w:r>
            <w:r w:rsidRPr="00BC3315">
              <w:rPr>
                <w:lang w:val="en-US"/>
              </w:rPr>
              <w:t>and persist longer for the IT deficiency firm</w:t>
            </w:r>
            <w:r>
              <w:rPr>
                <w:lang w:val="en-US"/>
              </w:rPr>
              <w:t>s</w:t>
            </w:r>
            <w:r w:rsidRPr="00BC3315">
              <w:rPr>
                <w:lang w:val="en-US"/>
              </w:rPr>
              <w:t>, than for the non-IT weaknesses firms</w:t>
            </w:r>
            <w:r>
              <w:rPr>
                <w:lang w:val="en-US"/>
              </w:rPr>
              <w:t>.</w:t>
            </w:r>
          </w:p>
        </w:tc>
      </w:tr>
      <w:tr w:rsidR="00B522AF" w:rsidRPr="002D4197" w:rsidTr="0006085D">
        <w:trPr>
          <w:trHeight w:val="1970"/>
        </w:trPr>
        <w:tc>
          <w:tcPr>
            <w:tcW w:w="1135" w:type="dxa"/>
          </w:tcPr>
          <w:p w:rsidR="00B522AF" w:rsidRPr="009C4286" w:rsidRDefault="00B522AF" w:rsidP="00383521">
            <w:pPr>
              <w:rPr>
                <w:lang w:val="en-US"/>
              </w:rPr>
            </w:pPr>
            <w:r w:rsidRPr="00F510BF">
              <w:rPr>
                <w:lang w:val="en-US"/>
              </w:rPr>
              <w:t>Grant et al. (2008)</w:t>
            </w:r>
          </w:p>
        </w:tc>
        <w:tc>
          <w:tcPr>
            <w:tcW w:w="2268" w:type="dxa"/>
          </w:tcPr>
          <w:p w:rsidR="00B522AF" w:rsidRPr="0043329A" w:rsidRDefault="00B522AF" w:rsidP="00383521">
            <w:pPr>
              <w:rPr>
                <w:lang w:val="en-US"/>
              </w:rPr>
            </w:pPr>
            <w:r w:rsidRPr="0043329A">
              <w:rPr>
                <w:lang w:val="en-US"/>
              </w:rPr>
              <w:t>Stud</w:t>
            </w:r>
            <w:r>
              <w:rPr>
                <w:lang w:val="en-US"/>
              </w:rPr>
              <w:t>y</w:t>
            </w:r>
            <w:r w:rsidRPr="0043329A">
              <w:rPr>
                <w:lang w:val="en-US"/>
              </w:rPr>
              <w:t xml:space="preserve"> the effect of IT control weaknesses on financial reporting</w:t>
            </w:r>
            <w:r>
              <w:rPr>
                <w:lang w:val="en-US"/>
              </w:rPr>
              <w:t>, more specifically the relation between IT control weaknesses and accounting errors.</w:t>
            </w:r>
          </w:p>
        </w:tc>
        <w:tc>
          <w:tcPr>
            <w:tcW w:w="2267" w:type="dxa"/>
          </w:tcPr>
          <w:p w:rsidR="00B522AF" w:rsidRPr="009C4286" w:rsidRDefault="00B522AF" w:rsidP="00383521">
            <w:pPr>
              <w:rPr>
                <w:lang w:val="en-US"/>
              </w:rPr>
            </w:pPr>
            <w:r w:rsidRPr="0043329A">
              <w:rPr>
                <w:lang w:val="en-US"/>
              </w:rPr>
              <w:t>The sample consist</w:t>
            </w:r>
            <w:r>
              <w:rPr>
                <w:lang w:val="en-US"/>
              </w:rPr>
              <w:t>s</w:t>
            </w:r>
            <w:r w:rsidRPr="0043329A">
              <w:rPr>
                <w:lang w:val="en-US"/>
              </w:rPr>
              <w:t xml:space="preserve"> of 278 U.S. based firms that report under SOX 404. The studied period </w:t>
            </w:r>
            <w:r>
              <w:rPr>
                <w:lang w:val="en-US"/>
              </w:rPr>
              <w:t>i</w:t>
            </w:r>
            <w:r w:rsidRPr="0043329A">
              <w:rPr>
                <w:lang w:val="en-US"/>
              </w:rPr>
              <w:t>s 2004 t</w:t>
            </w:r>
            <w:r>
              <w:rPr>
                <w:lang w:val="en-US"/>
              </w:rPr>
              <w:t>o</w:t>
            </w:r>
            <w:r w:rsidRPr="0043329A">
              <w:rPr>
                <w:lang w:val="en-US"/>
              </w:rPr>
              <w:t xml:space="preserve"> 2006</w:t>
            </w:r>
            <w:r>
              <w:rPr>
                <w:lang w:val="en-US"/>
              </w:rPr>
              <w:t>.</w:t>
            </w:r>
          </w:p>
        </w:tc>
        <w:tc>
          <w:tcPr>
            <w:tcW w:w="1560" w:type="dxa"/>
          </w:tcPr>
          <w:p w:rsidR="00B522AF" w:rsidRPr="009C4286" w:rsidRDefault="00B522AF" w:rsidP="00383521">
            <w:pPr>
              <w:rPr>
                <w:lang w:val="en-US"/>
              </w:rPr>
            </w:pPr>
            <w:r w:rsidRPr="0043329A">
              <w:rPr>
                <w:lang w:val="en-US"/>
              </w:rPr>
              <w:t>Archival/ database research from Audit Analytics</w:t>
            </w:r>
            <w:r>
              <w:rPr>
                <w:lang w:val="en-US"/>
              </w:rPr>
              <w:t>.</w:t>
            </w:r>
          </w:p>
        </w:tc>
        <w:tc>
          <w:tcPr>
            <w:tcW w:w="3338" w:type="dxa"/>
          </w:tcPr>
          <w:p w:rsidR="00B522AF" w:rsidRPr="00B11857" w:rsidRDefault="00B522AF" w:rsidP="00383521">
            <w:pPr>
              <w:rPr>
                <w:lang w:val="en-US"/>
              </w:rPr>
            </w:pPr>
            <w:r w:rsidRPr="00B11857">
              <w:rPr>
                <w:lang w:val="en-US"/>
              </w:rPr>
              <w:t>The four errors related to IT control weaknesses are: revenue recognition problems, receivables/investments/cash issues, vendor/cost of sales problems and disclosure issues</w:t>
            </w:r>
            <w:r>
              <w:rPr>
                <w:lang w:val="en-US"/>
              </w:rPr>
              <w:t>.</w:t>
            </w:r>
          </w:p>
        </w:tc>
      </w:tr>
      <w:tr w:rsidR="00B522AF" w:rsidRPr="002D4197" w:rsidTr="0006085D">
        <w:trPr>
          <w:trHeight w:val="1957"/>
        </w:trPr>
        <w:tc>
          <w:tcPr>
            <w:tcW w:w="1135" w:type="dxa"/>
          </w:tcPr>
          <w:p w:rsidR="00B522AF" w:rsidRPr="009C4286" w:rsidRDefault="00B522AF" w:rsidP="00383521">
            <w:pPr>
              <w:rPr>
                <w:lang w:val="en-US"/>
              </w:rPr>
            </w:pPr>
            <w:r w:rsidRPr="00F510BF">
              <w:rPr>
                <w:lang w:val="en-US"/>
              </w:rPr>
              <w:t>Li et al. (2007)</w:t>
            </w:r>
          </w:p>
        </w:tc>
        <w:tc>
          <w:tcPr>
            <w:tcW w:w="2268" w:type="dxa"/>
          </w:tcPr>
          <w:p w:rsidR="00B522AF" w:rsidRPr="00392BBC" w:rsidRDefault="00B522AF" w:rsidP="00383521">
            <w:pPr>
              <w:rPr>
                <w:lang w:val="en-US"/>
              </w:rPr>
            </w:pPr>
            <w:r w:rsidRPr="00392BBC">
              <w:rPr>
                <w:lang w:val="en-US"/>
              </w:rPr>
              <w:t>Investigates the relation between internal and external governance on IT control weaknesses</w:t>
            </w:r>
            <w:r>
              <w:rPr>
                <w:lang w:val="en-US"/>
              </w:rPr>
              <w:t>.</w:t>
            </w:r>
          </w:p>
        </w:tc>
        <w:tc>
          <w:tcPr>
            <w:tcW w:w="2267" w:type="dxa"/>
          </w:tcPr>
          <w:p w:rsidR="00B522AF" w:rsidRPr="009C4286" w:rsidRDefault="00B522AF" w:rsidP="00383521">
            <w:pPr>
              <w:rPr>
                <w:lang w:val="en-US"/>
              </w:rPr>
            </w:pPr>
            <w:r w:rsidRPr="00392BBC">
              <w:rPr>
                <w:lang w:val="en-US"/>
              </w:rPr>
              <w:t>The sample period is the year 2005</w:t>
            </w:r>
            <w:r>
              <w:rPr>
                <w:lang w:val="en-US"/>
              </w:rPr>
              <w:t>. The sample</w:t>
            </w:r>
            <w:r w:rsidRPr="00392BBC">
              <w:rPr>
                <w:lang w:val="en-US"/>
              </w:rPr>
              <w:t xml:space="preserve"> consist</w:t>
            </w:r>
            <w:r>
              <w:rPr>
                <w:lang w:val="en-US"/>
              </w:rPr>
              <w:t>s</w:t>
            </w:r>
            <w:r w:rsidRPr="00392BBC">
              <w:rPr>
                <w:lang w:val="en-US"/>
              </w:rPr>
              <w:t xml:space="preserve"> of 626 companies, of which 110 ha</w:t>
            </w:r>
            <w:r>
              <w:rPr>
                <w:lang w:val="en-US"/>
              </w:rPr>
              <w:t>ve</w:t>
            </w:r>
            <w:r w:rsidRPr="00392BBC">
              <w:rPr>
                <w:lang w:val="en-US"/>
              </w:rPr>
              <w:t xml:space="preserve"> IT control weaknesses.</w:t>
            </w:r>
          </w:p>
        </w:tc>
        <w:tc>
          <w:tcPr>
            <w:tcW w:w="1560" w:type="dxa"/>
          </w:tcPr>
          <w:p w:rsidR="00B522AF" w:rsidRPr="009C4286" w:rsidRDefault="00B522AF" w:rsidP="00383521">
            <w:pPr>
              <w:rPr>
                <w:lang w:val="en-US"/>
              </w:rPr>
            </w:pPr>
            <w:r w:rsidRPr="00392BBC">
              <w:rPr>
                <w:lang w:val="en-US"/>
              </w:rPr>
              <w:t>Archival/ database research from Audit Analytics and Compustat</w:t>
            </w:r>
            <w:r>
              <w:rPr>
                <w:lang w:val="en-US"/>
              </w:rPr>
              <w:t>.</w:t>
            </w:r>
          </w:p>
        </w:tc>
        <w:tc>
          <w:tcPr>
            <w:tcW w:w="3338" w:type="dxa"/>
          </w:tcPr>
          <w:p w:rsidR="00B522AF" w:rsidRPr="00392BBC" w:rsidRDefault="00B522AF" w:rsidP="00383521">
            <w:pPr>
              <w:rPr>
                <w:lang w:val="en-US"/>
              </w:rPr>
            </w:pPr>
            <w:r>
              <w:rPr>
                <w:lang w:val="en-US"/>
              </w:rPr>
              <w:t>Firm</w:t>
            </w:r>
            <w:r w:rsidRPr="00392BBC">
              <w:rPr>
                <w:lang w:val="en-US"/>
              </w:rPr>
              <w:t xml:space="preserve">s </w:t>
            </w:r>
            <w:r>
              <w:rPr>
                <w:lang w:val="en-US"/>
              </w:rPr>
              <w:t>having</w:t>
            </w:r>
            <w:r w:rsidRPr="00392BBC">
              <w:rPr>
                <w:lang w:val="en-US"/>
              </w:rPr>
              <w:t xml:space="preserve"> managers with IT experience </w:t>
            </w:r>
            <w:r>
              <w:rPr>
                <w:lang w:val="en-US"/>
              </w:rPr>
              <w:t>have less</w:t>
            </w:r>
            <w:r w:rsidRPr="00392BBC">
              <w:rPr>
                <w:lang w:val="en-US"/>
              </w:rPr>
              <w:t xml:space="preserve"> IT control weaknesses, than </w:t>
            </w:r>
            <w:r>
              <w:rPr>
                <w:lang w:val="en-US"/>
              </w:rPr>
              <w:t>firms</w:t>
            </w:r>
            <w:r w:rsidRPr="00392BBC">
              <w:rPr>
                <w:lang w:val="en-US"/>
              </w:rPr>
              <w:t xml:space="preserve"> </w:t>
            </w:r>
            <w:r>
              <w:rPr>
                <w:lang w:val="en-US"/>
              </w:rPr>
              <w:t xml:space="preserve">having managers </w:t>
            </w:r>
            <w:r w:rsidRPr="00392BBC">
              <w:rPr>
                <w:lang w:val="en-US"/>
              </w:rPr>
              <w:t xml:space="preserve">without IT experience . Also independent directors </w:t>
            </w:r>
            <w:r>
              <w:rPr>
                <w:lang w:val="en-US"/>
              </w:rPr>
              <w:t>decrease the likelihood of</w:t>
            </w:r>
            <w:r w:rsidRPr="00392BBC">
              <w:rPr>
                <w:lang w:val="en-US"/>
              </w:rPr>
              <w:t xml:space="preserve"> IT control weaknesses. </w:t>
            </w:r>
          </w:p>
        </w:tc>
      </w:tr>
    </w:tbl>
    <w:p w:rsidR="00B522AF" w:rsidRDefault="00B522AF" w:rsidP="00F427C6">
      <w:pPr>
        <w:spacing w:after="0"/>
        <w:rPr>
          <w:rFonts w:eastAsiaTheme="minorHAnsi"/>
          <w:b/>
          <w:sz w:val="24"/>
          <w:szCs w:val="24"/>
          <w:lang w:val="en-US" w:eastAsia="en-US"/>
        </w:rPr>
      </w:pPr>
    </w:p>
    <w:p w:rsidR="00B522AF" w:rsidRDefault="00B522AF" w:rsidP="00B522AF">
      <w:pPr>
        <w:pStyle w:val="Heading2"/>
        <w:numPr>
          <w:ilvl w:val="1"/>
          <w:numId w:val="7"/>
        </w:numPr>
        <w:rPr>
          <w:rFonts w:eastAsiaTheme="minorHAnsi"/>
          <w:lang w:eastAsia="en-US"/>
        </w:rPr>
      </w:pPr>
      <w:bookmarkStart w:id="55" w:name="_Toc363840767"/>
      <w:r>
        <w:rPr>
          <w:rFonts w:eastAsiaTheme="minorHAnsi"/>
          <w:lang w:eastAsia="en-US"/>
        </w:rPr>
        <w:t>Summary chapter 3</w:t>
      </w:r>
      <w:bookmarkEnd w:id="55"/>
    </w:p>
    <w:p w:rsidR="00B522AF" w:rsidRDefault="00B522AF" w:rsidP="00B522AF">
      <w:pPr>
        <w:rPr>
          <w:lang w:val="en-GB" w:eastAsia="en-US"/>
        </w:rPr>
      </w:pPr>
      <w:r>
        <w:rPr>
          <w:lang w:val="en-GB" w:eastAsia="en-US"/>
        </w:rPr>
        <w:t xml:space="preserve">In this chapter the different empirical research studies in the field of internal control and </w:t>
      </w:r>
      <w:r w:rsidR="000B3301">
        <w:rPr>
          <w:lang w:val="en-GB" w:eastAsia="en-US"/>
        </w:rPr>
        <w:t>IT control weaknesses</w:t>
      </w:r>
      <w:r>
        <w:rPr>
          <w:lang w:val="en-GB" w:eastAsia="en-US"/>
        </w:rPr>
        <w:t xml:space="preserve"> have been discussed. First Doyle et al. (2007) and Morris (2011) showed that some firm</w:t>
      </w:r>
      <w:r w:rsidR="00040395">
        <w:rPr>
          <w:lang w:val="en-GB" w:eastAsia="en-US"/>
        </w:rPr>
        <w:t>-</w:t>
      </w:r>
      <w:r>
        <w:rPr>
          <w:lang w:val="en-GB" w:eastAsia="en-US"/>
        </w:rPr>
        <w:t>specific characteristics have a significant effect on the existence of internal control weaknesses. The main result of Doyle et al. (2007) is that smaller, younger firms or firms that restructure are more likely to disclose internal control weaknesses than others. Morris (2011) focuses on the effect of ERP systems on internal controls and the results show that the implementation of ERP systems seems to reduce the number of internal control weaknesses. However the results of the control variables are not consistent</w:t>
      </w:r>
      <w:r w:rsidRPr="00954777">
        <w:rPr>
          <w:lang w:val="en-GB" w:eastAsia="en-US"/>
        </w:rPr>
        <w:t xml:space="preserve"> </w:t>
      </w:r>
      <w:r>
        <w:rPr>
          <w:lang w:val="en-GB" w:eastAsia="en-US"/>
        </w:rPr>
        <w:t>for these studies. Doyle et al. (2007) find significant associations with firm age, firm size and restructuring costs</w:t>
      </w:r>
      <w:r w:rsidR="00F84C2C">
        <w:rPr>
          <w:lang w:val="en-GB" w:eastAsia="en-US"/>
        </w:rPr>
        <w:t xml:space="preserve">. </w:t>
      </w:r>
      <w:r>
        <w:rPr>
          <w:lang w:val="en-GB" w:eastAsia="en-US"/>
        </w:rPr>
        <w:t>Morris (2011)</w:t>
      </w:r>
      <w:r w:rsidR="00173633">
        <w:rPr>
          <w:lang w:val="en-GB" w:eastAsia="en-US"/>
        </w:rPr>
        <w:t xml:space="preserve"> however, does not find</w:t>
      </w:r>
      <w:r w:rsidR="00173633" w:rsidRPr="00173633">
        <w:rPr>
          <w:lang w:val="en-GB" w:eastAsia="en-US"/>
        </w:rPr>
        <w:t xml:space="preserve"> </w:t>
      </w:r>
      <w:r w:rsidR="00173633">
        <w:rPr>
          <w:lang w:val="en-GB" w:eastAsia="en-US"/>
        </w:rPr>
        <w:t>any significant results for firm age, size and restructuring effects</w:t>
      </w:r>
      <w:r w:rsidR="00F84C2C">
        <w:rPr>
          <w:lang w:val="en-GB" w:eastAsia="en-US"/>
        </w:rPr>
        <w:t>, while</w:t>
      </w:r>
      <w:r>
        <w:rPr>
          <w:lang w:val="en-GB" w:eastAsia="en-US"/>
        </w:rPr>
        <w:t xml:space="preserve"> including the same controls in hi</w:t>
      </w:r>
      <w:r w:rsidR="00173633">
        <w:rPr>
          <w:lang w:val="en-GB" w:eastAsia="en-US"/>
        </w:rPr>
        <w:t>s</w:t>
      </w:r>
      <w:r>
        <w:rPr>
          <w:lang w:val="en-GB" w:eastAsia="en-US"/>
        </w:rPr>
        <w:t xml:space="preserve"> study. A possible explanation for this difference is the usage of other regressions and different data samples.</w:t>
      </w:r>
    </w:p>
    <w:p w:rsidR="00B522AF" w:rsidRDefault="00B522AF" w:rsidP="00B522AF">
      <w:pPr>
        <w:rPr>
          <w:rFonts w:eastAsiaTheme="minorHAnsi"/>
          <w:lang w:val="en-US" w:eastAsia="en-US"/>
        </w:rPr>
      </w:pPr>
      <w:r>
        <w:rPr>
          <w:lang w:val="en-GB" w:eastAsia="en-US"/>
        </w:rPr>
        <w:t xml:space="preserve">The second section of this chapter has discussed the research specifically focusing on the disclosure of </w:t>
      </w:r>
      <w:r w:rsidR="000B3301">
        <w:rPr>
          <w:lang w:val="en-GB" w:eastAsia="en-US"/>
        </w:rPr>
        <w:t>material IT control weaknesses</w:t>
      </w:r>
      <w:r>
        <w:rPr>
          <w:lang w:val="en-GB" w:eastAsia="en-US"/>
        </w:rPr>
        <w:t xml:space="preserve">. Li et al. (2012) has analysed whether the management information system is affected by </w:t>
      </w:r>
      <w:r w:rsidR="000B3301">
        <w:rPr>
          <w:lang w:val="en-GB" w:eastAsia="en-US"/>
        </w:rPr>
        <w:t>material IT control weaknesses</w:t>
      </w:r>
      <w:r>
        <w:rPr>
          <w:lang w:val="en-GB" w:eastAsia="en-US"/>
        </w:rPr>
        <w:t xml:space="preserve"> and the results indicate that the reliability of management forecasts is significantly reduced in case of </w:t>
      </w:r>
      <w:r w:rsidR="000B3301">
        <w:rPr>
          <w:lang w:val="en-GB" w:eastAsia="en-US"/>
        </w:rPr>
        <w:t>material IT control weaknesses</w:t>
      </w:r>
      <w:r>
        <w:rPr>
          <w:lang w:val="en-GB" w:eastAsia="en-US"/>
        </w:rPr>
        <w:t xml:space="preserve">. Li et al. (2012) also included an industry distribution of </w:t>
      </w:r>
      <w:r w:rsidR="000B3301">
        <w:rPr>
          <w:lang w:val="en-GB" w:eastAsia="en-US"/>
        </w:rPr>
        <w:t>material IT control weaknesses</w:t>
      </w:r>
      <w:r>
        <w:rPr>
          <w:lang w:val="en-GB" w:eastAsia="en-US"/>
        </w:rPr>
        <w:t xml:space="preserve"> showing that measuring/analysing instruments, chemical, electrical and business services industries have more </w:t>
      </w:r>
      <w:r w:rsidR="000B3301">
        <w:rPr>
          <w:lang w:val="en-GB" w:eastAsia="en-US"/>
        </w:rPr>
        <w:t>material IT control weaknesses</w:t>
      </w:r>
      <w:r>
        <w:rPr>
          <w:lang w:val="en-GB" w:eastAsia="en-US"/>
        </w:rPr>
        <w:t xml:space="preserve"> than other</w:t>
      </w:r>
      <w:r w:rsidR="00040395">
        <w:rPr>
          <w:lang w:val="en-GB" w:eastAsia="en-US"/>
        </w:rPr>
        <w:t xml:space="preserve"> industries</w:t>
      </w:r>
      <w:r>
        <w:rPr>
          <w:lang w:val="en-GB" w:eastAsia="en-US"/>
        </w:rPr>
        <w:t xml:space="preserve">. The significant control variables are earnings, firm size and sales growth, which is consistent with results from Doyle et al. (2007). </w:t>
      </w:r>
      <w:r>
        <w:rPr>
          <w:lang w:val="en-GB" w:eastAsia="en-US"/>
        </w:rPr>
        <w:br/>
        <w:t xml:space="preserve">Stoel and Muhanna (2011) focus not only on disclosed firm information, but also on the market valuation of IT material weakness firms. The results also show significant associations for the main variables return on assets and market valuation. Important to note is that the control variable restructuring is found to have a significant association, just like Doyle et al. (2007), while Li et al. (2012) and Morris (2011) did not find a significant relation.  Also the controls firm age, total assets and foreign transactions are significant. </w:t>
      </w:r>
      <w:r>
        <w:rPr>
          <w:lang w:val="en-GB" w:eastAsia="en-US"/>
        </w:rPr>
        <w:br/>
        <w:t xml:space="preserve">Klamm et al. (2012) look at the persistence of </w:t>
      </w:r>
      <w:r w:rsidR="000B3301">
        <w:rPr>
          <w:lang w:val="en-GB" w:eastAsia="en-US"/>
        </w:rPr>
        <w:t>material IT control weaknesses</w:t>
      </w:r>
      <w:r>
        <w:rPr>
          <w:lang w:val="en-GB" w:eastAsia="en-US"/>
        </w:rPr>
        <w:t xml:space="preserve"> and compare the results with non-IT material weakness firms and the results show significant differences between these groups.</w:t>
      </w:r>
      <w:r w:rsidRPr="004309E8">
        <w:rPr>
          <w:rFonts w:eastAsiaTheme="minorHAnsi"/>
          <w:lang w:val="en-US" w:eastAsia="en-US"/>
        </w:rPr>
        <w:t xml:space="preserve"> </w:t>
      </w:r>
      <w:r>
        <w:rPr>
          <w:rFonts w:eastAsiaTheme="minorHAnsi"/>
          <w:lang w:val="en-US" w:eastAsia="en-US"/>
        </w:rPr>
        <w:t xml:space="preserve">The specific area’s that may indicate persistence in weaknesses are: senior management, training or IT-control environment weaknesses. In addition to Doyle et al. (2007), Klamm et al. (2012) find that company-level IT material weakness firms are more likely to disclose weaknesses in the future, concluding that company-level weaknesses are more severe. </w:t>
      </w:r>
    </w:p>
    <w:p w:rsidR="00B522AF" w:rsidRDefault="00B522AF" w:rsidP="00B522AF">
      <w:pPr>
        <w:rPr>
          <w:rFonts w:eastAsiaTheme="minorHAnsi"/>
          <w:lang w:val="en-US" w:eastAsia="en-US"/>
        </w:rPr>
      </w:pPr>
      <w:r>
        <w:rPr>
          <w:rFonts w:eastAsiaTheme="minorHAnsi"/>
          <w:lang w:val="en-US" w:eastAsia="en-US"/>
        </w:rPr>
        <w:t xml:space="preserve">Grant et al. (2008) show that </w:t>
      </w:r>
      <w:r w:rsidR="000B3301">
        <w:rPr>
          <w:rFonts w:eastAsiaTheme="minorHAnsi"/>
          <w:lang w:val="en-US" w:eastAsia="en-US"/>
        </w:rPr>
        <w:t>material IT control weaknesses</w:t>
      </w:r>
      <w:r>
        <w:rPr>
          <w:rFonts w:eastAsiaTheme="minorHAnsi"/>
          <w:lang w:val="en-US" w:eastAsia="en-US"/>
        </w:rPr>
        <w:t xml:space="preserve"> also have a significant effect on financial reporting errors, but the empirical analysis does not include a multivariate analysis; so there are no control variables that could be relevant.  </w:t>
      </w:r>
      <w:r>
        <w:rPr>
          <w:rFonts w:eastAsiaTheme="minorHAnsi"/>
          <w:lang w:val="en-US" w:eastAsia="en-US"/>
        </w:rPr>
        <w:br/>
        <w:t xml:space="preserve">Finally the study of Li et al. (2007) shows that the governance of a company has a significant effect on </w:t>
      </w:r>
      <w:r w:rsidR="000B3301">
        <w:rPr>
          <w:rFonts w:eastAsiaTheme="minorHAnsi"/>
          <w:lang w:val="en-US" w:eastAsia="en-US"/>
        </w:rPr>
        <w:t>material IT control weaknesses</w:t>
      </w:r>
      <w:r>
        <w:rPr>
          <w:rFonts w:eastAsiaTheme="minorHAnsi"/>
          <w:lang w:val="en-US" w:eastAsia="en-US"/>
        </w:rPr>
        <w:t>. The found associations of the control variables are very similar to Li et al. (2012), so restructuring is not significant, while sales growth, leverage and earnings have significant associations.</w:t>
      </w:r>
    </w:p>
    <w:p w:rsidR="003B023D" w:rsidRPr="00426914" w:rsidRDefault="00B522AF" w:rsidP="00B522AF">
      <w:pPr>
        <w:rPr>
          <w:lang w:val="en-GB" w:eastAsia="en-US"/>
        </w:rPr>
      </w:pPr>
      <w:r>
        <w:rPr>
          <w:rFonts w:eastAsiaTheme="minorHAnsi"/>
          <w:lang w:val="en-US" w:eastAsia="en-US"/>
        </w:rPr>
        <w:t>The results of the empirical research studies are not very consistent and therefore it is hard to identify good proxies that have consistent significant empirical results. First industry differences are only studied by presenting an industry distribution, but are not tested as a possible explanatory variable. Secondly the variable restructuring is multiple times included in the analysis as control variable. The results of Doyle et al. (2007) and Stoel and Muhanna (2011) show significant effects of restructuring, while Li et al. (2007 and 2012) and Morris (2011) do not have significant associations with restructuring.  The following chapters 4 and 5 explain how this research study wants to examine the industry differences and restructuring and which controls are being included.</w:t>
      </w:r>
      <w:r w:rsidR="0088613D">
        <w:rPr>
          <w:rFonts w:eastAsiaTheme="minorHAnsi"/>
          <w:lang w:val="en-US" w:eastAsia="en-US"/>
        </w:rPr>
        <w:t xml:space="preserve"> </w:t>
      </w:r>
    </w:p>
    <w:p w:rsidR="00E14E59" w:rsidRDefault="00E14E59">
      <w:pPr>
        <w:rPr>
          <w:b/>
          <w:sz w:val="32"/>
          <w:szCs w:val="44"/>
          <w:lang w:val="en-GB"/>
        </w:rPr>
      </w:pPr>
      <w:bookmarkStart w:id="56" w:name="_Toc363840768"/>
      <w:r w:rsidRPr="00F427C6">
        <w:rPr>
          <w:lang w:val="en-US"/>
        </w:rPr>
        <w:br w:type="page"/>
      </w:r>
    </w:p>
    <w:p w:rsidR="00B72227" w:rsidRDefault="00E72C2E" w:rsidP="00C514CA">
      <w:pPr>
        <w:pStyle w:val="Heading1"/>
      </w:pPr>
      <w:r>
        <w:t>Chapter 4</w:t>
      </w:r>
      <w:r>
        <w:tab/>
        <w:t>Hypotheses</w:t>
      </w:r>
      <w:bookmarkEnd w:id="56"/>
    </w:p>
    <w:p w:rsidR="004426DD" w:rsidRPr="004426DD" w:rsidRDefault="004426DD" w:rsidP="004426DD">
      <w:pPr>
        <w:pStyle w:val="ListParagraph"/>
        <w:numPr>
          <w:ilvl w:val="0"/>
          <w:numId w:val="7"/>
        </w:numPr>
        <w:outlineLvl w:val="1"/>
        <w:rPr>
          <w:b/>
          <w:vanish/>
          <w:sz w:val="24"/>
          <w:szCs w:val="24"/>
          <w:lang w:val="en-GB"/>
        </w:rPr>
      </w:pPr>
      <w:bookmarkStart w:id="57" w:name="_Toc348708585"/>
      <w:bookmarkStart w:id="58" w:name="_Toc351293181"/>
      <w:bookmarkStart w:id="59" w:name="_Toc351826178"/>
      <w:bookmarkStart w:id="60" w:name="_Toc351826262"/>
      <w:bookmarkStart w:id="61" w:name="_Toc351826503"/>
      <w:bookmarkStart w:id="62" w:name="_Toc358741762"/>
      <w:bookmarkStart w:id="63" w:name="_Toc358741911"/>
      <w:bookmarkStart w:id="64" w:name="_Toc363126468"/>
      <w:bookmarkStart w:id="65" w:name="_Toc363126549"/>
      <w:bookmarkStart w:id="66" w:name="_Toc363126720"/>
      <w:bookmarkStart w:id="67" w:name="_Toc363126808"/>
      <w:bookmarkStart w:id="68" w:name="_Toc363204352"/>
      <w:bookmarkStart w:id="69" w:name="_Toc363840769"/>
      <w:bookmarkEnd w:id="57"/>
      <w:bookmarkEnd w:id="58"/>
      <w:bookmarkEnd w:id="59"/>
      <w:bookmarkEnd w:id="60"/>
      <w:bookmarkEnd w:id="61"/>
      <w:bookmarkEnd w:id="62"/>
      <w:bookmarkEnd w:id="63"/>
      <w:bookmarkEnd w:id="64"/>
      <w:bookmarkEnd w:id="65"/>
      <w:bookmarkEnd w:id="66"/>
      <w:bookmarkEnd w:id="67"/>
      <w:bookmarkEnd w:id="68"/>
      <w:bookmarkEnd w:id="69"/>
    </w:p>
    <w:p w:rsidR="002E2295" w:rsidRDefault="00BA4B3E" w:rsidP="004426DD">
      <w:pPr>
        <w:pStyle w:val="Heading2"/>
        <w:rPr>
          <w:rStyle w:val="Heading2Char"/>
          <w:b/>
        </w:rPr>
      </w:pPr>
      <w:r w:rsidRPr="004426DD">
        <w:tab/>
      </w:r>
      <w:bookmarkStart w:id="70" w:name="_Toc363840770"/>
      <w:r w:rsidR="006A589C">
        <w:rPr>
          <w:rStyle w:val="Heading2Char"/>
          <w:b/>
        </w:rPr>
        <w:t>Industry differences</w:t>
      </w:r>
      <w:bookmarkEnd w:id="70"/>
      <w:r w:rsidR="006A589C">
        <w:rPr>
          <w:rStyle w:val="Heading2Char"/>
          <w:b/>
        </w:rPr>
        <w:t xml:space="preserve"> </w:t>
      </w:r>
      <w:r w:rsidR="008619C7">
        <w:rPr>
          <w:rStyle w:val="Heading2Char"/>
          <w:b/>
        </w:rPr>
        <w:t xml:space="preserve"> </w:t>
      </w:r>
    </w:p>
    <w:p w:rsidR="00B522AF" w:rsidRDefault="00B522AF" w:rsidP="00B522AF">
      <w:pPr>
        <w:spacing w:after="0"/>
        <w:rPr>
          <w:lang w:val="en-GB"/>
        </w:rPr>
      </w:pPr>
      <w:r>
        <w:rPr>
          <w:lang w:val="en-GB"/>
        </w:rPr>
        <w:t xml:space="preserve">Industries differ in multiple ways for example in profitability, competitiveness and type of business. The analysis of the existing literature shows that industry differences have </w:t>
      </w:r>
      <w:r w:rsidR="009970FC">
        <w:rPr>
          <w:lang w:val="en-GB"/>
        </w:rPr>
        <w:t>an impact</w:t>
      </w:r>
      <w:r>
        <w:rPr>
          <w:lang w:val="en-GB"/>
        </w:rPr>
        <w:t xml:space="preserve"> on financial reporting. Beasley et al. (2000) show that some industries like technology, financial and health care sectors have significantly more financial reporting fraud cases than other industries. These  industries have more fraud opportunities and are therefore harder to control. Giroud and Mueller (2007) indicate that industry differences in competitiveness significantly influence governance and control of an organisation. A competitive industry firm has less management slack and corporate governance problems than non-competitive industry firms. In the field of IT control quality there are very few studies that include industry differences as variable. Li et al. (2012) are an exception since they provide an industry distribution of IT control weaknesses; however, no further analysis. </w:t>
      </w:r>
    </w:p>
    <w:p w:rsidR="00B522AF" w:rsidRDefault="00B522AF" w:rsidP="00B522AF">
      <w:pPr>
        <w:rPr>
          <w:lang w:val="en-US"/>
        </w:rPr>
      </w:pPr>
      <w:r>
        <w:rPr>
          <w:lang w:val="en-GB"/>
        </w:rPr>
        <w:br/>
        <w:t>This research study investigates whether industry differences based on fraud opportunities (</w:t>
      </w:r>
      <w:r>
        <w:rPr>
          <w:lang w:val="en-US"/>
        </w:rPr>
        <w:t xml:space="preserve">Technology, Health Care and </w:t>
      </w:r>
      <w:r w:rsidRPr="00F12956">
        <w:rPr>
          <w:lang w:val="en-US"/>
        </w:rPr>
        <w:t>Financial Service</w:t>
      </w:r>
      <w:r>
        <w:rPr>
          <w:lang w:val="en-US"/>
        </w:rPr>
        <w:t xml:space="preserve"> Industries) and the competitiveness level have an influence on the disclosed IT control weaknesses. A first hypothesis about the industries differences may be based on the results of Beasley et al. (2000). As discussed in chapter 2.4 three particular industries (</w:t>
      </w:r>
      <w:r w:rsidR="0008786E" w:rsidRPr="0008786E">
        <w:rPr>
          <w:lang w:val="en-US"/>
        </w:rPr>
        <w:t>Technology, Health Care and Financial Service Industries</w:t>
      </w:r>
      <w:r>
        <w:rPr>
          <w:lang w:val="en-US"/>
        </w:rPr>
        <w:t xml:space="preserve">) are more likely to report fraud cases. It may be expected that this also translates in more disclosed </w:t>
      </w:r>
      <w:r w:rsidR="000B3301">
        <w:rPr>
          <w:lang w:val="en-US"/>
        </w:rPr>
        <w:t>IT control weaknesses</w:t>
      </w:r>
      <w:r>
        <w:rPr>
          <w:lang w:val="en-US"/>
        </w:rPr>
        <w:t>, because the internal control quality in these industries is more difficult to guarantee due to more fraud opportunities and more complexity. Based on these assumptions and theory hypothesis 1a of this study is:</w:t>
      </w:r>
    </w:p>
    <w:p w:rsidR="00B522AF" w:rsidRDefault="00B522AF" w:rsidP="00B522AF">
      <w:pPr>
        <w:spacing w:after="0"/>
        <w:rPr>
          <w:i/>
          <w:lang w:val="en-GB"/>
        </w:rPr>
      </w:pPr>
      <w:r w:rsidRPr="003B766D">
        <w:rPr>
          <w:i/>
          <w:lang w:val="en-US"/>
        </w:rPr>
        <w:t>Hypothesis 1a)</w:t>
      </w:r>
      <w:r w:rsidRPr="003B766D">
        <w:rPr>
          <w:i/>
          <w:lang w:val="en-US"/>
        </w:rPr>
        <w:br/>
      </w:r>
      <w:r w:rsidRPr="003B766D">
        <w:rPr>
          <w:i/>
          <w:lang w:val="en-GB"/>
        </w:rPr>
        <w:t xml:space="preserve">Companies in industries with complex financial reporting and control issues (technology, financial and health care institutions) </w:t>
      </w:r>
      <w:r>
        <w:rPr>
          <w:i/>
          <w:lang w:val="en-GB"/>
        </w:rPr>
        <w:t>are more likely to have</w:t>
      </w:r>
      <w:r w:rsidRPr="003B766D">
        <w:rPr>
          <w:i/>
          <w:lang w:val="en-GB"/>
        </w:rPr>
        <w:t xml:space="preserve"> IT control weaknesses, than other industries.</w:t>
      </w:r>
    </w:p>
    <w:p w:rsidR="00B522AF" w:rsidRDefault="00B522AF" w:rsidP="00B522AF">
      <w:pPr>
        <w:spacing w:after="0"/>
        <w:rPr>
          <w:lang w:val="en-US"/>
        </w:rPr>
      </w:pPr>
      <w:r>
        <w:rPr>
          <w:lang w:val="en-US"/>
        </w:rPr>
        <w:t xml:space="preserve">In the analysis the technology, health care and financial services industries are separated using the 2-digit Standard Industries Codes (SIC). In chapter 5 the method is </w:t>
      </w:r>
      <w:r w:rsidR="007E09B6" w:rsidRPr="0006085D">
        <w:rPr>
          <w:lang w:val="en-US"/>
        </w:rPr>
        <w:t>explained</w:t>
      </w:r>
      <w:r w:rsidR="00A8251A" w:rsidRPr="00A8251A">
        <w:rPr>
          <w:lang w:val="en-US"/>
        </w:rPr>
        <w:t xml:space="preserve"> </w:t>
      </w:r>
      <w:r w:rsidR="00A8251A" w:rsidRPr="0006085D">
        <w:rPr>
          <w:lang w:val="en-US"/>
        </w:rPr>
        <w:t>further</w:t>
      </w:r>
      <w:r w:rsidRPr="0006085D">
        <w:rPr>
          <w:lang w:val="en-US"/>
        </w:rPr>
        <w:t>.</w:t>
      </w:r>
      <w:r>
        <w:rPr>
          <w:lang w:val="en-US"/>
        </w:rPr>
        <w:t xml:space="preserve"> </w:t>
      </w:r>
    </w:p>
    <w:p w:rsidR="00B522AF" w:rsidRDefault="00B522AF" w:rsidP="00B522AF">
      <w:pPr>
        <w:spacing w:after="0"/>
        <w:rPr>
          <w:lang w:val="en-GB"/>
        </w:rPr>
      </w:pPr>
    </w:p>
    <w:p w:rsidR="00B522AF" w:rsidRDefault="00B522AF" w:rsidP="00B522AF">
      <w:pPr>
        <w:spacing w:after="0"/>
        <w:rPr>
          <w:lang w:val="en-GB"/>
        </w:rPr>
      </w:pPr>
      <w:r>
        <w:rPr>
          <w:lang w:val="en-GB"/>
        </w:rPr>
        <w:t xml:space="preserve">The results of Giroud and Mueller (2007) indicate that the competitiveness level of the industry influences the quality of governance. The study of Li et al. (2007), as discussed in chapter 3, shows </w:t>
      </w:r>
      <w:r w:rsidR="000B3301">
        <w:rPr>
          <w:lang w:val="en-GB"/>
        </w:rPr>
        <w:t>that the</w:t>
      </w:r>
      <w:r>
        <w:rPr>
          <w:lang w:val="en-GB"/>
        </w:rPr>
        <w:t xml:space="preserve"> disclosure of </w:t>
      </w:r>
      <w:r w:rsidR="000B3301">
        <w:rPr>
          <w:lang w:val="en-GB"/>
        </w:rPr>
        <w:t>material IT control weaknesses</w:t>
      </w:r>
      <w:r>
        <w:rPr>
          <w:lang w:val="en-GB"/>
        </w:rPr>
        <w:t xml:space="preserve"> and the quality of governance is significantly associated. Combining the theory of Giroud and Mueller and empirical results of Li et al. (2007) result in the assumption that non-competitive industries have weaker corporate governance and more management slack than competitive industries and that the weaker governance of non-competitive firms will result in more IT control weaknesses than competitive companies have. These theories, empirical results and measurements lead to hypothesis 1b:</w:t>
      </w:r>
    </w:p>
    <w:p w:rsidR="00B522AF" w:rsidRDefault="00B522AF" w:rsidP="00B522AF">
      <w:pPr>
        <w:spacing w:after="0"/>
        <w:rPr>
          <w:lang w:val="en-GB"/>
        </w:rPr>
      </w:pPr>
    </w:p>
    <w:p w:rsidR="00B522AF" w:rsidRDefault="00B522AF" w:rsidP="00B522AF">
      <w:pPr>
        <w:rPr>
          <w:i/>
          <w:lang w:val="en-GB"/>
        </w:rPr>
      </w:pPr>
      <w:r w:rsidRPr="003B766D">
        <w:rPr>
          <w:i/>
          <w:lang w:val="en-GB"/>
        </w:rPr>
        <w:t>Hypothesis 1b)</w:t>
      </w:r>
      <w:r w:rsidRPr="003B766D">
        <w:rPr>
          <w:i/>
          <w:lang w:val="en-GB"/>
        </w:rPr>
        <w:br/>
        <w:t>Companies in</w:t>
      </w:r>
      <w:r>
        <w:rPr>
          <w:i/>
          <w:lang w:val="en-GB"/>
        </w:rPr>
        <w:t xml:space="preserve"> non-competitive</w:t>
      </w:r>
      <w:r w:rsidRPr="003B766D">
        <w:rPr>
          <w:i/>
          <w:lang w:val="en-GB"/>
        </w:rPr>
        <w:t xml:space="preserve"> industries</w:t>
      </w:r>
      <w:r>
        <w:rPr>
          <w:i/>
          <w:lang w:val="en-GB"/>
        </w:rPr>
        <w:t xml:space="preserve"> </w:t>
      </w:r>
      <w:r w:rsidRPr="0006085D">
        <w:rPr>
          <w:i/>
          <w:lang w:val="en-GB"/>
        </w:rPr>
        <w:t>(</w:t>
      </w:r>
      <w:r w:rsidR="00487FD6" w:rsidRPr="0006085D">
        <w:rPr>
          <w:i/>
          <w:lang w:val="en-GB"/>
        </w:rPr>
        <w:t>Herfindahl &gt;33%)</w:t>
      </w:r>
      <w:r>
        <w:rPr>
          <w:i/>
          <w:lang w:val="en-GB"/>
        </w:rPr>
        <w:t xml:space="preserve"> are more likely to have</w:t>
      </w:r>
      <w:r w:rsidRPr="003B766D">
        <w:rPr>
          <w:i/>
          <w:lang w:val="en-GB"/>
        </w:rPr>
        <w:t xml:space="preserve"> IT control weaknesses, than </w:t>
      </w:r>
      <w:r>
        <w:rPr>
          <w:i/>
          <w:lang w:val="en-GB"/>
        </w:rPr>
        <w:t>competitive</w:t>
      </w:r>
      <w:r w:rsidRPr="003B766D">
        <w:rPr>
          <w:i/>
          <w:lang w:val="en-GB"/>
        </w:rPr>
        <w:t xml:space="preserve"> industries.</w:t>
      </w:r>
    </w:p>
    <w:p w:rsidR="00367136" w:rsidRDefault="00B522AF">
      <w:pPr>
        <w:rPr>
          <w:lang w:val="en-GB"/>
        </w:rPr>
      </w:pPr>
      <w:r>
        <w:rPr>
          <w:lang w:val="en-GB"/>
        </w:rPr>
        <w:t xml:space="preserve">The competitiveness level is determined based on the Herfindahl index used by Giroud and Mueller (2007) and when the index is above 33%, it is assumed that the industry is non-competitive. This measurement is explained </w:t>
      </w:r>
      <w:r w:rsidR="00F427C6">
        <w:rPr>
          <w:lang w:val="en-GB"/>
        </w:rPr>
        <w:t xml:space="preserve">further </w:t>
      </w:r>
      <w:r>
        <w:rPr>
          <w:lang w:val="en-GB"/>
        </w:rPr>
        <w:t>in chapter 5</w:t>
      </w:r>
      <w:r w:rsidR="003B766D" w:rsidRPr="003B766D">
        <w:rPr>
          <w:i/>
          <w:lang w:val="en-GB"/>
        </w:rPr>
        <w:t>.</w:t>
      </w:r>
      <w:r w:rsidR="007E09B6">
        <w:rPr>
          <w:i/>
          <w:lang w:val="en-GB"/>
        </w:rPr>
        <w:t xml:space="preserve"> </w:t>
      </w:r>
      <w:r w:rsidR="007E09B6">
        <w:rPr>
          <w:i/>
          <w:lang w:val="en-GB"/>
        </w:rPr>
        <w:br/>
      </w:r>
      <w:r w:rsidR="007E09B6">
        <w:rPr>
          <w:lang w:val="en-GB"/>
        </w:rPr>
        <w:t xml:space="preserve">Both hypotheses 1a and 1b are presented in the Libby box below. The two upper boxes represent the conceptual dependent and independent variable and the boxes below show the operational variables.  The box on the right present the control variables used in the multivariate analysis.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07"/>
      </w:tblGrid>
      <w:tr w:rsidR="0004062A" w:rsidRPr="0016251E" w:rsidTr="00BC5115">
        <w:tc>
          <w:tcPr>
            <w:tcW w:w="10207" w:type="dxa"/>
          </w:tcPr>
          <w:p w:rsidR="0004062A" w:rsidRPr="0004062A" w:rsidRDefault="0004062A" w:rsidP="0004062A">
            <w:pPr>
              <w:spacing w:after="0" w:line="240" w:lineRule="auto"/>
              <w:rPr>
                <w:rFonts w:ascii="Calibri" w:eastAsia="Times New Roman" w:hAnsi="Calibri" w:cs="Times New Roman"/>
                <w:b/>
                <w:noProof/>
                <w:lang w:val="en-US"/>
              </w:rPr>
            </w:pPr>
            <w:r w:rsidRPr="0004062A">
              <w:rPr>
                <w:rFonts w:ascii="Calibri" w:eastAsia="Times New Roman" w:hAnsi="Calibri" w:cs="Times New Roman"/>
                <w:b/>
                <w:lang w:val="en-US" w:eastAsia="en-US"/>
              </w:rPr>
              <w:t>Libby box hypothesis 1:</w:t>
            </w:r>
          </w:p>
        </w:tc>
      </w:tr>
      <w:tr w:rsidR="0004062A" w:rsidRPr="0016251E" w:rsidTr="00BC5115">
        <w:tc>
          <w:tcPr>
            <w:tcW w:w="10207" w:type="dxa"/>
          </w:tcPr>
          <w:p w:rsidR="0004062A" w:rsidRPr="0004062A" w:rsidRDefault="0004062A" w:rsidP="0004062A">
            <w:pPr>
              <w:spacing w:after="0" w:line="240" w:lineRule="auto"/>
              <w:rPr>
                <w:rFonts w:ascii="Calibri" w:eastAsia="Times New Roman" w:hAnsi="Calibri" w:cs="Times New Roman"/>
                <w:lang w:val="en-US" w:eastAsia="en-US"/>
              </w:rPr>
            </w:pPr>
            <w:r w:rsidRPr="0004062A">
              <w:rPr>
                <w:rFonts w:ascii="Calibri" w:eastAsia="Times New Roman" w:hAnsi="Calibri" w:cs="Times New Roman"/>
                <w:noProof/>
                <w:lang w:val="en-US" w:eastAsia="en-US"/>
              </w:rPr>
              <w:drawing>
                <wp:inline distT="0" distB="0" distL="0" distR="0">
                  <wp:extent cx="6457950" cy="2600325"/>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bl>
    <w:p w:rsidR="008619C7" w:rsidRDefault="008619C7" w:rsidP="00F427C6">
      <w:pPr>
        <w:spacing w:after="0"/>
        <w:rPr>
          <w:b/>
          <w:sz w:val="24"/>
          <w:szCs w:val="24"/>
          <w:lang w:val="en-US"/>
        </w:rPr>
      </w:pPr>
    </w:p>
    <w:p w:rsidR="006A589C" w:rsidRDefault="006A589C" w:rsidP="006A589C">
      <w:pPr>
        <w:pStyle w:val="Heading2"/>
        <w:rPr>
          <w:i/>
          <w:lang w:val="en-US"/>
        </w:rPr>
      </w:pPr>
      <w:bookmarkStart w:id="71" w:name="_Toc363840771"/>
      <w:r w:rsidRPr="006A589C">
        <w:t>Restructuring</w:t>
      </w:r>
      <w:bookmarkEnd w:id="71"/>
      <w:r w:rsidRPr="00C22F36">
        <w:rPr>
          <w:i/>
          <w:lang w:val="en-US"/>
        </w:rPr>
        <w:t xml:space="preserve"> </w:t>
      </w:r>
    </w:p>
    <w:p w:rsidR="0039354C" w:rsidRDefault="0039354C" w:rsidP="0039354C">
      <w:pPr>
        <w:rPr>
          <w:lang w:val="en-US"/>
        </w:rPr>
      </w:pPr>
      <w:r>
        <w:rPr>
          <w:lang w:val="en-US"/>
        </w:rPr>
        <w:t>The second explanatory variable analyzed in this research study is the restructuring of the organization. The effect of restructuring on a firm’s performance and governance is an interesting variable, because in the first years after restructuring most firms report a decrease in profitability instead of an increase (Chaney et al., 1999). Doyle et al. (2007) argue that the decrease in performance is explained by the negative effects of downsizing of the organization; this result in loss of knowledge and a compromised ability to produce reliable forecasts. Unlike the variable industry differences, there are many empirical results for restructuring effects on internal control quality. As discussed in chapter 3 the empirical results of Doyle et al. (2007) and</w:t>
      </w:r>
      <w:r w:rsidRPr="00401C37">
        <w:rPr>
          <w:lang w:val="en-US"/>
        </w:rPr>
        <w:t xml:space="preserve"> </w:t>
      </w:r>
      <w:r>
        <w:rPr>
          <w:lang w:val="en-US"/>
        </w:rPr>
        <w:t xml:space="preserve">Stoel </w:t>
      </w:r>
      <w:r w:rsidR="0008786E">
        <w:rPr>
          <w:lang w:val="en-US"/>
        </w:rPr>
        <w:t>and</w:t>
      </w:r>
      <w:r>
        <w:rPr>
          <w:lang w:val="en-US"/>
        </w:rPr>
        <w:t xml:space="preserve"> Muhanna (2011) indicate significant associations with the existence of (IT-) material weaknesses, but the results of </w:t>
      </w:r>
      <w:r>
        <w:rPr>
          <w:rFonts w:eastAsiaTheme="minorHAnsi"/>
          <w:lang w:val="en-US" w:eastAsia="en-US"/>
        </w:rPr>
        <w:t xml:space="preserve">Li et al. (2007 and 2012) and Morris (2011) did not find significant results. Because of these inconsistent results, it is interesting to investigate the effect of restructuring further and with more measures. </w:t>
      </w:r>
      <w:r>
        <w:rPr>
          <w:lang w:val="en-US"/>
        </w:rPr>
        <w:t xml:space="preserve">This study still assumes that restructuring an organization will have a negative impact on the IT control quality and therefore result in more disclosed IT control weaknesses. The first part of hypothesis 2 is devoted to testing the impact of restructuring on the occurrence of </w:t>
      </w:r>
      <w:r w:rsidR="000B3301">
        <w:rPr>
          <w:lang w:val="en-US"/>
        </w:rPr>
        <w:t>material IT control weaknesses</w:t>
      </w:r>
      <w:r>
        <w:rPr>
          <w:lang w:val="en-US"/>
        </w:rPr>
        <w:t xml:space="preserve"> in the same year, because in the same year the negative effects are expected to be the strongest.  This assumption is formulated in hypothesis 2a): </w:t>
      </w:r>
    </w:p>
    <w:p w:rsidR="0039354C" w:rsidRDefault="0039354C" w:rsidP="0039354C">
      <w:pPr>
        <w:rPr>
          <w:i/>
          <w:lang w:val="en-US"/>
        </w:rPr>
      </w:pPr>
      <w:r>
        <w:rPr>
          <w:i/>
          <w:lang w:val="en-US"/>
        </w:rPr>
        <w:t>Hypothesis 2a)</w:t>
      </w:r>
      <w:r>
        <w:rPr>
          <w:i/>
          <w:lang w:val="en-US"/>
        </w:rPr>
        <w:br/>
        <w:t xml:space="preserve">Firms restructuring their organization are more likely to disclose IT control weaknesses under SOX section 404 in the same year. </w:t>
      </w:r>
    </w:p>
    <w:p w:rsidR="0039354C" w:rsidRDefault="0039354C" w:rsidP="0039354C">
      <w:pPr>
        <w:rPr>
          <w:lang w:val="en-US"/>
        </w:rPr>
      </w:pPr>
      <w:r>
        <w:rPr>
          <w:lang w:val="en-US"/>
        </w:rPr>
        <w:t>The second part of hypothesis 2 is based on the measure used by Doyle et al. (2007). This measure not only indicates the existence of a restructuring, but also the size of the restructuring. The theory is that a larger scale restructuring will results in more (IT) material weaknesses, because more knowledge is lost. The measure is based on the scaled restructuring costs of the firm. This results in hypothesis 2b:</w:t>
      </w:r>
    </w:p>
    <w:p w:rsidR="0039354C" w:rsidRDefault="0039354C" w:rsidP="0039354C">
      <w:pPr>
        <w:rPr>
          <w:i/>
          <w:lang w:val="en-US"/>
        </w:rPr>
      </w:pPr>
      <w:r>
        <w:rPr>
          <w:i/>
          <w:lang w:val="en-US"/>
        </w:rPr>
        <w:t>Hypothesis 2b)</w:t>
      </w:r>
      <w:r>
        <w:rPr>
          <w:i/>
          <w:lang w:val="en-US"/>
        </w:rPr>
        <w:br/>
        <w:t xml:space="preserve">Firms with larger scale restructuring (costs) are more likely to disclose IT control weaknesses under SOX section 404. </w:t>
      </w:r>
    </w:p>
    <w:p w:rsidR="0039354C" w:rsidRDefault="0039354C" w:rsidP="0039354C">
      <w:pPr>
        <w:rPr>
          <w:lang w:val="en-US"/>
        </w:rPr>
      </w:pPr>
      <w:r>
        <w:rPr>
          <w:lang w:val="en-US"/>
        </w:rPr>
        <w:t xml:space="preserve">As indicated </w:t>
      </w:r>
      <w:r w:rsidR="00A8251A">
        <w:rPr>
          <w:lang w:val="en-US"/>
        </w:rPr>
        <w:t>by</w:t>
      </w:r>
      <w:r>
        <w:rPr>
          <w:lang w:val="en-US"/>
        </w:rPr>
        <w:t xml:space="preserve"> Chaney et al. (1999), the negative effect of restructurings may exist multiple years.  Most problems related to restructuring, like the loss of knowledge and adjustments need a longer period to be resolved. This is also reflected in the measure of Stoel </w:t>
      </w:r>
      <w:r w:rsidR="0008786E">
        <w:rPr>
          <w:lang w:val="en-US"/>
        </w:rPr>
        <w:t>and</w:t>
      </w:r>
      <w:r>
        <w:rPr>
          <w:lang w:val="en-US"/>
        </w:rPr>
        <w:t xml:space="preserve"> Muhanna (2011) where the existence of a restructuring in the sample period is chosen as measure instead of the existence of a restructuring in the same year of IT material weakness. Based on the results of Chaney et al. (1999) and the measure of Stoel</w:t>
      </w:r>
      <w:r w:rsidR="0008786E">
        <w:rPr>
          <w:lang w:val="en-US"/>
        </w:rPr>
        <w:t xml:space="preserve"> and</w:t>
      </w:r>
      <w:r>
        <w:rPr>
          <w:lang w:val="en-US"/>
        </w:rPr>
        <w:t xml:space="preserve"> Muhanna (2011) the third part of hypothesis 2 is:</w:t>
      </w:r>
    </w:p>
    <w:p w:rsidR="004954C3" w:rsidRDefault="0039354C" w:rsidP="0039354C">
      <w:pPr>
        <w:rPr>
          <w:i/>
          <w:lang w:val="en-US"/>
        </w:rPr>
      </w:pPr>
      <w:r>
        <w:rPr>
          <w:lang w:val="en-US"/>
        </w:rPr>
        <w:t xml:space="preserve"> </w:t>
      </w:r>
      <w:r>
        <w:rPr>
          <w:i/>
          <w:lang w:val="en-US"/>
        </w:rPr>
        <w:t>Hypothesis 2c)</w:t>
      </w:r>
      <w:r>
        <w:rPr>
          <w:i/>
          <w:lang w:val="en-US"/>
        </w:rPr>
        <w:br/>
        <w:t>Firms with a restructuring in the period (2004-2011) are more likely to disclose IT control weaknesses under SOX section 404</w:t>
      </w:r>
      <w:r w:rsidR="00437011">
        <w:rPr>
          <w:i/>
          <w:lang w:val="en-US"/>
        </w:rPr>
        <w:t>.</w:t>
      </w:r>
    </w:p>
    <w:p w:rsidR="006A589C" w:rsidRDefault="00A8251A" w:rsidP="004954C3">
      <w:pPr>
        <w:rPr>
          <w:lang w:val="en-US"/>
        </w:rPr>
      </w:pPr>
      <w:r>
        <w:rPr>
          <w:lang w:val="en-US"/>
        </w:rPr>
        <w:t>The</w:t>
      </w:r>
      <w:r w:rsidR="007E09B6">
        <w:rPr>
          <w:lang w:val="en-US"/>
        </w:rPr>
        <w:t xml:space="preserve"> three hypotheses 2a, 2b and 2c are</w:t>
      </w:r>
      <w:r w:rsidR="00F84C2C">
        <w:rPr>
          <w:lang w:val="en-US"/>
        </w:rPr>
        <w:t xml:space="preserve"> integrated</w:t>
      </w:r>
      <w:r w:rsidR="007E09B6">
        <w:rPr>
          <w:lang w:val="en-US"/>
        </w:rPr>
        <w:t xml:space="preserve"> in a Libby box. The difference between the hypotheses is </w:t>
      </w:r>
      <w:r>
        <w:rPr>
          <w:lang w:val="en-US"/>
        </w:rPr>
        <w:t xml:space="preserve">clearly </w:t>
      </w:r>
      <w:r w:rsidR="00F84C2C">
        <w:rPr>
          <w:lang w:val="en-US"/>
        </w:rPr>
        <w:t>presented</w:t>
      </w:r>
      <w:r w:rsidR="007E09B6">
        <w:rPr>
          <w:lang w:val="en-US"/>
        </w:rPr>
        <w:t xml:space="preserve"> in the operational independent variable box, where three different methods to measure restructuring are </w:t>
      </w:r>
      <w:r w:rsidR="00F84C2C">
        <w:rPr>
          <w:lang w:val="en-US"/>
        </w:rPr>
        <w:t>shown.</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07"/>
      </w:tblGrid>
      <w:tr w:rsidR="0016251E" w:rsidRPr="0016251E" w:rsidTr="005924DA">
        <w:tc>
          <w:tcPr>
            <w:tcW w:w="10207" w:type="dxa"/>
          </w:tcPr>
          <w:p w:rsidR="0016251E" w:rsidRPr="0004062A" w:rsidRDefault="0016251E" w:rsidP="00DF1A0B">
            <w:pPr>
              <w:spacing w:after="0" w:line="240" w:lineRule="auto"/>
              <w:rPr>
                <w:rFonts w:ascii="Calibri" w:eastAsia="Times New Roman" w:hAnsi="Calibri" w:cs="Times New Roman"/>
                <w:b/>
                <w:noProof/>
                <w:lang w:val="en-US"/>
              </w:rPr>
            </w:pPr>
            <w:r w:rsidRPr="0004062A">
              <w:rPr>
                <w:rFonts w:ascii="Calibri" w:eastAsia="Times New Roman" w:hAnsi="Calibri" w:cs="Times New Roman"/>
                <w:b/>
                <w:lang w:val="en-US" w:eastAsia="en-US"/>
              </w:rPr>
              <w:t xml:space="preserve">Libby box hypothesis </w:t>
            </w:r>
            <w:r w:rsidR="00DF1A0B">
              <w:rPr>
                <w:rFonts w:ascii="Calibri" w:eastAsia="Times New Roman" w:hAnsi="Calibri" w:cs="Times New Roman"/>
                <w:b/>
                <w:lang w:val="en-US" w:eastAsia="en-US"/>
              </w:rPr>
              <w:t>2</w:t>
            </w:r>
            <w:r w:rsidRPr="0004062A">
              <w:rPr>
                <w:rFonts w:ascii="Calibri" w:eastAsia="Times New Roman" w:hAnsi="Calibri" w:cs="Times New Roman"/>
                <w:b/>
                <w:lang w:val="en-US" w:eastAsia="en-US"/>
              </w:rPr>
              <w:t>:</w:t>
            </w:r>
          </w:p>
        </w:tc>
      </w:tr>
      <w:tr w:rsidR="0016251E" w:rsidRPr="0016251E" w:rsidTr="005924DA">
        <w:tc>
          <w:tcPr>
            <w:tcW w:w="10207" w:type="dxa"/>
          </w:tcPr>
          <w:p w:rsidR="0016251E" w:rsidRPr="0004062A" w:rsidRDefault="0016251E" w:rsidP="005924DA">
            <w:pPr>
              <w:spacing w:after="0" w:line="240" w:lineRule="auto"/>
              <w:rPr>
                <w:rFonts w:ascii="Calibri" w:eastAsia="Times New Roman" w:hAnsi="Calibri" w:cs="Times New Roman"/>
                <w:lang w:val="en-US" w:eastAsia="en-US"/>
              </w:rPr>
            </w:pPr>
            <w:r w:rsidRPr="0004062A">
              <w:rPr>
                <w:rFonts w:ascii="Calibri" w:eastAsia="Times New Roman" w:hAnsi="Calibri" w:cs="Times New Roman"/>
                <w:noProof/>
                <w:lang w:val="en-US" w:eastAsia="en-US"/>
              </w:rPr>
              <w:drawing>
                <wp:inline distT="0" distB="0" distL="0" distR="0">
                  <wp:extent cx="6457950" cy="2619375"/>
                  <wp:effectExtent l="0" t="0" r="0" b="0"/>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r>
    </w:tbl>
    <w:p w:rsidR="008619C7" w:rsidRDefault="008619C7">
      <w:pPr>
        <w:rPr>
          <w:b/>
          <w:sz w:val="24"/>
          <w:szCs w:val="24"/>
          <w:lang w:val="en-US"/>
        </w:rPr>
      </w:pPr>
    </w:p>
    <w:p w:rsidR="00E14E59" w:rsidRDefault="00E14E59">
      <w:pPr>
        <w:rPr>
          <w:b/>
          <w:sz w:val="32"/>
          <w:szCs w:val="44"/>
          <w:lang w:val="en-GB"/>
        </w:rPr>
      </w:pPr>
      <w:bookmarkStart w:id="72" w:name="_Toc363840772"/>
      <w:r>
        <w:br w:type="page"/>
      </w:r>
    </w:p>
    <w:p w:rsidR="00E72C2E" w:rsidRDefault="00E72C2E" w:rsidP="00C514CA">
      <w:pPr>
        <w:pStyle w:val="Heading1"/>
      </w:pPr>
      <w:r>
        <w:t>Chapter 5</w:t>
      </w:r>
      <w:r>
        <w:tab/>
        <w:t>Research design</w:t>
      </w:r>
      <w:bookmarkEnd w:id="72"/>
    </w:p>
    <w:p w:rsidR="004426DD" w:rsidRPr="004426DD" w:rsidRDefault="004426DD" w:rsidP="004426DD">
      <w:pPr>
        <w:pStyle w:val="ListParagraph"/>
        <w:numPr>
          <w:ilvl w:val="0"/>
          <w:numId w:val="7"/>
        </w:numPr>
        <w:outlineLvl w:val="1"/>
        <w:rPr>
          <w:rStyle w:val="Heading2Char"/>
          <w:b w:val="0"/>
          <w:vanish/>
        </w:rPr>
      </w:pPr>
      <w:bookmarkStart w:id="73" w:name="_Toc348708589"/>
      <w:bookmarkStart w:id="74" w:name="_Toc351293185"/>
      <w:bookmarkStart w:id="75" w:name="_Toc351826182"/>
      <w:bookmarkStart w:id="76" w:name="_Toc351826266"/>
      <w:bookmarkStart w:id="77" w:name="_Toc351826507"/>
      <w:bookmarkStart w:id="78" w:name="_Toc358741766"/>
      <w:bookmarkStart w:id="79" w:name="_Toc358741915"/>
      <w:bookmarkStart w:id="80" w:name="_Toc363126471"/>
      <w:bookmarkStart w:id="81" w:name="_Toc363126552"/>
      <w:bookmarkStart w:id="82" w:name="_Toc363126723"/>
      <w:bookmarkStart w:id="83" w:name="_Toc363126812"/>
      <w:bookmarkStart w:id="84" w:name="_Toc363204356"/>
      <w:bookmarkStart w:id="85" w:name="_Toc363840773"/>
      <w:bookmarkEnd w:id="73"/>
      <w:bookmarkEnd w:id="74"/>
      <w:bookmarkEnd w:id="75"/>
      <w:bookmarkEnd w:id="76"/>
      <w:bookmarkEnd w:id="77"/>
      <w:bookmarkEnd w:id="78"/>
      <w:bookmarkEnd w:id="79"/>
      <w:bookmarkEnd w:id="80"/>
      <w:bookmarkEnd w:id="81"/>
      <w:bookmarkEnd w:id="82"/>
      <w:bookmarkEnd w:id="83"/>
      <w:bookmarkEnd w:id="84"/>
      <w:bookmarkEnd w:id="85"/>
    </w:p>
    <w:p w:rsidR="00A14C94" w:rsidRDefault="005F5272" w:rsidP="00773BA0">
      <w:pPr>
        <w:pStyle w:val="Heading2"/>
        <w:rPr>
          <w:rStyle w:val="Heading2Char"/>
          <w:b/>
        </w:rPr>
      </w:pPr>
      <w:bookmarkStart w:id="86" w:name="_Toc363840774"/>
      <w:r>
        <w:rPr>
          <w:rStyle w:val="Heading2Char"/>
          <w:b/>
        </w:rPr>
        <w:t>Research</w:t>
      </w:r>
      <w:r w:rsidR="00086A0D" w:rsidRPr="004426DD">
        <w:rPr>
          <w:rStyle w:val="Heading2Char"/>
          <w:b/>
        </w:rPr>
        <w:t xml:space="preserve"> measure</w:t>
      </w:r>
      <w:r>
        <w:rPr>
          <w:rStyle w:val="Heading2Char"/>
          <w:b/>
        </w:rPr>
        <w:t>ments</w:t>
      </w:r>
      <w:bookmarkEnd w:id="86"/>
      <w:r w:rsidR="00086A0D" w:rsidRPr="004426DD">
        <w:rPr>
          <w:rStyle w:val="Heading2Char"/>
          <w:b/>
        </w:rPr>
        <w:t xml:space="preserve"> </w:t>
      </w:r>
    </w:p>
    <w:p w:rsidR="005F5272" w:rsidRPr="009970FC" w:rsidRDefault="005F5272" w:rsidP="009970FC">
      <w:pPr>
        <w:rPr>
          <w:b/>
        </w:rPr>
      </w:pPr>
      <w:r w:rsidRPr="00F427C6">
        <w:rPr>
          <w:b/>
          <w:lang w:val="en-US"/>
        </w:rPr>
        <w:t>Measurement</w:t>
      </w:r>
      <w:r w:rsidRPr="009970FC">
        <w:rPr>
          <w:b/>
        </w:rPr>
        <w:t xml:space="preserve"> of IT control </w:t>
      </w:r>
      <w:r w:rsidRPr="00F427C6">
        <w:rPr>
          <w:b/>
          <w:lang w:val="en-US"/>
        </w:rPr>
        <w:t>quality</w:t>
      </w:r>
    </w:p>
    <w:p w:rsidR="0039354C" w:rsidRDefault="0039354C" w:rsidP="0039354C">
      <w:pPr>
        <w:rPr>
          <w:lang w:val="en-US"/>
        </w:rPr>
      </w:pPr>
      <w:r>
        <w:rPr>
          <w:lang w:val="en-US"/>
        </w:rPr>
        <w:t xml:space="preserve">In order to have a replicable and comparable empirical research study, it is important to look at the proxies used by prior studies. So first the measurement of the IT control quality is analyzed.  In order to measure the IT control quality most research studies look at the internal control reports filed under SOX section 404. In this section the material weaknesses of the internal control on financial reporting are disclosed, thereby giving an indication of the quality of the controls. As part of the internal controls the </w:t>
      </w:r>
      <w:r w:rsidR="000B3301">
        <w:rPr>
          <w:lang w:val="en-US"/>
        </w:rPr>
        <w:t>material IT control weaknesses</w:t>
      </w:r>
      <w:r>
        <w:rPr>
          <w:lang w:val="en-US"/>
        </w:rPr>
        <w:t xml:space="preserve"> are also disclosed and allow studies to identify </w:t>
      </w:r>
      <w:r w:rsidR="000B3301">
        <w:rPr>
          <w:lang w:val="en-US"/>
        </w:rPr>
        <w:t>material IT control weaknesses</w:t>
      </w:r>
      <w:r>
        <w:rPr>
          <w:lang w:val="en-US"/>
        </w:rPr>
        <w:t xml:space="preserve"> firms. In the following </w:t>
      </w:r>
      <w:r w:rsidR="0008786E">
        <w:rPr>
          <w:lang w:val="en-US"/>
        </w:rPr>
        <w:t>section</w:t>
      </w:r>
      <w:r w:rsidR="00A8251A">
        <w:rPr>
          <w:lang w:val="en-US"/>
        </w:rPr>
        <w:t>s</w:t>
      </w:r>
      <w:r>
        <w:rPr>
          <w:lang w:val="en-US"/>
        </w:rPr>
        <w:t xml:space="preserve"> the different methods of measurement and collection of prior research studies are discussed. </w:t>
      </w:r>
    </w:p>
    <w:p w:rsidR="0039354C" w:rsidRDefault="0039354C" w:rsidP="0039354C">
      <w:pPr>
        <w:rPr>
          <w:lang w:val="en-US"/>
        </w:rPr>
      </w:pPr>
      <w:r>
        <w:rPr>
          <w:lang w:val="en-US"/>
        </w:rPr>
        <w:t xml:space="preserve">Li et al. (2012) use a binary variable to measure the effect of </w:t>
      </w:r>
      <w:r w:rsidR="000B3301">
        <w:rPr>
          <w:lang w:val="en-US"/>
        </w:rPr>
        <w:t>material IT control weaknesses</w:t>
      </w:r>
      <w:r>
        <w:rPr>
          <w:lang w:val="en-US"/>
        </w:rPr>
        <w:t xml:space="preserve">, the variable has the value 1 when a company has an IT material weakness and 0 for otherwise. To determine the specific IT related weaknesses the disclosed material weaknesses in the audit analysis database are divided into two groups: the IT related material weaknesses and the non-IT related material weaknesses. In order to measure the correlation between IT related material weaknesses and non-IT related material weaknesses the variable other material weaknesses is included in the multivariate analysis. Important to note is that the IT material weakness variable is an explanatory variable and not a dependent variable, so the found associations of the control variables are not related to the existence of </w:t>
      </w:r>
      <w:r w:rsidR="000B3301">
        <w:rPr>
          <w:lang w:val="en-US"/>
        </w:rPr>
        <w:t>material IT control weaknesses</w:t>
      </w:r>
      <w:r>
        <w:rPr>
          <w:lang w:val="en-US"/>
        </w:rPr>
        <w:t>.</w:t>
      </w:r>
    </w:p>
    <w:p w:rsidR="0039354C" w:rsidRDefault="0039354C" w:rsidP="0039354C">
      <w:pPr>
        <w:rPr>
          <w:lang w:val="en-US"/>
        </w:rPr>
      </w:pPr>
      <w:r>
        <w:rPr>
          <w:lang w:val="en-US"/>
        </w:rPr>
        <w:t xml:space="preserve">Li et al. (2007) </w:t>
      </w:r>
      <w:r w:rsidR="00487FD6" w:rsidRPr="0006085D">
        <w:rPr>
          <w:lang w:val="en-US"/>
        </w:rPr>
        <w:t>also</w:t>
      </w:r>
      <w:r w:rsidRPr="0006085D">
        <w:rPr>
          <w:lang w:val="en-US"/>
        </w:rPr>
        <w:t xml:space="preserve"> </w:t>
      </w:r>
      <w:r w:rsidR="0006085D" w:rsidRPr="0006085D">
        <w:rPr>
          <w:lang w:val="en-US"/>
        </w:rPr>
        <w:t>use</w:t>
      </w:r>
      <w:r w:rsidR="0006085D">
        <w:rPr>
          <w:lang w:val="en-US"/>
        </w:rPr>
        <w:t xml:space="preserve"> </w:t>
      </w:r>
      <w:r>
        <w:rPr>
          <w:lang w:val="en-US"/>
        </w:rPr>
        <w:t>a binary variable with the value 1 for IT related material weaknesses and value 0 otherwise. The coding of audit analytics is used to determine if the weakness is IT related. In the empirical tests the IT material weakness variable is the dependent variable; in other words it is analyzed whether the other explanatory variables have an effect on the occurrence of IT related material weaknesses. As suggested in chapter 4, this study also uses the IT related material weakness variable as the dependent variable.</w:t>
      </w:r>
    </w:p>
    <w:p w:rsidR="0039354C" w:rsidRDefault="0039354C" w:rsidP="0039354C">
      <w:pPr>
        <w:rPr>
          <w:lang w:val="en-US"/>
        </w:rPr>
      </w:pPr>
      <w:r w:rsidRPr="000F4F0B">
        <w:rPr>
          <w:lang w:val="en-US"/>
        </w:rPr>
        <w:t xml:space="preserve">Grant et al. </w:t>
      </w:r>
      <w:r>
        <w:rPr>
          <w:lang w:val="en-US"/>
        </w:rPr>
        <w:t>(</w:t>
      </w:r>
      <w:r w:rsidRPr="000F4F0B">
        <w:rPr>
          <w:lang w:val="en-US"/>
        </w:rPr>
        <w:t>2008</w:t>
      </w:r>
      <w:r>
        <w:rPr>
          <w:lang w:val="en-US"/>
        </w:rPr>
        <w:t>)</w:t>
      </w:r>
      <w:r w:rsidRPr="000F4F0B">
        <w:rPr>
          <w:lang w:val="en-US"/>
        </w:rPr>
        <w:t xml:space="preserve"> use another method in examining the effect of </w:t>
      </w:r>
      <w:r w:rsidR="000B3301">
        <w:rPr>
          <w:lang w:val="en-US"/>
        </w:rPr>
        <w:t>material IT control weaknesses</w:t>
      </w:r>
      <w:r w:rsidRPr="000F4F0B">
        <w:rPr>
          <w:lang w:val="en-US"/>
        </w:rPr>
        <w:t xml:space="preserve"> on the financial reporting quality. </w:t>
      </w:r>
      <w:r>
        <w:rPr>
          <w:lang w:val="en-US"/>
        </w:rPr>
        <w:t>The sample was simply divided in two groups of firms; 1) IT material weakness firms, 2) other firms with no</w:t>
      </w:r>
      <w:r w:rsidR="000B3301">
        <w:rPr>
          <w:lang w:val="en-US"/>
        </w:rPr>
        <w:t>n-IT material control weaknesses</w:t>
      </w:r>
      <w:r>
        <w:rPr>
          <w:lang w:val="en-US"/>
        </w:rPr>
        <w:t>. In order to segregate the group the authors also use the categorization of Audit Analytics. The research models of Grant et al. 2008 are not specified, because the only analysis conducted in this research study is to look what accounting errors occur more often in IT related material weakness firms in comparison to other firms.</w:t>
      </w:r>
    </w:p>
    <w:p w:rsidR="0039354C" w:rsidRDefault="0039354C" w:rsidP="0039354C">
      <w:pPr>
        <w:rPr>
          <w:lang w:val="en-US"/>
        </w:rPr>
      </w:pPr>
      <w:r>
        <w:rPr>
          <w:lang w:val="en-US"/>
        </w:rPr>
        <w:t xml:space="preserve">Boritz et al. (2010) investigate the disclosure of </w:t>
      </w:r>
      <w:r w:rsidR="000B3301">
        <w:rPr>
          <w:lang w:val="en-US"/>
        </w:rPr>
        <w:t>material IT control weaknesses</w:t>
      </w:r>
      <w:r>
        <w:rPr>
          <w:lang w:val="en-US"/>
        </w:rPr>
        <w:t xml:space="preserve"> in auditor reports of SOX section 404. Instead of relying on the coding of Audit Analytics, the authors use their own text analysis on the auditor’s reports to identify </w:t>
      </w:r>
      <w:r w:rsidR="000B3301">
        <w:rPr>
          <w:lang w:val="en-US"/>
        </w:rPr>
        <w:t>material IT control weaknesses</w:t>
      </w:r>
      <w:r>
        <w:rPr>
          <w:lang w:val="en-US"/>
        </w:rPr>
        <w:t>.  The automated text analysis differs in multiple areas from the Audit Analytics method. First Boritz et al. (2010) only look at the auditor’s report of SOX 404, while Audit Analytics also looks at the management reports. In addition the analysis uses different keywords to find material IT weaknesses. A comparison of the different methods reveals that the automated method of Boritz et al. (2010) is not more accurate than the Audit Analytics coding, because the automated search has wrongly identified three firms as having material IT weaknesses and has only found one company having an IT material weakness that was not identified by Audit Analytics.</w:t>
      </w:r>
    </w:p>
    <w:p w:rsidR="003011D6" w:rsidRPr="000F4F0B" w:rsidRDefault="0039354C" w:rsidP="0039354C">
      <w:pPr>
        <w:rPr>
          <w:lang w:val="en-US"/>
        </w:rPr>
      </w:pPr>
      <w:r>
        <w:rPr>
          <w:lang w:val="en-US"/>
        </w:rPr>
        <w:t xml:space="preserve">In this research study the </w:t>
      </w:r>
      <w:r w:rsidR="000B3301">
        <w:rPr>
          <w:lang w:val="en-US"/>
        </w:rPr>
        <w:t>material IT control weaknesses</w:t>
      </w:r>
      <w:r>
        <w:rPr>
          <w:lang w:val="en-US"/>
        </w:rPr>
        <w:t xml:space="preserve"> are measured as a binary variable with the value 1 when there is at least one IT related material weakness and the value 0 otherwise. This proxy is comparable to the methods used in prior research studies and improves the comparability. The method to identify the </w:t>
      </w:r>
      <w:r w:rsidR="000B3301">
        <w:rPr>
          <w:lang w:val="en-US"/>
        </w:rPr>
        <w:t>material IT control weaknesses</w:t>
      </w:r>
      <w:r>
        <w:rPr>
          <w:lang w:val="en-US"/>
        </w:rPr>
        <w:t xml:space="preserve"> will be based on the coding of Audit Analytics. As the study of Boritz et al. (2010) shows, the automated text analysis of the SOX 404 reports may probably identify more IT material weakness firms, but is not more accurate than the Audit Analytics method. By relying on the data and the coding of Audit Analytics, the results of this study can be compared with the other studies in the field of IT material weakness disclosures (Li et al., 2012; Li et al., 2007; Grant et al., 2008)</w:t>
      </w:r>
      <w:r w:rsidR="00E24F6B">
        <w:rPr>
          <w:lang w:val="en-US"/>
        </w:rPr>
        <w:t>.</w:t>
      </w:r>
    </w:p>
    <w:p w:rsidR="005F5272" w:rsidRPr="00553440" w:rsidRDefault="00487FD6" w:rsidP="009970FC">
      <w:pPr>
        <w:rPr>
          <w:b/>
          <w:lang w:val="en-US"/>
        </w:rPr>
      </w:pPr>
      <w:r w:rsidRPr="00487FD6">
        <w:rPr>
          <w:b/>
          <w:lang w:val="en-US"/>
        </w:rPr>
        <w:t xml:space="preserve">Measurement </w:t>
      </w:r>
      <w:r w:rsidR="0008786E">
        <w:rPr>
          <w:b/>
          <w:lang w:val="en-US"/>
        </w:rPr>
        <w:t xml:space="preserve">of </w:t>
      </w:r>
      <w:r w:rsidRPr="00487FD6">
        <w:rPr>
          <w:b/>
          <w:lang w:val="en-US"/>
        </w:rPr>
        <w:t>industry differences</w:t>
      </w:r>
    </w:p>
    <w:p w:rsidR="0039354C" w:rsidRDefault="006D309E" w:rsidP="0039354C">
      <w:pPr>
        <w:rPr>
          <w:lang w:val="en-US"/>
        </w:rPr>
      </w:pPr>
      <w:r>
        <w:rPr>
          <w:lang w:val="en-US"/>
        </w:rPr>
        <w:t>The explanatory variable I</w:t>
      </w:r>
      <w:r w:rsidR="0039354C">
        <w:rPr>
          <w:lang w:val="en-US"/>
        </w:rPr>
        <w:t xml:space="preserve">ndustry </w:t>
      </w:r>
      <w:r>
        <w:rPr>
          <w:lang w:val="en-US"/>
        </w:rPr>
        <w:t>D</w:t>
      </w:r>
      <w:r w:rsidR="0039354C">
        <w:rPr>
          <w:lang w:val="en-US"/>
        </w:rPr>
        <w:t xml:space="preserve">ifferences is more difficult to measure, because the tested differences have to be based on proven theories. As discussed in chapter 2 and 3, the literature in the field of </w:t>
      </w:r>
      <w:r w:rsidR="000B3301">
        <w:rPr>
          <w:lang w:val="en-US"/>
        </w:rPr>
        <w:t>IT control weaknesses</w:t>
      </w:r>
      <w:r w:rsidR="0039354C">
        <w:rPr>
          <w:lang w:val="en-US"/>
        </w:rPr>
        <w:t xml:space="preserve"> does discus the distribution of </w:t>
      </w:r>
      <w:r w:rsidR="000B3301">
        <w:rPr>
          <w:lang w:val="en-US"/>
        </w:rPr>
        <w:t>material IT control weaknesses</w:t>
      </w:r>
      <w:r w:rsidR="0039354C">
        <w:rPr>
          <w:lang w:val="en-US"/>
        </w:rPr>
        <w:t xml:space="preserve"> across the different industries, but does not test if some industries are more likely to have IT control weaknesses than other industries. To provide the theoretical basis for the industry differences the studies of Beasley et al. (2000) and Giroud and Mueller (2</w:t>
      </w:r>
      <w:r w:rsidR="0039354C" w:rsidRPr="00C825E8">
        <w:rPr>
          <w:lang w:val="en-US"/>
        </w:rPr>
        <w:t>007</w:t>
      </w:r>
      <w:r w:rsidR="0039354C">
        <w:rPr>
          <w:lang w:val="en-US"/>
        </w:rPr>
        <w:t>) are used to see if those theories also hold for IT material weakness firms.</w:t>
      </w:r>
    </w:p>
    <w:p w:rsidR="0039354C" w:rsidRDefault="0039354C" w:rsidP="0039354C">
      <w:pPr>
        <w:rPr>
          <w:lang w:val="en-US"/>
        </w:rPr>
      </w:pPr>
      <w:r w:rsidRPr="008F07C1">
        <w:rPr>
          <w:i/>
          <w:lang w:val="en-US"/>
        </w:rPr>
        <w:t>Industry differences caused by the difference in fraud opportunities</w:t>
      </w:r>
      <w:r>
        <w:rPr>
          <w:lang w:val="en-US"/>
        </w:rPr>
        <w:br/>
        <w:t xml:space="preserve">Beasley et al. (2000) have developed and analyzed the relation between the occurrence of fraud and the type of industry and found that some industries are more likely to have fraud than others. The industry differences are measured by first dividing the sample across the different industries using the Standard Industry Codes (SIC). Then the different industries are tested in a test of differences based on a t-test. The empirical results of Beasley et al. (2000) show that three key industries are more likely to report fraud than others industries. These industries are: 1) Technology, 2) Health Care and 3) Financial Service.  In the sample of total 200 firms that report fraud there are 25 (12.5%) technology firms, 19 (9.5%) health care related companies and 22 (11%) financial services companies. These industries account for 33% of all fraud cases. </w:t>
      </w:r>
    </w:p>
    <w:p w:rsidR="0039354C" w:rsidRDefault="0039354C" w:rsidP="0039354C">
      <w:pPr>
        <w:rPr>
          <w:lang w:val="en-US"/>
        </w:rPr>
      </w:pPr>
      <w:r>
        <w:rPr>
          <w:lang w:val="en-US"/>
        </w:rPr>
        <w:t xml:space="preserve">In order to see whether these industries are also more likely to have </w:t>
      </w:r>
      <w:r w:rsidR="000B3301">
        <w:rPr>
          <w:lang w:val="en-US"/>
        </w:rPr>
        <w:t>material IT control weaknesses</w:t>
      </w:r>
      <w:r>
        <w:rPr>
          <w:lang w:val="en-US"/>
        </w:rPr>
        <w:t xml:space="preserve">, the three key industries are included in one dummy variable to segregate them from the total population of firms. This dummy variable INDFRAUD only includes companies in the technology, health care or financial services industries. The variable has the value 1 when the company is working in one of these three industries and has the value 0 when the firm is working in another industry. This explanatory variable investigates if the industries that have more fraud opportunities and more complex financial reporting have significant more </w:t>
      </w:r>
      <w:r w:rsidR="000B3301">
        <w:rPr>
          <w:lang w:val="en-US"/>
        </w:rPr>
        <w:t>material IT control weaknesses</w:t>
      </w:r>
      <w:r>
        <w:rPr>
          <w:lang w:val="en-US"/>
        </w:rPr>
        <w:t xml:space="preserve"> than other industries.</w:t>
      </w:r>
    </w:p>
    <w:p w:rsidR="0039354C" w:rsidRPr="00122F50" w:rsidRDefault="0039354C" w:rsidP="0039354C">
      <w:pPr>
        <w:rPr>
          <w:vertAlign w:val="subscript"/>
          <w:lang w:val="en-US"/>
        </w:rPr>
      </w:pPr>
      <w:r w:rsidRPr="008F07C1">
        <w:rPr>
          <w:i/>
          <w:lang w:val="en-US"/>
        </w:rPr>
        <w:t>Differences in competitiveness</w:t>
      </w:r>
      <w:r>
        <w:rPr>
          <w:lang w:val="en-US"/>
        </w:rPr>
        <w:br/>
        <w:t xml:space="preserve">Not only the differences in  fraud opportunities can explain industry differences, but also the differences in competitiveness can explain why more </w:t>
      </w:r>
      <w:r w:rsidR="000B3301">
        <w:rPr>
          <w:lang w:val="en-US"/>
        </w:rPr>
        <w:t>material IT control weaknesses</w:t>
      </w:r>
      <w:r>
        <w:rPr>
          <w:lang w:val="en-US"/>
        </w:rPr>
        <w:t xml:space="preserve"> occur in certain industries. Giroud and Mueller (2007) found that non-competitiveness industries have significant more agency problems and management slack. The competitiveness level is determined by the Herfindahl index which is the squared sum of the market shares. </w:t>
      </w:r>
    </w:p>
    <w:p w:rsidR="0039354C" w:rsidRPr="003C2EB7" w:rsidRDefault="0039354C" w:rsidP="0039354C">
      <m:oMathPara>
        <m:oMath>
          <m:r>
            <w:rPr>
              <w:rFonts w:ascii="Cambria Math" w:hAnsi="Cambria Math"/>
              <w:lang w:val="en-US"/>
            </w:rPr>
            <m:t>Herfinda</m:t>
          </m:r>
          <m:r>
            <w:rPr>
              <w:rFonts w:ascii="Cambria Math" w:hAnsi="Cambria Math"/>
            </w:rPr>
            <m:t>h</m:t>
          </m:r>
          <m:r>
            <w:rPr>
              <w:rFonts w:ascii="Cambria Math" w:hAnsi="Cambria Math"/>
              <w:lang w:val="en-US"/>
            </w:rPr>
            <m:t>l</m:t>
          </m:r>
          <m:r>
            <w:rPr>
              <w:rFonts w:ascii="Cambria Math" w:hAnsi="Cambria Math"/>
            </w:rPr>
            <m:t xml:space="preserve"> </m:t>
          </m:r>
          <m:r>
            <w:rPr>
              <w:rFonts w:ascii="Cambria Math" w:hAnsi="Cambria Math"/>
              <w:lang w:val="en-US"/>
            </w:rPr>
            <m:t>Index</m:t>
          </m:r>
          <m:r>
            <w:rPr>
              <w:rFonts w:ascii="Cambria Math" w:hAnsi="Cambria Math"/>
            </w:rPr>
            <m:t>=</m:t>
          </m:r>
          <m:nary>
            <m:naryPr>
              <m:chr m:val="∑"/>
              <m:ctrlPr>
                <w:rPr>
                  <w:rFonts w:ascii="Cambria Math" w:hAnsi="Cambria Math"/>
                  <w:i/>
                  <w:lang w:val="en-US"/>
                </w:rPr>
              </m:ctrlPr>
            </m:naryPr>
            <m:sub>
              <m:r>
                <w:rPr>
                  <w:rFonts w:ascii="Cambria Math" w:hAnsi="Cambria Math"/>
                </w:rPr>
                <m:t>i=1</m:t>
              </m:r>
            </m:sub>
            <m:sup>
              <m:r>
                <w:rPr>
                  <w:rFonts w:ascii="Cambria Math" w:hAnsi="Cambria Math"/>
                </w:rPr>
                <m:t>n</m:t>
              </m:r>
            </m:sup>
            <m:e>
              <m:r>
                <m:rPr>
                  <m:nor/>
                </m:rPr>
                <w:rPr>
                  <w:rFonts w:ascii="Cambria Math" w:hAnsi="Cambria Math"/>
                </w:rPr>
                <m:t>s</m:t>
              </m:r>
              <m:r>
                <m:rPr>
                  <m:nor/>
                </m:rPr>
                <w:rPr>
                  <w:rFonts w:ascii="Cambria Math" w:hAnsi="Cambria Math"/>
                  <w:vertAlign w:val="superscript"/>
                </w:rPr>
                <m:t>2</m:t>
              </m:r>
              <m:r>
                <m:rPr>
                  <m:nor/>
                </m:rPr>
                <w:rPr>
                  <w:rFonts w:ascii="Cambria Math" w:hAnsi="Cambria Math"/>
                  <w:vertAlign w:val="subscript"/>
                </w:rPr>
                <m:t>ijt</m:t>
              </m:r>
              <m:r>
                <m:rPr>
                  <m:sty m:val="p"/>
                </m:rPr>
                <w:rPr>
                  <w:rFonts w:ascii="Cambria Math" w:hAnsi="Cambria Math"/>
                  <w:vertAlign w:val="subscript"/>
                </w:rPr>
                <m:t xml:space="preserve"> </m:t>
              </m:r>
            </m:e>
          </m:nary>
        </m:oMath>
      </m:oMathPara>
    </w:p>
    <w:p w:rsidR="0052759F" w:rsidRPr="00122F50" w:rsidRDefault="0039354C" w:rsidP="0039354C">
      <w:pPr>
        <w:rPr>
          <w:lang w:val="en-US"/>
        </w:rPr>
      </w:pPr>
      <w:r>
        <w:rPr>
          <w:lang w:val="en-US"/>
        </w:rPr>
        <w:t>In this equation the s</w:t>
      </w:r>
      <w:r>
        <w:rPr>
          <w:vertAlign w:val="subscript"/>
          <w:lang w:val="en-US"/>
        </w:rPr>
        <w:t xml:space="preserve">ijt </w:t>
      </w:r>
      <w:r>
        <w:rPr>
          <w:lang w:val="en-US"/>
        </w:rPr>
        <w:t xml:space="preserve">stands for the market share of a company </w:t>
      </w:r>
      <w:r w:rsidRPr="00122F50">
        <w:rPr>
          <w:i/>
          <w:lang w:val="en-US"/>
        </w:rPr>
        <w:t>I</w:t>
      </w:r>
      <w:r>
        <w:rPr>
          <w:lang w:val="en-US"/>
        </w:rPr>
        <w:t xml:space="preserve"> in the industry </w:t>
      </w:r>
      <w:r w:rsidRPr="00122F50">
        <w:rPr>
          <w:i/>
          <w:lang w:val="en-US"/>
        </w:rPr>
        <w:t>j</w:t>
      </w:r>
      <w:r>
        <w:rPr>
          <w:lang w:val="en-US"/>
        </w:rPr>
        <w:t xml:space="preserve"> in the year </w:t>
      </w:r>
      <w:r w:rsidRPr="00122F50">
        <w:rPr>
          <w:i/>
          <w:lang w:val="en-US"/>
        </w:rPr>
        <w:t>t</w:t>
      </w:r>
      <w:r>
        <w:rPr>
          <w:lang w:val="en-US"/>
        </w:rPr>
        <w:t xml:space="preserve">. To calculate the market share the sales of the companies are compared with the sales total of the </w:t>
      </w:r>
      <w:r w:rsidR="00A8251A">
        <w:rPr>
          <w:lang w:val="en-US"/>
        </w:rPr>
        <w:t xml:space="preserve">whole </w:t>
      </w:r>
      <w:r>
        <w:rPr>
          <w:lang w:val="en-US"/>
        </w:rPr>
        <w:t xml:space="preserve">industry. In this research study the Herfindahl index is determined per 2-digit SIC code to avoid having too many specific industry groups. This 2 digit SIC code separates the firms based on the type of instruments and type of products and is specific enough to make a distinction between competitive and non-competitive industries.  In appendix </w:t>
      </w:r>
      <w:r w:rsidR="0008786E">
        <w:rPr>
          <w:lang w:val="en-US"/>
        </w:rPr>
        <w:t xml:space="preserve">3 </w:t>
      </w:r>
      <w:r>
        <w:rPr>
          <w:lang w:val="en-US"/>
        </w:rPr>
        <w:t>the Herfindahl index for each 2-digit SIC industry is presented. To measure the effect of competitiveness level a dummy variable is used, this means that the sample is split in two groups. One group has a Herfindahl index &gt; 33%; these firms operate in a more concentrated/non-competitive industry. The other group has an index &lt;= 33%, which means the firms have a more even distributed market share and there is more competition. The value of 33% is chosen because Giroud and Mueller (2007) indicate that a concentration of industries above 33% already lead</w:t>
      </w:r>
      <w:r w:rsidR="00A8251A">
        <w:rPr>
          <w:lang w:val="en-US"/>
        </w:rPr>
        <w:t>s</w:t>
      </w:r>
      <w:r>
        <w:rPr>
          <w:lang w:val="en-US"/>
        </w:rPr>
        <w:t xml:space="preserve"> to a drop in market pressure on the quality of governance. In the multivariate analysis the dummy variable INDCOMP has the value 1 when the firm is active in a non-competitive industry (Herfindahl &gt;33%) and the value 0 for companies in a competitive industry (Herfindahl &lt;=33%).</w:t>
      </w:r>
      <w:r w:rsidR="00F406A7">
        <w:rPr>
          <w:lang w:val="en-US"/>
        </w:rPr>
        <w:t xml:space="preserve"> </w:t>
      </w:r>
      <w:r w:rsidR="00A8251A">
        <w:rPr>
          <w:lang w:val="en-US"/>
        </w:rPr>
        <w:t>In this study t</w:t>
      </w:r>
      <w:r w:rsidR="00F406A7">
        <w:rPr>
          <w:lang w:val="en-US"/>
        </w:rPr>
        <w:t>he Herfindahl index and therefore the variable INDCOMP is only determined for the year 2011</w:t>
      </w:r>
      <w:r w:rsidR="00A8251A">
        <w:rPr>
          <w:lang w:val="en-US"/>
        </w:rPr>
        <w:t xml:space="preserve">, </w:t>
      </w:r>
      <w:r w:rsidR="00F406A7">
        <w:rPr>
          <w:lang w:val="en-US"/>
        </w:rPr>
        <w:t>because it is not feasible to determine the Herfindahl index for each year</w:t>
      </w:r>
      <w:r w:rsidR="00A8251A">
        <w:rPr>
          <w:lang w:val="en-US"/>
        </w:rPr>
        <w:t>.</w:t>
      </w:r>
      <w:r w:rsidR="00F406A7">
        <w:rPr>
          <w:lang w:val="en-US"/>
        </w:rPr>
        <w:t xml:space="preserve"> This could be a limitation </w:t>
      </w:r>
      <w:r w:rsidR="00F12AC1">
        <w:rPr>
          <w:lang w:val="en-US"/>
        </w:rPr>
        <w:t xml:space="preserve">of this study, </w:t>
      </w:r>
      <w:r w:rsidR="00F406A7">
        <w:rPr>
          <w:lang w:val="en-US"/>
        </w:rPr>
        <w:t xml:space="preserve">since the competitiveness </w:t>
      </w:r>
      <w:r w:rsidR="00F12AC1">
        <w:rPr>
          <w:lang w:val="en-US"/>
        </w:rPr>
        <w:t>may have changed over time. However,</w:t>
      </w:r>
      <w:r w:rsidR="00F406A7">
        <w:rPr>
          <w:lang w:val="en-US"/>
        </w:rPr>
        <w:t xml:space="preserve"> </w:t>
      </w:r>
      <w:r w:rsidR="00F12AC1">
        <w:rPr>
          <w:lang w:val="en-US"/>
        </w:rPr>
        <w:t xml:space="preserve">it is reasonable to assume that </w:t>
      </w:r>
      <w:r w:rsidR="00F406A7">
        <w:rPr>
          <w:lang w:val="en-US"/>
        </w:rPr>
        <w:t xml:space="preserve">this dummy variable </w:t>
      </w:r>
      <w:r w:rsidR="00F12AC1">
        <w:rPr>
          <w:lang w:val="en-US"/>
        </w:rPr>
        <w:t xml:space="preserve">has not changed a lot during the sample period, since </w:t>
      </w:r>
      <w:r w:rsidR="00F406A7">
        <w:rPr>
          <w:lang w:val="en-US"/>
        </w:rPr>
        <w:t>it is not very likely that industr</w:t>
      </w:r>
      <w:r w:rsidR="00F12AC1">
        <w:rPr>
          <w:lang w:val="en-US"/>
        </w:rPr>
        <w:t>ies</w:t>
      </w:r>
      <w:r w:rsidR="00F406A7">
        <w:rPr>
          <w:lang w:val="en-US"/>
        </w:rPr>
        <w:t xml:space="preserve"> </w:t>
      </w:r>
      <w:r w:rsidR="001914CF">
        <w:rPr>
          <w:lang w:val="en-US"/>
        </w:rPr>
        <w:t xml:space="preserve">suddenly change from non-competitive to competitive </w:t>
      </w:r>
      <w:r w:rsidR="00F12AC1">
        <w:rPr>
          <w:lang w:val="en-US"/>
        </w:rPr>
        <w:t xml:space="preserve">or </w:t>
      </w:r>
      <w:r w:rsidR="006D309E">
        <w:rPr>
          <w:lang w:val="en-US"/>
        </w:rPr>
        <w:t>vice</w:t>
      </w:r>
      <w:r w:rsidR="001914CF">
        <w:rPr>
          <w:lang w:val="en-US"/>
        </w:rPr>
        <w:t xml:space="preserve"> versa. </w:t>
      </w:r>
      <w:r w:rsidR="00F406A7">
        <w:rPr>
          <w:lang w:val="en-US"/>
        </w:rPr>
        <w:t xml:space="preserve"> </w:t>
      </w:r>
    </w:p>
    <w:p w:rsidR="005F5272" w:rsidRPr="00553440" w:rsidRDefault="00487FD6" w:rsidP="009970FC">
      <w:pPr>
        <w:rPr>
          <w:b/>
          <w:lang w:val="en-US"/>
        </w:rPr>
      </w:pPr>
      <w:r w:rsidRPr="00487FD6">
        <w:rPr>
          <w:b/>
          <w:lang w:val="en-US"/>
        </w:rPr>
        <w:t>Measurement restructuring</w:t>
      </w:r>
    </w:p>
    <w:p w:rsidR="0039354C" w:rsidRDefault="0039354C" w:rsidP="0039354C">
      <w:pPr>
        <w:rPr>
          <w:lang w:val="en-US"/>
        </w:rPr>
      </w:pPr>
      <w:r w:rsidRPr="008F07C1">
        <w:rPr>
          <w:i/>
          <w:lang w:val="en-US"/>
        </w:rPr>
        <w:t>Restructuring effects in the current year</w:t>
      </w:r>
      <w:r>
        <w:rPr>
          <w:lang w:val="en-US"/>
        </w:rPr>
        <w:br/>
        <w:t xml:space="preserve">The second hypothesis is about the effect of organizational restructuring on the disclosure of </w:t>
      </w:r>
      <w:r w:rsidR="000B3301">
        <w:rPr>
          <w:lang w:val="en-US"/>
        </w:rPr>
        <w:t>material IT control weaknesses</w:t>
      </w:r>
      <w:r>
        <w:rPr>
          <w:lang w:val="en-US"/>
        </w:rPr>
        <w:t xml:space="preserve">. The effect of restructurings can be measured in multiple ways and for multiple time periods. To get more reliable and robust results, multiple proxies are used in the empirical analysis. The first proxy for restructuring is the variable that looks at the relation between the existence of restructuring costs and the occurrence of a disclosed IT material weakness in the same year. This is a dummy variable RESTRUCTD with a value 1 when the restructuring cost has a non-zero value and the value 0 otherwise. The second proxy is a continuous variable based on the method of Doyle et al. (2007). Doyle et al. (2007) use a continuous variable, because a relative larger restructuring may have a larger effect on the number of </w:t>
      </w:r>
      <w:r w:rsidR="000B3301">
        <w:rPr>
          <w:lang w:val="en-US"/>
        </w:rPr>
        <w:t>material IT control weaknesses</w:t>
      </w:r>
      <w:r>
        <w:rPr>
          <w:lang w:val="en-US"/>
        </w:rPr>
        <w:t>. The size of the restructuring is also based on the restructuring cost, but because the absolute restructuring cost can vary the logarithm of the restructuring is determined in order to have a proper scale. The variable</w:t>
      </w:r>
      <w:r w:rsidR="00E03EF1">
        <w:rPr>
          <w:lang w:val="en-US"/>
        </w:rPr>
        <w:t>s</w:t>
      </w:r>
      <w:r w:rsidR="00CA3010">
        <w:rPr>
          <w:lang w:val="en-US"/>
        </w:rPr>
        <w:t xml:space="preserve"> </w:t>
      </w:r>
      <w:r>
        <w:rPr>
          <w:lang w:val="en-US"/>
        </w:rPr>
        <w:t>RESTRUCTC</w:t>
      </w:r>
      <w:r w:rsidR="00E03EF1">
        <w:rPr>
          <w:lang w:val="en-US"/>
        </w:rPr>
        <w:t xml:space="preserve"> and RESTRUCTD</w:t>
      </w:r>
      <w:r>
        <w:rPr>
          <w:lang w:val="en-US"/>
        </w:rPr>
        <w:t xml:space="preserve"> </w:t>
      </w:r>
      <w:r w:rsidR="00CA3010">
        <w:rPr>
          <w:lang w:val="en-US"/>
        </w:rPr>
        <w:t>are</w:t>
      </w:r>
      <w:r>
        <w:rPr>
          <w:lang w:val="en-US"/>
        </w:rPr>
        <w:t xml:space="preserve"> collected from Compustat</w:t>
      </w:r>
      <w:r w:rsidR="00E03EF1">
        <w:rPr>
          <w:lang w:val="en-US"/>
        </w:rPr>
        <w:t xml:space="preserve"> for each firm-year observation</w:t>
      </w:r>
      <w:r>
        <w:rPr>
          <w:lang w:val="en-US"/>
        </w:rPr>
        <w:t xml:space="preserve"> based on the restructuring cost</w:t>
      </w:r>
      <w:r w:rsidR="00F12AC1">
        <w:rPr>
          <w:lang w:val="en-US"/>
        </w:rPr>
        <w:t>s</w:t>
      </w:r>
      <w:r>
        <w:rPr>
          <w:lang w:val="en-US"/>
        </w:rPr>
        <w:t xml:space="preserve"> before taxes. </w:t>
      </w:r>
    </w:p>
    <w:p w:rsidR="009B2BA5" w:rsidRDefault="0039354C" w:rsidP="0039354C">
      <w:pPr>
        <w:rPr>
          <w:lang w:val="en-US"/>
        </w:rPr>
      </w:pPr>
      <w:r w:rsidRPr="008F07C1">
        <w:rPr>
          <w:i/>
          <w:lang w:val="en-US"/>
        </w:rPr>
        <w:t xml:space="preserve">Restructuring effects </w:t>
      </w:r>
      <w:r w:rsidR="00D05033">
        <w:rPr>
          <w:i/>
          <w:lang w:val="en-US"/>
        </w:rPr>
        <w:t>occurr</w:t>
      </w:r>
      <w:r w:rsidR="00D05033" w:rsidRPr="008F07C1">
        <w:rPr>
          <w:i/>
          <w:lang w:val="en-US"/>
        </w:rPr>
        <w:t xml:space="preserve">ence </w:t>
      </w:r>
      <w:r w:rsidRPr="008F07C1">
        <w:rPr>
          <w:i/>
          <w:lang w:val="en-US"/>
        </w:rPr>
        <w:t>(</w:t>
      </w:r>
      <w:r w:rsidR="00D05033">
        <w:rPr>
          <w:i/>
          <w:lang w:val="en-US"/>
        </w:rPr>
        <w:t>period 2004-2011</w:t>
      </w:r>
      <w:r w:rsidRPr="008F07C1">
        <w:rPr>
          <w:i/>
          <w:lang w:val="en-US"/>
        </w:rPr>
        <w:t>)</w:t>
      </w:r>
      <w:r>
        <w:rPr>
          <w:lang w:val="en-US"/>
        </w:rPr>
        <w:t xml:space="preserve"> </w:t>
      </w:r>
      <w:r>
        <w:rPr>
          <w:lang w:val="en-US"/>
        </w:rPr>
        <w:br/>
        <w:t xml:space="preserve">The first two proxies mainly look at the initial effect of restructuring on the IT control quality, but one can expect that after a couple of years the organization is adjusted and functions better. In order to see whether </w:t>
      </w:r>
      <w:r w:rsidR="000B3301">
        <w:rPr>
          <w:lang w:val="en-US"/>
        </w:rPr>
        <w:t>material IT control weaknesses</w:t>
      </w:r>
      <w:r>
        <w:rPr>
          <w:lang w:val="en-US"/>
        </w:rPr>
        <w:t xml:space="preserve"> are temporary in case of a restructuring the third proxy looks at the </w:t>
      </w:r>
      <w:r w:rsidR="00D05033">
        <w:rPr>
          <w:lang w:val="en-US"/>
        </w:rPr>
        <w:t xml:space="preserve">occurrence </w:t>
      </w:r>
      <w:r>
        <w:rPr>
          <w:lang w:val="en-US"/>
        </w:rPr>
        <w:t xml:space="preserve">of </w:t>
      </w:r>
      <w:r w:rsidR="000B3301">
        <w:rPr>
          <w:lang w:val="en-US"/>
        </w:rPr>
        <w:t>material IT control weaknesses</w:t>
      </w:r>
      <w:r>
        <w:rPr>
          <w:lang w:val="en-US"/>
        </w:rPr>
        <w:t xml:space="preserve"> over the total period of the dataset (2004-2011). This variable RESTRUCTP has the value 1 when in </w:t>
      </w:r>
      <w:r w:rsidR="00D05033">
        <w:rPr>
          <w:lang w:val="en-US"/>
        </w:rPr>
        <w:t>one or more of the years between</w:t>
      </w:r>
      <w:r>
        <w:rPr>
          <w:lang w:val="en-US"/>
        </w:rPr>
        <w:t xml:space="preserve"> 2004-2011 the firm reported restructuring costs and has the value 0 in all other cases.  This dummy variable not only looks if the restructuring is correlated with </w:t>
      </w:r>
      <w:r w:rsidR="000B3301">
        <w:rPr>
          <w:lang w:val="en-US"/>
        </w:rPr>
        <w:t>material IT control weaknesses</w:t>
      </w:r>
      <w:r>
        <w:rPr>
          <w:lang w:val="en-US"/>
        </w:rPr>
        <w:t xml:space="preserve"> in the same year, but also investigates the possibility that </w:t>
      </w:r>
      <w:r w:rsidR="000B3301">
        <w:rPr>
          <w:lang w:val="en-US"/>
        </w:rPr>
        <w:t>material IT control weaknesses</w:t>
      </w:r>
      <w:r>
        <w:rPr>
          <w:lang w:val="en-US"/>
        </w:rPr>
        <w:t xml:space="preserve"> occur around the time of the restructuring.</w:t>
      </w:r>
    </w:p>
    <w:p w:rsidR="005F5272" w:rsidRPr="00553440" w:rsidRDefault="00487FD6" w:rsidP="009970FC">
      <w:pPr>
        <w:rPr>
          <w:b/>
          <w:lang w:val="en-US"/>
        </w:rPr>
      </w:pPr>
      <w:r w:rsidRPr="00487FD6">
        <w:rPr>
          <w:b/>
          <w:lang w:val="en-US"/>
        </w:rPr>
        <w:t>Measurement control variables</w:t>
      </w:r>
    </w:p>
    <w:p w:rsidR="0039354C" w:rsidRDefault="0039354C" w:rsidP="0039354C">
      <w:pPr>
        <w:rPr>
          <w:lang w:val="en-US"/>
        </w:rPr>
      </w:pPr>
      <w:r>
        <w:rPr>
          <w:lang w:val="en-US"/>
        </w:rPr>
        <w:t xml:space="preserve">In order to test the explanatory variables ability to explain the occurrence of </w:t>
      </w:r>
      <w:r w:rsidR="000B3301">
        <w:rPr>
          <w:lang w:val="en-US"/>
        </w:rPr>
        <w:t>material IT control weaknesses</w:t>
      </w:r>
      <w:r>
        <w:rPr>
          <w:lang w:val="en-US"/>
        </w:rPr>
        <w:t xml:space="preserve"> it is necessary to include control variables. The selection of control variables is based on the</w:t>
      </w:r>
      <w:r w:rsidR="000B3301">
        <w:rPr>
          <w:lang w:val="en-US"/>
        </w:rPr>
        <w:t xml:space="preserve"> </w:t>
      </w:r>
      <w:r>
        <w:rPr>
          <w:lang w:val="en-US"/>
        </w:rPr>
        <w:t>variables used by Doyle et al. (2007), Li et al. (2012) and Stoel and Muhanna (2011).</w:t>
      </w:r>
    </w:p>
    <w:p w:rsidR="0039354C" w:rsidRDefault="0039354C" w:rsidP="0039354C">
      <w:pPr>
        <w:rPr>
          <w:lang w:val="en-US"/>
        </w:rPr>
      </w:pPr>
      <w:r>
        <w:rPr>
          <w:lang w:val="en-US"/>
        </w:rPr>
        <w:t xml:space="preserve">The first control variable is the existence of non-IT related material weaknesses. This variable is included because the empirical results of Li et al. (2012) and Boritz et al. (2010) indicate that the majority of the firms that report </w:t>
      </w:r>
      <w:r w:rsidR="000B3301">
        <w:rPr>
          <w:lang w:val="en-US"/>
        </w:rPr>
        <w:t>material IT control weaknesses</w:t>
      </w:r>
      <w:r>
        <w:rPr>
          <w:lang w:val="en-US"/>
        </w:rPr>
        <w:t xml:space="preserve"> </w:t>
      </w:r>
      <w:r w:rsidR="00E03EF1">
        <w:rPr>
          <w:lang w:val="en-US"/>
        </w:rPr>
        <w:t xml:space="preserve">are different from NON-ITMW </w:t>
      </w:r>
      <w:r>
        <w:rPr>
          <w:lang w:val="en-US"/>
        </w:rPr>
        <w:t>material weaknesses</w:t>
      </w:r>
      <w:r w:rsidR="00E03EF1">
        <w:rPr>
          <w:lang w:val="en-US"/>
        </w:rPr>
        <w:t xml:space="preserve"> firms</w:t>
      </w:r>
      <w:r>
        <w:rPr>
          <w:lang w:val="en-US"/>
        </w:rPr>
        <w:t xml:space="preserve">. The variable NON-ITMW is a dummy variable that has the value 1 when the firm reported a non-IT related material weakness and has value 0 otherwise. </w:t>
      </w:r>
      <w:r w:rsidR="00E03EF1">
        <w:rPr>
          <w:lang w:val="en-US"/>
        </w:rPr>
        <w:t>NON-ITMW is included as dependent variable to compare the results of ITMW and NON-ITMW firms.</w:t>
      </w:r>
    </w:p>
    <w:p w:rsidR="0039354C" w:rsidRDefault="0039354C" w:rsidP="0039354C">
      <w:pPr>
        <w:rPr>
          <w:lang w:val="en-US"/>
        </w:rPr>
      </w:pPr>
      <w:r>
        <w:rPr>
          <w:lang w:val="en-US"/>
        </w:rPr>
        <w:t xml:space="preserve">The second control variable is firm size. The size of a company can be an explanation for the differences across the population. Doyle et al. (2007) argue that larger companies have more resources and personnel to ensure there is proper internal control like segregation of duties and more internal audits. Based on this theory, it is expected that larger firms will have less </w:t>
      </w:r>
      <w:r w:rsidR="000B3301">
        <w:rPr>
          <w:lang w:val="en-US"/>
        </w:rPr>
        <w:t>material IT control weaknesses</w:t>
      </w:r>
      <w:r>
        <w:rPr>
          <w:lang w:val="en-US"/>
        </w:rPr>
        <w:t xml:space="preserve"> than smaller firms. The size of the company is determined by looking at the log of total assets at the end of the year. Not the absolute size, but the log</w:t>
      </w:r>
      <w:r w:rsidR="000B3301">
        <w:rPr>
          <w:lang w:val="en-US"/>
        </w:rPr>
        <w:t>arithm</w:t>
      </w:r>
      <w:r>
        <w:rPr>
          <w:lang w:val="en-US"/>
        </w:rPr>
        <w:t xml:space="preserve"> of the total assets is included to be consistent with Doyle et al. (2007) and Li et al. (2012). This is done to control for too extreme differences in the population. So the variable SIZE is a continuous variable based on the log of the total assets at the end of the year. </w:t>
      </w:r>
    </w:p>
    <w:p w:rsidR="0039354C" w:rsidRDefault="0039354C" w:rsidP="0039354C">
      <w:pPr>
        <w:rPr>
          <w:lang w:val="en-US"/>
        </w:rPr>
      </w:pPr>
      <w:r>
        <w:rPr>
          <w:lang w:val="en-US"/>
        </w:rPr>
        <w:t xml:space="preserve">Not only the size of a company could explain the differences in disclosing </w:t>
      </w:r>
      <w:r w:rsidR="000B3301">
        <w:rPr>
          <w:lang w:val="en-US"/>
        </w:rPr>
        <w:t>material IT control weaknesses</w:t>
      </w:r>
      <w:r>
        <w:rPr>
          <w:lang w:val="en-US"/>
        </w:rPr>
        <w:t xml:space="preserve">, but also the firm’s age can have an effect on the disclosures. The theory behind this is that older firms have the experience and the time to resolve issues in their internal control and therefore disclose fewer </w:t>
      </w:r>
      <w:r w:rsidR="000B3301">
        <w:rPr>
          <w:lang w:val="en-US"/>
        </w:rPr>
        <w:t>material IT control weaknesses</w:t>
      </w:r>
      <w:r>
        <w:rPr>
          <w:lang w:val="en-US"/>
        </w:rPr>
        <w:t xml:space="preserve"> than newer companies. This variable AGE is measured by taking the log of the firm’s age based on the founding date of the company. </w:t>
      </w:r>
    </w:p>
    <w:p w:rsidR="0039354C" w:rsidRDefault="0039354C" w:rsidP="0039354C">
      <w:pPr>
        <w:rPr>
          <w:lang w:val="en-US"/>
        </w:rPr>
      </w:pPr>
      <w:r>
        <w:rPr>
          <w:lang w:val="en-US"/>
        </w:rPr>
        <w:t>The fourth control variable is the financial health of the firm. If the financial health of a company is good, there are more resources for good internal controls possibly</w:t>
      </w:r>
      <w:r w:rsidR="009970FC">
        <w:rPr>
          <w:lang w:val="en-US"/>
        </w:rPr>
        <w:t xml:space="preserve"> resulting in fewer </w:t>
      </w:r>
      <w:r w:rsidR="000B3301">
        <w:rPr>
          <w:lang w:val="en-US"/>
        </w:rPr>
        <w:t>material IT control weaknesses</w:t>
      </w:r>
      <w:r>
        <w:rPr>
          <w:lang w:val="en-US"/>
        </w:rPr>
        <w:t xml:space="preserve"> than for firms with financial problems. The variable </w:t>
      </w:r>
      <w:r w:rsidR="00F84C2C">
        <w:rPr>
          <w:lang w:val="en-US"/>
        </w:rPr>
        <w:t>LEV</w:t>
      </w:r>
      <w:r>
        <w:rPr>
          <w:lang w:val="en-US"/>
        </w:rPr>
        <w:t xml:space="preserve"> is measured by determining the leverage (total liabilities/total assets), also known as the debt-to-equity ratio, where a lower value means that the company has a relative strong financial position. So when </w:t>
      </w:r>
      <w:r w:rsidR="00F84C2C">
        <w:rPr>
          <w:lang w:val="en-US"/>
        </w:rPr>
        <w:t>LEV</w:t>
      </w:r>
      <w:r>
        <w:rPr>
          <w:lang w:val="en-US"/>
        </w:rPr>
        <w:t xml:space="preserve"> has a low value, the better the financial health and the fewer </w:t>
      </w:r>
      <w:r w:rsidR="000B3301">
        <w:rPr>
          <w:lang w:val="en-US"/>
        </w:rPr>
        <w:t>material IT control weaknesses</w:t>
      </w:r>
      <w:r>
        <w:rPr>
          <w:lang w:val="en-US"/>
        </w:rPr>
        <w:t xml:space="preserve"> are expected.</w:t>
      </w:r>
      <w:r w:rsidRPr="004905AD">
        <w:rPr>
          <w:lang w:val="en-US"/>
        </w:rPr>
        <w:t xml:space="preserve"> </w:t>
      </w:r>
    </w:p>
    <w:p w:rsidR="0039354C" w:rsidRDefault="0039354C" w:rsidP="0039354C">
      <w:pPr>
        <w:rPr>
          <w:lang w:val="en-US"/>
        </w:rPr>
      </w:pPr>
      <w:r>
        <w:rPr>
          <w:lang w:val="en-US"/>
        </w:rPr>
        <w:t>Just as the financial health a good profitability could also result in fewer material weaknesses than firms with lower profitability. The measure of profitability in this research study is the return on assets (ROA)</w:t>
      </w:r>
      <w:r w:rsidRPr="004905AD">
        <w:rPr>
          <w:lang w:val="en-US"/>
        </w:rPr>
        <w:t xml:space="preserve"> </w:t>
      </w:r>
      <w:r>
        <w:rPr>
          <w:lang w:val="en-US"/>
        </w:rPr>
        <w:t xml:space="preserve">which is the net income divided by the total assets. When the return on assets is relatively high this indicates a higher profitability; this implies that the company has enough resources to implement proper IT controls resulting in a lower count of </w:t>
      </w:r>
      <w:r w:rsidR="000B3301">
        <w:rPr>
          <w:lang w:val="en-US"/>
        </w:rPr>
        <w:t>material IT control weaknesses</w:t>
      </w:r>
      <w:r>
        <w:rPr>
          <w:lang w:val="en-US"/>
        </w:rPr>
        <w:t xml:space="preserve">. </w:t>
      </w:r>
    </w:p>
    <w:p w:rsidR="0039354C" w:rsidRDefault="0039354C" w:rsidP="0039354C">
      <w:pPr>
        <w:rPr>
          <w:lang w:val="en-US"/>
        </w:rPr>
      </w:pPr>
      <w:r>
        <w:rPr>
          <w:lang w:val="en-US"/>
        </w:rPr>
        <w:t xml:space="preserve">The complexity of the corporate structure is also a common control variable in the analysis of </w:t>
      </w:r>
      <w:r w:rsidR="000B3301">
        <w:rPr>
          <w:lang w:val="en-US"/>
        </w:rPr>
        <w:t>material IT control weaknesses</w:t>
      </w:r>
      <w:r>
        <w:rPr>
          <w:lang w:val="en-US"/>
        </w:rPr>
        <w:t xml:space="preserve"> (Li et al., 2012; Doyle et al., 2007). The complexity of the structure can make it harder to properly implement an internal control system, for example decentralized business segments can have different procedures and cultures that can compromise the internal controls resulting in more </w:t>
      </w:r>
      <w:r w:rsidR="000B3301">
        <w:rPr>
          <w:lang w:val="en-US"/>
        </w:rPr>
        <w:t>material IT control weaknesses</w:t>
      </w:r>
      <w:r>
        <w:rPr>
          <w:lang w:val="en-US"/>
        </w:rPr>
        <w:t>. The complexity of the structure is measured by two control variables, namely the number of business segments (SEGNUM) and the existence of foreign currency transactions (FORTRANS)</w:t>
      </w:r>
      <w:r w:rsidR="001A1915">
        <w:rPr>
          <w:lang w:val="en-US"/>
        </w:rPr>
        <w:t xml:space="preserve">; the latter </w:t>
      </w:r>
      <w:r>
        <w:rPr>
          <w:lang w:val="en-US"/>
        </w:rPr>
        <w:t xml:space="preserve"> is a dummy variable with the value 1 when there is a non-zero foreign transaction and 0 otherwise. </w:t>
      </w:r>
      <w:r w:rsidR="00F84C2C">
        <w:rPr>
          <w:lang w:val="en-US"/>
        </w:rPr>
        <w:t xml:space="preserve">SEGNUM is the number of segments in the year 2011, because due to matching problems it is not feasible to determine the number of segments for each year. Therefore </w:t>
      </w:r>
      <w:r w:rsidR="001A1915">
        <w:rPr>
          <w:lang w:val="en-US"/>
        </w:rPr>
        <w:t>it is</w:t>
      </w:r>
      <w:r w:rsidR="00F84C2C">
        <w:rPr>
          <w:lang w:val="en-US"/>
        </w:rPr>
        <w:t xml:space="preserve"> assume</w:t>
      </w:r>
      <w:r w:rsidR="001A1915">
        <w:rPr>
          <w:lang w:val="en-US"/>
        </w:rPr>
        <w:t>d that</w:t>
      </w:r>
      <w:r w:rsidR="00F84C2C">
        <w:rPr>
          <w:lang w:val="en-US"/>
        </w:rPr>
        <w:t xml:space="preserve"> the number of segments during the sample period remained the same. The variable FORTRANS is collected for each firm-year observation</w:t>
      </w:r>
      <w:r w:rsidR="001A1915">
        <w:rPr>
          <w:lang w:val="en-US"/>
        </w:rPr>
        <w:t>,</w:t>
      </w:r>
      <w:r w:rsidR="001A1915" w:rsidRPr="001A1915">
        <w:rPr>
          <w:lang w:val="en-US"/>
        </w:rPr>
        <w:t xml:space="preserve"> </w:t>
      </w:r>
      <w:r w:rsidR="001A1915">
        <w:rPr>
          <w:lang w:val="en-US"/>
        </w:rPr>
        <w:t>just like all other control variables</w:t>
      </w:r>
      <w:r w:rsidR="00F84C2C">
        <w:rPr>
          <w:lang w:val="en-US"/>
        </w:rPr>
        <w:t>.</w:t>
      </w:r>
    </w:p>
    <w:p w:rsidR="005F5272" w:rsidRDefault="0039354C" w:rsidP="0039354C">
      <w:pPr>
        <w:rPr>
          <w:lang w:val="en-US"/>
        </w:rPr>
      </w:pPr>
      <w:r>
        <w:rPr>
          <w:lang w:val="en-US"/>
        </w:rPr>
        <w:t>Another possible control variable is the audit quality, which is also used by Li et al. (2012). The suggestion is that audits done by larger and more experienced audit firms have a higher audit quality, resulting in fewer material weaknesses. The measure (BIG4) used as a proxy for audit quality is if the company is audited by one of the ‘big four’ audit firms (value 1) or not (value 0)</w:t>
      </w:r>
      <w:r w:rsidR="004905AD">
        <w:rPr>
          <w:lang w:val="en-US"/>
        </w:rPr>
        <w:t xml:space="preserve">. </w:t>
      </w:r>
      <w:r w:rsidR="00F84C2C">
        <w:rPr>
          <w:lang w:val="en-US"/>
        </w:rPr>
        <w:t xml:space="preserve">The audit quality (BIG 4) is measured for each fiscal year. </w:t>
      </w:r>
    </w:p>
    <w:p w:rsidR="005F5272" w:rsidRPr="00553440" w:rsidRDefault="00487FD6" w:rsidP="009970FC">
      <w:pPr>
        <w:rPr>
          <w:b/>
          <w:lang w:val="en-US"/>
        </w:rPr>
      </w:pPr>
      <w:r w:rsidRPr="00487FD6">
        <w:rPr>
          <w:b/>
          <w:lang w:val="en-US"/>
        </w:rPr>
        <w:t>Research Model</w:t>
      </w:r>
    </w:p>
    <w:p w:rsidR="006F46F3" w:rsidRDefault="006F46F3" w:rsidP="005F5272">
      <w:pPr>
        <w:rPr>
          <w:rFonts w:cstheme="minorHAnsi"/>
          <w:lang w:val="en-US"/>
        </w:rPr>
      </w:pPr>
      <w:r>
        <w:rPr>
          <w:lang w:val="en-US"/>
        </w:rPr>
        <w:t>All these variables are included in one regression model that is used in the multivariate analysis. This model is as follows:</w:t>
      </w:r>
      <w:r w:rsidR="0006085D">
        <w:rPr>
          <w:lang w:val="en-US"/>
        </w:rPr>
        <w:br/>
      </w:r>
      <w:r>
        <w:rPr>
          <w:lang w:val="en-US"/>
        </w:rPr>
        <w:t xml:space="preserve">ITMW = </w:t>
      </w:r>
      <w:r w:rsidR="000D3226">
        <w:rPr>
          <w:rFonts w:cstheme="minorHAnsi"/>
          <w:lang w:val="en-US"/>
        </w:rPr>
        <w:t>α</w:t>
      </w:r>
      <w:r w:rsidR="000D3226">
        <w:rPr>
          <w:vertAlign w:val="subscript"/>
          <w:lang w:val="en-US"/>
        </w:rPr>
        <w:t>0</w:t>
      </w:r>
      <w:r w:rsidR="000D3226">
        <w:rPr>
          <w:lang w:val="en-US"/>
        </w:rPr>
        <w:t xml:space="preserve"> + </w:t>
      </w:r>
      <w:r w:rsidR="000D3226">
        <w:rPr>
          <w:rFonts w:cstheme="minorHAnsi"/>
          <w:lang w:val="en-US"/>
        </w:rPr>
        <w:t>α</w:t>
      </w:r>
      <w:r w:rsidR="000D3226">
        <w:rPr>
          <w:vertAlign w:val="subscript"/>
          <w:lang w:val="en-US"/>
        </w:rPr>
        <w:t>1</w:t>
      </w:r>
      <w:r w:rsidR="000D3226">
        <w:rPr>
          <w:lang w:val="en-US"/>
        </w:rPr>
        <w:t xml:space="preserve"> INDFRAUD + </w:t>
      </w:r>
      <w:r w:rsidR="000D3226">
        <w:rPr>
          <w:rFonts w:cstheme="minorHAnsi"/>
          <w:lang w:val="en-US"/>
        </w:rPr>
        <w:t>α</w:t>
      </w:r>
      <w:r w:rsidR="000D3226">
        <w:rPr>
          <w:vertAlign w:val="subscript"/>
          <w:lang w:val="en-US"/>
        </w:rPr>
        <w:t>2</w:t>
      </w:r>
      <w:r w:rsidR="000D3226">
        <w:rPr>
          <w:lang w:val="en-US"/>
        </w:rPr>
        <w:t xml:space="preserve"> INDCOMP + </w:t>
      </w:r>
      <w:r w:rsidR="000D3226">
        <w:rPr>
          <w:rFonts w:cstheme="minorHAnsi"/>
          <w:lang w:val="en-US"/>
        </w:rPr>
        <w:t>α</w:t>
      </w:r>
      <w:r w:rsidR="000D3226">
        <w:rPr>
          <w:vertAlign w:val="subscript"/>
          <w:lang w:val="en-US"/>
        </w:rPr>
        <w:t>3</w:t>
      </w:r>
      <w:r w:rsidR="000D3226">
        <w:rPr>
          <w:lang w:val="en-US"/>
        </w:rPr>
        <w:t xml:space="preserve"> RESTRUCTD +</w:t>
      </w:r>
      <w:r w:rsidR="000D3226" w:rsidRPr="000D3226">
        <w:rPr>
          <w:rFonts w:cstheme="minorHAnsi"/>
          <w:lang w:val="en-US"/>
        </w:rPr>
        <w:t xml:space="preserve"> </w:t>
      </w:r>
      <w:r w:rsidR="000D3226">
        <w:rPr>
          <w:rFonts w:cstheme="minorHAnsi"/>
          <w:lang w:val="en-US"/>
        </w:rPr>
        <w:t>α</w:t>
      </w:r>
      <w:r w:rsidR="000D3226">
        <w:rPr>
          <w:vertAlign w:val="subscript"/>
          <w:lang w:val="en-US"/>
        </w:rPr>
        <w:t>4</w:t>
      </w:r>
      <w:r w:rsidR="000D3226">
        <w:rPr>
          <w:lang w:val="en-US"/>
        </w:rPr>
        <w:t xml:space="preserve"> RESTRUCTC +</w:t>
      </w:r>
      <w:r w:rsidR="000D3226" w:rsidRPr="000D3226">
        <w:rPr>
          <w:rFonts w:cstheme="minorHAnsi"/>
          <w:lang w:val="en-US"/>
        </w:rPr>
        <w:t xml:space="preserve"> </w:t>
      </w:r>
      <w:r w:rsidR="000D3226">
        <w:rPr>
          <w:rFonts w:cstheme="minorHAnsi"/>
          <w:lang w:val="en-US"/>
        </w:rPr>
        <w:t>α</w:t>
      </w:r>
      <w:r w:rsidR="000D3226">
        <w:rPr>
          <w:vertAlign w:val="subscript"/>
          <w:lang w:val="en-US"/>
        </w:rPr>
        <w:t>5</w:t>
      </w:r>
      <w:r w:rsidR="000D3226">
        <w:rPr>
          <w:lang w:val="en-US"/>
        </w:rPr>
        <w:t xml:space="preserve"> </w:t>
      </w:r>
      <w:r w:rsidR="00B77BD5">
        <w:rPr>
          <w:lang w:val="en-US"/>
        </w:rPr>
        <w:t>SIZE</w:t>
      </w:r>
      <w:r w:rsidR="000D3226">
        <w:rPr>
          <w:lang w:val="en-US"/>
        </w:rPr>
        <w:t xml:space="preserve"> + </w:t>
      </w:r>
      <w:r w:rsidR="000D3226">
        <w:rPr>
          <w:rFonts w:cstheme="minorHAnsi"/>
          <w:lang w:val="en-US"/>
        </w:rPr>
        <w:t>α</w:t>
      </w:r>
      <w:r w:rsidR="000D3226">
        <w:rPr>
          <w:vertAlign w:val="subscript"/>
          <w:lang w:val="en-US"/>
        </w:rPr>
        <w:t>6</w:t>
      </w:r>
      <w:r w:rsidR="000D3226">
        <w:rPr>
          <w:lang w:val="en-US"/>
        </w:rPr>
        <w:t xml:space="preserve"> </w:t>
      </w:r>
      <w:r w:rsidR="00B77BD5">
        <w:rPr>
          <w:lang w:val="en-US"/>
        </w:rPr>
        <w:t xml:space="preserve">AGE </w:t>
      </w:r>
      <w:r w:rsidR="000D3226">
        <w:rPr>
          <w:lang w:val="en-US"/>
        </w:rPr>
        <w:t xml:space="preserve">+ </w:t>
      </w:r>
      <w:r w:rsidR="000D3226">
        <w:rPr>
          <w:rFonts w:cstheme="minorHAnsi"/>
          <w:lang w:val="en-US"/>
        </w:rPr>
        <w:t>α</w:t>
      </w:r>
      <w:r w:rsidR="000D3226">
        <w:rPr>
          <w:vertAlign w:val="subscript"/>
          <w:lang w:val="en-US"/>
        </w:rPr>
        <w:t>7</w:t>
      </w:r>
      <w:r w:rsidR="000D3226">
        <w:rPr>
          <w:lang w:val="en-US"/>
        </w:rPr>
        <w:t xml:space="preserve"> </w:t>
      </w:r>
      <w:r w:rsidR="00B77BD5">
        <w:rPr>
          <w:lang w:val="en-US"/>
        </w:rPr>
        <w:t>LEV</w:t>
      </w:r>
      <w:r w:rsidR="000D3226">
        <w:rPr>
          <w:lang w:val="en-US"/>
        </w:rPr>
        <w:t xml:space="preserve">+ </w:t>
      </w:r>
      <w:r w:rsidR="000D3226">
        <w:rPr>
          <w:rFonts w:cstheme="minorHAnsi"/>
          <w:lang w:val="en-US"/>
        </w:rPr>
        <w:t>α</w:t>
      </w:r>
      <w:r w:rsidR="000D3226">
        <w:rPr>
          <w:vertAlign w:val="subscript"/>
          <w:lang w:val="en-US"/>
        </w:rPr>
        <w:t>8</w:t>
      </w:r>
      <w:r w:rsidR="000D3226">
        <w:rPr>
          <w:lang w:val="en-US"/>
        </w:rPr>
        <w:t xml:space="preserve"> </w:t>
      </w:r>
      <w:r w:rsidR="00B77BD5">
        <w:rPr>
          <w:lang w:val="en-US"/>
        </w:rPr>
        <w:t xml:space="preserve">ROA </w:t>
      </w:r>
      <w:r w:rsidR="000D3226">
        <w:rPr>
          <w:lang w:val="en-US"/>
        </w:rPr>
        <w:t>+</w:t>
      </w:r>
      <w:r w:rsidR="000D3226" w:rsidRPr="000D3226">
        <w:rPr>
          <w:rFonts w:cstheme="minorHAnsi"/>
          <w:lang w:val="en-US"/>
        </w:rPr>
        <w:t xml:space="preserve"> </w:t>
      </w:r>
      <w:r w:rsidR="000D3226">
        <w:rPr>
          <w:rFonts w:cstheme="minorHAnsi"/>
          <w:lang w:val="en-US"/>
        </w:rPr>
        <w:t>α</w:t>
      </w:r>
      <w:r w:rsidR="000D3226">
        <w:rPr>
          <w:vertAlign w:val="subscript"/>
          <w:lang w:val="en-US"/>
        </w:rPr>
        <w:t>9</w:t>
      </w:r>
      <w:r w:rsidR="000D3226">
        <w:rPr>
          <w:lang w:val="en-US"/>
        </w:rPr>
        <w:t xml:space="preserve"> </w:t>
      </w:r>
      <w:r w:rsidR="00B77BD5">
        <w:rPr>
          <w:lang w:val="en-US"/>
        </w:rPr>
        <w:t xml:space="preserve">SEGNUM </w:t>
      </w:r>
      <w:r w:rsidR="000D3226">
        <w:rPr>
          <w:lang w:val="en-US"/>
        </w:rPr>
        <w:t xml:space="preserve">+ </w:t>
      </w:r>
      <w:r w:rsidR="000D3226">
        <w:rPr>
          <w:rFonts w:cstheme="minorHAnsi"/>
          <w:lang w:val="en-US"/>
        </w:rPr>
        <w:t>α</w:t>
      </w:r>
      <w:r w:rsidR="000D3226">
        <w:rPr>
          <w:vertAlign w:val="subscript"/>
          <w:lang w:val="en-US"/>
        </w:rPr>
        <w:t>10</w:t>
      </w:r>
      <w:r w:rsidR="000D3226">
        <w:rPr>
          <w:lang w:val="en-US"/>
        </w:rPr>
        <w:t xml:space="preserve"> </w:t>
      </w:r>
      <w:r w:rsidR="00B77BD5">
        <w:rPr>
          <w:lang w:val="en-US"/>
        </w:rPr>
        <w:t xml:space="preserve">FORTRANS </w:t>
      </w:r>
      <w:r w:rsidR="000D3226">
        <w:rPr>
          <w:lang w:val="en-US"/>
        </w:rPr>
        <w:t xml:space="preserve">+ </w:t>
      </w:r>
      <w:r w:rsidR="000D3226">
        <w:rPr>
          <w:rFonts w:cstheme="minorHAnsi"/>
          <w:lang w:val="en-US"/>
        </w:rPr>
        <w:t>α</w:t>
      </w:r>
      <w:r w:rsidR="000D3226">
        <w:rPr>
          <w:vertAlign w:val="subscript"/>
          <w:lang w:val="en-US"/>
        </w:rPr>
        <w:t>11</w:t>
      </w:r>
      <w:r w:rsidR="000D3226">
        <w:rPr>
          <w:lang w:val="en-US"/>
        </w:rPr>
        <w:t xml:space="preserve"> </w:t>
      </w:r>
      <w:r w:rsidR="00B77BD5">
        <w:rPr>
          <w:lang w:val="en-US"/>
        </w:rPr>
        <w:t>BIG4</w:t>
      </w:r>
      <w:r w:rsidR="000D3226">
        <w:rPr>
          <w:lang w:val="en-US"/>
        </w:rPr>
        <w:t xml:space="preserve"> + </w:t>
      </w:r>
      <w:r w:rsidR="000D3226">
        <w:rPr>
          <w:rFonts w:cstheme="minorHAnsi"/>
          <w:lang w:val="en-US"/>
        </w:rPr>
        <w:t>ԑ</w:t>
      </w:r>
    </w:p>
    <w:p w:rsidR="00476078" w:rsidRDefault="00476078" w:rsidP="005F5272">
      <w:pPr>
        <w:rPr>
          <w:rFonts w:cstheme="minorHAnsi"/>
          <w:lang w:val="en-US"/>
        </w:rPr>
      </w:pPr>
      <w:r>
        <w:rPr>
          <w:rFonts w:cstheme="minorHAnsi"/>
          <w:lang w:val="en-US"/>
        </w:rPr>
        <w:t xml:space="preserve">All these variables are also presented in table </w:t>
      </w:r>
      <w:r w:rsidR="00F427C6">
        <w:rPr>
          <w:rFonts w:cstheme="minorHAnsi"/>
          <w:lang w:val="en-US"/>
        </w:rPr>
        <w:t>3</w:t>
      </w:r>
      <w:r>
        <w:rPr>
          <w:rFonts w:cstheme="minorHAnsi"/>
          <w:lang w:val="en-US"/>
        </w:rPr>
        <w:t xml:space="preserve">, </w:t>
      </w:r>
      <w:r w:rsidR="00F427C6">
        <w:rPr>
          <w:rFonts w:cstheme="minorHAnsi"/>
          <w:lang w:val="en-US"/>
        </w:rPr>
        <w:t>that includes</w:t>
      </w:r>
      <w:r>
        <w:rPr>
          <w:rFonts w:cstheme="minorHAnsi"/>
          <w:lang w:val="en-US"/>
        </w:rPr>
        <w:t xml:space="preserve"> the variable definitions with their predicted sign. In appendix 1 you find also the variable definitions with included the precise database measure</w:t>
      </w:r>
      <w:r w:rsidR="004B22C2">
        <w:rPr>
          <w:rFonts w:cstheme="minorHAnsi"/>
          <w:lang w:val="en-US"/>
        </w:rPr>
        <w:t xml:space="preserve"> used in the sample selection.</w:t>
      </w:r>
    </w:p>
    <w:p w:rsidR="00F427C6" w:rsidRDefault="00F427C6">
      <w:pPr>
        <w:rPr>
          <w:rFonts w:cstheme="minorHAnsi"/>
          <w:lang w:val="en-US"/>
        </w:rPr>
      </w:pPr>
      <w:r>
        <w:rPr>
          <w:rFonts w:cstheme="minorHAnsi"/>
          <w:lang w:val="en-US"/>
        </w:rPr>
        <w:br w:type="page"/>
      </w:r>
    </w:p>
    <w:p w:rsidR="00F427C6" w:rsidRDefault="00F427C6" w:rsidP="00F427C6">
      <w:pPr>
        <w:spacing w:after="0"/>
        <w:rPr>
          <w:b/>
          <w:i/>
          <w:lang w:val="en-US"/>
        </w:rPr>
      </w:pPr>
    </w:p>
    <w:p w:rsidR="00F427C6" w:rsidRPr="003669EC" w:rsidRDefault="00F427C6" w:rsidP="00F427C6">
      <w:pPr>
        <w:spacing w:after="0"/>
        <w:rPr>
          <w:b/>
          <w:i/>
          <w:lang w:val="en-US"/>
        </w:rPr>
      </w:pPr>
      <w:r w:rsidRPr="003669EC">
        <w:rPr>
          <w:b/>
          <w:i/>
          <w:lang w:val="en-US"/>
        </w:rPr>
        <w:t xml:space="preserve">Table </w:t>
      </w:r>
      <w:r>
        <w:rPr>
          <w:b/>
          <w:i/>
          <w:lang w:val="en-US"/>
        </w:rPr>
        <w:t>3:</w:t>
      </w:r>
      <w:r w:rsidRPr="003669EC">
        <w:rPr>
          <w:b/>
          <w:i/>
          <w:lang w:val="en-US"/>
        </w:rPr>
        <w:t xml:space="preserve"> Variable definitions</w:t>
      </w:r>
    </w:p>
    <w:tbl>
      <w:tblPr>
        <w:tblStyle w:val="TableGrid"/>
        <w:tblW w:w="0" w:type="auto"/>
        <w:tblInd w:w="-318" w:type="dxa"/>
        <w:tblLook w:val="04A0"/>
      </w:tblPr>
      <w:tblGrid>
        <w:gridCol w:w="1401"/>
        <w:gridCol w:w="1577"/>
        <w:gridCol w:w="6626"/>
      </w:tblGrid>
      <w:tr w:rsidR="00F427C6" w:rsidTr="00667E1E">
        <w:tc>
          <w:tcPr>
            <w:tcW w:w="1401" w:type="dxa"/>
          </w:tcPr>
          <w:p w:rsidR="00F427C6" w:rsidRPr="00A74071" w:rsidRDefault="00F427C6" w:rsidP="00667E1E">
            <w:pPr>
              <w:rPr>
                <w:b/>
                <w:lang w:val="en-GB"/>
              </w:rPr>
            </w:pPr>
            <w:r w:rsidRPr="00A74071">
              <w:rPr>
                <w:b/>
                <w:lang w:val="en-GB"/>
              </w:rPr>
              <w:t>Variable name</w:t>
            </w:r>
          </w:p>
        </w:tc>
        <w:tc>
          <w:tcPr>
            <w:tcW w:w="1577" w:type="dxa"/>
          </w:tcPr>
          <w:p w:rsidR="00F427C6" w:rsidRPr="00A74071" w:rsidRDefault="00F427C6" w:rsidP="00667E1E">
            <w:pPr>
              <w:rPr>
                <w:b/>
                <w:lang w:val="en-GB"/>
              </w:rPr>
            </w:pPr>
            <w:r>
              <w:rPr>
                <w:b/>
                <w:lang w:val="en-GB"/>
              </w:rPr>
              <w:t>Predicted sign</w:t>
            </w:r>
          </w:p>
        </w:tc>
        <w:tc>
          <w:tcPr>
            <w:tcW w:w="6626" w:type="dxa"/>
          </w:tcPr>
          <w:p w:rsidR="00F427C6" w:rsidRPr="00A74071" w:rsidRDefault="00F427C6" w:rsidP="00667E1E">
            <w:pPr>
              <w:rPr>
                <w:b/>
                <w:lang w:val="en-GB"/>
              </w:rPr>
            </w:pPr>
            <w:r w:rsidRPr="00A74071">
              <w:rPr>
                <w:b/>
                <w:lang w:val="en-GB"/>
              </w:rPr>
              <w:t>Definition variable</w:t>
            </w:r>
          </w:p>
        </w:tc>
      </w:tr>
      <w:tr w:rsidR="00F427C6" w:rsidRPr="002D4197" w:rsidTr="00667E1E">
        <w:tc>
          <w:tcPr>
            <w:tcW w:w="1401" w:type="dxa"/>
          </w:tcPr>
          <w:p w:rsidR="00F427C6" w:rsidRDefault="00F427C6" w:rsidP="00667E1E">
            <w:pPr>
              <w:rPr>
                <w:lang w:val="en-GB"/>
              </w:rPr>
            </w:pPr>
            <w:r>
              <w:rPr>
                <w:lang w:val="en-GB"/>
              </w:rPr>
              <w:t>ITMW</w:t>
            </w:r>
          </w:p>
        </w:tc>
        <w:tc>
          <w:tcPr>
            <w:tcW w:w="1577" w:type="dxa"/>
          </w:tcPr>
          <w:p w:rsidR="00F427C6" w:rsidRDefault="00F427C6" w:rsidP="00667E1E">
            <w:pPr>
              <w:rPr>
                <w:lang w:val="en-GB"/>
              </w:rPr>
            </w:pPr>
            <w:r>
              <w:rPr>
                <w:lang w:val="en-GB"/>
              </w:rPr>
              <w:t>Dependent variable</w:t>
            </w:r>
          </w:p>
        </w:tc>
        <w:tc>
          <w:tcPr>
            <w:tcW w:w="6626" w:type="dxa"/>
          </w:tcPr>
          <w:p w:rsidR="00F427C6" w:rsidRDefault="00F427C6" w:rsidP="00667E1E">
            <w:pPr>
              <w:rPr>
                <w:lang w:val="en-GB"/>
              </w:rPr>
            </w:pPr>
            <w:r>
              <w:rPr>
                <w:lang w:val="en-GB"/>
              </w:rPr>
              <w:t>Dummy variable; value 1 for firms with IT related material weakness, value 0 otherwise</w:t>
            </w:r>
          </w:p>
        </w:tc>
      </w:tr>
      <w:tr w:rsidR="00F427C6" w:rsidRPr="002D4197" w:rsidTr="00667E1E">
        <w:tc>
          <w:tcPr>
            <w:tcW w:w="1401" w:type="dxa"/>
          </w:tcPr>
          <w:p w:rsidR="00F427C6" w:rsidRDefault="00F427C6" w:rsidP="00667E1E">
            <w:pPr>
              <w:rPr>
                <w:lang w:val="en-GB"/>
              </w:rPr>
            </w:pPr>
            <w:r>
              <w:rPr>
                <w:lang w:val="en-GB"/>
              </w:rPr>
              <w:t>NON-ITMW</w:t>
            </w:r>
          </w:p>
        </w:tc>
        <w:tc>
          <w:tcPr>
            <w:tcW w:w="1577" w:type="dxa"/>
          </w:tcPr>
          <w:p w:rsidR="00F427C6" w:rsidRDefault="00F427C6" w:rsidP="00667E1E">
            <w:pPr>
              <w:rPr>
                <w:lang w:val="en-GB"/>
              </w:rPr>
            </w:pPr>
            <w:r>
              <w:rPr>
                <w:lang w:val="en-GB"/>
              </w:rPr>
              <w:t>Dependent variable</w:t>
            </w:r>
          </w:p>
        </w:tc>
        <w:tc>
          <w:tcPr>
            <w:tcW w:w="6626" w:type="dxa"/>
          </w:tcPr>
          <w:p w:rsidR="00F427C6" w:rsidRDefault="00F427C6" w:rsidP="00667E1E">
            <w:pPr>
              <w:rPr>
                <w:lang w:val="en-GB"/>
              </w:rPr>
            </w:pPr>
            <w:r>
              <w:rPr>
                <w:lang w:val="en-GB"/>
              </w:rPr>
              <w:t>Dummy variable; value 1 for firms with non-IT related material weakness, value 0 otherwise</w:t>
            </w:r>
          </w:p>
        </w:tc>
      </w:tr>
      <w:tr w:rsidR="00F427C6" w:rsidRPr="002D4197" w:rsidTr="00667E1E">
        <w:tc>
          <w:tcPr>
            <w:tcW w:w="1401" w:type="dxa"/>
          </w:tcPr>
          <w:p w:rsidR="00F427C6" w:rsidRDefault="00F427C6" w:rsidP="00667E1E">
            <w:pPr>
              <w:rPr>
                <w:lang w:val="en-GB"/>
              </w:rPr>
            </w:pPr>
            <w:r>
              <w:rPr>
                <w:lang w:val="en-GB"/>
              </w:rPr>
              <w:t>INDFRAUD</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Dummy variable; value 1 for firm in technology, health care or financial services industry , value 0 otherwise</w:t>
            </w:r>
          </w:p>
        </w:tc>
      </w:tr>
      <w:tr w:rsidR="00F427C6" w:rsidRPr="002D4197" w:rsidTr="00667E1E">
        <w:tc>
          <w:tcPr>
            <w:tcW w:w="1401" w:type="dxa"/>
          </w:tcPr>
          <w:p w:rsidR="00F427C6" w:rsidRDefault="00F427C6" w:rsidP="00667E1E">
            <w:pPr>
              <w:rPr>
                <w:lang w:val="en-GB"/>
              </w:rPr>
            </w:pPr>
            <w:r>
              <w:rPr>
                <w:lang w:val="en-GB"/>
              </w:rPr>
              <w:t>INDCOMP</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Dummy variable; value 1 for firm in industry with a &gt;33% Herfindahl index (non-competitive), value 0 otherwise</w:t>
            </w:r>
          </w:p>
        </w:tc>
      </w:tr>
      <w:tr w:rsidR="00F427C6" w:rsidRPr="002D4197" w:rsidTr="00667E1E">
        <w:tc>
          <w:tcPr>
            <w:tcW w:w="1401" w:type="dxa"/>
          </w:tcPr>
          <w:p w:rsidR="00F427C6" w:rsidRDefault="00F427C6" w:rsidP="00667E1E">
            <w:pPr>
              <w:rPr>
                <w:lang w:val="en-GB"/>
              </w:rPr>
            </w:pPr>
            <w:r>
              <w:rPr>
                <w:lang w:val="en-GB"/>
              </w:rPr>
              <w:t>RESTRUCTD</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Dummy variable; value 1 for firm with non-zero value for restructuring costs , value 0 otherwise</w:t>
            </w:r>
          </w:p>
        </w:tc>
      </w:tr>
      <w:tr w:rsidR="00F427C6" w:rsidRPr="006C4312" w:rsidTr="00667E1E">
        <w:tc>
          <w:tcPr>
            <w:tcW w:w="1401" w:type="dxa"/>
          </w:tcPr>
          <w:p w:rsidR="00F427C6" w:rsidRDefault="00F427C6" w:rsidP="00667E1E">
            <w:pPr>
              <w:rPr>
                <w:lang w:val="en-GB"/>
              </w:rPr>
            </w:pPr>
            <w:r>
              <w:rPr>
                <w:lang w:val="en-GB"/>
              </w:rPr>
              <w:t>RESTRUCTP</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Dummy variable; value 1 for firm with non-zero value for restructuring costs in the period 2004-2011, value 0 otherwise</w:t>
            </w:r>
          </w:p>
        </w:tc>
      </w:tr>
      <w:tr w:rsidR="00F427C6" w:rsidRPr="006C4312" w:rsidTr="00667E1E">
        <w:tc>
          <w:tcPr>
            <w:tcW w:w="1401" w:type="dxa"/>
          </w:tcPr>
          <w:p w:rsidR="00F427C6" w:rsidRDefault="00F427C6" w:rsidP="00667E1E">
            <w:pPr>
              <w:rPr>
                <w:lang w:val="en-GB"/>
              </w:rPr>
            </w:pPr>
            <w:r>
              <w:rPr>
                <w:lang w:val="en-GB"/>
              </w:rPr>
              <w:t>RESTRUCTC</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 xml:space="preserve">Ratio variable; the log of the restructuring costs </w:t>
            </w:r>
          </w:p>
        </w:tc>
      </w:tr>
      <w:tr w:rsidR="00F427C6" w:rsidRPr="006C4312" w:rsidTr="00667E1E">
        <w:tc>
          <w:tcPr>
            <w:tcW w:w="1401" w:type="dxa"/>
          </w:tcPr>
          <w:p w:rsidR="00F427C6" w:rsidRDefault="00F427C6" w:rsidP="00667E1E">
            <w:pPr>
              <w:rPr>
                <w:lang w:val="en-GB"/>
              </w:rPr>
            </w:pPr>
            <w:r>
              <w:rPr>
                <w:lang w:val="en-GB"/>
              </w:rPr>
              <w:t>SIZE</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Continuous variable; the log of the total assets</w:t>
            </w:r>
          </w:p>
        </w:tc>
      </w:tr>
      <w:tr w:rsidR="00F427C6" w:rsidRPr="006C4312" w:rsidTr="00667E1E">
        <w:tc>
          <w:tcPr>
            <w:tcW w:w="1401" w:type="dxa"/>
          </w:tcPr>
          <w:p w:rsidR="00F427C6" w:rsidRDefault="00F427C6" w:rsidP="00667E1E">
            <w:pPr>
              <w:rPr>
                <w:lang w:val="en-GB"/>
              </w:rPr>
            </w:pPr>
            <w:r>
              <w:rPr>
                <w:lang w:val="en-GB"/>
              </w:rPr>
              <w:t>AGE</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Continuous variable; the log of the firm’s age based on current year- founding year</w:t>
            </w:r>
          </w:p>
        </w:tc>
      </w:tr>
      <w:tr w:rsidR="00F427C6" w:rsidRPr="006C4312" w:rsidTr="00667E1E">
        <w:tc>
          <w:tcPr>
            <w:tcW w:w="1401" w:type="dxa"/>
          </w:tcPr>
          <w:p w:rsidR="00F427C6" w:rsidRDefault="00F427C6" w:rsidP="00667E1E">
            <w:pPr>
              <w:rPr>
                <w:lang w:val="en-GB"/>
              </w:rPr>
            </w:pPr>
            <w:r>
              <w:rPr>
                <w:lang w:val="en-GB"/>
              </w:rPr>
              <w:t>LEV</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Ratio variable; Leverage (total liabilities/total assets)</w:t>
            </w:r>
          </w:p>
        </w:tc>
      </w:tr>
      <w:tr w:rsidR="00F427C6" w:rsidRPr="006C4312" w:rsidTr="00667E1E">
        <w:tc>
          <w:tcPr>
            <w:tcW w:w="1401" w:type="dxa"/>
          </w:tcPr>
          <w:p w:rsidR="00F427C6" w:rsidRDefault="00F427C6" w:rsidP="00667E1E">
            <w:pPr>
              <w:rPr>
                <w:lang w:val="en-GB"/>
              </w:rPr>
            </w:pPr>
            <w:r>
              <w:rPr>
                <w:lang w:val="en-GB"/>
              </w:rPr>
              <w:t>ROA</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Ratio variable: Return on Assets (Net income/ total assets)</w:t>
            </w:r>
          </w:p>
        </w:tc>
      </w:tr>
      <w:tr w:rsidR="00F427C6" w:rsidRPr="006C4312" w:rsidTr="00667E1E">
        <w:tc>
          <w:tcPr>
            <w:tcW w:w="1401" w:type="dxa"/>
          </w:tcPr>
          <w:p w:rsidR="00F427C6" w:rsidRDefault="00F427C6" w:rsidP="00667E1E">
            <w:pPr>
              <w:rPr>
                <w:lang w:val="en-GB"/>
              </w:rPr>
            </w:pPr>
            <w:r>
              <w:rPr>
                <w:lang w:val="en-GB"/>
              </w:rPr>
              <w:t>SEGNUM</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Continuous variable; the number of operational and geographical segments</w:t>
            </w:r>
          </w:p>
        </w:tc>
      </w:tr>
      <w:tr w:rsidR="00F427C6" w:rsidRPr="006C4312" w:rsidTr="00667E1E">
        <w:tc>
          <w:tcPr>
            <w:tcW w:w="1401" w:type="dxa"/>
          </w:tcPr>
          <w:p w:rsidR="00F427C6" w:rsidRDefault="00F427C6" w:rsidP="00667E1E">
            <w:pPr>
              <w:rPr>
                <w:lang w:val="en-GB"/>
              </w:rPr>
            </w:pPr>
            <w:r>
              <w:rPr>
                <w:lang w:val="en-GB"/>
              </w:rPr>
              <w:t>FORTRANS</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 xml:space="preserve">Dummy variable: value 1 for firms with non-zero value foreign currency transaction, value 0 otherwise </w:t>
            </w:r>
          </w:p>
        </w:tc>
      </w:tr>
      <w:tr w:rsidR="00F427C6" w:rsidRPr="006C4312" w:rsidTr="00667E1E">
        <w:tc>
          <w:tcPr>
            <w:tcW w:w="1401" w:type="dxa"/>
          </w:tcPr>
          <w:p w:rsidR="00F427C6" w:rsidRDefault="00F427C6" w:rsidP="00667E1E">
            <w:pPr>
              <w:rPr>
                <w:lang w:val="en-GB"/>
              </w:rPr>
            </w:pPr>
            <w:r>
              <w:rPr>
                <w:lang w:val="en-GB"/>
              </w:rPr>
              <w:t>BIG4</w:t>
            </w:r>
          </w:p>
        </w:tc>
        <w:tc>
          <w:tcPr>
            <w:tcW w:w="1577" w:type="dxa"/>
          </w:tcPr>
          <w:p w:rsidR="00F427C6" w:rsidRDefault="00F427C6" w:rsidP="00667E1E">
            <w:pPr>
              <w:rPr>
                <w:lang w:val="en-GB"/>
              </w:rPr>
            </w:pPr>
            <w:r>
              <w:rPr>
                <w:lang w:val="en-GB"/>
              </w:rPr>
              <w:t>-</w:t>
            </w:r>
          </w:p>
        </w:tc>
        <w:tc>
          <w:tcPr>
            <w:tcW w:w="6626" w:type="dxa"/>
          </w:tcPr>
          <w:p w:rsidR="00F427C6" w:rsidRDefault="00F427C6" w:rsidP="00667E1E">
            <w:pPr>
              <w:rPr>
                <w:lang w:val="en-GB"/>
              </w:rPr>
            </w:pPr>
            <w:r>
              <w:rPr>
                <w:lang w:val="en-GB"/>
              </w:rPr>
              <w:t>Dummy variable: value 1 for firms audited by BIG 4 audit firms, value 0 otherwise</w:t>
            </w:r>
          </w:p>
        </w:tc>
      </w:tr>
    </w:tbl>
    <w:p w:rsidR="00F427C6" w:rsidRPr="000D3226" w:rsidRDefault="00F427C6" w:rsidP="00F427C6">
      <w:pPr>
        <w:spacing w:after="0"/>
        <w:rPr>
          <w:lang w:val="en-US"/>
        </w:rPr>
      </w:pPr>
    </w:p>
    <w:p w:rsidR="006E54C7" w:rsidRPr="004426DD" w:rsidRDefault="006E54C7" w:rsidP="004426DD">
      <w:pPr>
        <w:pStyle w:val="Heading2"/>
      </w:pPr>
      <w:bookmarkStart w:id="87" w:name="_Toc363840775"/>
      <w:r w:rsidRPr="004426DD">
        <w:rPr>
          <w:rStyle w:val="Heading2Char"/>
          <w:b/>
        </w:rPr>
        <w:t>Sample</w:t>
      </w:r>
      <w:r w:rsidR="004426DD">
        <w:rPr>
          <w:rStyle w:val="Heading2Char"/>
          <w:b/>
        </w:rPr>
        <w:t xml:space="preserve"> Selection</w:t>
      </w:r>
      <w:bookmarkEnd w:id="87"/>
    </w:p>
    <w:p w:rsidR="0039354C" w:rsidRDefault="0039354C" w:rsidP="0039354C">
      <w:pPr>
        <w:spacing w:after="0"/>
        <w:rPr>
          <w:lang w:val="en-US"/>
        </w:rPr>
      </w:pPr>
      <w:r>
        <w:rPr>
          <w:lang w:val="en-US"/>
        </w:rPr>
        <w:t xml:space="preserve">This </w:t>
      </w:r>
      <w:r w:rsidRPr="00773BA0">
        <w:rPr>
          <w:lang w:val="en-US"/>
        </w:rPr>
        <w:t xml:space="preserve">empirical study </w:t>
      </w:r>
      <w:r>
        <w:rPr>
          <w:lang w:val="en-US"/>
        </w:rPr>
        <w:t xml:space="preserve">is based on </w:t>
      </w:r>
      <w:r w:rsidRPr="00773BA0">
        <w:rPr>
          <w:lang w:val="en-US"/>
        </w:rPr>
        <w:t>an observational</w:t>
      </w:r>
      <w:r>
        <w:rPr>
          <w:lang w:val="en-US"/>
        </w:rPr>
        <w:t xml:space="preserve"> </w:t>
      </w:r>
      <w:r w:rsidRPr="00773BA0">
        <w:rPr>
          <w:lang w:val="en-US"/>
        </w:rPr>
        <w:t>/ archival research us</w:t>
      </w:r>
      <w:r>
        <w:rPr>
          <w:lang w:val="en-US"/>
        </w:rPr>
        <w:t>ing</w:t>
      </w:r>
      <w:r w:rsidRPr="00773BA0">
        <w:rPr>
          <w:lang w:val="en-US"/>
        </w:rPr>
        <w:t xml:space="preserve"> data from Audit Analytics and Compustat. The investigated period </w:t>
      </w:r>
      <w:r>
        <w:rPr>
          <w:lang w:val="en-US"/>
        </w:rPr>
        <w:t>starts in 2004</w:t>
      </w:r>
      <w:r w:rsidRPr="00773BA0">
        <w:rPr>
          <w:lang w:val="en-US"/>
        </w:rPr>
        <w:t xml:space="preserve">, because </w:t>
      </w:r>
      <w:r>
        <w:rPr>
          <w:lang w:val="en-US"/>
        </w:rPr>
        <w:t xml:space="preserve">since this year most firms had to disclose </w:t>
      </w:r>
      <w:r w:rsidRPr="00773BA0">
        <w:rPr>
          <w:lang w:val="en-US"/>
        </w:rPr>
        <w:t xml:space="preserve">SOX </w:t>
      </w:r>
      <w:r>
        <w:rPr>
          <w:lang w:val="en-US"/>
        </w:rPr>
        <w:t>section 404 reports.</w:t>
      </w:r>
      <w:r w:rsidRPr="00773BA0">
        <w:rPr>
          <w:lang w:val="en-US"/>
        </w:rPr>
        <w:t xml:space="preserve"> Therefore the </w:t>
      </w:r>
      <w:r>
        <w:rPr>
          <w:lang w:val="en-US"/>
        </w:rPr>
        <w:t>review</w:t>
      </w:r>
      <w:r w:rsidRPr="00773BA0">
        <w:rPr>
          <w:lang w:val="en-US"/>
        </w:rPr>
        <w:t xml:space="preserve"> period </w:t>
      </w:r>
      <w:r>
        <w:rPr>
          <w:lang w:val="en-US"/>
        </w:rPr>
        <w:t>concerns the reporting years 2004-2011</w:t>
      </w:r>
      <w:r w:rsidRPr="00773BA0">
        <w:rPr>
          <w:lang w:val="en-US"/>
        </w:rPr>
        <w:t xml:space="preserve"> </w:t>
      </w:r>
      <w:r>
        <w:rPr>
          <w:lang w:val="en-US"/>
        </w:rPr>
        <w:t>regarding</w:t>
      </w:r>
      <w:r w:rsidRPr="00773BA0">
        <w:rPr>
          <w:lang w:val="en-US"/>
        </w:rPr>
        <w:t xml:space="preserve"> U.S. based firms </w:t>
      </w:r>
      <w:r>
        <w:rPr>
          <w:lang w:val="en-US"/>
        </w:rPr>
        <w:t xml:space="preserve">having the obligation </w:t>
      </w:r>
      <w:r w:rsidRPr="00773BA0">
        <w:rPr>
          <w:lang w:val="en-US"/>
        </w:rPr>
        <w:t>to report under SOX</w:t>
      </w:r>
      <w:r>
        <w:rPr>
          <w:lang w:val="en-US"/>
        </w:rPr>
        <w:t xml:space="preserve"> section 404</w:t>
      </w:r>
      <w:r w:rsidRPr="00773BA0">
        <w:rPr>
          <w:lang w:val="en-US"/>
        </w:rPr>
        <w:t>.</w:t>
      </w:r>
      <w:r>
        <w:rPr>
          <w:lang w:val="en-US"/>
        </w:rPr>
        <w:t xml:space="preserve"> The collection of all firm year observations in Audit Analytics resulted in 65536 observations. This is the number of all raw observations with duplicates and blank observations, so after removing these useless observations the total number from Audit Analytics is 47000. Of this number there are 944 firm year observations of </w:t>
      </w:r>
      <w:r w:rsidR="000B3301">
        <w:rPr>
          <w:lang w:val="en-US"/>
        </w:rPr>
        <w:t>material IT control weaknesses and 4641 non-IT material weaknesses</w:t>
      </w:r>
      <w:r>
        <w:rPr>
          <w:lang w:val="en-US"/>
        </w:rPr>
        <w:t xml:space="preserve">. </w:t>
      </w:r>
      <w:r>
        <w:rPr>
          <w:lang w:val="en-US"/>
        </w:rPr>
        <w:br/>
        <w:t xml:space="preserve">The Compustat database is used to collect the necessary financial </w:t>
      </w:r>
      <w:r w:rsidR="009970FC">
        <w:rPr>
          <w:lang w:val="en-US"/>
        </w:rPr>
        <w:t xml:space="preserve">information. </w:t>
      </w:r>
      <w:r>
        <w:rPr>
          <w:lang w:val="en-US"/>
        </w:rPr>
        <w:t xml:space="preserve">The firm year observations are matched with the financial information of Compustat using the Central Index Key (CIK) code, which is unique for each firm in the U.S.A. The observations without matching financial data from Compustat were removed. In total 8769 firm year observations are removed from the total dataset, which resulted in the final sample selection of 38231 firm year observations from Audit Analytics and Compustat for 2004-2011. Of this total dataset 669 observations have an IT material weakness and 2749 have a non-IT material weakness. All the numbers of the sample selections are presented in table </w:t>
      </w:r>
      <w:r w:rsidR="00F427C6">
        <w:rPr>
          <w:lang w:val="en-US"/>
        </w:rPr>
        <w:t>4</w:t>
      </w:r>
      <w:r>
        <w:rPr>
          <w:lang w:val="en-US"/>
        </w:rPr>
        <w:t xml:space="preserve">. </w:t>
      </w:r>
    </w:p>
    <w:p w:rsidR="0039354C" w:rsidRDefault="0039354C" w:rsidP="0039354C">
      <w:pPr>
        <w:spacing w:after="0"/>
        <w:rPr>
          <w:lang w:val="en-US"/>
        </w:rPr>
      </w:pPr>
    </w:p>
    <w:p w:rsidR="0039354C" w:rsidRPr="003669EC" w:rsidRDefault="0039354C" w:rsidP="0039354C">
      <w:pPr>
        <w:spacing w:after="0"/>
        <w:rPr>
          <w:b/>
          <w:i/>
          <w:lang w:val="en-US"/>
        </w:rPr>
      </w:pPr>
      <w:r w:rsidRPr="003669EC">
        <w:rPr>
          <w:b/>
          <w:i/>
          <w:lang w:val="en-US"/>
        </w:rPr>
        <w:t xml:space="preserve">Table </w:t>
      </w:r>
      <w:r w:rsidR="00F427C6">
        <w:rPr>
          <w:b/>
          <w:i/>
          <w:lang w:val="en-US"/>
        </w:rPr>
        <w:t>4</w:t>
      </w:r>
      <w:r w:rsidR="009970FC">
        <w:rPr>
          <w:b/>
          <w:i/>
          <w:lang w:val="en-US"/>
        </w:rPr>
        <w:t>:</w:t>
      </w:r>
      <w:r w:rsidRPr="003669EC">
        <w:rPr>
          <w:b/>
          <w:i/>
          <w:lang w:val="en-US"/>
        </w:rPr>
        <w:t xml:space="preserve"> Sample selection</w:t>
      </w:r>
    </w:p>
    <w:tbl>
      <w:tblPr>
        <w:tblStyle w:val="TableGrid"/>
        <w:tblW w:w="0" w:type="auto"/>
        <w:tblLook w:val="04A0"/>
      </w:tblPr>
      <w:tblGrid>
        <w:gridCol w:w="7338"/>
        <w:gridCol w:w="1872"/>
      </w:tblGrid>
      <w:tr w:rsidR="0039354C" w:rsidRPr="002D4197" w:rsidTr="00383521">
        <w:tc>
          <w:tcPr>
            <w:tcW w:w="7338" w:type="dxa"/>
          </w:tcPr>
          <w:p w:rsidR="0039354C" w:rsidRPr="005810BD" w:rsidRDefault="0039354C" w:rsidP="00383521">
            <w:pPr>
              <w:rPr>
                <w:b/>
                <w:lang w:val="en-US"/>
              </w:rPr>
            </w:pPr>
            <w:r w:rsidRPr="005810BD">
              <w:rPr>
                <w:b/>
                <w:lang w:val="en-US"/>
              </w:rPr>
              <w:t>Stages in sample selection</w:t>
            </w:r>
          </w:p>
        </w:tc>
        <w:tc>
          <w:tcPr>
            <w:tcW w:w="1872" w:type="dxa"/>
          </w:tcPr>
          <w:p w:rsidR="0039354C" w:rsidRPr="005810BD" w:rsidRDefault="0039354C" w:rsidP="00383521">
            <w:pPr>
              <w:rPr>
                <w:b/>
                <w:lang w:val="en-US"/>
              </w:rPr>
            </w:pPr>
            <w:r w:rsidRPr="005810BD">
              <w:rPr>
                <w:b/>
                <w:lang w:val="en-US"/>
              </w:rPr>
              <w:t>Number of firm year observations</w:t>
            </w:r>
          </w:p>
        </w:tc>
      </w:tr>
      <w:tr w:rsidR="0039354C" w:rsidTr="00383521">
        <w:tc>
          <w:tcPr>
            <w:tcW w:w="7338" w:type="dxa"/>
          </w:tcPr>
          <w:p w:rsidR="0039354C" w:rsidRDefault="0039354C" w:rsidP="00383521">
            <w:pPr>
              <w:rPr>
                <w:lang w:val="en-US"/>
              </w:rPr>
            </w:pPr>
            <w:r>
              <w:rPr>
                <w:lang w:val="en-US"/>
              </w:rPr>
              <w:t>Firm year observations SOX section 404 reports from Audit Analytics 2004-2011:</w:t>
            </w:r>
          </w:p>
        </w:tc>
        <w:tc>
          <w:tcPr>
            <w:tcW w:w="1872" w:type="dxa"/>
          </w:tcPr>
          <w:p w:rsidR="0039354C" w:rsidRDefault="0039354C" w:rsidP="00383521">
            <w:pPr>
              <w:jc w:val="right"/>
              <w:rPr>
                <w:lang w:val="en-US"/>
              </w:rPr>
            </w:pPr>
            <w:r>
              <w:rPr>
                <w:lang w:val="en-US"/>
              </w:rPr>
              <w:t>65536</w:t>
            </w:r>
          </w:p>
        </w:tc>
      </w:tr>
      <w:tr w:rsidR="0039354C" w:rsidTr="00383521">
        <w:tc>
          <w:tcPr>
            <w:tcW w:w="7338" w:type="dxa"/>
          </w:tcPr>
          <w:p w:rsidR="0039354C" w:rsidRDefault="0039354C" w:rsidP="00383521">
            <w:pPr>
              <w:rPr>
                <w:lang w:val="en-US"/>
              </w:rPr>
            </w:pPr>
            <w:r>
              <w:rPr>
                <w:lang w:val="en-US"/>
              </w:rPr>
              <w:t>After deleting duplicates and blank observations:</w:t>
            </w:r>
          </w:p>
        </w:tc>
        <w:tc>
          <w:tcPr>
            <w:tcW w:w="1872" w:type="dxa"/>
          </w:tcPr>
          <w:p w:rsidR="0039354C" w:rsidRDefault="0039354C" w:rsidP="00E75066">
            <w:pPr>
              <w:jc w:val="right"/>
              <w:rPr>
                <w:lang w:val="en-US"/>
              </w:rPr>
            </w:pPr>
            <w:r>
              <w:rPr>
                <w:lang w:val="en-US"/>
              </w:rPr>
              <w:t>47000</w:t>
            </w:r>
          </w:p>
        </w:tc>
      </w:tr>
      <w:tr w:rsidR="0039354C" w:rsidTr="00383521">
        <w:tc>
          <w:tcPr>
            <w:tcW w:w="7338" w:type="dxa"/>
          </w:tcPr>
          <w:p w:rsidR="0039354C" w:rsidRDefault="0039354C" w:rsidP="00383521">
            <w:pPr>
              <w:rPr>
                <w:lang w:val="en-US"/>
              </w:rPr>
            </w:pPr>
            <w:r>
              <w:rPr>
                <w:lang w:val="en-US"/>
              </w:rPr>
              <w:t xml:space="preserve">     With Firm year observations with </w:t>
            </w:r>
            <w:r w:rsidR="000B3301">
              <w:rPr>
                <w:lang w:val="en-US"/>
              </w:rPr>
              <w:t>material IT control weaknesses</w:t>
            </w:r>
            <w:r>
              <w:rPr>
                <w:lang w:val="en-US"/>
              </w:rPr>
              <w:t>:</w:t>
            </w:r>
          </w:p>
        </w:tc>
        <w:tc>
          <w:tcPr>
            <w:tcW w:w="1872" w:type="dxa"/>
          </w:tcPr>
          <w:p w:rsidR="0039354C" w:rsidRDefault="0039354C" w:rsidP="00383521">
            <w:pPr>
              <w:jc w:val="right"/>
              <w:rPr>
                <w:lang w:val="en-US"/>
              </w:rPr>
            </w:pPr>
            <w:r>
              <w:rPr>
                <w:lang w:val="en-US"/>
              </w:rPr>
              <w:t>944</w:t>
            </w:r>
          </w:p>
        </w:tc>
      </w:tr>
      <w:tr w:rsidR="0039354C" w:rsidTr="00383521">
        <w:tc>
          <w:tcPr>
            <w:tcW w:w="7338" w:type="dxa"/>
          </w:tcPr>
          <w:p w:rsidR="0039354C" w:rsidRDefault="0039354C" w:rsidP="00383521">
            <w:pPr>
              <w:rPr>
                <w:lang w:val="en-US"/>
              </w:rPr>
            </w:pPr>
            <w:r>
              <w:rPr>
                <w:lang w:val="en-US"/>
              </w:rPr>
              <w:t xml:space="preserve">     And Firm year observation with non-IT material weaknesses:</w:t>
            </w:r>
            <w:r>
              <w:rPr>
                <w:lang w:val="en-US"/>
              </w:rPr>
              <w:tab/>
            </w:r>
          </w:p>
        </w:tc>
        <w:tc>
          <w:tcPr>
            <w:tcW w:w="1872" w:type="dxa"/>
          </w:tcPr>
          <w:p w:rsidR="0039354C" w:rsidRDefault="0039354C" w:rsidP="00383521">
            <w:pPr>
              <w:jc w:val="right"/>
              <w:rPr>
                <w:lang w:val="en-US"/>
              </w:rPr>
            </w:pPr>
            <w:r>
              <w:rPr>
                <w:lang w:val="en-US"/>
              </w:rPr>
              <w:t>4641</w:t>
            </w:r>
          </w:p>
        </w:tc>
      </w:tr>
      <w:tr w:rsidR="0039354C" w:rsidRPr="002D4197" w:rsidTr="00383521">
        <w:tc>
          <w:tcPr>
            <w:tcW w:w="9210" w:type="dxa"/>
            <w:gridSpan w:val="2"/>
          </w:tcPr>
          <w:p w:rsidR="0039354C" w:rsidRDefault="0039354C" w:rsidP="00383521">
            <w:pPr>
              <w:rPr>
                <w:i/>
                <w:lang w:val="en-US"/>
              </w:rPr>
            </w:pPr>
          </w:p>
          <w:p w:rsidR="0039354C" w:rsidRDefault="0039354C" w:rsidP="00383521">
            <w:pPr>
              <w:rPr>
                <w:i/>
                <w:lang w:val="en-US"/>
              </w:rPr>
            </w:pPr>
            <w:r w:rsidRPr="005810BD">
              <w:rPr>
                <w:i/>
                <w:lang w:val="en-US"/>
              </w:rPr>
              <w:t xml:space="preserve">After matching the firm year observations with data from Compustat, 8769 observations </w:t>
            </w:r>
            <w:r>
              <w:rPr>
                <w:i/>
                <w:lang w:val="en-US"/>
              </w:rPr>
              <w:t xml:space="preserve">were </w:t>
            </w:r>
            <w:r w:rsidRPr="005810BD">
              <w:rPr>
                <w:i/>
                <w:lang w:val="en-US"/>
              </w:rPr>
              <w:t>removed</w:t>
            </w:r>
            <w:r>
              <w:rPr>
                <w:i/>
                <w:lang w:val="en-US"/>
              </w:rPr>
              <w:t>,</w:t>
            </w:r>
            <w:r w:rsidRPr="005810BD">
              <w:rPr>
                <w:i/>
                <w:lang w:val="en-US"/>
              </w:rPr>
              <w:t xml:space="preserve"> </w:t>
            </w:r>
            <w:r w:rsidR="00E80B96" w:rsidRPr="005810BD">
              <w:rPr>
                <w:i/>
                <w:lang w:val="en-US"/>
              </w:rPr>
              <w:t>because no</w:t>
            </w:r>
            <w:r w:rsidRPr="005810BD">
              <w:rPr>
                <w:i/>
                <w:lang w:val="en-US"/>
              </w:rPr>
              <w:t xml:space="preserve"> financial information </w:t>
            </w:r>
            <w:r>
              <w:rPr>
                <w:i/>
                <w:lang w:val="en-US"/>
              </w:rPr>
              <w:t xml:space="preserve">was </w:t>
            </w:r>
            <w:r w:rsidRPr="005810BD">
              <w:rPr>
                <w:i/>
                <w:lang w:val="en-US"/>
              </w:rPr>
              <w:t>available</w:t>
            </w:r>
            <w:r>
              <w:rPr>
                <w:i/>
                <w:lang w:val="en-US"/>
              </w:rPr>
              <w:t>.</w:t>
            </w:r>
            <w:r w:rsidRPr="005810BD">
              <w:rPr>
                <w:i/>
                <w:lang w:val="en-US"/>
              </w:rPr>
              <w:t xml:space="preserve"> </w:t>
            </w:r>
            <w:r>
              <w:rPr>
                <w:i/>
                <w:lang w:val="en-US"/>
              </w:rPr>
              <w:t>T</w:t>
            </w:r>
            <w:r w:rsidRPr="005810BD">
              <w:rPr>
                <w:i/>
                <w:lang w:val="en-US"/>
              </w:rPr>
              <w:t>his also include</w:t>
            </w:r>
            <w:r>
              <w:rPr>
                <w:i/>
                <w:lang w:val="en-US"/>
              </w:rPr>
              <w:t>s</w:t>
            </w:r>
            <w:r w:rsidRPr="005810BD">
              <w:rPr>
                <w:i/>
                <w:lang w:val="en-US"/>
              </w:rPr>
              <w:t xml:space="preserve"> some observations ha</w:t>
            </w:r>
            <w:r>
              <w:rPr>
                <w:i/>
                <w:lang w:val="en-US"/>
              </w:rPr>
              <w:t>ving</w:t>
            </w:r>
            <w:r w:rsidRPr="005810BD">
              <w:rPr>
                <w:i/>
                <w:lang w:val="en-US"/>
              </w:rPr>
              <w:t xml:space="preserve"> no values for total assets or </w:t>
            </w:r>
            <w:r w:rsidR="00E80B96" w:rsidRPr="005810BD">
              <w:rPr>
                <w:i/>
                <w:lang w:val="en-US"/>
              </w:rPr>
              <w:t>liabilities</w:t>
            </w:r>
            <w:r>
              <w:rPr>
                <w:i/>
                <w:lang w:val="en-US"/>
              </w:rPr>
              <w:t>;</w:t>
            </w:r>
            <w:r w:rsidRPr="005810BD">
              <w:rPr>
                <w:i/>
                <w:lang w:val="en-US"/>
              </w:rPr>
              <w:t xml:space="preserve"> those observation were also excluded from the dataset which resulted in </w:t>
            </w:r>
            <w:r>
              <w:rPr>
                <w:i/>
                <w:lang w:val="en-US"/>
              </w:rPr>
              <w:t>the following</w:t>
            </w:r>
            <w:r w:rsidRPr="005810BD">
              <w:rPr>
                <w:i/>
                <w:lang w:val="en-US"/>
              </w:rPr>
              <w:t xml:space="preserve"> total </w:t>
            </w:r>
            <w:r>
              <w:rPr>
                <w:i/>
                <w:lang w:val="en-US"/>
              </w:rPr>
              <w:t xml:space="preserve">of </w:t>
            </w:r>
            <w:r w:rsidRPr="005810BD">
              <w:rPr>
                <w:i/>
                <w:lang w:val="en-US"/>
              </w:rPr>
              <w:t>observations:</w:t>
            </w:r>
          </w:p>
          <w:p w:rsidR="0039354C" w:rsidRPr="005810BD" w:rsidRDefault="0039354C" w:rsidP="00383521">
            <w:pPr>
              <w:rPr>
                <w:i/>
                <w:lang w:val="en-US"/>
              </w:rPr>
            </w:pPr>
          </w:p>
        </w:tc>
      </w:tr>
      <w:tr w:rsidR="0039354C" w:rsidTr="00383521">
        <w:tc>
          <w:tcPr>
            <w:tcW w:w="7338" w:type="dxa"/>
          </w:tcPr>
          <w:p w:rsidR="0039354C" w:rsidRDefault="0039354C" w:rsidP="00383521">
            <w:pPr>
              <w:rPr>
                <w:lang w:val="en-US"/>
              </w:rPr>
            </w:pPr>
            <w:r>
              <w:rPr>
                <w:lang w:val="en-US"/>
              </w:rPr>
              <w:t>Final dataset firm year observations Audit Analytics and Compustat for 2004-2011:</w:t>
            </w:r>
          </w:p>
        </w:tc>
        <w:tc>
          <w:tcPr>
            <w:tcW w:w="1872" w:type="dxa"/>
          </w:tcPr>
          <w:p w:rsidR="0039354C" w:rsidRDefault="0039354C" w:rsidP="00E75066">
            <w:pPr>
              <w:jc w:val="right"/>
              <w:rPr>
                <w:lang w:val="en-US"/>
              </w:rPr>
            </w:pPr>
            <w:r>
              <w:rPr>
                <w:lang w:val="en-US"/>
              </w:rPr>
              <w:t>38231</w:t>
            </w:r>
          </w:p>
        </w:tc>
      </w:tr>
      <w:tr w:rsidR="0039354C" w:rsidTr="00383521">
        <w:tc>
          <w:tcPr>
            <w:tcW w:w="7338" w:type="dxa"/>
          </w:tcPr>
          <w:p w:rsidR="0039354C" w:rsidRDefault="0039354C" w:rsidP="00383521">
            <w:pPr>
              <w:rPr>
                <w:lang w:val="en-US"/>
              </w:rPr>
            </w:pPr>
            <w:r>
              <w:rPr>
                <w:lang w:val="en-US"/>
              </w:rPr>
              <w:t xml:space="preserve">     With Firm year observations with </w:t>
            </w:r>
            <w:r w:rsidR="000B3301">
              <w:rPr>
                <w:lang w:val="en-US"/>
              </w:rPr>
              <w:t>material IT control weaknesses</w:t>
            </w:r>
            <w:r>
              <w:rPr>
                <w:lang w:val="en-US"/>
              </w:rPr>
              <w:t>:</w:t>
            </w:r>
          </w:p>
        </w:tc>
        <w:tc>
          <w:tcPr>
            <w:tcW w:w="1872" w:type="dxa"/>
          </w:tcPr>
          <w:p w:rsidR="0039354C" w:rsidRDefault="0039354C" w:rsidP="00383521">
            <w:pPr>
              <w:jc w:val="right"/>
              <w:rPr>
                <w:lang w:val="en-US"/>
              </w:rPr>
            </w:pPr>
            <w:r>
              <w:rPr>
                <w:lang w:val="en-US"/>
              </w:rPr>
              <w:t>669</w:t>
            </w:r>
          </w:p>
        </w:tc>
      </w:tr>
      <w:tr w:rsidR="0039354C" w:rsidTr="00383521">
        <w:tc>
          <w:tcPr>
            <w:tcW w:w="7338" w:type="dxa"/>
          </w:tcPr>
          <w:p w:rsidR="0039354C" w:rsidRDefault="0039354C" w:rsidP="00383521">
            <w:pPr>
              <w:rPr>
                <w:lang w:val="en-US"/>
              </w:rPr>
            </w:pPr>
            <w:r>
              <w:rPr>
                <w:lang w:val="en-US"/>
              </w:rPr>
              <w:t xml:space="preserve">     And Firm year observation with non-IT material weaknesses:</w:t>
            </w:r>
            <w:r>
              <w:rPr>
                <w:lang w:val="en-US"/>
              </w:rPr>
              <w:tab/>
            </w:r>
          </w:p>
        </w:tc>
        <w:tc>
          <w:tcPr>
            <w:tcW w:w="1872" w:type="dxa"/>
          </w:tcPr>
          <w:p w:rsidR="0039354C" w:rsidRDefault="0039354C" w:rsidP="00383521">
            <w:pPr>
              <w:jc w:val="right"/>
              <w:rPr>
                <w:lang w:val="en-US"/>
              </w:rPr>
            </w:pPr>
            <w:r>
              <w:rPr>
                <w:lang w:val="en-US"/>
              </w:rPr>
              <w:t>2749</w:t>
            </w:r>
          </w:p>
        </w:tc>
      </w:tr>
    </w:tbl>
    <w:p w:rsidR="00947A93" w:rsidRDefault="0006085D" w:rsidP="00874FD6">
      <w:pPr>
        <w:pStyle w:val="Heading1"/>
      </w:pPr>
      <w:r>
        <w:rPr>
          <w:sz w:val="22"/>
          <w:szCs w:val="22"/>
        </w:rPr>
        <w:br/>
      </w:r>
      <w:bookmarkStart w:id="88" w:name="_Toc363840776"/>
    </w:p>
    <w:p w:rsidR="00947A93" w:rsidRDefault="00947A93">
      <w:pPr>
        <w:rPr>
          <w:b/>
          <w:sz w:val="32"/>
          <w:szCs w:val="44"/>
          <w:lang w:val="en-GB"/>
        </w:rPr>
      </w:pPr>
      <w:r>
        <w:br w:type="page"/>
      </w:r>
    </w:p>
    <w:p w:rsidR="00874FD6" w:rsidRDefault="001E3445" w:rsidP="00874FD6">
      <w:pPr>
        <w:pStyle w:val="Heading1"/>
      </w:pPr>
      <w:r w:rsidRPr="00874FD6">
        <w:t>Chapter 6 Results</w:t>
      </w:r>
      <w:bookmarkEnd w:id="88"/>
    </w:p>
    <w:p w:rsidR="00FD08B6" w:rsidRPr="0040287B" w:rsidRDefault="00FD08B6" w:rsidP="00F419B2">
      <w:pPr>
        <w:rPr>
          <w:lang w:val="en-US"/>
        </w:rPr>
      </w:pPr>
      <w:r w:rsidRPr="0040287B">
        <w:rPr>
          <w:lang w:val="en-US"/>
        </w:rPr>
        <w:t xml:space="preserve">Chapter 6 </w:t>
      </w:r>
      <w:r w:rsidR="00FA6299">
        <w:rPr>
          <w:lang w:val="en-US"/>
        </w:rPr>
        <w:t>presen</w:t>
      </w:r>
      <w:r w:rsidR="00FA6299" w:rsidRPr="0040287B">
        <w:rPr>
          <w:lang w:val="en-US"/>
        </w:rPr>
        <w:t>t</w:t>
      </w:r>
      <w:r w:rsidR="00FA6299">
        <w:rPr>
          <w:lang w:val="en-US"/>
        </w:rPr>
        <w:t>s</w:t>
      </w:r>
      <w:r w:rsidR="00FA6299" w:rsidRPr="0040287B">
        <w:rPr>
          <w:lang w:val="en-US"/>
        </w:rPr>
        <w:t xml:space="preserve"> </w:t>
      </w:r>
      <w:r w:rsidRPr="0040287B">
        <w:rPr>
          <w:lang w:val="en-US"/>
        </w:rPr>
        <w:t>the empirical results in multiple sections</w:t>
      </w:r>
      <w:r w:rsidR="00FA6299">
        <w:rPr>
          <w:lang w:val="en-US"/>
        </w:rPr>
        <w:t>, not only</w:t>
      </w:r>
      <w:r w:rsidRPr="0040287B">
        <w:rPr>
          <w:lang w:val="en-US"/>
        </w:rPr>
        <w:t xml:space="preserve"> to provide information about the associations between the variables, but also </w:t>
      </w:r>
      <w:r w:rsidR="00FA6299">
        <w:rPr>
          <w:lang w:val="en-US"/>
        </w:rPr>
        <w:t xml:space="preserve">about </w:t>
      </w:r>
      <w:r w:rsidRPr="0040287B">
        <w:rPr>
          <w:lang w:val="en-US"/>
        </w:rPr>
        <w:t>the more general characteristics of the dataset. First</w:t>
      </w:r>
      <w:r w:rsidR="00FA6299">
        <w:rPr>
          <w:lang w:val="en-US"/>
        </w:rPr>
        <w:t>ly</w:t>
      </w:r>
      <w:r w:rsidRPr="0040287B">
        <w:rPr>
          <w:lang w:val="en-US"/>
        </w:rPr>
        <w:t xml:space="preserve"> the descriptive statistics provide an insight </w:t>
      </w:r>
      <w:r w:rsidR="00FA6299">
        <w:rPr>
          <w:lang w:val="en-US"/>
        </w:rPr>
        <w:t>i</w:t>
      </w:r>
      <w:r w:rsidRPr="0040287B">
        <w:rPr>
          <w:lang w:val="en-US"/>
        </w:rPr>
        <w:t xml:space="preserve">n the values of the total sample with the mean, standard deviation and number of observations. </w:t>
      </w:r>
      <w:r w:rsidR="00FA6299">
        <w:rPr>
          <w:lang w:val="en-US"/>
        </w:rPr>
        <w:t>Next</w:t>
      </w:r>
      <w:r w:rsidRPr="0040287B">
        <w:rPr>
          <w:lang w:val="en-US"/>
        </w:rPr>
        <w:t xml:space="preserve"> there is an industry distribution of the </w:t>
      </w:r>
      <w:r w:rsidR="000B3301">
        <w:rPr>
          <w:lang w:val="en-US"/>
        </w:rPr>
        <w:t>material IT control weaknesses</w:t>
      </w:r>
      <w:r w:rsidRPr="0040287B">
        <w:rPr>
          <w:lang w:val="en-US"/>
        </w:rPr>
        <w:t xml:space="preserve"> in order to compare the results with prior literature. </w:t>
      </w:r>
      <w:r w:rsidR="00FA6299">
        <w:rPr>
          <w:lang w:val="en-US"/>
        </w:rPr>
        <w:t>A</w:t>
      </w:r>
      <w:r w:rsidR="00FA6299" w:rsidRPr="0040287B">
        <w:rPr>
          <w:lang w:val="en-US"/>
        </w:rPr>
        <w:t xml:space="preserve"> Pearson correlation matrix</w:t>
      </w:r>
      <w:r w:rsidR="00FA6299">
        <w:rPr>
          <w:lang w:val="en-US"/>
        </w:rPr>
        <w:t xml:space="preserve"> is used</w:t>
      </w:r>
      <w:r w:rsidR="00440FA2" w:rsidRPr="0040287B">
        <w:rPr>
          <w:lang w:val="en-US"/>
        </w:rPr>
        <w:t xml:space="preserve"> to </w:t>
      </w:r>
      <w:r w:rsidR="00EA7A09">
        <w:rPr>
          <w:lang w:val="en-US"/>
        </w:rPr>
        <w:t>analyze</w:t>
      </w:r>
      <w:r w:rsidR="00440FA2" w:rsidRPr="0040287B">
        <w:rPr>
          <w:lang w:val="en-US"/>
        </w:rPr>
        <w:t xml:space="preserve"> the inter-correlations between the variables. The final element of the descriptive statistics is a study of the trend of </w:t>
      </w:r>
      <w:r w:rsidR="000B3301">
        <w:rPr>
          <w:lang w:val="en-US"/>
        </w:rPr>
        <w:t>material IT control weaknesses</w:t>
      </w:r>
      <w:r w:rsidR="00440FA2" w:rsidRPr="0040287B">
        <w:rPr>
          <w:lang w:val="en-US"/>
        </w:rPr>
        <w:t xml:space="preserve"> over the sample period. </w:t>
      </w:r>
    </w:p>
    <w:p w:rsidR="00440FA2" w:rsidRPr="00440FA2" w:rsidRDefault="00440FA2" w:rsidP="00F419B2">
      <w:pPr>
        <w:rPr>
          <w:lang w:val="en-GB"/>
        </w:rPr>
      </w:pPr>
      <w:r>
        <w:rPr>
          <w:lang w:val="en-GB"/>
        </w:rPr>
        <w:t xml:space="preserve">The second part of chapter 6 contains the univariate and multinomial logitistic regressions tables, followed by an analysis of the results. Finally to control for multicollinearity some robustness tests </w:t>
      </w:r>
      <w:r w:rsidR="00FA6299">
        <w:rPr>
          <w:lang w:val="en-GB"/>
        </w:rPr>
        <w:t xml:space="preserve">are conducted </w:t>
      </w:r>
      <w:r>
        <w:rPr>
          <w:lang w:val="en-GB"/>
        </w:rPr>
        <w:t>with adjusted regression tables.</w:t>
      </w:r>
    </w:p>
    <w:p w:rsidR="00874FD6" w:rsidRDefault="00874FD6" w:rsidP="00874FD6">
      <w:pPr>
        <w:pStyle w:val="Heading2"/>
        <w:numPr>
          <w:ilvl w:val="0"/>
          <w:numId w:val="0"/>
        </w:numPr>
      </w:pPr>
      <w:bookmarkStart w:id="89" w:name="_Toc363840777"/>
      <w:r>
        <w:t>6.1 Descriptive statistics</w:t>
      </w:r>
      <w:bookmarkEnd w:id="89"/>
    </w:p>
    <w:p w:rsidR="00440008" w:rsidRDefault="00440008" w:rsidP="00874FD6">
      <w:pPr>
        <w:rPr>
          <w:lang w:val="en-GB"/>
        </w:rPr>
      </w:pPr>
      <w:r>
        <w:rPr>
          <w:lang w:val="en-GB"/>
        </w:rPr>
        <w:t>T</w:t>
      </w:r>
      <w:r w:rsidRPr="00440FA2">
        <w:rPr>
          <w:lang w:val="en-GB"/>
        </w:rPr>
        <w:t xml:space="preserve">able </w:t>
      </w:r>
      <w:r>
        <w:rPr>
          <w:lang w:val="en-GB"/>
        </w:rPr>
        <w:t xml:space="preserve">5 presents the descriptive statistics for the different </w:t>
      </w:r>
      <w:r w:rsidR="00E75066">
        <w:rPr>
          <w:lang w:val="en-GB"/>
        </w:rPr>
        <w:t xml:space="preserve">groups of </w:t>
      </w:r>
      <w:r>
        <w:rPr>
          <w:lang w:val="en-GB"/>
        </w:rPr>
        <w:t>firms</w:t>
      </w:r>
      <w:r w:rsidR="00E75066">
        <w:rPr>
          <w:lang w:val="en-GB"/>
        </w:rPr>
        <w:t xml:space="preserve"> over the period 2004-2011</w:t>
      </w:r>
      <w:r>
        <w:rPr>
          <w:lang w:val="en-GB"/>
        </w:rPr>
        <w:t>. For reasons of comparison the sample is separated into three groups: the IT material weakness firms, non-IT material weakness firms and firms with no material weakness at all. The mean and the standard deviation of the variables provide information on how the variable is distributed and whether there are abnormal values. Also the mean can be used to compare the different groups to look for possible patterns that can be explained by theories. The third statistic is the t-</w:t>
      </w:r>
      <w:r w:rsidR="006D309E">
        <w:rPr>
          <w:lang w:val="en-GB"/>
        </w:rPr>
        <w:t>statistic, which</w:t>
      </w:r>
      <w:r>
        <w:rPr>
          <w:lang w:val="en-GB"/>
        </w:rPr>
        <w:t xml:space="preserve"> is the result of a t-test for differences between the means of two independent sample groups; the specific material weakness firms are compared with the no-material weakness firms. When the means of the specific groups are significantly different the t-statistic has “**” to indicate a p-value of &lt;0.05 for the test of differences.</w:t>
      </w:r>
    </w:p>
    <w:p w:rsidR="00B238E1" w:rsidRPr="0006085D" w:rsidRDefault="00B238E1" w:rsidP="00806F26">
      <w:pPr>
        <w:pStyle w:val="NoSpacing"/>
        <w:rPr>
          <w:b/>
          <w:i/>
        </w:rPr>
      </w:pPr>
      <w:r w:rsidRPr="0006085D">
        <w:rPr>
          <w:b/>
          <w:i/>
        </w:rPr>
        <w:t>Table</w:t>
      </w:r>
      <w:r w:rsidR="00EC2BEC" w:rsidRPr="0006085D">
        <w:rPr>
          <w:b/>
          <w:i/>
        </w:rPr>
        <w:t xml:space="preserve"> 5</w:t>
      </w:r>
      <w:r w:rsidR="009970FC" w:rsidRPr="0006085D">
        <w:rPr>
          <w:b/>
          <w:i/>
        </w:rPr>
        <w:t>:</w:t>
      </w:r>
      <w:r w:rsidRPr="0006085D">
        <w:rPr>
          <w:b/>
          <w:i/>
        </w:rPr>
        <w:t xml:space="preserve"> Descriptive statistics: IT material weakness vs material weakness vs no weakness firms</w:t>
      </w:r>
    </w:p>
    <w:tbl>
      <w:tblPr>
        <w:tblW w:w="10462" w:type="dxa"/>
        <w:tblInd w:w="-601" w:type="dxa"/>
        <w:tblLayout w:type="fixed"/>
        <w:tblLook w:val="0000"/>
      </w:tblPr>
      <w:tblGrid>
        <w:gridCol w:w="1322"/>
        <w:gridCol w:w="805"/>
        <w:gridCol w:w="1134"/>
        <w:gridCol w:w="1559"/>
        <w:gridCol w:w="851"/>
        <w:gridCol w:w="1130"/>
        <w:gridCol w:w="1705"/>
        <w:gridCol w:w="847"/>
        <w:gridCol w:w="1109"/>
      </w:tblGrid>
      <w:tr w:rsidR="00933A80" w:rsidRPr="00F93260" w:rsidTr="00806F26">
        <w:trPr>
          <w:trHeight w:val="319"/>
        </w:trPr>
        <w:tc>
          <w:tcPr>
            <w:tcW w:w="1322" w:type="dxa"/>
            <w:tcBorders>
              <w:top w:val="single" w:sz="18" w:space="0" w:color="auto"/>
              <w:left w:val="single" w:sz="18" w:space="0" w:color="auto"/>
              <w:bottom w:val="nil"/>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Variables</w:t>
            </w:r>
          </w:p>
        </w:tc>
        <w:tc>
          <w:tcPr>
            <w:tcW w:w="3498" w:type="dxa"/>
            <w:gridSpan w:val="3"/>
            <w:tcBorders>
              <w:top w:val="single" w:sz="18" w:space="0" w:color="auto"/>
              <w:left w:val="single" w:sz="18" w:space="0" w:color="auto"/>
              <w:bottom w:val="single" w:sz="6" w:space="0" w:color="auto"/>
            </w:tcBorders>
          </w:tcPr>
          <w:p w:rsidR="00933A80" w:rsidRDefault="00806F26"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ITMW</w:t>
            </w:r>
            <w:r w:rsidR="00933A80">
              <w:rPr>
                <w:rFonts w:ascii="Calibri" w:hAnsi="Calibri" w:cs="Calibri"/>
                <w:color w:val="000000"/>
                <w:lang w:val="en-US"/>
              </w:rPr>
              <w:t xml:space="preserve"> firms (1) N=669</w:t>
            </w:r>
          </w:p>
        </w:tc>
        <w:tc>
          <w:tcPr>
            <w:tcW w:w="3686" w:type="dxa"/>
            <w:gridSpan w:val="3"/>
            <w:tcBorders>
              <w:top w:val="single" w:sz="18" w:space="0" w:color="auto"/>
              <w:left w:val="single" w:sz="18" w:space="0" w:color="auto"/>
              <w:bottom w:val="single" w:sz="6" w:space="0" w:color="auto"/>
              <w:right w:val="single" w:sz="18" w:space="0" w:color="auto"/>
            </w:tcBorders>
          </w:tcPr>
          <w:p w:rsidR="00933A80" w:rsidRDefault="00806F26"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NON-ITMW</w:t>
            </w:r>
            <w:r w:rsidR="00933A80">
              <w:rPr>
                <w:rFonts w:ascii="Calibri" w:hAnsi="Calibri" w:cs="Calibri"/>
                <w:color w:val="000000"/>
                <w:lang w:val="en-US"/>
              </w:rPr>
              <w:t xml:space="preserve"> firms (2) N=2749</w:t>
            </w:r>
          </w:p>
        </w:tc>
        <w:tc>
          <w:tcPr>
            <w:tcW w:w="1956" w:type="dxa"/>
            <w:gridSpan w:val="2"/>
            <w:tcBorders>
              <w:top w:val="single" w:sz="18" w:space="0" w:color="auto"/>
              <w:left w:val="single" w:sz="18" w:space="0" w:color="auto"/>
              <w:bottom w:val="single" w:sz="6" w:space="0" w:color="auto"/>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No </w:t>
            </w:r>
            <w:r w:rsidR="00806F26">
              <w:rPr>
                <w:rFonts w:ascii="Calibri" w:hAnsi="Calibri" w:cs="Calibri"/>
                <w:color w:val="000000"/>
                <w:lang w:val="en-US"/>
              </w:rPr>
              <w:t>MW</w:t>
            </w:r>
            <w:r>
              <w:rPr>
                <w:rFonts w:ascii="Calibri" w:hAnsi="Calibri" w:cs="Calibri"/>
                <w:color w:val="000000"/>
                <w:lang w:val="en-US"/>
              </w:rPr>
              <w:t xml:space="preserve"> firms (3) N=34812</w:t>
            </w:r>
          </w:p>
        </w:tc>
      </w:tr>
      <w:tr w:rsidR="00933A80" w:rsidTr="00806F26">
        <w:trPr>
          <w:trHeight w:val="319"/>
        </w:trPr>
        <w:tc>
          <w:tcPr>
            <w:tcW w:w="1322" w:type="dxa"/>
            <w:tcBorders>
              <w:top w:val="nil"/>
              <w:left w:val="single" w:sz="18" w:space="0" w:color="auto"/>
              <w:bottom w:val="single" w:sz="6" w:space="0" w:color="auto"/>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p>
        </w:tc>
        <w:tc>
          <w:tcPr>
            <w:tcW w:w="805" w:type="dxa"/>
            <w:tcBorders>
              <w:top w:val="single" w:sz="6" w:space="0" w:color="auto"/>
              <w:left w:val="single" w:sz="18" w:space="0" w:color="auto"/>
              <w:bottom w:val="single" w:sz="6" w:space="0" w:color="auto"/>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Mean</w:t>
            </w:r>
          </w:p>
        </w:tc>
        <w:tc>
          <w:tcPr>
            <w:tcW w:w="1134" w:type="dxa"/>
            <w:tcBorders>
              <w:top w:val="single" w:sz="6" w:space="0" w:color="auto"/>
              <w:left w:val="single" w:sz="6" w:space="0" w:color="auto"/>
              <w:bottom w:val="single" w:sz="6" w:space="0" w:color="auto"/>
              <w:right w:val="single" w:sz="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Std Dev.</w:t>
            </w:r>
          </w:p>
        </w:tc>
        <w:tc>
          <w:tcPr>
            <w:tcW w:w="1559" w:type="dxa"/>
            <w:tcBorders>
              <w:top w:val="single" w:sz="6" w:space="0" w:color="auto"/>
              <w:left w:val="single" w:sz="8" w:space="0" w:color="auto"/>
              <w:bottom w:val="single" w:sz="6" w:space="0" w:color="auto"/>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t-stat (1)&lt;&gt;(3)</w:t>
            </w:r>
          </w:p>
        </w:tc>
        <w:tc>
          <w:tcPr>
            <w:tcW w:w="851" w:type="dxa"/>
            <w:tcBorders>
              <w:top w:val="single" w:sz="6" w:space="0" w:color="auto"/>
              <w:left w:val="single" w:sz="18" w:space="0" w:color="auto"/>
              <w:bottom w:val="single" w:sz="6" w:space="0" w:color="auto"/>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Mean</w:t>
            </w:r>
          </w:p>
        </w:tc>
        <w:tc>
          <w:tcPr>
            <w:tcW w:w="1130" w:type="dxa"/>
            <w:tcBorders>
              <w:top w:val="single" w:sz="6" w:space="0" w:color="auto"/>
              <w:left w:val="single" w:sz="6" w:space="0" w:color="auto"/>
              <w:bottom w:val="single" w:sz="6" w:space="0" w:color="auto"/>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Std Dev.</w:t>
            </w:r>
          </w:p>
        </w:tc>
        <w:tc>
          <w:tcPr>
            <w:tcW w:w="1705" w:type="dxa"/>
            <w:tcBorders>
              <w:top w:val="single" w:sz="6" w:space="0" w:color="auto"/>
              <w:left w:val="single" w:sz="6" w:space="0" w:color="auto"/>
              <w:bottom w:val="single" w:sz="6" w:space="0" w:color="auto"/>
              <w:right w:val="single" w:sz="18" w:space="0" w:color="auto"/>
            </w:tcBorders>
          </w:tcPr>
          <w:p w:rsidR="00933A80" w:rsidRPr="0095606D" w:rsidRDefault="00933A80"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 xml:space="preserve">t-stat </w:t>
            </w:r>
            <w:r w:rsidRPr="0095606D">
              <w:rPr>
                <w:rFonts w:ascii="Calibri" w:hAnsi="Calibri" w:cs="Calibri"/>
                <w:color w:val="000000"/>
                <w:lang w:val="en-US"/>
              </w:rPr>
              <w:t>(</w:t>
            </w:r>
            <w:r>
              <w:rPr>
                <w:rFonts w:ascii="Calibri" w:hAnsi="Calibri" w:cs="Calibri"/>
                <w:color w:val="000000"/>
                <w:lang w:val="en-US"/>
              </w:rPr>
              <w:t>2</w:t>
            </w:r>
            <w:r w:rsidRPr="0095606D">
              <w:rPr>
                <w:rFonts w:ascii="Calibri" w:hAnsi="Calibri" w:cs="Calibri"/>
                <w:color w:val="000000"/>
                <w:lang w:val="en-US"/>
              </w:rPr>
              <w:t>)</w:t>
            </w:r>
            <w:r>
              <w:rPr>
                <w:rFonts w:ascii="Calibri" w:hAnsi="Calibri" w:cs="Calibri"/>
                <w:color w:val="000000"/>
                <w:lang w:val="en-US"/>
              </w:rPr>
              <w:t>&lt;&gt;(3)</w:t>
            </w:r>
          </w:p>
        </w:tc>
        <w:tc>
          <w:tcPr>
            <w:tcW w:w="847" w:type="dxa"/>
            <w:tcBorders>
              <w:top w:val="single" w:sz="6" w:space="0" w:color="auto"/>
              <w:left w:val="single" w:sz="18" w:space="0" w:color="auto"/>
              <w:bottom w:val="single" w:sz="6" w:space="0" w:color="auto"/>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Mean</w:t>
            </w:r>
          </w:p>
        </w:tc>
        <w:tc>
          <w:tcPr>
            <w:tcW w:w="1109" w:type="dxa"/>
            <w:tcBorders>
              <w:top w:val="single" w:sz="6" w:space="0" w:color="auto"/>
              <w:left w:val="single" w:sz="6" w:space="0" w:color="auto"/>
              <w:bottom w:val="single" w:sz="6" w:space="0" w:color="auto"/>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Std Dev.</w:t>
            </w:r>
          </w:p>
        </w:tc>
      </w:tr>
      <w:tr w:rsidR="00933A80" w:rsidTr="00806F26">
        <w:trPr>
          <w:trHeight w:val="305"/>
        </w:trPr>
        <w:tc>
          <w:tcPr>
            <w:tcW w:w="1322" w:type="dxa"/>
            <w:tcBorders>
              <w:top w:val="single" w:sz="6" w:space="0" w:color="auto"/>
              <w:left w:val="single" w:sz="1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INDFRAUD</w:t>
            </w:r>
          </w:p>
        </w:tc>
        <w:tc>
          <w:tcPr>
            <w:tcW w:w="805" w:type="dxa"/>
            <w:tcBorders>
              <w:top w:val="single" w:sz="6" w:space="0" w:color="auto"/>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0.342</w:t>
            </w:r>
          </w:p>
        </w:tc>
        <w:tc>
          <w:tcPr>
            <w:tcW w:w="1134" w:type="dxa"/>
            <w:tcBorders>
              <w:top w:val="single" w:sz="6" w:space="0" w:color="auto"/>
              <w:left w:val="single" w:sz="6" w:space="0" w:color="auto"/>
              <w:bottom w:val="single" w:sz="2" w:space="0" w:color="000000"/>
              <w:right w:val="single" w:sz="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0.475</w:t>
            </w:r>
          </w:p>
        </w:tc>
        <w:tc>
          <w:tcPr>
            <w:tcW w:w="1559" w:type="dxa"/>
            <w:tcBorders>
              <w:top w:val="single" w:sz="6" w:space="0" w:color="auto"/>
              <w:left w:val="single" w:sz="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sidRPr="006C127B">
              <w:rPr>
                <w:rFonts w:ascii="Calibri" w:hAnsi="Calibri" w:cs="Calibri"/>
                <w:color w:val="000000"/>
                <w:lang w:val="en-US"/>
              </w:rPr>
              <w:t>3.867</w:t>
            </w:r>
            <w:r>
              <w:rPr>
                <w:rFonts w:ascii="Calibri" w:hAnsi="Calibri" w:cs="Calibri"/>
                <w:color w:val="000000"/>
                <w:lang w:val="en-US"/>
              </w:rPr>
              <w:t>**</w:t>
            </w:r>
          </w:p>
        </w:tc>
        <w:tc>
          <w:tcPr>
            <w:tcW w:w="851" w:type="dxa"/>
            <w:tcBorders>
              <w:top w:val="single" w:sz="6" w:space="0" w:color="auto"/>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0.289</w:t>
            </w:r>
          </w:p>
        </w:tc>
        <w:tc>
          <w:tcPr>
            <w:tcW w:w="1130" w:type="dxa"/>
            <w:tcBorders>
              <w:top w:val="single" w:sz="6" w:space="0" w:color="auto"/>
              <w:left w:val="single" w:sz="6"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0.453</w:t>
            </w:r>
          </w:p>
        </w:tc>
        <w:tc>
          <w:tcPr>
            <w:tcW w:w="1705" w:type="dxa"/>
            <w:tcBorders>
              <w:top w:val="single" w:sz="6" w:space="0" w:color="auto"/>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2.065**</w:t>
            </w:r>
          </w:p>
        </w:tc>
        <w:tc>
          <w:tcPr>
            <w:tcW w:w="847" w:type="dxa"/>
            <w:tcBorders>
              <w:top w:val="single" w:sz="6" w:space="0" w:color="auto"/>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0.269</w:t>
            </w:r>
          </w:p>
        </w:tc>
        <w:tc>
          <w:tcPr>
            <w:tcW w:w="1109" w:type="dxa"/>
            <w:tcBorders>
              <w:top w:val="single" w:sz="6" w:space="0" w:color="auto"/>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0.444</w:t>
            </w:r>
          </w:p>
        </w:tc>
      </w:tr>
      <w:tr w:rsidR="00933A80" w:rsidTr="00806F26">
        <w:trPr>
          <w:trHeight w:val="290"/>
        </w:trPr>
        <w:tc>
          <w:tcPr>
            <w:tcW w:w="1322" w:type="dxa"/>
            <w:tcBorders>
              <w:top w:val="single" w:sz="2" w:space="0" w:color="000000"/>
              <w:left w:val="single" w:sz="1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INDCOMP</w:t>
            </w:r>
          </w:p>
        </w:tc>
        <w:tc>
          <w:tcPr>
            <w:tcW w:w="805"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0.964</w:t>
            </w:r>
          </w:p>
        </w:tc>
        <w:tc>
          <w:tcPr>
            <w:tcW w:w="1134" w:type="dxa"/>
            <w:tcBorders>
              <w:top w:val="single" w:sz="2" w:space="0" w:color="000000"/>
              <w:left w:val="single" w:sz="6" w:space="0" w:color="auto"/>
              <w:bottom w:val="single" w:sz="2" w:space="0" w:color="000000"/>
              <w:right w:val="single" w:sz="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0.186</w:t>
            </w:r>
          </w:p>
        </w:tc>
        <w:tc>
          <w:tcPr>
            <w:tcW w:w="1559" w:type="dxa"/>
            <w:tcBorders>
              <w:top w:val="single" w:sz="2" w:space="0" w:color="000000"/>
              <w:left w:val="single" w:sz="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-0.642</w:t>
            </w:r>
          </w:p>
        </w:tc>
        <w:tc>
          <w:tcPr>
            <w:tcW w:w="851"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0.972</w:t>
            </w:r>
          </w:p>
        </w:tc>
        <w:tc>
          <w:tcPr>
            <w:tcW w:w="1130" w:type="dxa"/>
            <w:tcBorders>
              <w:top w:val="single" w:sz="2" w:space="0" w:color="000000"/>
              <w:left w:val="single" w:sz="6"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0.166</w:t>
            </w:r>
          </w:p>
        </w:tc>
        <w:tc>
          <w:tcPr>
            <w:tcW w:w="1705"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1.044</w:t>
            </w:r>
          </w:p>
        </w:tc>
        <w:tc>
          <w:tcPr>
            <w:tcW w:w="847"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0.968</w:t>
            </w:r>
          </w:p>
        </w:tc>
        <w:tc>
          <w:tcPr>
            <w:tcW w:w="1109"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0.175</w:t>
            </w:r>
          </w:p>
        </w:tc>
      </w:tr>
      <w:tr w:rsidR="00933A80" w:rsidTr="00806F26">
        <w:trPr>
          <w:trHeight w:val="290"/>
        </w:trPr>
        <w:tc>
          <w:tcPr>
            <w:tcW w:w="1322" w:type="dxa"/>
            <w:tcBorders>
              <w:top w:val="single" w:sz="2" w:space="0" w:color="000000"/>
              <w:left w:val="single" w:sz="1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RESTRUCTD</w:t>
            </w:r>
          </w:p>
        </w:tc>
        <w:tc>
          <w:tcPr>
            <w:tcW w:w="805"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0.200</w:t>
            </w:r>
          </w:p>
        </w:tc>
        <w:tc>
          <w:tcPr>
            <w:tcW w:w="1134" w:type="dxa"/>
            <w:tcBorders>
              <w:top w:val="single" w:sz="2" w:space="0" w:color="000000"/>
              <w:left w:val="single" w:sz="6" w:space="0" w:color="auto"/>
              <w:bottom w:val="single" w:sz="2" w:space="0" w:color="000000"/>
              <w:right w:val="single" w:sz="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0.399</w:t>
            </w:r>
          </w:p>
        </w:tc>
        <w:tc>
          <w:tcPr>
            <w:tcW w:w="1559" w:type="dxa"/>
            <w:tcBorders>
              <w:top w:val="single" w:sz="2" w:space="0" w:color="000000"/>
              <w:left w:val="single" w:sz="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-1.535</w:t>
            </w:r>
          </w:p>
        </w:tc>
        <w:tc>
          <w:tcPr>
            <w:tcW w:w="851"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0.175</w:t>
            </w:r>
          </w:p>
        </w:tc>
        <w:tc>
          <w:tcPr>
            <w:tcW w:w="1130" w:type="dxa"/>
            <w:tcBorders>
              <w:top w:val="single" w:sz="2" w:space="0" w:color="000000"/>
              <w:left w:val="single" w:sz="6"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0.380</w:t>
            </w:r>
          </w:p>
        </w:tc>
        <w:tc>
          <w:tcPr>
            <w:tcW w:w="1705"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-6.729**</w:t>
            </w:r>
          </w:p>
        </w:tc>
        <w:tc>
          <w:tcPr>
            <w:tcW w:w="847"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0.227</w:t>
            </w:r>
          </w:p>
        </w:tc>
        <w:tc>
          <w:tcPr>
            <w:tcW w:w="1109"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0.419</w:t>
            </w:r>
          </w:p>
        </w:tc>
      </w:tr>
      <w:tr w:rsidR="00933A80" w:rsidTr="00806F26">
        <w:trPr>
          <w:trHeight w:val="290"/>
        </w:trPr>
        <w:tc>
          <w:tcPr>
            <w:tcW w:w="1322" w:type="dxa"/>
            <w:tcBorders>
              <w:top w:val="single" w:sz="2" w:space="0" w:color="000000"/>
              <w:left w:val="single" w:sz="1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RESTRUCTP</w:t>
            </w:r>
          </w:p>
        </w:tc>
        <w:tc>
          <w:tcPr>
            <w:tcW w:w="805"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0.440</w:t>
            </w:r>
          </w:p>
        </w:tc>
        <w:tc>
          <w:tcPr>
            <w:tcW w:w="1134" w:type="dxa"/>
            <w:tcBorders>
              <w:top w:val="single" w:sz="2" w:space="0" w:color="000000"/>
              <w:left w:val="single" w:sz="6" w:space="0" w:color="auto"/>
              <w:bottom w:val="single" w:sz="2" w:space="0" w:color="000000"/>
              <w:right w:val="single" w:sz="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0.497</w:t>
            </w:r>
          </w:p>
        </w:tc>
        <w:tc>
          <w:tcPr>
            <w:tcW w:w="1559" w:type="dxa"/>
            <w:tcBorders>
              <w:top w:val="single" w:sz="2" w:space="0" w:color="000000"/>
              <w:left w:val="single" w:sz="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-1.594</w:t>
            </w:r>
          </w:p>
        </w:tc>
        <w:tc>
          <w:tcPr>
            <w:tcW w:w="851"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0.380</w:t>
            </w:r>
          </w:p>
        </w:tc>
        <w:tc>
          <w:tcPr>
            <w:tcW w:w="1130" w:type="dxa"/>
            <w:tcBorders>
              <w:top w:val="single" w:sz="2" w:space="0" w:color="000000"/>
              <w:left w:val="single" w:sz="6"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0.485</w:t>
            </w:r>
          </w:p>
        </w:tc>
        <w:tc>
          <w:tcPr>
            <w:tcW w:w="1705"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-9.989**</w:t>
            </w:r>
          </w:p>
        </w:tc>
        <w:tc>
          <w:tcPr>
            <w:tcW w:w="847"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0.480</w:t>
            </w:r>
          </w:p>
        </w:tc>
        <w:tc>
          <w:tcPr>
            <w:tcW w:w="1109"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0.499</w:t>
            </w:r>
          </w:p>
        </w:tc>
      </w:tr>
      <w:tr w:rsidR="00933A80" w:rsidTr="00806F26">
        <w:trPr>
          <w:trHeight w:val="290"/>
        </w:trPr>
        <w:tc>
          <w:tcPr>
            <w:tcW w:w="1322" w:type="dxa"/>
            <w:tcBorders>
              <w:top w:val="single" w:sz="2" w:space="0" w:color="000000"/>
              <w:left w:val="single" w:sz="1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RESTRUCTC</w:t>
            </w:r>
          </w:p>
        </w:tc>
        <w:tc>
          <w:tcPr>
            <w:tcW w:w="805"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sidRPr="00F76963">
              <w:rPr>
                <w:rFonts w:ascii="Calibri" w:hAnsi="Calibri" w:cs="Calibri"/>
                <w:color w:val="000000"/>
                <w:lang w:val="en-US"/>
              </w:rPr>
              <w:t>1.37</w:t>
            </w:r>
            <w:r>
              <w:rPr>
                <w:rFonts w:ascii="Calibri" w:hAnsi="Calibri" w:cs="Calibri"/>
                <w:color w:val="000000"/>
                <w:lang w:val="en-US"/>
              </w:rPr>
              <w:t>5</w:t>
            </w:r>
          </w:p>
        </w:tc>
        <w:tc>
          <w:tcPr>
            <w:tcW w:w="1134" w:type="dxa"/>
            <w:tcBorders>
              <w:top w:val="single" w:sz="2" w:space="0" w:color="000000"/>
              <w:left w:val="single" w:sz="6" w:space="0" w:color="auto"/>
              <w:bottom w:val="single" w:sz="2" w:space="0" w:color="000000"/>
              <w:right w:val="single" w:sz="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2.773</w:t>
            </w:r>
          </w:p>
        </w:tc>
        <w:tc>
          <w:tcPr>
            <w:tcW w:w="1559" w:type="dxa"/>
            <w:tcBorders>
              <w:top w:val="single" w:sz="2" w:space="0" w:color="000000"/>
              <w:left w:val="single" w:sz="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-1.523</w:t>
            </w:r>
          </w:p>
        </w:tc>
        <w:tc>
          <w:tcPr>
            <w:tcW w:w="851"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1.174</w:t>
            </w:r>
          </w:p>
        </w:tc>
        <w:tc>
          <w:tcPr>
            <w:tcW w:w="1130" w:type="dxa"/>
            <w:tcBorders>
              <w:top w:val="single" w:sz="2" w:space="0" w:color="000000"/>
              <w:left w:val="single" w:sz="6"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2.574</w:t>
            </w:r>
          </w:p>
        </w:tc>
        <w:tc>
          <w:tcPr>
            <w:tcW w:w="1705"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-7.586**</w:t>
            </w:r>
          </w:p>
        </w:tc>
        <w:tc>
          <w:tcPr>
            <w:tcW w:w="847"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1.569</w:t>
            </w:r>
          </w:p>
        </w:tc>
        <w:tc>
          <w:tcPr>
            <w:tcW w:w="1109"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2.924</w:t>
            </w:r>
          </w:p>
        </w:tc>
      </w:tr>
      <w:tr w:rsidR="00933A80" w:rsidTr="00806F26">
        <w:trPr>
          <w:trHeight w:val="290"/>
        </w:trPr>
        <w:tc>
          <w:tcPr>
            <w:tcW w:w="1322" w:type="dxa"/>
            <w:tcBorders>
              <w:top w:val="single" w:sz="2" w:space="0" w:color="000000"/>
              <w:left w:val="single" w:sz="1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SIZE</w:t>
            </w:r>
          </w:p>
        </w:tc>
        <w:tc>
          <w:tcPr>
            <w:tcW w:w="805"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8.352</w:t>
            </w:r>
          </w:p>
        </w:tc>
        <w:tc>
          <w:tcPr>
            <w:tcW w:w="1134" w:type="dxa"/>
            <w:tcBorders>
              <w:top w:val="single" w:sz="2" w:space="0" w:color="000000"/>
              <w:left w:val="single" w:sz="6" w:space="0" w:color="auto"/>
              <w:bottom w:val="single" w:sz="2" w:space="0" w:color="000000"/>
              <w:right w:val="single" w:sz="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1.302</w:t>
            </w:r>
          </w:p>
        </w:tc>
        <w:tc>
          <w:tcPr>
            <w:tcW w:w="1559" w:type="dxa"/>
            <w:tcBorders>
              <w:top w:val="single" w:sz="2" w:space="0" w:color="000000"/>
              <w:left w:val="single" w:sz="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-10.428**</w:t>
            </w:r>
          </w:p>
        </w:tc>
        <w:tc>
          <w:tcPr>
            <w:tcW w:w="851"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8.061</w:t>
            </w:r>
          </w:p>
        </w:tc>
        <w:tc>
          <w:tcPr>
            <w:tcW w:w="1130" w:type="dxa"/>
            <w:tcBorders>
              <w:top w:val="single" w:sz="2" w:space="0" w:color="000000"/>
              <w:left w:val="single" w:sz="6"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1.418</w:t>
            </w:r>
          </w:p>
        </w:tc>
        <w:tc>
          <w:tcPr>
            <w:tcW w:w="1705"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-31.556**</w:t>
            </w:r>
          </w:p>
        </w:tc>
        <w:tc>
          <w:tcPr>
            <w:tcW w:w="847"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8.945</w:t>
            </w:r>
          </w:p>
        </w:tc>
        <w:tc>
          <w:tcPr>
            <w:tcW w:w="1109"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1.064</w:t>
            </w:r>
          </w:p>
        </w:tc>
      </w:tr>
      <w:tr w:rsidR="00933A80" w:rsidTr="00806F26">
        <w:trPr>
          <w:trHeight w:val="290"/>
        </w:trPr>
        <w:tc>
          <w:tcPr>
            <w:tcW w:w="1322" w:type="dxa"/>
            <w:tcBorders>
              <w:top w:val="single" w:sz="2" w:space="0" w:color="000000"/>
              <w:left w:val="single" w:sz="1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AGE log</w:t>
            </w:r>
          </w:p>
        </w:tc>
        <w:tc>
          <w:tcPr>
            <w:tcW w:w="805"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0.694</w:t>
            </w:r>
          </w:p>
        </w:tc>
        <w:tc>
          <w:tcPr>
            <w:tcW w:w="1134" w:type="dxa"/>
            <w:tcBorders>
              <w:top w:val="single" w:sz="2" w:space="0" w:color="000000"/>
              <w:left w:val="single" w:sz="6" w:space="0" w:color="auto"/>
              <w:bottom w:val="single" w:sz="2" w:space="0" w:color="000000"/>
              <w:right w:val="single" w:sz="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0.589</w:t>
            </w:r>
          </w:p>
        </w:tc>
        <w:tc>
          <w:tcPr>
            <w:tcW w:w="1559" w:type="dxa"/>
            <w:tcBorders>
              <w:top w:val="single" w:sz="2" w:space="0" w:color="000000"/>
              <w:left w:val="single" w:sz="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-9.365**</w:t>
            </w:r>
          </w:p>
        </w:tc>
        <w:tc>
          <w:tcPr>
            <w:tcW w:w="851"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0.629</w:t>
            </w:r>
          </w:p>
        </w:tc>
        <w:tc>
          <w:tcPr>
            <w:tcW w:w="1130" w:type="dxa"/>
            <w:tcBorders>
              <w:top w:val="single" w:sz="2" w:space="0" w:color="000000"/>
              <w:left w:val="single" w:sz="6"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0.577</w:t>
            </w:r>
          </w:p>
        </w:tc>
        <w:tc>
          <w:tcPr>
            <w:tcW w:w="1705"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-26.105**</w:t>
            </w:r>
          </w:p>
        </w:tc>
        <w:tc>
          <w:tcPr>
            <w:tcW w:w="847"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0.939</w:t>
            </w:r>
          </w:p>
        </w:tc>
        <w:tc>
          <w:tcPr>
            <w:tcW w:w="1109"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0.519</w:t>
            </w:r>
          </w:p>
        </w:tc>
      </w:tr>
      <w:tr w:rsidR="00933A80" w:rsidTr="00806F26">
        <w:trPr>
          <w:trHeight w:val="290"/>
        </w:trPr>
        <w:tc>
          <w:tcPr>
            <w:tcW w:w="1322" w:type="dxa"/>
            <w:tcBorders>
              <w:top w:val="single" w:sz="2" w:space="0" w:color="000000"/>
              <w:left w:val="single" w:sz="1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LEV</w:t>
            </w:r>
          </w:p>
        </w:tc>
        <w:tc>
          <w:tcPr>
            <w:tcW w:w="805"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2.498</w:t>
            </w:r>
          </w:p>
        </w:tc>
        <w:tc>
          <w:tcPr>
            <w:tcW w:w="1134" w:type="dxa"/>
            <w:tcBorders>
              <w:top w:val="single" w:sz="2" w:space="0" w:color="000000"/>
              <w:left w:val="single" w:sz="6" w:space="0" w:color="auto"/>
              <w:bottom w:val="single" w:sz="2" w:space="0" w:color="000000"/>
              <w:right w:val="single" w:sz="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22.647</w:t>
            </w:r>
          </w:p>
        </w:tc>
        <w:tc>
          <w:tcPr>
            <w:tcW w:w="1559" w:type="dxa"/>
            <w:tcBorders>
              <w:top w:val="single" w:sz="2" w:space="0" w:color="000000"/>
              <w:left w:val="single" w:sz="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0.545</w:t>
            </w:r>
          </w:p>
        </w:tc>
        <w:tc>
          <w:tcPr>
            <w:tcW w:w="851"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9.539</w:t>
            </w:r>
          </w:p>
        </w:tc>
        <w:tc>
          <w:tcPr>
            <w:tcW w:w="1130" w:type="dxa"/>
            <w:tcBorders>
              <w:top w:val="single" w:sz="2" w:space="0" w:color="000000"/>
              <w:left w:val="single" w:sz="6"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112.544</w:t>
            </w:r>
          </w:p>
        </w:tc>
        <w:tc>
          <w:tcPr>
            <w:tcW w:w="1705"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3.933**</w:t>
            </w:r>
          </w:p>
        </w:tc>
        <w:tc>
          <w:tcPr>
            <w:tcW w:w="847"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1.045</w:t>
            </w:r>
          </w:p>
        </w:tc>
        <w:tc>
          <w:tcPr>
            <w:tcW w:w="1109"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25.638</w:t>
            </w:r>
          </w:p>
        </w:tc>
      </w:tr>
      <w:tr w:rsidR="00933A80" w:rsidTr="00806F26">
        <w:trPr>
          <w:trHeight w:val="290"/>
        </w:trPr>
        <w:tc>
          <w:tcPr>
            <w:tcW w:w="1322" w:type="dxa"/>
            <w:tcBorders>
              <w:top w:val="single" w:sz="2" w:space="0" w:color="000000"/>
              <w:left w:val="single" w:sz="1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ROA</w:t>
            </w:r>
          </w:p>
        </w:tc>
        <w:tc>
          <w:tcPr>
            <w:tcW w:w="805"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-1.361</w:t>
            </w:r>
          </w:p>
        </w:tc>
        <w:tc>
          <w:tcPr>
            <w:tcW w:w="1134" w:type="dxa"/>
            <w:tcBorders>
              <w:top w:val="single" w:sz="2" w:space="0" w:color="000000"/>
              <w:left w:val="single" w:sz="6" w:space="0" w:color="auto"/>
              <w:bottom w:val="single" w:sz="2" w:space="0" w:color="000000"/>
              <w:right w:val="single" w:sz="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12.580</w:t>
            </w:r>
          </w:p>
        </w:tc>
        <w:tc>
          <w:tcPr>
            <w:tcW w:w="1559" w:type="dxa"/>
            <w:tcBorders>
              <w:top w:val="single" w:sz="2" w:space="0" w:color="000000"/>
              <w:left w:val="single" w:sz="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-2.000**</w:t>
            </w:r>
          </w:p>
        </w:tc>
        <w:tc>
          <w:tcPr>
            <w:tcW w:w="851"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-3.817</w:t>
            </w:r>
          </w:p>
        </w:tc>
        <w:tc>
          <w:tcPr>
            <w:tcW w:w="1130" w:type="dxa"/>
            <w:tcBorders>
              <w:top w:val="single" w:sz="2" w:space="0" w:color="000000"/>
              <w:left w:val="single" w:sz="6"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47.065</w:t>
            </w:r>
          </w:p>
        </w:tc>
        <w:tc>
          <w:tcPr>
            <w:tcW w:w="1705"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-4.104**</w:t>
            </w:r>
          </w:p>
        </w:tc>
        <w:tc>
          <w:tcPr>
            <w:tcW w:w="847"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-0.107</w:t>
            </w:r>
          </w:p>
        </w:tc>
        <w:tc>
          <w:tcPr>
            <w:tcW w:w="1109"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4.482</w:t>
            </w:r>
          </w:p>
        </w:tc>
      </w:tr>
      <w:tr w:rsidR="00933A80" w:rsidTr="00806F26">
        <w:trPr>
          <w:trHeight w:val="290"/>
        </w:trPr>
        <w:tc>
          <w:tcPr>
            <w:tcW w:w="1322" w:type="dxa"/>
            <w:tcBorders>
              <w:top w:val="single" w:sz="2" w:space="0" w:color="000000"/>
              <w:left w:val="single" w:sz="1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FORTRANS</w:t>
            </w:r>
          </w:p>
        </w:tc>
        <w:tc>
          <w:tcPr>
            <w:tcW w:w="805"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0.357</w:t>
            </w:r>
          </w:p>
        </w:tc>
        <w:tc>
          <w:tcPr>
            <w:tcW w:w="1134" w:type="dxa"/>
            <w:tcBorders>
              <w:top w:val="single" w:sz="2" w:space="0" w:color="000000"/>
              <w:left w:val="single" w:sz="6" w:space="0" w:color="auto"/>
              <w:bottom w:val="single" w:sz="2" w:space="0" w:color="000000"/>
              <w:right w:val="single" w:sz="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0.480</w:t>
            </w:r>
          </w:p>
        </w:tc>
        <w:tc>
          <w:tcPr>
            <w:tcW w:w="1559" w:type="dxa"/>
            <w:tcBorders>
              <w:top w:val="single" w:sz="2" w:space="0" w:color="000000"/>
              <w:left w:val="single" w:sz="8"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0.188</w:t>
            </w:r>
          </w:p>
        </w:tc>
        <w:tc>
          <w:tcPr>
            <w:tcW w:w="851"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0.303</w:t>
            </w:r>
          </w:p>
        </w:tc>
        <w:tc>
          <w:tcPr>
            <w:tcW w:w="1130" w:type="dxa"/>
            <w:tcBorders>
              <w:top w:val="single" w:sz="2" w:space="0" w:color="000000"/>
              <w:left w:val="single" w:sz="6"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0.459</w:t>
            </w:r>
          </w:p>
        </w:tc>
        <w:tc>
          <w:tcPr>
            <w:tcW w:w="1705"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-6.039**</w:t>
            </w:r>
          </w:p>
        </w:tc>
        <w:tc>
          <w:tcPr>
            <w:tcW w:w="847" w:type="dxa"/>
            <w:tcBorders>
              <w:top w:val="single" w:sz="2" w:space="0" w:color="000000"/>
              <w:left w:val="single" w:sz="18" w:space="0" w:color="auto"/>
              <w:bottom w:val="single" w:sz="2" w:space="0" w:color="000000"/>
              <w:right w:val="single" w:sz="6"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0.358</w:t>
            </w:r>
          </w:p>
        </w:tc>
        <w:tc>
          <w:tcPr>
            <w:tcW w:w="1109" w:type="dxa"/>
            <w:tcBorders>
              <w:top w:val="single" w:sz="2" w:space="0" w:color="000000"/>
              <w:left w:val="single" w:sz="6" w:space="0" w:color="auto"/>
              <w:bottom w:val="single" w:sz="2" w:space="0" w:color="000000"/>
              <w:right w:val="single" w:sz="18" w:space="0" w:color="auto"/>
            </w:tcBorders>
          </w:tcPr>
          <w:p w:rsidR="00933A80" w:rsidRDefault="00933A80"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0.479</w:t>
            </w:r>
          </w:p>
        </w:tc>
      </w:tr>
      <w:tr w:rsidR="007D6F21" w:rsidTr="00806F26">
        <w:trPr>
          <w:trHeight w:val="305"/>
        </w:trPr>
        <w:tc>
          <w:tcPr>
            <w:tcW w:w="1322" w:type="dxa"/>
            <w:tcBorders>
              <w:top w:val="single" w:sz="2" w:space="0" w:color="000000"/>
              <w:left w:val="single" w:sz="18" w:space="0" w:color="auto"/>
              <w:bottom w:val="single" w:sz="8" w:space="0" w:color="auto"/>
              <w:right w:val="single" w:sz="18" w:space="0" w:color="auto"/>
            </w:tcBorders>
          </w:tcPr>
          <w:p w:rsidR="007D6F21" w:rsidRDefault="007D6F21"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SEGNUM</w:t>
            </w:r>
          </w:p>
        </w:tc>
        <w:tc>
          <w:tcPr>
            <w:tcW w:w="805" w:type="dxa"/>
            <w:tcBorders>
              <w:top w:val="single" w:sz="2" w:space="0" w:color="000000"/>
              <w:left w:val="single" w:sz="18" w:space="0" w:color="auto"/>
              <w:bottom w:val="single" w:sz="8" w:space="0" w:color="auto"/>
              <w:right w:val="single" w:sz="6" w:space="0" w:color="auto"/>
            </w:tcBorders>
          </w:tcPr>
          <w:p w:rsidR="007D6F21" w:rsidRDefault="007D6F21"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3.124</w:t>
            </w:r>
          </w:p>
        </w:tc>
        <w:tc>
          <w:tcPr>
            <w:tcW w:w="1134" w:type="dxa"/>
            <w:tcBorders>
              <w:top w:val="single" w:sz="2" w:space="0" w:color="000000"/>
              <w:left w:val="single" w:sz="6" w:space="0" w:color="auto"/>
              <w:bottom w:val="single" w:sz="8" w:space="0" w:color="auto"/>
              <w:right w:val="single" w:sz="8" w:space="0" w:color="auto"/>
            </w:tcBorders>
          </w:tcPr>
          <w:p w:rsidR="007D6F21" w:rsidRDefault="007D6F21"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3.531</w:t>
            </w:r>
          </w:p>
        </w:tc>
        <w:tc>
          <w:tcPr>
            <w:tcW w:w="1559" w:type="dxa"/>
            <w:tcBorders>
              <w:top w:val="single" w:sz="2" w:space="0" w:color="000000"/>
              <w:left w:val="single" w:sz="8" w:space="0" w:color="auto"/>
              <w:bottom w:val="single" w:sz="8" w:space="0" w:color="auto"/>
              <w:right w:val="single" w:sz="18" w:space="0" w:color="auto"/>
            </w:tcBorders>
          </w:tcPr>
          <w:p w:rsidR="007D6F21" w:rsidRDefault="007D6F21"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-0.408</w:t>
            </w:r>
          </w:p>
        </w:tc>
        <w:tc>
          <w:tcPr>
            <w:tcW w:w="851" w:type="dxa"/>
            <w:tcBorders>
              <w:top w:val="single" w:sz="2" w:space="0" w:color="000000"/>
              <w:left w:val="single" w:sz="18" w:space="0" w:color="auto"/>
              <w:bottom w:val="single" w:sz="8" w:space="0" w:color="auto"/>
              <w:right w:val="single" w:sz="6" w:space="0" w:color="auto"/>
            </w:tcBorders>
          </w:tcPr>
          <w:p w:rsidR="007D6F21" w:rsidRDefault="007D6F21"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3.009</w:t>
            </w:r>
          </w:p>
        </w:tc>
        <w:tc>
          <w:tcPr>
            <w:tcW w:w="1130" w:type="dxa"/>
            <w:tcBorders>
              <w:top w:val="single" w:sz="2" w:space="0" w:color="000000"/>
              <w:left w:val="single" w:sz="6" w:space="0" w:color="auto"/>
              <w:bottom w:val="single" w:sz="8" w:space="0" w:color="auto"/>
              <w:right w:val="single" w:sz="6" w:space="0" w:color="auto"/>
            </w:tcBorders>
          </w:tcPr>
          <w:p w:rsidR="007D6F21" w:rsidRDefault="007D6F21"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3.811</w:t>
            </w:r>
          </w:p>
        </w:tc>
        <w:tc>
          <w:tcPr>
            <w:tcW w:w="1705" w:type="dxa"/>
            <w:tcBorders>
              <w:top w:val="single" w:sz="2" w:space="0" w:color="000000"/>
              <w:left w:val="single" w:sz="6" w:space="0" w:color="auto"/>
              <w:bottom w:val="single" w:sz="8" w:space="0" w:color="auto"/>
              <w:right w:val="single" w:sz="18" w:space="0" w:color="auto"/>
            </w:tcBorders>
          </w:tcPr>
          <w:p w:rsidR="007D6F21" w:rsidRDefault="007D6F21"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-2.601**</w:t>
            </w:r>
          </w:p>
        </w:tc>
        <w:tc>
          <w:tcPr>
            <w:tcW w:w="847" w:type="dxa"/>
            <w:tcBorders>
              <w:top w:val="single" w:sz="2" w:space="0" w:color="000000"/>
              <w:left w:val="single" w:sz="18" w:space="0" w:color="auto"/>
              <w:bottom w:val="single" w:sz="8" w:space="0" w:color="auto"/>
              <w:right w:val="single" w:sz="6" w:space="0" w:color="auto"/>
            </w:tcBorders>
          </w:tcPr>
          <w:p w:rsidR="007D6F21" w:rsidRDefault="007D6F21"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3.195</w:t>
            </w:r>
          </w:p>
        </w:tc>
        <w:tc>
          <w:tcPr>
            <w:tcW w:w="1109" w:type="dxa"/>
            <w:tcBorders>
              <w:top w:val="single" w:sz="2" w:space="0" w:color="000000"/>
              <w:left w:val="single" w:sz="6" w:space="0" w:color="auto"/>
              <w:bottom w:val="single" w:sz="8" w:space="0" w:color="auto"/>
              <w:right w:val="single" w:sz="18" w:space="0" w:color="auto"/>
            </w:tcBorders>
          </w:tcPr>
          <w:p w:rsidR="007D6F21" w:rsidRDefault="007D6F21" w:rsidP="00806F26">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3.557</w:t>
            </w:r>
          </w:p>
        </w:tc>
      </w:tr>
      <w:tr w:rsidR="007D6F21" w:rsidTr="00806F26">
        <w:trPr>
          <w:trHeight w:val="311"/>
        </w:trPr>
        <w:tc>
          <w:tcPr>
            <w:tcW w:w="1322" w:type="dxa"/>
            <w:tcBorders>
              <w:top w:val="single" w:sz="8" w:space="0" w:color="auto"/>
              <w:left w:val="single" w:sz="18" w:space="0" w:color="auto"/>
              <w:bottom w:val="single" w:sz="18" w:space="0" w:color="auto"/>
              <w:right w:val="single" w:sz="18" w:space="0" w:color="auto"/>
            </w:tcBorders>
          </w:tcPr>
          <w:p w:rsidR="007D6F21" w:rsidRDefault="007D6F21" w:rsidP="00806F26">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BIG4</w:t>
            </w:r>
          </w:p>
        </w:tc>
        <w:tc>
          <w:tcPr>
            <w:tcW w:w="805" w:type="dxa"/>
            <w:tcBorders>
              <w:top w:val="single" w:sz="8" w:space="0" w:color="auto"/>
              <w:left w:val="single" w:sz="18" w:space="0" w:color="auto"/>
              <w:bottom w:val="single" w:sz="18" w:space="0" w:color="auto"/>
              <w:right w:val="single" w:sz="6" w:space="0" w:color="auto"/>
            </w:tcBorders>
          </w:tcPr>
          <w:p w:rsidR="007D6F21" w:rsidRPr="006E4E17" w:rsidRDefault="007D6F21" w:rsidP="00806F26">
            <w:pPr>
              <w:pStyle w:val="NoSpacing"/>
              <w:jc w:val="center"/>
              <w:rPr>
                <w:rFonts w:cs="Calibri"/>
              </w:rPr>
            </w:pPr>
            <w:r w:rsidRPr="006E4E17">
              <w:rPr>
                <w:rFonts w:cs="Calibri"/>
              </w:rPr>
              <w:t>0.490</w:t>
            </w:r>
          </w:p>
        </w:tc>
        <w:tc>
          <w:tcPr>
            <w:tcW w:w="1134" w:type="dxa"/>
            <w:tcBorders>
              <w:top w:val="single" w:sz="8" w:space="0" w:color="auto"/>
              <w:left w:val="single" w:sz="6" w:space="0" w:color="auto"/>
              <w:bottom w:val="single" w:sz="18" w:space="0" w:color="auto"/>
              <w:right w:val="single" w:sz="8" w:space="0" w:color="auto"/>
            </w:tcBorders>
          </w:tcPr>
          <w:p w:rsidR="007D6F21" w:rsidRPr="006E4E17" w:rsidRDefault="007D6F21" w:rsidP="00806F26">
            <w:pPr>
              <w:pStyle w:val="NoSpacing"/>
              <w:jc w:val="center"/>
              <w:rPr>
                <w:rFonts w:cs="Calibri"/>
              </w:rPr>
            </w:pPr>
            <w:r w:rsidRPr="006E4E17">
              <w:rPr>
                <w:rFonts w:cs="Calibri"/>
              </w:rPr>
              <w:t>0.500</w:t>
            </w:r>
          </w:p>
        </w:tc>
        <w:tc>
          <w:tcPr>
            <w:tcW w:w="1559" w:type="dxa"/>
            <w:tcBorders>
              <w:top w:val="single" w:sz="8" w:space="0" w:color="auto"/>
              <w:left w:val="single" w:sz="8" w:space="0" w:color="auto"/>
              <w:bottom w:val="single" w:sz="18" w:space="0" w:color="auto"/>
              <w:right w:val="single" w:sz="18" w:space="0" w:color="auto"/>
            </w:tcBorders>
          </w:tcPr>
          <w:p w:rsidR="007D6F21" w:rsidRPr="006E4E17" w:rsidRDefault="006E4E17" w:rsidP="00806F26">
            <w:pPr>
              <w:pStyle w:val="NoSpacing"/>
              <w:jc w:val="center"/>
              <w:rPr>
                <w:rFonts w:cs="Calibri"/>
              </w:rPr>
            </w:pPr>
            <w:r w:rsidRPr="006E4E17">
              <w:rPr>
                <w:rFonts w:cs="Calibri"/>
                <w:szCs w:val="18"/>
              </w:rPr>
              <w:t>-11.418</w:t>
            </w:r>
            <w:r>
              <w:rPr>
                <w:rFonts w:cs="Calibri"/>
                <w:szCs w:val="18"/>
              </w:rPr>
              <w:t>**</w:t>
            </w:r>
          </w:p>
        </w:tc>
        <w:tc>
          <w:tcPr>
            <w:tcW w:w="851" w:type="dxa"/>
            <w:tcBorders>
              <w:top w:val="single" w:sz="8" w:space="0" w:color="auto"/>
              <w:left w:val="single" w:sz="18" w:space="0" w:color="auto"/>
              <w:bottom w:val="single" w:sz="18" w:space="0" w:color="auto"/>
              <w:right w:val="single" w:sz="6" w:space="0" w:color="auto"/>
            </w:tcBorders>
          </w:tcPr>
          <w:p w:rsidR="007D6F21" w:rsidRPr="006E4E17" w:rsidRDefault="007D6F21" w:rsidP="00806F26">
            <w:pPr>
              <w:pStyle w:val="NoSpacing"/>
              <w:jc w:val="center"/>
              <w:rPr>
                <w:rFonts w:cs="Calibri"/>
              </w:rPr>
            </w:pPr>
            <w:r w:rsidRPr="006E4E17">
              <w:rPr>
                <w:rFonts w:cs="Calibri"/>
              </w:rPr>
              <w:t>0.47</w:t>
            </w:r>
          </w:p>
        </w:tc>
        <w:tc>
          <w:tcPr>
            <w:tcW w:w="1130" w:type="dxa"/>
            <w:tcBorders>
              <w:top w:val="single" w:sz="8" w:space="0" w:color="auto"/>
              <w:left w:val="single" w:sz="6" w:space="0" w:color="auto"/>
              <w:bottom w:val="single" w:sz="18" w:space="0" w:color="auto"/>
              <w:right w:val="single" w:sz="6" w:space="0" w:color="auto"/>
            </w:tcBorders>
          </w:tcPr>
          <w:p w:rsidR="007D6F21" w:rsidRPr="006E4E17" w:rsidRDefault="007D6F21" w:rsidP="00806F26">
            <w:pPr>
              <w:pStyle w:val="NoSpacing"/>
              <w:jc w:val="center"/>
              <w:rPr>
                <w:rFonts w:cs="Calibri"/>
              </w:rPr>
            </w:pPr>
            <w:r w:rsidRPr="006E4E17">
              <w:rPr>
                <w:rFonts w:cs="Calibri"/>
              </w:rPr>
              <w:t>0.499</w:t>
            </w:r>
          </w:p>
        </w:tc>
        <w:tc>
          <w:tcPr>
            <w:tcW w:w="1705" w:type="dxa"/>
            <w:tcBorders>
              <w:top w:val="single" w:sz="8" w:space="0" w:color="auto"/>
              <w:left w:val="single" w:sz="6" w:space="0" w:color="auto"/>
              <w:bottom w:val="single" w:sz="18" w:space="0" w:color="auto"/>
              <w:right w:val="single" w:sz="18" w:space="0" w:color="auto"/>
            </w:tcBorders>
          </w:tcPr>
          <w:p w:rsidR="007D6F21" w:rsidRPr="006E4E17" w:rsidRDefault="006E4E17" w:rsidP="00806F26">
            <w:pPr>
              <w:pStyle w:val="NoSpacing"/>
              <w:jc w:val="center"/>
              <w:rPr>
                <w:rFonts w:cs="Calibri"/>
              </w:rPr>
            </w:pPr>
            <w:r w:rsidRPr="006E4E17">
              <w:rPr>
                <w:rFonts w:cs="Calibri"/>
                <w:szCs w:val="18"/>
              </w:rPr>
              <w:t>-26.984</w:t>
            </w:r>
          </w:p>
        </w:tc>
        <w:tc>
          <w:tcPr>
            <w:tcW w:w="847" w:type="dxa"/>
            <w:tcBorders>
              <w:top w:val="single" w:sz="8" w:space="0" w:color="auto"/>
              <w:left w:val="single" w:sz="18" w:space="0" w:color="auto"/>
              <w:bottom w:val="single" w:sz="18" w:space="0" w:color="auto"/>
              <w:right w:val="single" w:sz="6" w:space="0" w:color="auto"/>
            </w:tcBorders>
          </w:tcPr>
          <w:p w:rsidR="007D6F21" w:rsidRPr="006E4E17" w:rsidRDefault="007D6F21" w:rsidP="00806F26">
            <w:pPr>
              <w:pStyle w:val="NoSpacing"/>
              <w:jc w:val="center"/>
              <w:rPr>
                <w:rFonts w:cs="Calibri"/>
              </w:rPr>
            </w:pPr>
            <w:r w:rsidRPr="006E4E17">
              <w:rPr>
                <w:rFonts w:cs="Calibri"/>
              </w:rPr>
              <w:t>0.740</w:t>
            </w:r>
          </w:p>
        </w:tc>
        <w:tc>
          <w:tcPr>
            <w:tcW w:w="1109" w:type="dxa"/>
            <w:tcBorders>
              <w:top w:val="single" w:sz="8" w:space="0" w:color="auto"/>
              <w:left w:val="single" w:sz="6" w:space="0" w:color="auto"/>
              <w:bottom w:val="single" w:sz="18" w:space="0" w:color="auto"/>
              <w:right w:val="single" w:sz="18" w:space="0" w:color="auto"/>
            </w:tcBorders>
          </w:tcPr>
          <w:p w:rsidR="007D6F21" w:rsidRPr="006E4E17" w:rsidRDefault="007D6F21" w:rsidP="00806F26">
            <w:pPr>
              <w:pStyle w:val="NoSpacing"/>
              <w:jc w:val="center"/>
              <w:rPr>
                <w:rFonts w:cs="Calibri"/>
              </w:rPr>
            </w:pPr>
            <w:r w:rsidRPr="006E4E17">
              <w:rPr>
                <w:rFonts w:cs="Calibri"/>
              </w:rPr>
              <w:t>0.440</w:t>
            </w:r>
            <w:r w:rsidR="006E4E17">
              <w:rPr>
                <w:rFonts w:cs="Calibri"/>
              </w:rPr>
              <w:t>**</w:t>
            </w:r>
          </w:p>
        </w:tc>
      </w:tr>
    </w:tbl>
    <w:p w:rsidR="00806F26" w:rsidRDefault="00331CFA" w:rsidP="00806F26">
      <w:pPr>
        <w:pStyle w:val="NoSpacing"/>
        <w:rPr>
          <w:b/>
          <w:i/>
          <w:sz w:val="20"/>
          <w:szCs w:val="20"/>
        </w:rPr>
      </w:pPr>
      <w:r w:rsidRPr="0006085D">
        <w:rPr>
          <w:b/>
          <w:i/>
          <w:sz w:val="20"/>
          <w:szCs w:val="20"/>
        </w:rPr>
        <w:t>p &lt; 0.05 = **</w:t>
      </w:r>
      <w:r w:rsidR="00864200">
        <w:rPr>
          <w:b/>
          <w:i/>
          <w:sz w:val="20"/>
          <w:szCs w:val="20"/>
        </w:rPr>
        <w:t xml:space="preserve"> </w:t>
      </w:r>
    </w:p>
    <w:p w:rsidR="0006085D" w:rsidRPr="00806F26" w:rsidRDefault="00331CFA" w:rsidP="00806F26">
      <w:pPr>
        <w:pStyle w:val="NoSpacing"/>
        <w:rPr>
          <w:b/>
          <w:i/>
          <w:sz w:val="20"/>
          <w:szCs w:val="20"/>
        </w:rPr>
      </w:pPr>
      <w:r w:rsidRPr="0006085D">
        <w:rPr>
          <w:b/>
          <w:i/>
          <w:sz w:val="20"/>
          <w:szCs w:val="20"/>
        </w:rPr>
        <w:t>p &lt; 0.10 = *</w:t>
      </w:r>
      <w:r w:rsidR="0006085D">
        <w:rPr>
          <w:b/>
          <w:i/>
          <w:sz w:val="20"/>
          <w:szCs w:val="20"/>
        </w:rPr>
        <w:br/>
      </w:r>
    </w:p>
    <w:p w:rsidR="00440008" w:rsidRDefault="00EA7EBB" w:rsidP="002413BF">
      <w:pPr>
        <w:rPr>
          <w:lang w:val="en-GB"/>
        </w:rPr>
      </w:pPr>
      <w:r>
        <w:rPr>
          <w:lang w:val="en-GB"/>
        </w:rPr>
        <w:t>L</w:t>
      </w:r>
      <w:r w:rsidR="002413BF">
        <w:rPr>
          <w:lang w:val="en-GB"/>
        </w:rPr>
        <w:t xml:space="preserve">ooking </w:t>
      </w:r>
      <w:r>
        <w:rPr>
          <w:lang w:val="en-GB"/>
        </w:rPr>
        <w:t>a</w:t>
      </w:r>
      <w:r w:rsidR="002413BF">
        <w:rPr>
          <w:lang w:val="en-GB"/>
        </w:rPr>
        <w:t xml:space="preserve">t the results in table 5 it </w:t>
      </w:r>
      <w:r>
        <w:rPr>
          <w:lang w:val="en-GB"/>
        </w:rPr>
        <w:t>appears that</w:t>
      </w:r>
      <w:r w:rsidR="002413BF">
        <w:rPr>
          <w:lang w:val="en-GB"/>
        </w:rPr>
        <w:t xml:space="preserve"> all means have relatively normal values and there are no abnormal</w:t>
      </w:r>
      <w:r>
        <w:rPr>
          <w:lang w:val="en-GB"/>
        </w:rPr>
        <w:t>ly</w:t>
      </w:r>
      <w:r w:rsidR="002413BF">
        <w:rPr>
          <w:lang w:val="en-GB"/>
        </w:rPr>
        <w:t xml:space="preserve"> high standard deviations. Only the variables leverage (LEV) and return on assets (ROA) have higher standard deviations, because these </w:t>
      </w:r>
      <w:r>
        <w:rPr>
          <w:lang w:val="en-GB"/>
        </w:rPr>
        <w:t xml:space="preserve">variables reflect </w:t>
      </w:r>
      <w:r w:rsidR="002413BF">
        <w:rPr>
          <w:lang w:val="en-GB"/>
        </w:rPr>
        <w:t>nominal values and do</w:t>
      </w:r>
      <w:r>
        <w:rPr>
          <w:lang w:val="en-GB"/>
        </w:rPr>
        <w:t xml:space="preserve"> </w:t>
      </w:r>
      <w:r w:rsidR="002413BF">
        <w:rPr>
          <w:lang w:val="en-GB"/>
        </w:rPr>
        <w:t>n</w:t>
      </w:r>
      <w:r>
        <w:rPr>
          <w:lang w:val="en-GB"/>
        </w:rPr>
        <w:t>o</w:t>
      </w:r>
      <w:r w:rsidR="002413BF">
        <w:rPr>
          <w:lang w:val="en-GB"/>
        </w:rPr>
        <w:t>t have a logistic scale</w:t>
      </w:r>
      <w:r>
        <w:rPr>
          <w:lang w:val="en-GB"/>
        </w:rPr>
        <w:t>, like</w:t>
      </w:r>
      <w:r w:rsidR="002413BF">
        <w:rPr>
          <w:lang w:val="en-GB"/>
        </w:rPr>
        <w:t xml:space="preserve"> firm size and age. </w:t>
      </w:r>
      <w:r>
        <w:rPr>
          <w:lang w:val="en-GB"/>
        </w:rPr>
        <w:br/>
      </w:r>
      <w:r w:rsidR="002413BF">
        <w:rPr>
          <w:lang w:val="en-GB"/>
        </w:rPr>
        <w:t>The results of the industry differences variables show a mixed result. First</w:t>
      </w:r>
      <w:r>
        <w:rPr>
          <w:lang w:val="en-GB"/>
        </w:rPr>
        <w:t>ly</w:t>
      </w:r>
      <w:r w:rsidR="002413BF">
        <w:rPr>
          <w:lang w:val="en-GB"/>
        </w:rPr>
        <w:t xml:space="preserve"> the industry differences based on fraud opportunities (INDFRAUD) show a significant</w:t>
      </w:r>
      <w:r>
        <w:rPr>
          <w:lang w:val="en-GB"/>
        </w:rPr>
        <w:t>ly</w:t>
      </w:r>
      <w:r w:rsidR="002413BF">
        <w:rPr>
          <w:lang w:val="en-GB"/>
        </w:rPr>
        <w:t xml:space="preserve"> different mean for the IT material weakness firms (t=3.867, p&lt;0.05) in comparison with the no material weakness group</w:t>
      </w:r>
      <w:r w:rsidR="000E4A4D">
        <w:rPr>
          <w:lang w:val="en-GB"/>
        </w:rPr>
        <w:t>. This</w:t>
      </w:r>
      <w:r w:rsidR="002413BF">
        <w:rPr>
          <w:lang w:val="en-GB"/>
        </w:rPr>
        <w:t xml:space="preserve"> is also the case for the non-IT material weakness group (t=2.065, p&lt;0.05). </w:t>
      </w:r>
      <w:r w:rsidR="000E4A4D">
        <w:rPr>
          <w:lang w:val="en-GB"/>
        </w:rPr>
        <w:t xml:space="preserve">However, </w:t>
      </w:r>
      <w:r w:rsidR="002413BF">
        <w:rPr>
          <w:lang w:val="en-GB"/>
        </w:rPr>
        <w:t>the industry differences based on competitiveness (INDCOMP) are not significant</w:t>
      </w:r>
      <w:r w:rsidR="000E4A4D">
        <w:rPr>
          <w:lang w:val="en-GB"/>
        </w:rPr>
        <w:t>ly</w:t>
      </w:r>
      <w:r w:rsidR="002413BF">
        <w:rPr>
          <w:lang w:val="en-GB"/>
        </w:rPr>
        <w:t xml:space="preserve"> different for both the IT and non-IT material weakness firms (-0.642, p&gt;0.10; 1.044, p&gt;0.10). A comparison of the means of INDCOMP show</w:t>
      </w:r>
      <w:r w:rsidR="000E4A4D">
        <w:rPr>
          <w:lang w:val="en-GB"/>
        </w:rPr>
        <w:t>s</w:t>
      </w:r>
      <w:r w:rsidR="002413BF">
        <w:rPr>
          <w:lang w:val="en-GB"/>
        </w:rPr>
        <w:t xml:space="preserve"> </w:t>
      </w:r>
      <w:r w:rsidR="000E4A4D">
        <w:rPr>
          <w:lang w:val="en-GB"/>
        </w:rPr>
        <w:t>a</w:t>
      </w:r>
      <w:r w:rsidR="002413BF">
        <w:rPr>
          <w:lang w:val="en-GB"/>
        </w:rPr>
        <w:t xml:space="preserve"> difference between IT and non-IT material weakness firms, but </w:t>
      </w:r>
      <w:r w:rsidR="006D309E">
        <w:rPr>
          <w:lang w:val="en-GB"/>
        </w:rPr>
        <w:t>it is</w:t>
      </w:r>
      <w:r w:rsidR="002413BF">
        <w:rPr>
          <w:lang w:val="en-GB"/>
        </w:rPr>
        <w:t xml:space="preserve"> very small.</w:t>
      </w:r>
      <w:r w:rsidR="002413BF">
        <w:rPr>
          <w:lang w:val="en-GB"/>
        </w:rPr>
        <w:br/>
      </w:r>
      <w:r w:rsidR="000E4A4D">
        <w:rPr>
          <w:lang w:val="en-GB"/>
        </w:rPr>
        <w:br/>
      </w:r>
      <w:r w:rsidR="002413BF">
        <w:rPr>
          <w:lang w:val="en-GB"/>
        </w:rPr>
        <w:t xml:space="preserve">The restructuring variables results are </w:t>
      </w:r>
      <w:r w:rsidR="000E4A4D">
        <w:rPr>
          <w:lang w:val="en-GB"/>
        </w:rPr>
        <w:t xml:space="preserve">consistent </w:t>
      </w:r>
      <w:r w:rsidR="002413BF">
        <w:rPr>
          <w:lang w:val="en-GB"/>
        </w:rPr>
        <w:t>for all three variables (RESTRUCTD, RESTRUCTP and RESTRUCTC)</w:t>
      </w:r>
      <w:r w:rsidR="000E4A4D">
        <w:rPr>
          <w:lang w:val="en-GB"/>
        </w:rPr>
        <w:t>.</w:t>
      </w:r>
      <w:r w:rsidR="002413BF">
        <w:rPr>
          <w:lang w:val="en-GB"/>
        </w:rPr>
        <w:t xml:space="preserve"> </w:t>
      </w:r>
      <w:r w:rsidR="000E4A4D">
        <w:rPr>
          <w:lang w:val="en-GB"/>
        </w:rPr>
        <w:t>T</w:t>
      </w:r>
      <w:r w:rsidR="002413BF">
        <w:rPr>
          <w:lang w:val="en-GB"/>
        </w:rPr>
        <w:t>he t-statistic for IT material weakness firms shows no significant difference with the no material weakness group for all restructuring variables (-1.535, p&gt;0.10; -1.594, p&gt;0.10; -1.523, p&gt;0.10). The non-IT material weakness group show</w:t>
      </w:r>
      <w:r w:rsidR="000E4A4D">
        <w:rPr>
          <w:lang w:val="en-GB"/>
        </w:rPr>
        <w:t>s</w:t>
      </w:r>
      <w:r w:rsidR="002413BF">
        <w:rPr>
          <w:lang w:val="en-GB"/>
        </w:rPr>
        <w:t xml:space="preserve"> different results, because all means of </w:t>
      </w:r>
      <w:r w:rsidR="000E4A4D">
        <w:rPr>
          <w:lang w:val="en-GB"/>
        </w:rPr>
        <w:t xml:space="preserve">the </w:t>
      </w:r>
      <w:r w:rsidR="002413BF">
        <w:rPr>
          <w:lang w:val="en-GB"/>
        </w:rPr>
        <w:t xml:space="preserve">restructuring </w:t>
      </w:r>
      <w:r w:rsidR="000E4A4D">
        <w:rPr>
          <w:lang w:val="en-GB"/>
        </w:rPr>
        <w:t xml:space="preserve">variables </w:t>
      </w:r>
      <w:r w:rsidR="002413BF">
        <w:rPr>
          <w:lang w:val="en-GB"/>
        </w:rPr>
        <w:t>are significant</w:t>
      </w:r>
      <w:r w:rsidR="000E4A4D">
        <w:rPr>
          <w:lang w:val="en-GB"/>
        </w:rPr>
        <w:t>ly</w:t>
      </w:r>
      <w:r w:rsidR="002413BF">
        <w:rPr>
          <w:lang w:val="en-GB"/>
        </w:rPr>
        <w:t xml:space="preserve"> different from the no material weakness firm </w:t>
      </w:r>
      <w:r w:rsidR="000E4A4D">
        <w:rPr>
          <w:lang w:val="en-GB"/>
        </w:rPr>
        <w:t xml:space="preserve">   </w:t>
      </w:r>
      <w:r w:rsidR="002413BF">
        <w:rPr>
          <w:lang w:val="en-GB"/>
        </w:rPr>
        <w:t xml:space="preserve">(-6.729, p&lt;0.05; -9.989, p&lt;0.05; -7.586, p&lt;0.05). It seems that restructuring has a greater effect on the </w:t>
      </w:r>
      <w:r w:rsidR="000E4A4D">
        <w:rPr>
          <w:lang w:val="en-GB"/>
        </w:rPr>
        <w:t xml:space="preserve">overall </w:t>
      </w:r>
      <w:r w:rsidR="002413BF">
        <w:rPr>
          <w:lang w:val="en-GB"/>
        </w:rPr>
        <w:t xml:space="preserve">internal control quality than on IT control quality. </w:t>
      </w:r>
      <w:r w:rsidR="002413BF">
        <w:rPr>
          <w:lang w:val="en-GB"/>
        </w:rPr>
        <w:br/>
      </w:r>
      <w:r w:rsidR="000E4A4D">
        <w:rPr>
          <w:lang w:val="en-GB"/>
        </w:rPr>
        <w:br/>
      </w:r>
      <w:r w:rsidR="002413BF">
        <w:rPr>
          <w:lang w:val="en-GB"/>
        </w:rPr>
        <w:t>The results of the control variables show that for the IT material weakness group the firm size (SIZE), firm age (AGE), the return on assets (ROA) and big 4 audits (BIG4) have significant</w:t>
      </w:r>
      <w:r w:rsidR="000E4A4D">
        <w:rPr>
          <w:lang w:val="en-GB"/>
        </w:rPr>
        <w:t>ly</w:t>
      </w:r>
      <w:r w:rsidR="002413BF">
        <w:rPr>
          <w:lang w:val="en-GB"/>
        </w:rPr>
        <w:t xml:space="preserve"> different means in comparison with the no-material weakness firms (-10.428, p&lt;0.05; -9.365, p&lt;0.05; -2.000, p&lt;0.05; -11.418, p&lt;0.05). The different means reveal that IT material weakness firms are significantly smaller and younger, have worse results and are less often audited by the big 4. This is different for the non-IT material weakness firms</w:t>
      </w:r>
      <w:r w:rsidR="000E4A4D">
        <w:rPr>
          <w:lang w:val="en-GB"/>
        </w:rPr>
        <w:t>,</w:t>
      </w:r>
      <w:r w:rsidR="002413BF">
        <w:rPr>
          <w:lang w:val="en-GB"/>
        </w:rPr>
        <w:t xml:space="preserve"> where all control variables (SIZE, AGE, LEV, ROA, FORTRANS and SEGNUM) except big 4 audits have significant</w:t>
      </w:r>
      <w:r w:rsidR="000E4A4D">
        <w:rPr>
          <w:lang w:val="en-GB"/>
        </w:rPr>
        <w:t>ly</w:t>
      </w:r>
      <w:r w:rsidR="002413BF">
        <w:rPr>
          <w:lang w:val="en-GB"/>
        </w:rPr>
        <w:t xml:space="preserve"> different means. Th</w:t>
      </w:r>
      <w:r w:rsidR="000E4A4D">
        <w:rPr>
          <w:lang w:val="en-GB"/>
        </w:rPr>
        <w:t>e</w:t>
      </w:r>
      <w:r w:rsidR="002413BF">
        <w:rPr>
          <w:lang w:val="en-GB"/>
        </w:rPr>
        <w:t>s</w:t>
      </w:r>
      <w:r w:rsidR="000E4A4D">
        <w:rPr>
          <w:lang w:val="en-GB"/>
        </w:rPr>
        <w:t>e</w:t>
      </w:r>
      <w:r w:rsidR="002413BF">
        <w:rPr>
          <w:lang w:val="en-GB"/>
        </w:rPr>
        <w:t xml:space="preserve"> differences indicate that IT material weakness firms have other problems and firm characteristics than non-IT material weakness firms. </w:t>
      </w:r>
    </w:p>
    <w:p w:rsidR="00806F26" w:rsidRDefault="00806F26">
      <w:pPr>
        <w:rPr>
          <w:lang w:val="en-GB"/>
        </w:rPr>
      </w:pPr>
      <w:r>
        <w:rPr>
          <w:lang w:val="en-GB"/>
        </w:rPr>
        <w:br w:type="page"/>
      </w:r>
    </w:p>
    <w:p w:rsidR="002413BF" w:rsidRDefault="00440008" w:rsidP="002413BF">
      <w:pPr>
        <w:rPr>
          <w:lang w:val="en-GB"/>
        </w:rPr>
      </w:pPr>
      <w:r>
        <w:rPr>
          <w:lang w:val="en-GB"/>
        </w:rPr>
        <w:t>T</w:t>
      </w:r>
      <w:r w:rsidRPr="006E4E17">
        <w:rPr>
          <w:lang w:val="en-GB"/>
        </w:rPr>
        <w:t xml:space="preserve">able </w:t>
      </w:r>
      <w:r>
        <w:rPr>
          <w:lang w:val="en-GB"/>
        </w:rPr>
        <w:t>6</w:t>
      </w:r>
      <w:r w:rsidRPr="006E4E17">
        <w:rPr>
          <w:lang w:val="en-GB"/>
        </w:rPr>
        <w:t xml:space="preserve"> </w:t>
      </w:r>
      <w:r>
        <w:rPr>
          <w:lang w:val="en-GB"/>
        </w:rPr>
        <w:t xml:space="preserve">presents </w:t>
      </w:r>
      <w:r w:rsidRPr="006E4E17">
        <w:rPr>
          <w:lang w:val="en-GB"/>
        </w:rPr>
        <w:t>the distribution between the different industries.</w:t>
      </w:r>
      <w:r>
        <w:rPr>
          <w:lang w:val="en-GB"/>
        </w:rPr>
        <w:t xml:space="preserve"> Just like Li et al. (2012) the categorization of the industries is based on the two-digit SIC codes. The third and sixth </w:t>
      </w:r>
      <w:r w:rsidR="006D309E">
        <w:rPr>
          <w:lang w:val="en-GB"/>
        </w:rPr>
        <w:t>column contains</w:t>
      </w:r>
      <w:r>
        <w:rPr>
          <w:lang w:val="en-GB"/>
        </w:rPr>
        <w:t xml:space="preserve"> the number of material IT control weaknesses per industry for the period 2004-2011. Also the number of non-IT material weaknesses per industry is presented in order to compare the different categories of material weaknesses.</w:t>
      </w:r>
    </w:p>
    <w:p w:rsidR="00874FD6" w:rsidRPr="0006085D" w:rsidRDefault="00B238E1" w:rsidP="0006085D">
      <w:pPr>
        <w:pStyle w:val="NoSpacing"/>
        <w:rPr>
          <w:b/>
          <w:i/>
        </w:rPr>
      </w:pPr>
      <w:r w:rsidRPr="0006085D">
        <w:rPr>
          <w:b/>
          <w:i/>
        </w:rPr>
        <w:t>Table</w:t>
      </w:r>
      <w:r w:rsidR="00EC2BEC" w:rsidRPr="0006085D">
        <w:rPr>
          <w:b/>
          <w:i/>
        </w:rPr>
        <w:t xml:space="preserve"> 6</w:t>
      </w:r>
      <w:r w:rsidR="009970FC" w:rsidRPr="0006085D">
        <w:rPr>
          <w:b/>
          <w:i/>
        </w:rPr>
        <w:t>:</w:t>
      </w:r>
      <w:r w:rsidR="00EC2BEC" w:rsidRPr="0006085D">
        <w:rPr>
          <w:b/>
          <w:i/>
        </w:rPr>
        <w:t xml:space="preserve"> </w:t>
      </w:r>
      <w:r w:rsidRPr="0006085D">
        <w:rPr>
          <w:b/>
          <w:i/>
        </w:rPr>
        <w:t>Industry distribution</w:t>
      </w:r>
    </w:p>
    <w:tbl>
      <w:tblPr>
        <w:tblW w:w="10065" w:type="dxa"/>
        <w:tblInd w:w="-601"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tblPr>
      <w:tblGrid>
        <w:gridCol w:w="597"/>
        <w:gridCol w:w="3231"/>
        <w:gridCol w:w="709"/>
        <w:gridCol w:w="708"/>
        <w:gridCol w:w="567"/>
        <w:gridCol w:w="2835"/>
        <w:gridCol w:w="709"/>
        <w:gridCol w:w="709"/>
      </w:tblGrid>
      <w:tr w:rsidR="001C336C" w:rsidRPr="003669EC" w:rsidTr="001C336C">
        <w:trPr>
          <w:trHeight w:val="506"/>
        </w:trPr>
        <w:tc>
          <w:tcPr>
            <w:tcW w:w="597" w:type="dxa"/>
            <w:tcBorders>
              <w:top w:val="single" w:sz="18" w:space="0" w:color="000000"/>
              <w:bottom w:val="single" w:sz="12" w:space="0" w:color="000000"/>
            </w:tcBorders>
          </w:tcPr>
          <w:p w:rsidR="001C336C" w:rsidRPr="001C336C" w:rsidRDefault="001C336C">
            <w:pPr>
              <w:autoSpaceDE w:val="0"/>
              <w:autoSpaceDN w:val="0"/>
              <w:adjustRightInd w:val="0"/>
              <w:spacing w:after="0" w:line="240" w:lineRule="auto"/>
              <w:rPr>
                <w:rFonts w:ascii="Arial" w:hAnsi="Arial" w:cs="Arial"/>
                <w:color w:val="000000"/>
                <w:sz w:val="16"/>
                <w:szCs w:val="16"/>
                <w:lang w:val="en-US"/>
              </w:rPr>
            </w:pPr>
            <w:r w:rsidRPr="001C336C">
              <w:rPr>
                <w:rFonts w:ascii="Arial" w:hAnsi="Arial" w:cs="Arial"/>
                <w:color w:val="000000"/>
                <w:sz w:val="16"/>
                <w:szCs w:val="16"/>
                <w:lang w:val="en-US"/>
              </w:rPr>
              <w:t>SIC 2-digit</w:t>
            </w:r>
          </w:p>
        </w:tc>
        <w:tc>
          <w:tcPr>
            <w:tcW w:w="3231" w:type="dxa"/>
            <w:tcBorders>
              <w:top w:val="single" w:sz="18" w:space="0" w:color="000000"/>
              <w:bottom w:val="single" w:sz="12" w:space="0" w:color="000000"/>
            </w:tcBorders>
          </w:tcPr>
          <w:p w:rsidR="001C336C" w:rsidRPr="001C336C" w:rsidRDefault="001C336C">
            <w:pPr>
              <w:autoSpaceDE w:val="0"/>
              <w:autoSpaceDN w:val="0"/>
              <w:adjustRightInd w:val="0"/>
              <w:spacing w:after="0" w:line="240" w:lineRule="auto"/>
              <w:jc w:val="right"/>
              <w:rPr>
                <w:rFonts w:ascii="Arial" w:hAnsi="Arial" w:cs="Arial"/>
                <w:color w:val="000000"/>
                <w:sz w:val="16"/>
                <w:szCs w:val="16"/>
                <w:lang w:val="en-US"/>
              </w:rPr>
            </w:pPr>
          </w:p>
        </w:tc>
        <w:tc>
          <w:tcPr>
            <w:tcW w:w="709" w:type="dxa"/>
            <w:tcBorders>
              <w:top w:val="single" w:sz="18" w:space="0" w:color="000000"/>
              <w:bottom w:val="single" w:sz="12" w:space="0" w:color="000000"/>
            </w:tcBorders>
          </w:tcPr>
          <w:p w:rsidR="001C336C" w:rsidRPr="001C336C" w:rsidRDefault="001C336C">
            <w:pPr>
              <w:autoSpaceDE w:val="0"/>
              <w:autoSpaceDN w:val="0"/>
              <w:adjustRightInd w:val="0"/>
              <w:spacing w:after="0" w:line="240" w:lineRule="auto"/>
              <w:jc w:val="center"/>
              <w:rPr>
                <w:rFonts w:ascii="Arial" w:hAnsi="Arial" w:cs="Arial"/>
                <w:color w:val="000000"/>
                <w:sz w:val="16"/>
                <w:szCs w:val="16"/>
                <w:lang w:val="en-US"/>
              </w:rPr>
            </w:pPr>
            <w:r w:rsidRPr="001C336C">
              <w:rPr>
                <w:rFonts w:ascii="Arial" w:hAnsi="Arial" w:cs="Arial"/>
                <w:color w:val="000000"/>
                <w:sz w:val="16"/>
                <w:szCs w:val="16"/>
                <w:lang w:val="en-US"/>
              </w:rPr>
              <w:t>ITMW</w:t>
            </w:r>
          </w:p>
        </w:tc>
        <w:tc>
          <w:tcPr>
            <w:tcW w:w="708" w:type="dxa"/>
            <w:tcBorders>
              <w:top w:val="single" w:sz="18" w:space="0" w:color="000000"/>
              <w:bottom w:val="single" w:sz="12" w:space="0" w:color="000000"/>
            </w:tcBorders>
          </w:tcPr>
          <w:p w:rsidR="001C336C" w:rsidRPr="001C336C" w:rsidRDefault="001C336C">
            <w:pPr>
              <w:autoSpaceDE w:val="0"/>
              <w:autoSpaceDN w:val="0"/>
              <w:adjustRightInd w:val="0"/>
              <w:spacing w:after="0" w:line="240" w:lineRule="auto"/>
              <w:jc w:val="center"/>
              <w:rPr>
                <w:rFonts w:ascii="Arial" w:hAnsi="Arial" w:cs="Arial"/>
                <w:color w:val="000000"/>
                <w:sz w:val="16"/>
                <w:szCs w:val="16"/>
                <w:lang w:val="en-US"/>
              </w:rPr>
            </w:pPr>
            <w:r w:rsidRPr="001C336C">
              <w:rPr>
                <w:rFonts w:ascii="Arial" w:hAnsi="Arial" w:cs="Arial"/>
                <w:color w:val="000000"/>
                <w:sz w:val="16"/>
                <w:szCs w:val="16"/>
                <w:lang w:val="en-US"/>
              </w:rPr>
              <w:t>Non-ITMW</w:t>
            </w:r>
          </w:p>
        </w:tc>
        <w:tc>
          <w:tcPr>
            <w:tcW w:w="567" w:type="dxa"/>
            <w:tcBorders>
              <w:top w:val="single" w:sz="18" w:space="0" w:color="000000"/>
              <w:left w:val="single" w:sz="12" w:space="0" w:color="000000"/>
              <w:bottom w:val="single" w:sz="12" w:space="0" w:color="000000"/>
            </w:tcBorders>
          </w:tcPr>
          <w:p w:rsidR="001C336C" w:rsidRPr="001C336C" w:rsidRDefault="001C336C">
            <w:pPr>
              <w:autoSpaceDE w:val="0"/>
              <w:autoSpaceDN w:val="0"/>
              <w:adjustRightInd w:val="0"/>
              <w:spacing w:after="0" w:line="240" w:lineRule="auto"/>
              <w:jc w:val="center"/>
              <w:rPr>
                <w:rFonts w:ascii="Arial" w:hAnsi="Arial" w:cs="Arial"/>
                <w:color w:val="000000"/>
                <w:sz w:val="16"/>
                <w:szCs w:val="16"/>
                <w:lang w:val="en-US"/>
              </w:rPr>
            </w:pPr>
            <w:r w:rsidRPr="001C336C">
              <w:rPr>
                <w:rFonts w:ascii="Arial" w:hAnsi="Arial" w:cs="Arial"/>
                <w:color w:val="000000"/>
                <w:sz w:val="16"/>
                <w:szCs w:val="16"/>
                <w:lang w:val="en-US"/>
              </w:rPr>
              <w:t>SIC 2-digit</w:t>
            </w:r>
          </w:p>
        </w:tc>
        <w:tc>
          <w:tcPr>
            <w:tcW w:w="2835" w:type="dxa"/>
            <w:tcBorders>
              <w:top w:val="single" w:sz="18" w:space="0" w:color="000000"/>
              <w:bottom w:val="single" w:sz="12" w:space="0" w:color="000000"/>
            </w:tcBorders>
          </w:tcPr>
          <w:p w:rsidR="001C336C" w:rsidRPr="001C336C" w:rsidRDefault="001C336C">
            <w:pPr>
              <w:autoSpaceDE w:val="0"/>
              <w:autoSpaceDN w:val="0"/>
              <w:adjustRightInd w:val="0"/>
              <w:spacing w:after="0" w:line="240" w:lineRule="auto"/>
              <w:jc w:val="center"/>
              <w:rPr>
                <w:rFonts w:ascii="Arial" w:hAnsi="Arial" w:cs="Arial"/>
                <w:color w:val="000000"/>
                <w:sz w:val="16"/>
                <w:szCs w:val="16"/>
                <w:lang w:val="en-US"/>
              </w:rPr>
            </w:pPr>
          </w:p>
        </w:tc>
        <w:tc>
          <w:tcPr>
            <w:tcW w:w="709" w:type="dxa"/>
            <w:tcBorders>
              <w:top w:val="single" w:sz="18" w:space="0" w:color="000000"/>
              <w:bottom w:val="single" w:sz="12" w:space="0" w:color="000000"/>
            </w:tcBorders>
          </w:tcPr>
          <w:p w:rsidR="001C336C" w:rsidRPr="001C336C" w:rsidRDefault="001C336C">
            <w:pPr>
              <w:autoSpaceDE w:val="0"/>
              <w:autoSpaceDN w:val="0"/>
              <w:adjustRightInd w:val="0"/>
              <w:spacing w:after="0" w:line="240" w:lineRule="auto"/>
              <w:jc w:val="center"/>
              <w:rPr>
                <w:rFonts w:ascii="Arial" w:hAnsi="Arial" w:cs="Arial"/>
                <w:color w:val="000000"/>
                <w:sz w:val="16"/>
                <w:szCs w:val="16"/>
                <w:lang w:val="en-US"/>
              </w:rPr>
            </w:pPr>
            <w:r w:rsidRPr="001C336C">
              <w:rPr>
                <w:rFonts w:ascii="Arial" w:hAnsi="Arial" w:cs="Arial"/>
                <w:color w:val="000000"/>
                <w:sz w:val="16"/>
                <w:szCs w:val="16"/>
                <w:lang w:val="en-US"/>
              </w:rPr>
              <w:t>ITMW</w:t>
            </w:r>
          </w:p>
        </w:tc>
        <w:tc>
          <w:tcPr>
            <w:tcW w:w="709" w:type="dxa"/>
            <w:tcBorders>
              <w:top w:val="single" w:sz="18" w:space="0" w:color="000000"/>
              <w:bottom w:val="single" w:sz="12" w:space="0" w:color="000000"/>
            </w:tcBorders>
          </w:tcPr>
          <w:p w:rsidR="001C336C" w:rsidRPr="001C336C" w:rsidRDefault="001C336C">
            <w:pPr>
              <w:autoSpaceDE w:val="0"/>
              <w:autoSpaceDN w:val="0"/>
              <w:adjustRightInd w:val="0"/>
              <w:spacing w:after="0" w:line="240" w:lineRule="auto"/>
              <w:jc w:val="center"/>
              <w:rPr>
                <w:rFonts w:ascii="Arial" w:hAnsi="Arial" w:cs="Arial"/>
                <w:color w:val="000000"/>
                <w:sz w:val="16"/>
                <w:szCs w:val="16"/>
                <w:lang w:val="en-US"/>
              </w:rPr>
            </w:pPr>
            <w:r w:rsidRPr="001C336C">
              <w:rPr>
                <w:rFonts w:ascii="Arial" w:hAnsi="Arial" w:cs="Arial"/>
                <w:color w:val="000000"/>
                <w:sz w:val="16"/>
                <w:szCs w:val="16"/>
                <w:lang w:val="en-US"/>
              </w:rPr>
              <w:t>Non-ITMW</w:t>
            </w:r>
          </w:p>
        </w:tc>
      </w:tr>
      <w:tr w:rsidR="001C336C" w:rsidRPr="003669EC" w:rsidTr="006E4E17">
        <w:trPr>
          <w:trHeight w:val="20"/>
        </w:trPr>
        <w:tc>
          <w:tcPr>
            <w:tcW w:w="597" w:type="dxa"/>
            <w:tcBorders>
              <w:top w:val="single" w:sz="12" w:space="0" w:color="000000"/>
            </w:tcBorders>
          </w:tcPr>
          <w:p w:rsidR="001C336C" w:rsidRPr="006E4E17" w:rsidRDefault="001C336C" w:rsidP="006E4E17">
            <w:pPr>
              <w:pStyle w:val="NoSpacing"/>
              <w:rPr>
                <w:rFonts w:cs="Calibri"/>
                <w:sz w:val="16"/>
                <w:szCs w:val="16"/>
              </w:rPr>
            </w:pPr>
            <w:r w:rsidRPr="006E4E17">
              <w:rPr>
                <w:rFonts w:cs="Calibri"/>
                <w:sz w:val="16"/>
                <w:szCs w:val="16"/>
              </w:rPr>
              <w:t>10</w:t>
            </w:r>
          </w:p>
        </w:tc>
        <w:tc>
          <w:tcPr>
            <w:tcW w:w="3231" w:type="dxa"/>
            <w:tcBorders>
              <w:top w:val="single" w:sz="12" w:space="0" w:color="000000"/>
            </w:tcBorders>
          </w:tcPr>
          <w:p w:rsidR="001C336C" w:rsidRPr="006E4E17" w:rsidRDefault="001C336C" w:rsidP="006E4E17">
            <w:pPr>
              <w:pStyle w:val="NoSpacing"/>
              <w:rPr>
                <w:rFonts w:cs="Calibri"/>
                <w:sz w:val="16"/>
                <w:szCs w:val="16"/>
              </w:rPr>
            </w:pPr>
            <w:r w:rsidRPr="006E4E17">
              <w:rPr>
                <w:rFonts w:cs="Calibri"/>
                <w:sz w:val="16"/>
                <w:szCs w:val="16"/>
              </w:rPr>
              <w:t>Metal Mining</w:t>
            </w:r>
          </w:p>
        </w:tc>
        <w:tc>
          <w:tcPr>
            <w:tcW w:w="709" w:type="dxa"/>
            <w:tcBorders>
              <w:top w:val="single" w:sz="12" w:space="0" w:color="000000"/>
            </w:tcBorders>
          </w:tcPr>
          <w:p w:rsidR="001C336C" w:rsidRPr="006E4E17" w:rsidRDefault="001C336C" w:rsidP="006E4E17">
            <w:pPr>
              <w:pStyle w:val="NoSpacing"/>
              <w:rPr>
                <w:rFonts w:cs="Calibri"/>
                <w:sz w:val="16"/>
                <w:szCs w:val="16"/>
              </w:rPr>
            </w:pPr>
            <w:r w:rsidRPr="006E4E17">
              <w:rPr>
                <w:rFonts w:cs="Calibri"/>
                <w:sz w:val="16"/>
                <w:szCs w:val="16"/>
              </w:rPr>
              <w:t>8</w:t>
            </w:r>
          </w:p>
        </w:tc>
        <w:tc>
          <w:tcPr>
            <w:tcW w:w="708" w:type="dxa"/>
            <w:tcBorders>
              <w:top w:val="single" w:sz="12" w:space="0" w:color="000000"/>
            </w:tcBorders>
          </w:tcPr>
          <w:p w:rsidR="001C336C" w:rsidRPr="006E4E17" w:rsidRDefault="001C336C" w:rsidP="006E4E17">
            <w:pPr>
              <w:pStyle w:val="NoSpacing"/>
              <w:rPr>
                <w:rFonts w:cs="Calibri"/>
                <w:sz w:val="16"/>
                <w:szCs w:val="16"/>
              </w:rPr>
            </w:pPr>
            <w:r w:rsidRPr="006E4E17">
              <w:rPr>
                <w:rFonts w:cs="Calibri"/>
                <w:sz w:val="16"/>
                <w:szCs w:val="16"/>
              </w:rPr>
              <w:t>99</w:t>
            </w:r>
          </w:p>
        </w:tc>
        <w:tc>
          <w:tcPr>
            <w:tcW w:w="567" w:type="dxa"/>
            <w:tcBorders>
              <w:top w:val="single" w:sz="12"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48</w:t>
            </w:r>
          </w:p>
        </w:tc>
        <w:tc>
          <w:tcPr>
            <w:tcW w:w="2835" w:type="dxa"/>
            <w:tcBorders>
              <w:top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Communications</w:t>
            </w:r>
          </w:p>
        </w:tc>
        <w:tc>
          <w:tcPr>
            <w:tcW w:w="709" w:type="dxa"/>
            <w:tcBorders>
              <w:top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44</w:t>
            </w:r>
          </w:p>
        </w:tc>
        <w:tc>
          <w:tcPr>
            <w:tcW w:w="709" w:type="dxa"/>
            <w:tcBorders>
              <w:top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112</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12</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Coal Mining</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6</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15</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49</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Electric, Gas, And Sanitary Services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21</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71</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13</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Oil And Gas Extraction</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30</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96</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50</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Wholesale Trade-durable Goods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7</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36</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14</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 xml:space="preserve">Mining Nonmetallic Minerals </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1</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10</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51</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Wholesale Trade-non-durable Goods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4</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35</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15</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 xml:space="preserve">Building Construction General </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4</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10</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52</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Building Materials, Hardware</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16</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 xml:space="preserve">Heavy Construction Other </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3</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6</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53</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General Merchandise Stores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4</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12</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17</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 xml:space="preserve">Construction Special Trade </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2</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6</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54</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Food Stores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4</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12</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20</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Food And Kindred Products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18</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71</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55</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 xml:space="preserve">Automotive Dealers And Gasoline </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3</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10</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21</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Tobacco Products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0</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2</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56</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Apparel And Accessory Stores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4</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20</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22</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Textile Mill Products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2</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3</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57</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Home Furniture, And Equipment Stores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13</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23</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Apparel And Fabrics And Similar Materials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2</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13</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58</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Eating And Drinking Places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22</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24</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Lumber And Wood Products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2</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19</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59</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Miscellaneous Retail</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21</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59</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25</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Furniture And Fixtures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2</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11</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60</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Depository Institutions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13</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169</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26</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Paper And Allied Products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2</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3</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61</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Non-depository Credit Institutions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13</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47</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27</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Printing, Publishing, And Allied Industries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2</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8</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62</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Security And Commodity Brokers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3</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23</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28</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Chemicals And Allied Products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64</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285</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63</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Insurance Carriers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13</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55</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29</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Petroleum Refining And Related Industries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1</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8</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64</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Insurance Agents, Brokers, And Service</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7</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30</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Rubber/ Plastics Products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1</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25</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65</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Real Estate</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5</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32</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31</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Leather And Leather Products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0</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67</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Holding And Other Investment Offices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12</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76</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32</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Stone, Clay, Glass, And Concrete Products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2</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4</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70</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Hotels, and Other Lodging Places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9</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33</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Primary Metal Industries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24</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51</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72</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Personal Services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6</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14</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34</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Fabricated Metal Products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8</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44</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73</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Business Services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88</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314</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35</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Industrial,Commercial And Computer Equipment</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39</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119</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75</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Automotive Repair, Services, And Parking</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36</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Electronics, Except Computer Equipment</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83</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246</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76</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Miscellaneous Repair Services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37</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Transportation Equipment</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17</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68</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78</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Motion Pictures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9</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25</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38</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Measuring, Analyzing, And Controlling Instruments;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26</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178</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79</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Amusement And Recreation Services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19</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39</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Miscellaneous Manufacturing Industries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3</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21</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80</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Health Services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9</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36</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40</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Railroad Transportation</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0</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4</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81</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Legal Services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41</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Public (land) Transportation</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0</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0</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82</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Educational Services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2</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20</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42</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Motor Freight Transportation And Warehousing</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2</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11</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83</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Social Services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2</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44</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Water Transportation</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1</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10</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87</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Engineering, Accounting, Related Services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6</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33</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45</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Transportation By Air</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5</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14</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89</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Miscellaneous Services</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1</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2</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46</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Pipelines, Except Natural Gas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0</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2</w:t>
            </w:r>
          </w:p>
        </w:tc>
        <w:tc>
          <w:tcPr>
            <w:tcW w:w="567" w:type="dxa"/>
            <w:tcBorders>
              <w:top w:val="single" w:sz="6" w:space="0" w:color="000000"/>
              <w:left w:val="single" w:sz="12"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90</w:t>
            </w:r>
          </w:p>
        </w:tc>
        <w:tc>
          <w:tcPr>
            <w:tcW w:w="2835"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Government</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2</w:t>
            </w:r>
          </w:p>
        </w:tc>
        <w:tc>
          <w:tcPr>
            <w:tcW w:w="709" w:type="dxa"/>
            <w:tcBorders>
              <w:top w:val="single" w:sz="6" w:space="0" w:color="000000"/>
              <w:bottom w:val="single" w:sz="6"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r>
      <w:tr w:rsidR="001C336C" w:rsidRPr="001C336C" w:rsidTr="006E4E17">
        <w:trPr>
          <w:trHeight w:val="20"/>
        </w:trPr>
        <w:tc>
          <w:tcPr>
            <w:tcW w:w="597" w:type="dxa"/>
          </w:tcPr>
          <w:p w:rsidR="001C336C" w:rsidRPr="006E4E17" w:rsidRDefault="001C336C" w:rsidP="006E4E17">
            <w:pPr>
              <w:pStyle w:val="NoSpacing"/>
              <w:rPr>
                <w:rFonts w:cs="Calibri"/>
                <w:sz w:val="16"/>
                <w:szCs w:val="16"/>
              </w:rPr>
            </w:pPr>
            <w:r w:rsidRPr="006E4E17">
              <w:rPr>
                <w:rFonts w:cs="Calibri"/>
                <w:sz w:val="16"/>
                <w:szCs w:val="16"/>
              </w:rPr>
              <w:t>47</w:t>
            </w:r>
          </w:p>
        </w:tc>
        <w:tc>
          <w:tcPr>
            <w:tcW w:w="3231" w:type="dxa"/>
          </w:tcPr>
          <w:p w:rsidR="001C336C" w:rsidRPr="006E4E17" w:rsidRDefault="001C336C" w:rsidP="006E4E17">
            <w:pPr>
              <w:pStyle w:val="NoSpacing"/>
              <w:rPr>
                <w:rFonts w:cs="Calibri"/>
                <w:sz w:val="16"/>
                <w:szCs w:val="16"/>
              </w:rPr>
            </w:pPr>
            <w:r w:rsidRPr="006E4E17">
              <w:rPr>
                <w:rFonts w:cs="Calibri"/>
                <w:sz w:val="16"/>
                <w:szCs w:val="16"/>
              </w:rPr>
              <w:t>Transportation Services</w:t>
            </w:r>
          </w:p>
        </w:tc>
        <w:tc>
          <w:tcPr>
            <w:tcW w:w="709" w:type="dxa"/>
          </w:tcPr>
          <w:p w:rsidR="001C336C" w:rsidRPr="006E4E17" w:rsidRDefault="001C336C" w:rsidP="006E4E17">
            <w:pPr>
              <w:pStyle w:val="NoSpacing"/>
              <w:rPr>
                <w:rFonts w:cs="Calibri"/>
                <w:sz w:val="16"/>
                <w:szCs w:val="16"/>
              </w:rPr>
            </w:pPr>
            <w:r w:rsidRPr="006E4E17">
              <w:rPr>
                <w:rFonts w:cs="Calibri"/>
                <w:sz w:val="16"/>
                <w:szCs w:val="16"/>
              </w:rPr>
              <w:t>4</w:t>
            </w:r>
          </w:p>
        </w:tc>
        <w:tc>
          <w:tcPr>
            <w:tcW w:w="708" w:type="dxa"/>
          </w:tcPr>
          <w:p w:rsidR="001C336C" w:rsidRPr="006E4E17" w:rsidRDefault="001C336C" w:rsidP="006E4E17">
            <w:pPr>
              <w:pStyle w:val="NoSpacing"/>
              <w:rPr>
                <w:rFonts w:cs="Calibri"/>
                <w:sz w:val="16"/>
                <w:szCs w:val="16"/>
              </w:rPr>
            </w:pPr>
            <w:r w:rsidRPr="006E4E17">
              <w:rPr>
                <w:rFonts w:cs="Calibri"/>
                <w:sz w:val="16"/>
                <w:szCs w:val="16"/>
              </w:rPr>
              <w:t>6</w:t>
            </w:r>
          </w:p>
        </w:tc>
        <w:tc>
          <w:tcPr>
            <w:tcW w:w="567" w:type="dxa"/>
            <w:tcBorders>
              <w:top w:val="single" w:sz="6" w:space="0" w:color="000000"/>
              <w:left w:val="single" w:sz="12" w:space="0" w:color="000000"/>
              <w:bottom w:val="single" w:sz="18" w:space="0" w:color="000000"/>
            </w:tcBorders>
          </w:tcPr>
          <w:p w:rsidR="001C336C" w:rsidRPr="006E4E17" w:rsidRDefault="001C336C" w:rsidP="006E4E17">
            <w:pPr>
              <w:pStyle w:val="NoSpacing"/>
              <w:rPr>
                <w:rFonts w:cs="Calibri"/>
                <w:sz w:val="16"/>
                <w:szCs w:val="16"/>
              </w:rPr>
            </w:pPr>
            <w:r w:rsidRPr="006E4E17">
              <w:rPr>
                <w:rFonts w:cs="Calibri"/>
                <w:sz w:val="16"/>
                <w:szCs w:val="16"/>
              </w:rPr>
              <w:t>99</w:t>
            </w:r>
          </w:p>
        </w:tc>
        <w:tc>
          <w:tcPr>
            <w:tcW w:w="2835" w:type="dxa"/>
            <w:tcBorders>
              <w:top w:val="single" w:sz="6" w:space="0" w:color="000000"/>
              <w:bottom w:val="single" w:sz="18" w:space="0" w:color="000000"/>
            </w:tcBorders>
          </w:tcPr>
          <w:p w:rsidR="001C336C" w:rsidRPr="006E4E17" w:rsidRDefault="001C336C" w:rsidP="006E4E17">
            <w:pPr>
              <w:pStyle w:val="NoSpacing"/>
              <w:rPr>
                <w:rFonts w:cs="Calibri"/>
                <w:sz w:val="16"/>
                <w:szCs w:val="16"/>
              </w:rPr>
            </w:pPr>
            <w:r w:rsidRPr="006E4E17">
              <w:rPr>
                <w:rFonts w:cs="Calibri"/>
                <w:sz w:val="16"/>
                <w:szCs w:val="16"/>
              </w:rPr>
              <w:t>Nonclassifiable Establishments</w:t>
            </w:r>
          </w:p>
        </w:tc>
        <w:tc>
          <w:tcPr>
            <w:tcW w:w="709" w:type="dxa"/>
            <w:tcBorders>
              <w:top w:val="single" w:sz="6" w:space="0" w:color="000000"/>
              <w:bottom w:val="single" w:sz="18" w:space="0" w:color="000000"/>
            </w:tcBorders>
          </w:tcPr>
          <w:p w:rsidR="001C336C" w:rsidRPr="006E4E17" w:rsidRDefault="001C336C" w:rsidP="006E4E17">
            <w:pPr>
              <w:pStyle w:val="NoSpacing"/>
              <w:rPr>
                <w:rFonts w:cs="Calibri"/>
                <w:sz w:val="16"/>
                <w:szCs w:val="16"/>
              </w:rPr>
            </w:pPr>
            <w:r w:rsidRPr="006E4E17">
              <w:rPr>
                <w:rFonts w:cs="Calibri"/>
                <w:sz w:val="16"/>
                <w:szCs w:val="16"/>
              </w:rPr>
              <w:t>0</w:t>
            </w:r>
          </w:p>
        </w:tc>
        <w:tc>
          <w:tcPr>
            <w:tcW w:w="709" w:type="dxa"/>
            <w:tcBorders>
              <w:top w:val="single" w:sz="6" w:space="0" w:color="000000"/>
              <w:bottom w:val="single" w:sz="18" w:space="0" w:color="000000"/>
            </w:tcBorders>
          </w:tcPr>
          <w:p w:rsidR="001C336C" w:rsidRPr="006E4E17" w:rsidRDefault="001C336C" w:rsidP="006E4E17">
            <w:pPr>
              <w:pStyle w:val="NoSpacing"/>
              <w:rPr>
                <w:rFonts w:cs="Calibri"/>
                <w:sz w:val="16"/>
                <w:szCs w:val="16"/>
              </w:rPr>
            </w:pPr>
            <w:r w:rsidRPr="006E4E17">
              <w:rPr>
                <w:rFonts w:cs="Calibri"/>
                <w:sz w:val="16"/>
                <w:szCs w:val="16"/>
              </w:rPr>
              <w:t>2</w:t>
            </w:r>
          </w:p>
        </w:tc>
      </w:tr>
    </w:tbl>
    <w:p w:rsidR="00B36C59" w:rsidRDefault="00B36C59" w:rsidP="00874FD6">
      <w:pPr>
        <w:rPr>
          <w:lang w:val="en-GB"/>
        </w:rPr>
      </w:pPr>
    </w:p>
    <w:p w:rsidR="000F1EC4" w:rsidRDefault="00D4096A" w:rsidP="00874FD6">
      <w:pPr>
        <w:rPr>
          <w:lang w:val="en-GB"/>
        </w:rPr>
      </w:pPr>
      <w:r>
        <w:rPr>
          <w:lang w:val="en-GB"/>
        </w:rPr>
        <w:t>This distribution show</w:t>
      </w:r>
      <w:r w:rsidR="00257034">
        <w:rPr>
          <w:lang w:val="en-GB"/>
        </w:rPr>
        <w:t>s</w:t>
      </w:r>
      <w:r>
        <w:rPr>
          <w:lang w:val="en-GB"/>
        </w:rPr>
        <w:t xml:space="preserve"> clear differences between the various industries</w:t>
      </w:r>
      <w:r w:rsidR="00257034">
        <w:rPr>
          <w:lang w:val="en-GB"/>
        </w:rPr>
        <w:t>. T</w:t>
      </w:r>
      <w:r>
        <w:rPr>
          <w:lang w:val="en-GB"/>
        </w:rPr>
        <w:t xml:space="preserve">here are industries that have </w:t>
      </w:r>
      <w:r w:rsidR="00F93260">
        <w:rPr>
          <w:lang w:val="en-GB"/>
        </w:rPr>
        <w:t>many</w:t>
      </w:r>
      <w:r>
        <w:rPr>
          <w:lang w:val="en-GB"/>
        </w:rPr>
        <w:t xml:space="preserve"> weaknesses and </w:t>
      </w:r>
      <w:r w:rsidR="00257034">
        <w:rPr>
          <w:lang w:val="en-GB"/>
        </w:rPr>
        <w:t xml:space="preserve">other industries with </w:t>
      </w:r>
      <w:r>
        <w:rPr>
          <w:lang w:val="en-GB"/>
        </w:rPr>
        <w:t xml:space="preserve">almost no weaknesses. The </w:t>
      </w:r>
      <w:r w:rsidR="005A22A4">
        <w:rPr>
          <w:lang w:val="en-GB"/>
        </w:rPr>
        <w:t xml:space="preserve">industries with more than 25 </w:t>
      </w:r>
      <w:r w:rsidR="000B3301">
        <w:rPr>
          <w:lang w:val="en-GB"/>
        </w:rPr>
        <w:t>material IT control weaknesses</w:t>
      </w:r>
      <w:r w:rsidR="005A22A4">
        <w:rPr>
          <w:lang w:val="en-GB"/>
        </w:rPr>
        <w:t xml:space="preserve"> are: Oil/gas extraction</w:t>
      </w:r>
      <w:r w:rsidR="00C35B90">
        <w:rPr>
          <w:lang w:val="en-GB"/>
        </w:rPr>
        <w:t xml:space="preserve"> (SIC 13)</w:t>
      </w:r>
      <w:r w:rsidR="005A22A4">
        <w:rPr>
          <w:lang w:val="en-GB"/>
        </w:rPr>
        <w:t>, Chemical products</w:t>
      </w:r>
      <w:r w:rsidR="00C35B90">
        <w:rPr>
          <w:lang w:val="en-GB"/>
        </w:rPr>
        <w:t xml:space="preserve"> (SIC 28)</w:t>
      </w:r>
      <w:r w:rsidR="005A22A4">
        <w:rPr>
          <w:lang w:val="en-GB"/>
        </w:rPr>
        <w:t>, Industrial/Computer equipment</w:t>
      </w:r>
      <w:r w:rsidR="00C35B90">
        <w:rPr>
          <w:lang w:val="en-GB"/>
        </w:rPr>
        <w:t xml:space="preserve"> (SIC 35)</w:t>
      </w:r>
      <w:r w:rsidR="005A22A4">
        <w:rPr>
          <w:lang w:val="en-GB"/>
        </w:rPr>
        <w:t>, Electronics</w:t>
      </w:r>
      <w:r w:rsidR="00C35B90">
        <w:rPr>
          <w:lang w:val="en-GB"/>
        </w:rPr>
        <w:t xml:space="preserve"> (SIC 36)</w:t>
      </w:r>
      <w:r w:rsidR="005A22A4">
        <w:rPr>
          <w:lang w:val="en-GB"/>
        </w:rPr>
        <w:t>, Measuring instruments</w:t>
      </w:r>
      <w:r w:rsidR="00C35B90">
        <w:rPr>
          <w:lang w:val="en-GB"/>
        </w:rPr>
        <w:t xml:space="preserve"> (SIC 38)</w:t>
      </w:r>
      <w:r w:rsidR="005A22A4">
        <w:rPr>
          <w:lang w:val="en-GB"/>
        </w:rPr>
        <w:t xml:space="preserve">, Communications </w:t>
      </w:r>
      <w:r w:rsidR="00C35B90">
        <w:rPr>
          <w:lang w:val="en-GB"/>
        </w:rPr>
        <w:t xml:space="preserve">(SIC 48) </w:t>
      </w:r>
      <w:r w:rsidR="005A22A4">
        <w:rPr>
          <w:lang w:val="en-GB"/>
        </w:rPr>
        <w:t>and Business services</w:t>
      </w:r>
      <w:r w:rsidR="00C35B90">
        <w:rPr>
          <w:lang w:val="en-GB"/>
        </w:rPr>
        <w:t xml:space="preserve"> (SIC 73)</w:t>
      </w:r>
      <w:r w:rsidR="005A22A4">
        <w:rPr>
          <w:lang w:val="en-GB"/>
        </w:rPr>
        <w:t xml:space="preserve">. </w:t>
      </w:r>
      <w:r w:rsidR="00C35B90">
        <w:rPr>
          <w:lang w:val="en-GB"/>
        </w:rPr>
        <w:t xml:space="preserve">Because </w:t>
      </w:r>
      <w:r w:rsidR="00554CA6">
        <w:rPr>
          <w:lang w:val="en-GB"/>
        </w:rPr>
        <w:t xml:space="preserve">this study uses </w:t>
      </w:r>
      <w:r w:rsidR="00C35B90">
        <w:rPr>
          <w:lang w:val="en-GB"/>
        </w:rPr>
        <w:t>the same categorization as Li et al. (2012)</w:t>
      </w:r>
      <w:r w:rsidR="00554CA6">
        <w:rPr>
          <w:lang w:val="en-GB"/>
        </w:rPr>
        <w:t xml:space="preserve">, </w:t>
      </w:r>
      <w:r w:rsidR="00C35B90">
        <w:rPr>
          <w:lang w:val="en-GB"/>
        </w:rPr>
        <w:t>the results can be compared</w:t>
      </w:r>
      <w:r w:rsidR="00554CA6">
        <w:rPr>
          <w:lang w:val="en-GB"/>
        </w:rPr>
        <w:t>. However, it is</w:t>
      </w:r>
      <w:r w:rsidR="00C35B90">
        <w:rPr>
          <w:lang w:val="en-GB"/>
        </w:rPr>
        <w:t xml:space="preserve"> important to note that the sample</w:t>
      </w:r>
      <w:r w:rsidR="00E7036C">
        <w:rPr>
          <w:lang w:val="en-GB"/>
        </w:rPr>
        <w:t xml:space="preserve"> period</w:t>
      </w:r>
      <w:r w:rsidR="00C35B90">
        <w:rPr>
          <w:lang w:val="en-GB"/>
        </w:rPr>
        <w:t xml:space="preserve"> </w:t>
      </w:r>
      <w:r w:rsidR="00E7036C">
        <w:rPr>
          <w:lang w:val="en-GB"/>
        </w:rPr>
        <w:t xml:space="preserve">(2004-2006) </w:t>
      </w:r>
      <w:r w:rsidR="00C35B90">
        <w:rPr>
          <w:lang w:val="en-GB"/>
        </w:rPr>
        <w:t xml:space="preserve">of Li et al. (2012) </w:t>
      </w:r>
      <w:r w:rsidR="00E7036C">
        <w:rPr>
          <w:lang w:val="en-GB"/>
        </w:rPr>
        <w:t>was</w:t>
      </w:r>
      <w:r w:rsidR="00C35B90">
        <w:rPr>
          <w:lang w:val="en-GB"/>
        </w:rPr>
        <w:t xml:space="preserve"> shorter. </w:t>
      </w:r>
      <w:r w:rsidR="00E7036C">
        <w:rPr>
          <w:lang w:val="en-GB"/>
        </w:rPr>
        <w:t xml:space="preserve">The industries with the most </w:t>
      </w:r>
      <w:r w:rsidR="000B3301">
        <w:rPr>
          <w:lang w:val="en-GB"/>
        </w:rPr>
        <w:t>material IT control weaknesses</w:t>
      </w:r>
      <w:r w:rsidR="00E7036C">
        <w:rPr>
          <w:lang w:val="en-GB"/>
        </w:rPr>
        <w:t xml:space="preserve"> </w:t>
      </w:r>
      <w:r w:rsidR="00257034">
        <w:rPr>
          <w:lang w:val="en-GB"/>
        </w:rPr>
        <w:t xml:space="preserve">identified </w:t>
      </w:r>
      <w:r w:rsidR="00E7036C">
        <w:rPr>
          <w:lang w:val="en-GB"/>
        </w:rPr>
        <w:t xml:space="preserve">by Li et al. (2012) are: </w:t>
      </w:r>
      <w:r w:rsidR="00E7036C">
        <w:rPr>
          <w:rFonts w:eastAsiaTheme="minorHAnsi"/>
          <w:lang w:val="en-US" w:eastAsia="en-US"/>
        </w:rPr>
        <w:t>Measuring i</w:t>
      </w:r>
      <w:r w:rsidR="00C35B90" w:rsidRPr="00E7036C">
        <w:rPr>
          <w:rFonts w:eastAsiaTheme="minorHAnsi"/>
          <w:lang w:val="en-US" w:eastAsia="en-US"/>
        </w:rPr>
        <w:t>nstruments (SIC 38), Chemical industries (SIC 28), Electric industries (SIC 49) and Business services (SIC 73)</w:t>
      </w:r>
      <w:r w:rsidR="00E7036C">
        <w:rPr>
          <w:rFonts w:eastAsiaTheme="minorHAnsi"/>
          <w:lang w:val="en-US" w:eastAsia="en-US"/>
        </w:rPr>
        <w:t xml:space="preserve">. So the three industries that clearly have the most </w:t>
      </w:r>
      <w:r w:rsidR="000B3301">
        <w:rPr>
          <w:rFonts w:eastAsiaTheme="minorHAnsi"/>
          <w:lang w:val="en-US" w:eastAsia="en-US"/>
        </w:rPr>
        <w:t>material IT control weaknesses</w:t>
      </w:r>
      <w:r w:rsidR="00E7036C">
        <w:rPr>
          <w:rFonts w:eastAsiaTheme="minorHAnsi"/>
          <w:lang w:val="en-US" w:eastAsia="en-US"/>
        </w:rPr>
        <w:t xml:space="preserve"> in this research study and in the results of Li et al. (2012) are: Measuring instrument industries (SIC 38), Chemical industries (SIC 28) and Business services industries (SIC 73).</w:t>
      </w:r>
    </w:p>
    <w:p w:rsidR="00C35B90" w:rsidRDefault="000F1EC4" w:rsidP="00874FD6">
      <w:pPr>
        <w:rPr>
          <w:rFonts w:eastAsiaTheme="minorHAnsi"/>
          <w:lang w:val="en-US" w:eastAsia="en-US"/>
        </w:rPr>
      </w:pPr>
      <w:r w:rsidRPr="005F6B88">
        <w:rPr>
          <w:lang w:val="en-GB"/>
        </w:rPr>
        <w:t xml:space="preserve">Table </w:t>
      </w:r>
      <w:r>
        <w:rPr>
          <w:lang w:val="en-GB"/>
        </w:rPr>
        <w:t>7</w:t>
      </w:r>
      <w:r w:rsidRPr="005F6B88">
        <w:rPr>
          <w:lang w:val="en-GB"/>
        </w:rPr>
        <w:t xml:space="preserve"> present</w:t>
      </w:r>
      <w:r w:rsidR="00B36C59">
        <w:rPr>
          <w:lang w:val="en-GB"/>
        </w:rPr>
        <w:t>s</w:t>
      </w:r>
      <w:r w:rsidRPr="005F6B88">
        <w:rPr>
          <w:lang w:val="en-GB"/>
        </w:rPr>
        <w:t xml:space="preserve"> </w:t>
      </w:r>
      <w:r w:rsidR="00B36C59">
        <w:rPr>
          <w:lang w:val="en-GB"/>
        </w:rPr>
        <w:t>a</w:t>
      </w:r>
      <w:r w:rsidRPr="005F6B88">
        <w:rPr>
          <w:lang w:val="en-GB"/>
        </w:rPr>
        <w:t xml:space="preserve"> correlation matrix</w:t>
      </w:r>
      <w:r>
        <w:rPr>
          <w:lang w:val="en-GB"/>
        </w:rPr>
        <w:t>,</w:t>
      </w:r>
      <w:r w:rsidRPr="005F6B88">
        <w:rPr>
          <w:lang w:val="en-GB"/>
        </w:rPr>
        <w:t xml:space="preserve"> which is important for identifying possible highly inter-correlated variables.</w:t>
      </w:r>
      <w:r>
        <w:rPr>
          <w:lang w:val="en-GB"/>
        </w:rPr>
        <w:t xml:space="preserve"> </w:t>
      </w:r>
      <w:r w:rsidR="00440008">
        <w:rPr>
          <w:lang w:val="en-GB"/>
        </w:rPr>
        <w:t>In this matrix the first value is the Pearson correlation</w:t>
      </w:r>
      <w:r w:rsidR="00B36C59">
        <w:rPr>
          <w:lang w:val="en-GB"/>
        </w:rPr>
        <w:t>,</w:t>
      </w:r>
      <w:r w:rsidR="00440008">
        <w:rPr>
          <w:lang w:val="en-GB"/>
        </w:rPr>
        <w:t xml:space="preserve"> showing how much the variables are correlated and the second value </w:t>
      </w:r>
      <w:r w:rsidR="00B36C59">
        <w:rPr>
          <w:lang w:val="en-GB"/>
        </w:rPr>
        <w:t>is</w:t>
      </w:r>
      <w:r w:rsidR="00440008">
        <w:rPr>
          <w:lang w:val="en-GB"/>
        </w:rPr>
        <w:t xml:space="preserve"> the p-value</w:t>
      </w:r>
      <w:r w:rsidR="00B36C59">
        <w:rPr>
          <w:lang w:val="en-GB"/>
        </w:rPr>
        <w:t>,</w:t>
      </w:r>
      <w:r w:rsidR="00440008">
        <w:rPr>
          <w:lang w:val="en-GB"/>
        </w:rPr>
        <w:t xml:space="preserve"> which shows the significance</w:t>
      </w:r>
      <w:r w:rsidR="00B36C59">
        <w:rPr>
          <w:lang w:val="en-GB"/>
        </w:rPr>
        <w:t xml:space="preserve"> of the correlation</w:t>
      </w:r>
      <w:r w:rsidR="00440008">
        <w:rPr>
          <w:lang w:val="en-GB"/>
        </w:rPr>
        <w:t>. The correlations above/below the |0.350| are highlighted.</w:t>
      </w:r>
    </w:p>
    <w:p w:rsidR="00B238E1" w:rsidRPr="003669EC" w:rsidRDefault="00B238E1" w:rsidP="00874FD6">
      <w:pPr>
        <w:rPr>
          <w:b/>
          <w:i/>
          <w:lang w:val="en-GB"/>
        </w:rPr>
      </w:pPr>
      <w:r w:rsidRPr="003669EC">
        <w:rPr>
          <w:b/>
          <w:i/>
          <w:lang w:val="en-GB"/>
        </w:rPr>
        <w:t xml:space="preserve">Table </w:t>
      </w:r>
      <w:r w:rsidR="00EC2BEC">
        <w:rPr>
          <w:b/>
          <w:i/>
          <w:lang w:val="en-GB"/>
        </w:rPr>
        <w:t>7</w:t>
      </w:r>
      <w:r w:rsidR="009970FC">
        <w:rPr>
          <w:b/>
          <w:i/>
          <w:lang w:val="en-GB"/>
        </w:rPr>
        <w:t>:</w:t>
      </w:r>
      <w:r w:rsidR="003669EC" w:rsidRPr="003669EC">
        <w:rPr>
          <w:b/>
          <w:i/>
          <w:lang w:val="en-GB"/>
        </w:rPr>
        <w:t xml:space="preserve"> </w:t>
      </w:r>
      <w:r w:rsidRPr="003669EC">
        <w:rPr>
          <w:b/>
          <w:i/>
          <w:lang w:val="en-GB"/>
        </w:rPr>
        <w:t>Pearson correlation matrix</w:t>
      </w:r>
    </w:p>
    <w:tbl>
      <w:tblPr>
        <w:tblW w:w="10600" w:type="dxa"/>
        <w:tblInd w:w="-601" w:type="dxa"/>
        <w:tblLayout w:type="fixed"/>
        <w:tblLook w:val="0000"/>
      </w:tblPr>
      <w:tblGrid>
        <w:gridCol w:w="993"/>
        <w:gridCol w:w="1134"/>
        <w:gridCol w:w="709"/>
        <w:gridCol w:w="708"/>
        <w:gridCol w:w="709"/>
        <w:gridCol w:w="709"/>
        <w:gridCol w:w="709"/>
        <w:gridCol w:w="708"/>
        <w:gridCol w:w="709"/>
        <w:gridCol w:w="709"/>
        <w:gridCol w:w="709"/>
        <w:gridCol w:w="708"/>
        <w:gridCol w:w="709"/>
        <w:gridCol w:w="677"/>
      </w:tblGrid>
      <w:tr w:rsidR="009D480E" w:rsidRPr="00EC282D" w:rsidTr="00EC282D">
        <w:trPr>
          <w:trHeight w:val="20"/>
        </w:trPr>
        <w:tc>
          <w:tcPr>
            <w:tcW w:w="2127" w:type="dxa"/>
            <w:gridSpan w:val="2"/>
            <w:tcBorders>
              <w:top w:val="single" w:sz="18" w:space="0" w:color="000000"/>
              <w:left w:val="single" w:sz="18" w:space="0" w:color="000000"/>
              <w:bottom w:val="single" w:sz="18"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Correlation Matrix</w:t>
            </w:r>
          </w:p>
        </w:tc>
        <w:tc>
          <w:tcPr>
            <w:tcW w:w="709" w:type="dxa"/>
            <w:tcBorders>
              <w:top w:val="single" w:sz="18" w:space="0" w:color="000000"/>
              <w:left w:val="single" w:sz="18"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IND FRAUD</w:t>
            </w:r>
          </w:p>
        </w:tc>
        <w:tc>
          <w:tcPr>
            <w:tcW w:w="708" w:type="dxa"/>
            <w:tcBorders>
              <w:top w:val="single" w:sz="18"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IND COMP</w:t>
            </w:r>
          </w:p>
        </w:tc>
        <w:tc>
          <w:tcPr>
            <w:tcW w:w="709" w:type="dxa"/>
            <w:tcBorders>
              <w:top w:val="single" w:sz="18"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RESTRUCTD</w:t>
            </w:r>
          </w:p>
        </w:tc>
        <w:tc>
          <w:tcPr>
            <w:tcW w:w="709" w:type="dxa"/>
            <w:tcBorders>
              <w:top w:val="single" w:sz="18"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RESTRUCTC</w:t>
            </w:r>
          </w:p>
        </w:tc>
        <w:tc>
          <w:tcPr>
            <w:tcW w:w="709" w:type="dxa"/>
            <w:tcBorders>
              <w:top w:val="single" w:sz="18"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RESTRUCTP</w:t>
            </w:r>
          </w:p>
        </w:tc>
        <w:tc>
          <w:tcPr>
            <w:tcW w:w="708" w:type="dxa"/>
            <w:tcBorders>
              <w:top w:val="single" w:sz="18"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SIZE</w:t>
            </w:r>
          </w:p>
        </w:tc>
        <w:tc>
          <w:tcPr>
            <w:tcW w:w="709" w:type="dxa"/>
            <w:tcBorders>
              <w:top w:val="single" w:sz="18"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AGE</w:t>
            </w:r>
          </w:p>
        </w:tc>
        <w:tc>
          <w:tcPr>
            <w:tcW w:w="709" w:type="dxa"/>
            <w:tcBorders>
              <w:top w:val="single" w:sz="18"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LEV</w:t>
            </w:r>
          </w:p>
        </w:tc>
        <w:tc>
          <w:tcPr>
            <w:tcW w:w="709" w:type="dxa"/>
            <w:tcBorders>
              <w:top w:val="single" w:sz="18"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ROA</w:t>
            </w:r>
          </w:p>
        </w:tc>
        <w:tc>
          <w:tcPr>
            <w:tcW w:w="708" w:type="dxa"/>
            <w:tcBorders>
              <w:top w:val="single" w:sz="18"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SEG NUM</w:t>
            </w:r>
          </w:p>
        </w:tc>
        <w:tc>
          <w:tcPr>
            <w:tcW w:w="709" w:type="dxa"/>
            <w:tcBorders>
              <w:top w:val="single" w:sz="18"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FOR TRANS</w:t>
            </w:r>
          </w:p>
        </w:tc>
        <w:tc>
          <w:tcPr>
            <w:tcW w:w="677" w:type="dxa"/>
            <w:tcBorders>
              <w:top w:val="single" w:sz="18" w:space="0" w:color="000000"/>
              <w:left w:val="single" w:sz="6" w:space="0" w:color="000000"/>
              <w:bottom w:val="single" w:sz="18"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BIG 4</w:t>
            </w:r>
          </w:p>
        </w:tc>
      </w:tr>
      <w:tr w:rsidR="009D480E" w:rsidRPr="00EC282D" w:rsidTr="00EC282D">
        <w:trPr>
          <w:trHeight w:val="20"/>
        </w:trPr>
        <w:tc>
          <w:tcPr>
            <w:tcW w:w="993" w:type="dxa"/>
            <w:tcBorders>
              <w:top w:val="single" w:sz="18"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ITMW</w:t>
            </w:r>
          </w:p>
        </w:tc>
        <w:tc>
          <w:tcPr>
            <w:tcW w:w="1134" w:type="dxa"/>
            <w:tcBorders>
              <w:top w:val="single" w:sz="18"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18"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.021</w:t>
            </w:r>
            <w:r w:rsidRPr="00EC282D">
              <w:rPr>
                <w:rFonts w:asciiTheme="minorHAnsi" w:hAnsiTheme="minorHAnsi" w:cstheme="minorHAnsi"/>
                <w:sz w:val="16"/>
                <w:szCs w:val="16"/>
                <w:vertAlign w:val="superscript"/>
              </w:rPr>
              <w:t>**</w:t>
            </w:r>
          </w:p>
        </w:tc>
        <w:tc>
          <w:tcPr>
            <w:tcW w:w="708" w:type="dxa"/>
            <w:tcBorders>
              <w:top w:val="single" w:sz="18"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.003</w:t>
            </w:r>
          </w:p>
        </w:tc>
        <w:tc>
          <w:tcPr>
            <w:tcW w:w="709" w:type="dxa"/>
            <w:tcBorders>
              <w:top w:val="single" w:sz="18"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-.008</w:t>
            </w:r>
          </w:p>
        </w:tc>
        <w:tc>
          <w:tcPr>
            <w:tcW w:w="709" w:type="dxa"/>
            <w:tcBorders>
              <w:top w:val="single" w:sz="18"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-.007</w:t>
            </w:r>
          </w:p>
        </w:tc>
        <w:tc>
          <w:tcPr>
            <w:tcW w:w="709" w:type="dxa"/>
            <w:tcBorders>
              <w:top w:val="single" w:sz="18"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-.008</w:t>
            </w:r>
          </w:p>
        </w:tc>
        <w:tc>
          <w:tcPr>
            <w:tcW w:w="708" w:type="dxa"/>
            <w:tcBorders>
              <w:top w:val="single" w:sz="18"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-.062</w:t>
            </w:r>
            <w:r w:rsidRPr="00EC282D">
              <w:rPr>
                <w:rFonts w:asciiTheme="minorHAnsi" w:hAnsiTheme="minorHAnsi" w:cstheme="minorHAnsi"/>
                <w:sz w:val="16"/>
                <w:szCs w:val="16"/>
                <w:vertAlign w:val="superscript"/>
              </w:rPr>
              <w:t>**</w:t>
            </w:r>
          </w:p>
        </w:tc>
        <w:tc>
          <w:tcPr>
            <w:tcW w:w="709" w:type="dxa"/>
            <w:tcBorders>
              <w:top w:val="single" w:sz="18"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-.054</w:t>
            </w:r>
            <w:r w:rsidRPr="00EC282D">
              <w:rPr>
                <w:rFonts w:asciiTheme="minorHAnsi" w:hAnsiTheme="minorHAnsi" w:cstheme="minorHAnsi"/>
                <w:sz w:val="16"/>
                <w:szCs w:val="16"/>
                <w:vertAlign w:val="superscript"/>
              </w:rPr>
              <w:t>**</w:t>
            </w:r>
          </w:p>
        </w:tc>
        <w:tc>
          <w:tcPr>
            <w:tcW w:w="709" w:type="dxa"/>
            <w:tcBorders>
              <w:top w:val="single" w:sz="18"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.003</w:t>
            </w:r>
          </w:p>
        </w:tc>
        <w:tc>
          <w:tcPr>
            <w:tcW w:w="709" w:type="dxa"/>
            <w:tcBorders>
              <w:top w:val="single" w:sz="18"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-.010</w:t>
            </w:r>
          </w:p>
        </w:tc>
        <w:tc>
          <w:tcPr>
            <w:tcW w:w="708" w:type="dxa"/>
            <w:tcBorders>
              <w:top w:val="single" w:sz="18"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-.002</w:t>
            </w:r>
          </w:p>
        </w:tc>
        <w:tc>
          <w:tcPr>
            <w:tcW w:w="709" w:type="dxa"/>
            <w:tcBorders>
              <w:top w:val="single" w:sz="18"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.001</w:t>
            </w:r>
          </w:p>
        </w:tc>
        <w:tc>
          <w:tcPr>
            <w:tcW w:w="677" w:type="dxa"/>
            <w:tcBorders>
              <w:top w:val="single" w:sz="18"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-.065</w:t>
            </w:r>
            <w:r w:rsidRPr="00EC282D">
              <w:rPr>
                <w:rFonts w:asciiTheme="minorHAnsi" w:hAnsiTheme="minorHAnsi" w:cstheme="minorHAnsi"/>
                <w:sz w:val="16"/>
                <w:szCs w:val="16"/>
                <w:vertAlign w:val="superscript"/>
              </w:rPr>
              <w:t>**</w:t>
            </w:r>
          </w:p>
        </w:tc>
      </w:tr>
      <w:tr w:rsidR="009D480E" w:rsidRPr="00EC282D" w:rsidTr="00EC282D">
        <w:trPr>
          <w:trHeight w:val="20"/>
        </w:trPr>
        <w:tc>
          <w:tcPr>
            <w:tcW w:w="993" w:type="dxa"/>
            <w:tcBorders>
              <w:top w:val="nil"/>
              <w:left w:val="single" w:sz="18" w:space="0" w:color="000000"/>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.521</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.140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.145</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.113</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.586</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.061</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.683</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.851</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r>
      <w:tr w:rsidR="009D480E" w:rsidRPr="00EC282D" w:rsidTr="00EC282D">
        <w:trPr>
          <w:trHeight w:val="20"/>
        </w:trPr>
        <w:tc>
          <w:tcPr>
            <w:tcW w:w="993" w:type="dxa"/>
            <w:tcBorders>
              <w:top w:val="single" w:sz="2"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INDFRAUD</w:t>
            </w: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-.110</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.058</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.054</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.063</w:t>
            </w:r>
            <w:r w:rsidRPr="00EC282D">
              <w:rPr>
                <w:rFonts w:asciiTheme="minorHAnsi" w:hAnsiTheme="minorHAnsi" w:cstheme="minorHAnsi"/>
                <w:sz w:val="16"/>
                <w:szCs w:val="16"/>
                <w:vertAlign w:val="superscript"/>
              </w:rPr>
              <w:t>**</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-.046</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.008</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.019</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-.011</w:t>
            </w:r>
            <w:r w:rsidRPr="00EC282D">
              <w:rPr>
                <w:rFonts w:asciiTheme="minorHAnsi" w:hAnsiTheme="minorHAnsi" w:cstheme="minorHAnsi"/>
                <w:sz w:val="16"/>
                <w:szCs w:val="16"/>
                <w:vertAlign w:val="superscript"/>
              </w:rPr>
              <w:t>*</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.085</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-.062</w:t>
            </w:r>
            <w:r w:rsidRPr="00EC282D">
              <w:rPr>
                <w:rFonts w:asciiTheme="minorHAnsi" w:hAnsiTheme="minorHAnsi" w:cstheme="minorHAnsi"/>
                <w:sz w:val="16"/>
                <w:szCs w:val="16"/>
                <w:vertAlign w:val="superscript"/>
              </w:rPr>
              <w:t>**</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.033</w:t>
            </w:r>
            <w:r w:rsidRPr="00EC282D">
              <w:rPr>
                <w:rFonts w:asciiTheme="minorHAnsi" w:hAnsiTheme="minorHAnsi" w:cstheme="minorHAnsi"/>
                <w:sz w:val="16"/>
                <w:szCs w:val="16"/>
                <w:vertAlign w:val="superscript"/>
              </w:rPr>
              <w:t>**</w:t>
            </w:r>
          </w:p>
        </w:tc>
      </w:tr>
      <w:tr w:rsidR="009D480E" w:rsidRPr="00EC282D" w:rsidTr="00EC282D">
        <w:trPr>
          <w:trHeight w:val="20"/>
        </w:trPr>
        <w:tc>
          <w:tcPr>
            <w:tcW w:w="993" w:type="dxa"/>
            <w:tcBorders>
              <w:top w:val="nil"/>
              <w:left w:val="single" w:sz="18" w:space="0" w:color="000000"/>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.106</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.027</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r>
      <w:tr w:rsidR="009D480E" w:rsidRPr="00EC282D" w:rsidTr="00EC282D">
        <w:trPr>
          <w:trHeight w:val="20"/>
        </w:trPr>
        <w:tc>
          <w:tcPr>
            <w:tcW w:w="993" w:type="dxa"/>
            <w:tcBorders>
              <w:top w:val="single" w:sz="2"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INDCOMP</w:t>
            </w: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.019</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.021</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.021</w:t>
            </w:r>
            <w:r w:rsidRPr="00EC282D">
              <w:rPr>
                <w:rFonts w:asciiTheme="minorHAnsi" w:hAnsiTheme="minorHAnsi" w:cstheme="minorHAnsi"/>
                <w:sz w:val="16"/>
                <w:szCs w:val="16"/>
                <w:vertAlign w:val="superscript"/>
              </w:rPr>
              <w:t>**</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.004</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.041</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-.003</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.003</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-.004</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-.059</w:t>
            </w:r>
            <w:r w:rsidRPr="00EC282D">
              <w:rPr>
                <w:rFonts w:asciiTheme="minorHAnsi" w:hAnsiTheme="minorHAnsi" w:cstheme="minorHAnsi"/>
                <w:sz w:val="16"/>
                <w:szCs w:val="16"/>
                <w:vertAlign w:val="superscript"/>
              </w:rPr>
              <w:t>**</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.035</w:t>
            </w:r>
            <w:r w:rsidRPr="00EC282D">
              <w:rPr>
                <w:rFonts w:asciiTheme="minorHAnsi" w:hAnsiTheme="minorHAnsi" w:cstheme="minorHAnsi"/>
                <w:sz w:val="16"/>
                <w:szCs w:val="16"/>
                <w:vertAlign w:val="superscript"/>
              </w:rPr>
              <w:t>**</w:t>
            </w:r>
          </w:p>
        </w:tc>
      </w:tr>
      <w:tr w:rsidR="009D480E" w:rsidRPr="00EC282D" w:rsidTr="00EC282D">
        <w:trPr>
          <w:trHeight w:val="20"/>
        </w:trPr>
        <w:tc>
          <w:tcPr>
            <w:tcW w:w="993" w:type="dxa"/>
            <w:tcBorders>
              <w:top w:val="nil"/>
              <w:left w:val="single" w:sz="18" w:space="0" w:color="000000"/>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.406</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.558</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.504</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.403</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r>
      <w:tr w:rsidR="009D480E" w:rsidRPr="00EC282D" w:rsidTr="00EC282D">
        <w:trPr>
          <w:trHeight w:val="20"/>
        </w:trPr>
        <w:tc>
          <w:tcPr>
            <w:tcW w:w="993" w:type="dxa"/>
            <w:tcBorders>
              <w:top w:val="single" w:sz="2"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RESTRUCTD</w:t>
            </w: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highlight w:val="yellow"/>
              </w:rPr>
              <w:t>.988</w:t>
            </w:r>
            <w:r w:rsidRPr="00EC282D">
              <w:rPr>
                <w:rFonts w:asciiTheme="minorHAnsi" w:hAnsiTheme="minorHAnsi" w:cstheme="minorHAnsi"/>
                <w:sz w:val="16"/>
                <w:szCs w:val="16"/>
                <w:highlight w:val="yellow"/>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highlight w:val="yellow"/>
              </w:rPr>
              <w:t>.570</w:t>
            </w:r>
            <w:r w:rsidRPr="00EC282D">
              <w:rPr>
                <w:rFonts w:asciiTheme="minorHAnsi" w:hAnsiTheme="minorHAnsi" w:cstheme="minorHAnsi"/>
                <w:sz w:val="16"/>
                <w:szCs w:val="16"/>
                <w:highlight w:val="yellow"/>
                <w:vertAlign w:val="superscript"/>
              </w:rPr>
              <w:t>**</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.175</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.173</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-.010</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.007</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.246</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.096</w:t>
            </w:r>
            <w:r w:rsidRPr="00EC282D">
              <w:rPr>
                <w:rFonts w:asciiTheme="minorHAnsi" w:hAnsiTheme="minorHAnsi" w:cstheme="minorHAnsi"/>
                <w:sz w:val="16"/>
                <w:szCs w:val="16"/>
                <w:vertAlign w:val="superscript"/>
              </w:rPr>
              <w:t>**</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.200</w:t>
            </w:r>
            <w:r w:rsidRPr="00EC282D">
              <w:rPr>
                <w:rFonts w:asciiTheme="minorHAnsi" w:hAnsiTheme="minorHAnsi" w:cstheme="minorHAnsi"/>
                <w:sz w:val="16"/>
                <w:szCs w:val="16"/>
                <w:vertAlign w:val="superscript"/>
              </w:rPr>
              <w:t>**</w:t>
            </w:r>
          </w:p>
        </w:tc>
      </w:tr>
      <w:tr w:rsidR="009D480E" w:rsidRPr="00EC282D" w:rsidTr="00EC282D">
        <w:trPr>
          <w:trHeight w:val="20"/>
        </w:trPr>
        <w:tc>
          <w:tcPr>
            <w:tcW w:w="993" w:type="dxa"/>
            <w:tcBorders>
              <w:top w:val="nil"/>
              <w:left w:val="single" w:sz="18" w:space="0" w:color="000000"/>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.047</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.143</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r>
      <w:tr w:rsidR="009D480E" w:rsidRPr="00EC282D" w:rsidTr="00EC282D">
        <w:trPr>
          <w:trHeight w:val="20"/>
        </w:trPr>
        <w:tc>
          <w:tcPr>
            <w:tcW w:w="993" w:type="dxa"/>
            <w:tcBorders>
              <w:top w:val="single" w:sz="2"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RESTRUCTC</w:t>
            </w: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highlight w:val="yellow"/>
              </w:rPr>
              <w:t>.565</w:t>
            </w:r>
            <w:r w:rsidRPr="00EC282D">
              <w:rPr>
                <w:rFonts w:asciiTheme="minorHAnsi" w:hAnsiTheme="minorHAnsi" w:cstheme="minorHAnsi"/>
                <w:sz w:val="16"/>
                <w:szCs w:val="16"/>
                <w:highlight w:val="yellow"/>
                <w:vertAlign w:val="superscript"/>
              </w:rPr>
              <w:t>**</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.213</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.186</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-.011</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.009</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.264</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.104</w:t>
            </w:r>
            <w:r w:rsidRPr="00EC282D">
              <w:rPr>
                <w:rFonts w:asciiTheme="minorHAnsi" w:hAnsiTheme="minorHAnsi" w:cstheme="minorHAnsi"/>
                <w:sz w:val="16"/>
                <w:szCs w:val="16"/>
                <w:vertAlign w:val="superscript"/>
              </w:rPr>
              <w:t>**</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.214</w:t>
            </w:r>
            <w:r w:rsidRPr="00EC282D">
              <w:rPr>
                <w:rFonts w:asciiTheme="minorHAnsi" w:hAnsiTheme="minorHAnsi" w:cstheme="minorHAnsi"/>
                <w:sz w:val="16"/>
                <w:szCs w:val="16"/>
                <w:vertAlign w:val="superscript"/>
              </w:rPr>
              <w:t>**</w:t>
            </w:r>
          </w:p>
        </w:tc>
      </w:tr>
      <w:tr w:rsidR="009D480E" w:rsidRPr="00EC282D" w:rsidTr="00EC282D">
        <w:trPr>
          <w:trHeight w:val="20"/>
        </w:trPr>
        <w:tc>
          <w:tcPr>
            <w:tcW w:w="993" w:type="dxa"/>
            <w:tcBorders>
              <w:top w:val="nil"/>
              <w:left w:val="single" w:sz="18" w:space="0" w:color="000000"/>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.034</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.090</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r>
      <w:tr w:rsidR="009D480E" w:rsidRPr="00EC282D" w:rsidTr="00EC282D">
        <w:trPr>
          <w:trHeight w:val="20"/>
        </w:trPr>
        <w:tc>
          <w:tcPr>
            <w:tcW w:w="993" w:type="dxa"/>
            <w:tcBorders>
              <w:top w:val="single" w:sz="2"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RESTRUCTP</w:t>
            </w: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.215</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.228</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-.020</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.019</w:t>
            </w:r>
            <w:r w:rsidRPr="00EC282D">
              <w:rPr>
                <w:rFonts w:asciiTheme="minorHAnsi" w:hAnsiTheme="minorHAnsi" w:cstheme="minorHAnsi"/>
                <w:sz w:val="16"/>
                <w:szCs w:val="16"/>
                <w:vertAlign w:val="superscript"/>
              </w:rPr>
              <w:t>**</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.283</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.052</w:t>
            </w:r>
            <w:r w:rsidRPr="00EC282D">
              <w:rPr>
                <w:rFonts w:asciiTheme="minorHAnsi" w:hAnsiTheme="minorHAnsi" w:cstheme="minorHAnsi"/>
                <w:sz w:val="16"/>
                <w:szCs w:val="16"/>
                <w:vertAlign w:val="superscript"/>
              </w:rPr>
              <w:t>**</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.283</w:t>
            </w:r>
            <w:r w:rsidRPr="00EC282D">
              <w:rPr>
                <w:rFonts w:asciiTheme="minorHAnsi" w:hAnsiTheme="minorHAnsi" w:cstheme="minorHAnsi"/>
                <w:sz w:val="16"/>
                <w:szCs w:val="16"/>
                <w:vertAlign w:val="superscript"/>
              </w:rPr>
              <w:t>**</w:t>
            </w:r>
          </w:p>
        </w:tc>
      </w:tr>
      <w:tr w:rsidR="009D480E" w:rsidRPr="00EC282D" w:rsidTr="00EC282D">
        <w:trPr>
          <w:trHeight w:val="20"/>
        </w:trPr>
        <w:tc>
          <w:tcPr>
            <w:tcW w:w="993" w:type="dxa"/>
            <w:tcBorders>
              <w:top w:val="nil"/>
              <w:left w:val="single" w:sz="18" w:space="0" w:color="000000"/>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r>
      <w:tr w:rsidR="009D480E" w:rsidRPr="00EC282D" w:rsidTr="00EC282D">
        <w:trPr>
          <w:trHeight w:val="20"/>
        </w:trPr>
        <w:tc>
          <w:tcPr>
            <w:tcW w:w="993" w:type="dxa"/>
            <w:tcBorders>
              <w:top w:val="single" w:sz="2"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SIZE</w:t>
            </w: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highlight w:val="yellow"/>
              </w:rPr>
              <w:t>.361</w:t>
            </w:r>
            <w:r w:rsidRPr="00EC282D">
              <w:rPr>
                <w:rFonts w:asciiTheme="minorHAnsi" w:hAnsiTheme="minorHAnsi" w:cstheme="minorHAnsi"/>
                <w:sz w:val="16"/>
                <w:szCs w:val="16"/>
                <w:highlight w:val="yellow"/>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-.122</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.120</w:t>
            </w:r>
            <w:r w:rsidRPr="00EC282D">
              <w:rPr>
                <w:rFonts w:asciiTheme="minorHAnsi" w:hAnsiTheme="minorHAnsi" w:cstheme="minorHAnsi"/>
                <w:sz w:val="16"/>
                <w:szCs w:val="16"/>
                <w:vertAlign w:val="superscript"/>
              </w:rPr>
              <w:t>**</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.217</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.159</w:t>
            </w:r>
            <w:r w:rsidRPr="00EC282D">
              <w:rPr>
                <w:rFonts w:asciiTheme="minorHAnsi" w:hAnsiTheme="minorHAnsi" w:cstheme="minorHAnsi"/>
                <w:sz w:val="16"/>
                <w:szCs w:val="16"/>
                <w:vertAlign w:val="superscript"/>
              </w:rPr>
              <w:t>**</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highlight w:val="yellow"/>
              </w:rPr>
              <w:t>.533</w:t>
            </w:r>
            <w:r w:rsidRPr="00EC282D">
              <w:rPr>
                <w:rFonts w:asciiTheme="minorHAnsi" w:hAnsiTheme="minorHAnsi" w:cstheme="minorHAnsi"/>
                <w:sz w:val="16"/>
                <w:szCs w:val="16"/>
                <w:highlight w:val="yellow"/>
                <w:vertAlign w:val="superscript"/>
              </w:rPr>
              <w:t>**</w:t>
            </w:r>
          </w:p>
        </w:tc>
      </w:tr>
      <w:tr w:rsidR="009D480E" w:rsidRPr="00EC282D" w:rsidTr="00EC282D">
        <w:trPr>
          <w:trHeight w:val="20"/>
        </w:trPr>
        <w:tc>
          <w:tcPr>
            <w:tcW w:w="993" w:type="dxa"/>
            <w:tcBorders>
              <w:top w:val="nil"/>
              <w:left w:val="single" w:sz="18" w:space="0" w:color="000000"/>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r>
      <w:tr w:rsidR="009D480E" w:rsidRPr="00EC282D" w:rsidTr="00EC282D">
        <w:trPr>
          <w:trHeight w:val="20"/>
        </w:trPr>
        <w:tc>
          <w:tcPr>
            <w:tcW w:w="993" w:type="dxa"/>
            <w:tcBorders>
              <w:top w:val="single" w:sz="2"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AGE</w:t>
            </w: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-.050</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.055</w:t>
            </w:r>
            <w:r w:rsidRPr="00EC282D">
              <w:rPr>
                <w:rFonts w:asciiTheme="minorHAnsi" w:hAnsiTheme="minorHAnsi" w:cstheme="minorHAnsi"/>
                <w:sz w:val="16"/>
                <w:szCs w:val="16"/>
                <w:vertAlign w:val="superscript"/>
              </w:rPr>
              <w:t>**</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.216</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.079</w:t>
            </w:r>
            <w:r w:rsidRPr="00EC282D">
              <w:rPr>
                <w:rFonts w:asciiTheme="minorHAnsi" w:hAnsiTheme="minorHAnsi" w:cstheme="minorHAnsi"/>
                <w:sz w:val="16"/>
                <w:szCs w:val="16"/>
                <w:vertAlign w:val="superscript"/>
              </w:rPr>
              <w:t>**</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.260</w:t>
            </w:r>
            <w:r w:rsidRPr="00EC282D">
              <w:rPr>
                <w:rFonts w:asciiTheme="minorHAnsi" w:hAnsiTheme="minorHAnsi" w:cstheme="minorHAnsi"/>
                <w:sz w:val="16"/>
                <w:szCs w:val="16"/>
                <w:vertAlign w:val="superscript"/>
              </w:rPr>
              <w:t>**</w:t>
            </w:r>
          </w:p>
        </w:tc>
      </w:tr>
      <w:tr w:rsidR="009D480E" w:rsidRPr="00EC282D" w:rsidTr="00EC282D">
        <w:trPr>
          <w:trHeight w:val="20"/>
        </w:trPr>
        <w:tc>
          <w:tcPr>
            <w:tcW w:w="993" w:type="dxa"/>
            <w:tcBorders>
              <w:top w:val="nil"/>
              <w:left w:val="single" w:sz="18" w:space="0" w:color="000000"/>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r>
      <w:tr w:rsidR="009D480E" w:rsidRPr="00EC282D" w:rsidTr="00EC282D">
        <w:trPr>
          <w:trHeight w:val="20"/>
        </w:trPr>
        <w:tc>
          <w:tcPr>
            <w:tcW w:w="993" w:type="dxa"/>
            <w:tcBorders>
              <w:top w:val="single" w:sz="2"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LEV</w:t>
            </w: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highlight w:val="yellow"/>
              </w:rPr>
              <w:t>-.546</w:t>
            </w:r>
            <w:r w:rsidRPr="00EC282D">
              <w:rPr>
                <w:rFonts w:asciiTheme="minorHAnsi" w:hAnsiTheme="minorHAnsi" w:cstheme="minorHAnsi"/>
                <w:sz w:val="16"/>
                <w:szCs w:val="16"/>
                <w:highlight w:val="yellow"/>
                <w:vertAlign w:val="superscript"/>
              </w:rPr>
              <w:t>**</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-.017</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-.013</w:t>
            </w:r>
            <w:r w:rsidRPr="00EC282D">
              <w:rPr>
                <w:rFonts w:asciiTheme="minorHAnsi" w:hAnsiTheme="minorHAnsi" w:cstheme="minorHAnsi"/>
                <w:sz w:val="16"/>
                <w:szCs w:val="16"/>
                <w:vertAlign w:val="superscript"/>
              </w:rPr>
              <w:t>*</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-.045</w:t>
            </w:r>
            <w:r w:rsidRPr="00EC282D">
              <w:rPr>
                <w:rFonts w:asciiTheme="minorHAnsi" w:hAnsiTheme="minorHAnsi" w:cstheme="minorHAnsi"/>
                <w:sz w:val="16"/>
                <w:szCs w:val="16"/>
                <w:vertAlign w:val="superscript"/>
              </w:rPr>
              <w:t>**</w:t>
            </w:r>
          </w:p>
        </w:tc>
      </w:tr>
      <w:tr w:rsidR="009D480E" w:rsidRPr="00EC282D" w:rsidTr="00EC282D">
        <w:trPr>
          <w:trHeight w:val="20"/>
        </w:trPr>
        <w:tc>
          <w:tcPr>
            <w:tcW w:w="993" w:type="dxa"/>
            <w:tcBorders>
              <w:top w:val="nil"/>
              <w:left w:val="single" w:sz="18" w:space="0" w:color="000000"/>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.001</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.011</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r>
      <w:tr w:rsidR="009D480E" w:rsidRPr="00EC282D" w:rsidTr="00EC282D">
        <w:trPr>
          <w:trHeight w:val="20"/>
        </w:trPr>
        <w:tc>
          <w:tcPr>
            <w:tcW w:w="993" w:type="dxa"/>
            <w:tcBorders>
              <w:top w:val="single" w:sz="2"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ROA</w:t>
            </w: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.018</w:t>
            </w:r>
            <w:r w:rsidRPr="00EC282D">
              <w:rPr>
                <w:rFonts w:asciiTheme="minorHAnsi" w:hAnsiTheme="minorHAnsi" w:cstheme="minorHAnsi"/>
                <w:sz w:val="16"/>
                <w:szCs w:val="16"/>
                <w:vertAlign w:val="superscript"/>
              </w:rPr>
              <w:t>**</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.017</w:t>
            </w:r>
            <w:r w:rsidRPr="00EC282D">
              <w:rPr>
                <w:rFonts w:asciiTheme="minorHAnsi" w:hAnsiTheme="minorHAnsi" w:cstheme="minorHAnsi"/>
                <w:sz w:val="16"/>
                <w:szCs w:val="16"/>
                <w:vertAlign w:val="superscript"/>
              </w:rPr>
              <w:t>**</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.049</w:t>
            </w:r>
            <w:r w:rsidRPr="00EC282D">
              <w:rPr>
                <w:rFonts w:asciiTheme="minorHAnsi" w:hAnsiTheme="minorHAnsi" w:cstheme="minorHAnsi"/>
                <w:sz w:val="16"/>
                <w:szCs w:val="16"/>
                <w:vertAlign w:val="superscript"/>
              </w:rPr>
              <w:t>**</w:t>
            </w:r>
          </w:p>
        </w:tc>
      </w:tr>
      <w:tr w:rsidR="009D480E" w:rsidRPr="00EC282D" w:rsidTr="00EC282D">
        <w:trPr>
          <w:trHeight w:val="20"/>
        </w:trPr>
        <w:tc>
          <w:tcPr>
            <w:tcW w:w="993" w:type="dxa"/>
            <w:tcBorders>
              <w:top w:val="nil"/>
              <w:left w:val="single" w:sz="18" w:space="0" w:color="000000"/>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.001</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w:t>
            </w:r>
          </w:p>
        </w:tc>
      </w:tr>
      <w:tr w:rsidR="009D480E" w:rsidRPr="00EC282D" w:rsidTr="00EC282D">
        <w:trPr>
          <w:trHeight w:val="20"/>
        </w:trPr>
        <w:tc>
          <w:tcPr>
            <w:tcW w:w="993" w:type="dxa"/>
            <w:tcBorders>
              <w:top w:val="single" w:sz="2"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SEGNUM</w:t>
            </w: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.218</w:t>
            </w:r>
            <w:r w:rsidRPr="00EC282D">
              <w:rPr>
                <w:rFonts w:asciiTheme="minorHAnsi" w:hAnsiTheme="minorHAnsi" w:cstheme="minorHAnsi"/>
                <w:sz w:val="16"/>
                <w:szCs w:val="16"/>
                <w:vertAlign w:val="superscript"/>
              </w:rPr>
              <w:t>**</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vertAlign w:val="superscript"/>
              </w:rPr>
            </w:pPr>
            <w:r w:rsidRPr="00EC282D">
              <w:rPr>
                <w:rFonts w:asciiTheme="minorHAnsi" w:hAnsiTheme="minorHAnsi" w:cstheme="minorHAnsi"/>
                <w:sz w:val="16"/>
                <w:szCs w:val="16"/>
              </w:rPr>
              <w:t>.203</w:t>
            </w:r>
            <w:r w:rsidRPr="00EC282D">
              <w:rPr>
                <w:rFonts w:asciiTheme="minorHAnsi" w:hAnsiTheme="minorHAnsi" w:cstheme="minorHAnsi"/>
                <w:sz w:val="16"/>
                <w:szCs w:val="16"/>
                <w:vertAlign w:val="superscript"/>
              </w:rPr>
              <w:t>**</w:t>
            </w:r>
          </w:p>
        </w:tc>
      </w:tr>
      <w:tr w:rsidR="009D480E" w:rsidRPr="00EC282D" w:rsidTr="00EC282D">
        <w:trPr>
          <w:trHeight w:val="20"/>
        </w:trPr>
        <w:tc>
          <w:tcPr>
            <w:tcW w:w="993" w:type="dxa"/>
            <w:tcBorders>
              <w:top w:val="nil"/>
              <w:left w:val="single" w:sz="18" w:space="0" w:color="000000"/>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0.000</w:t>
            </w:r>
          </w:p>
        </w:tc>
      </w:tr>
      <w:tr w:rsidR="009D480E" w:rsidRPr="00EC282D" w:rsidTr="00EC282D">
        <w:trPr>
          <w:trHeight w:val="20"/>
        </w:trPr>
        <w:tc>
          <w:tcPr>
            <w:tcW w:w="993" w:type="dxa"/>
            <w:tcBorders>
              <w:top w:val="single" w:sz="2" w:space="0" w:color="000000"/>
              <w:left w:val="single" w:sz="18" w:space="0" w:color="000000"/>
              <w:bottom w:val="nil"/>
              <w:right w:val="single" w:sz="2"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FORTRANS</w:t>
            </w:r>
          </w:p>
        </w:tc>
        <w:tc>
          <w:tcPr>
            <w:tcW w:w="1134" w:type="dxa"/>
            <w:tcBorders>
              <w:top w:val="single" w:sz="2" w:space="0" w:color="000000"/>
              <w:left w:val="single" w:sz="2"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Pearson Corr.</w:t>
            </w:r>
          </w:p>
        </w:tc>
        <w:tc>
          <w:tcPr>
            <w:tcW w:w="709" w:type="dxa"/>
            <w:tcBorders>
              <w:top w:val="single" w:sz="2" w:space="0" w:color="000000"/>
              <w:left w:val="single" w:sz="18"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2"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677" w:type="dxa"/>
            <w:tcBorders>
              <w:top w:val="single" w:sz="2" w:space="0" w:color="000000"/>
              <w:left w:val="single" w:sz="6" w:space="0" w:color="000000"/>
              <w:bottom w:val="single" w:sz="2"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-.010</w:t>
            </w:r>
          </w:p>
        </w:tc>
      </w:tr>
      <w:tr w:rsidR="009D480E" w:rsidRPr="00EC282D" w:rsidTr="00EC282D">
        <w:trPr>
          <w:trHeight w:val="20"/>
        </w:trPr>
        <w:tc>
          <w:tcPr>
            <w:tcW w:w="993" w:type="dxa"/>
            <w:tcBorders>
              <w:top w:val="nil"/>
              <w:left w:val="single" w:sz="18" w:space="0" w:color="000000"/>
              <w:bottom w:val="single" w:sz="18"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c>
          <w:tcPr>
            <w:tcW w:w="1134" w:type="dxa"/>
            <w:tcBorders>
              <w:top w:val="single" w:sz="2" w:space="0" w:color="000000"/>
              <w:left w:val="single" w:sz="2" w:space="0" w:color="000000"/>
              <w:bottom w:val="single" w:sz="18"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Sig. (2-tailed)</w:t>
            </w:r>
          </w:p>
        </w:tc>
        <w:tc>
          <w:tcPr>
            <w:tcW w:w="709" w:type="dxa"/>
            <w:tcBorders>
              <w:top w:val="single" w:sz="2" w:space="0" w:color="000000"/>
              <w:left w:val="single" w:sz="18"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single" w:sz="6" w:space="0" w:color="000000"/>
              <w:bottom w:val="single" w:sz="18" w:space="0" w:color="000000"/>
              <w:right w:val="single" w:sz="6" w:space="0" w:color="000000"/>
            </w:tcBorders>
          </w:tcPr>
          <w:p w:rsidR="009D480E" w:rsidRPr="00EC282D" w:rsidRDefault="009D480E" w:rsidP="00EC282D">
            <w:pPr>
              <w:pStyle w:val="NoSpacing"/>
              <w:rPr>
                <w:rFonts w:asciiTheme="minorHAnsi" w:hAnsiTheme="minorHAnsi" w:cstheme="minorHAnsi"/>
                <w:sz w:val="16"/>
                <w:szCs w:val="16"/>
              </w:rPr>
            </w:pPr>
          </w:p>
        </w:tc>
        <w:tc>
          <w:tcPr>
            <w:tcW w:w="677" w:type="dxa"/>
            <w:tcBorders>
              <w:top w:val="single" w:sz="2" w:space="0" w:color="000000"/>
              <w:left w:val="single" w:sz="6" w:space="0" w:color="000000"/>
              <w:bottom w:val="single" w:sz="18" w:space="0" w:color="000000"/>
              <w:right w:val="single" w:sz="18" w:space="0" w:color="000000"/>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.056</w:t>
            </w:r>
          </w:p>
        </w:tc>
      </w:tr>
      <w:tr w:rsidR="009D480E" w:rsidRPr="00F93260" w:rsidTr="00EC282D">
        <w:trPr>
          <w:trHeight w:val="20"/>
        </w:trPr>
        <w:tc>
          <w:tcPr>
            <w:tcW w:w="4253" w:type="dxa"/>
            <w:gridSpan w:val="5"/>
            <w:tcBorders>
              <w:top w:val="single" w:sz="18" w:space="0" w:color="000000"/>
              <w:left w:val="single" w:sz="2" w:space="0" w:color="000000"/>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 Correlation is significant at the 0.01 level (2-tailed).</w:t>
            </w:r>
          </w:p>
        </w:tc>
        <w:tc>
          <w:tcPr>
            <w:tcW w:w="709" w:type="dxa"/>
            <w:tcBorders>
              <w:top w:val="single" w:sz="18"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18"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18"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18"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18"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18"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18"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18"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677" w:type="dxa"/>
            <w:tcBorders>
              <w:top w:val="single" w:sz="18" w:space="0" w:color="000000"/>
              <w:left w:val="nil"/>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r>
      <w:tr w:rsidR="009D480E" w:rsidRPr="00F93260" w:rsidTr="00EC282D">
        <w:trPr>
          <w:trHeight w:val="20"/>
        </w:trPr>
        <w:tc>
          <w:tcPr>
            <w:tcW w:w="4253" w:type="dxa"/>
            <w:gridSpan w:val="5"/>
            <w:tcBorders>
              <w:top w:val="single" w:sz="2" w:space="0" w:color="000000"/>
              <w:left w:val="single" w:sz="2" w:space="0" w:color="000000"/>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r w:rsidRPr="00EC282D">
              <w:rPr>
                <w:rFonts w:asciiTheme="minorHAnsi" w:hAnsiTheme="minorHAnsi" w:cstheme="minorHAnsi"/>
                <w:sz w:val="16"/>
                <w:szCs w:val="16"/>
              </w:rPr>
              <w:t>*. Correlation is significant at the 0.05 level (2-tailed).</w:t>
            </w:r>
          </w:p>
        </w:tc>
        <w:tc>
          <w:tcPr>
            <w:tcW w:w="709" w:type="dxa"/>
            <w:tcBorders>
              <w:top w:val="single" w:sz="2"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8" w:type="dxa"/>
            <w:tcBorders>
              <w:top w:val="single" w:sz="2"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709" w:type="dxa"/>
            <w:tcBorders>
              <w:top w:val="single" w:sz="2" w:space="0" w:color="000000"/>
              <w:left w:val="nil"/>
              <w:bottom w:val="single" w:sz="2" w:space="0" w:color="000000"/>
              <w:right w:val="nil"/>
            </w:tcBorders>
          </w:tcPr>
          <w:p w:rsidR="009D480E" w:rsidRPr="00EC282D" w:rsidRDefault="009D480E" w:rsidP="00EC282D">
            <w:pPr>
              <w:pStyle w:val="NoSpacing"/>
              <w:rPr>
                <w:rFonts w:asciiTheme="minorHAnsi" w:hAnsiTheme="minorHAnsi" w:cstheme="minorHAnsi"/>
                <w:sz w:val="16"/>
                <w:szCs w:val="16"/>
              </w:rPr>
            </w:pPr>
          </w:p>
        </w:tc>
        <w:tc>
          <w:tcPr>
            <w:tcW w:w="677" w:type="dxa"/>
            <w:tcBorders>
              <w:top w:val="single" w:sz="2" w:space="0" w:color="000000"/>
              <w:left w:val="nil"/>
              <w:bottom w:val="single" w:sz="2" w:space="0" w:color="000000"/>
              <w:right w:val="single" w:sz="2" w:space="0" w:color="000000"/>
            </w:tcBorders>
          </w:tcPr>
          <w:p w:rsidR="009D480E" w:rsidRPr="00EC282D" w:rsidRDefault="009D480E" w:rsidP="00EC282D">
            <w:pPr>
              <w:pStyle w:val="NoSpacing"/>
              <w:rPr>
                <w:rFonts w:asciiTheme="minorHAnsi" w:hAnsiTheme="minorHAnsi" w:cstheme="minorHAnsi"/>
                <w:sz w:val="16"/>
                <w:szCs w:val="16"/>
              </w:rPr>
            </w:pPr>
          </w:p>
        </w:tc>
      </w:tr>
    </w:tbl>
    <w:p w:rsidR="006D3888" w:rsidRDefault="00B71675" w:rsidP="00874FD6">
      <w:pPr>
        <w:rPr>
          <w:lang w:val="en-GB"/>
        </w:rPr>
      </w:pPr>
      <w:r>
        <w:rPr>
          <w:b/>
          <w:lang w:val="en-GB"/>
        </w:rPr>
        <w:br/>
      </w:r>
      <w:r w:rsidR="002C1AE0">
        <w:rPr>
          <w:lang w:val="en-GB"/>
        </w:rPr>
        <w:t xml:space="preserve">The correlations </w:t>
      </w:r>
      <w:r w:rsidR="000F1EC4">
        <w:rPr>
          <w:lang w:val="en-GB"/>
        </w:rPr>
        <w:t xml:space="preserve">in table 7 </w:t>
      </w:r>
      <w:r w:rsidR="002C1AE0">
        <w:rPr>
          <w:lang w:val="en-GB"/>
        </w:rPr>
        <w:t>of the variable ITMW show roughly the same results as the descriptive statistics, which</w:t>
      </w:r>
      <w:r w:rsidR="00C94CBB">
        <w:rPr>
          <w:lang w:val="en-GB"/>
        </w:rPr>
        <w:t xml:space="preserve"> means that the </w:t>
      </w:r>
      <w:r w:rsidR="009646A2">
        <w:rPr>
          <w:lang w:val="en-GB"/>
        </w:rPr>
        <w:t>INDFRAUD is the only explanatory variable with a significant correlation (</w:t>
      </w:r>
      <w:r w:rsidR="004B22C2">
        <w:rPr>
          <w:lang w:val="en-GB"/>
        </w:rPr>
        <w:t xml:space="preserve">Pearson </w:t>
      </w:r>
      <w:r w:rsidR="00B36C59">
        <w:rPr>
          <w:lang w:val="en-GB"/>
        </w:rPr>
        <w:t>C</w:t>
      </w:r>
      <w:r w:rsidR="004B22C2">
        <w:rPr>
          <w:lang w:val="en-GB"/>
        </w:rPr>
        <w:t xml:space="preserve">orr.= </w:t>
      </w:r>
      <w:r w:rsidR="009646A2">
        <w:rPr>
          <w:lang w:val="en-GB"/>
        </w:rPr>
        <w:t>0.021, p&lt;0.05). Most control and explanatory variables show significant</w:t>
      </w:r>
      <w:r w:rsidR="00257034">
        <w:rPr>
          <w:lang w:val="en-GB"/>
        </w:rPr>
        <w:t>, but</w:t>
      </w:r>
      <w:r w:rsidR="009646A2">
        <w:rPr>
          <w:lang w:val="en-GB"/>
        </w:rPr>
        <w:t xml:space="preserve"> </w:t>
      </w:r>
      <w:r w:rsidR="00257034">
        <w:rPr>
          <w:lang w:val="en-GB"/>
        </w:rPr>
        <w:t xml:space="preserve">small </w:t>
      </w:r>
      <w:r w:rsidR="009646A2">
        <w:rPr>
          <w:lang w:val="en-GB"/>
        </w:rPr>
        <w:t xml:space="preserve">inter-correlations. </w:t>
      </w:r>
      <w:r w:rsidR="00257034">
        <w:rPr>
          <w:lang w:val="en-GB"/>
        </w:rPr>
        <w:t xml:space="preserve">However, </w:t>
      </w:r>
      <w:r w:rsidR="009646A2">
        <w:rPr>
          <w:lang w:val="en-GB"/>
        </w:rPr>
        <w:t xml:space="preserve">there are also more exceptional correlations </w:t>
      </w:r>
      <w:r w:rsidR="00B36C59">
        <w:rPr>
          <w:lang w:val="en-GB"/>
        </w:rPr>
        <w:t xml:space="preserve">highlighted </w:t>
      </w:r>
      <w:r w:rsidR="009646A2">
        <w:rPr>
          <w:lang w:val="en-GB"/>
        </w:rPr>
        <w:t>in table 7. The first high correlation</w:t>
      </w:r>
      <w:r w:rsidR="00554CA6">
        <w:rPr>
          <w:lang w:val="en-GB"/>
        </w:rPr>
        <w:t xml:space="preserve"> (0.361)</w:t>
      </w:r>
      <w:r w:rsidR="009646A2">
        <w:rPr>
          <w:lang w:val="en-GB"/>
        </w:rPr>
        <w:t xml:space="preserve"> is firm size (SIZE) with firm age (AGE)</w:t>
      </w:r>
      <w:r w:rsidR="00B36C59">
        <w:rPr>
          <w:lang w:val="en-GB"/>
        </w:rPr>
        <w:t>, i</w:t>
      </w:r>
      <w:r w:rsidR="00554CA6">
        <w:rPr>
          <w:lang w:val="en-GB"/>
        </w:rPr>
        <w:t xml:space="preserve">mplying that older firms are </w:t>
      </w:r>
      <w:r w:rsidR="009646A2">
        <w:rPr>
          <w:lang w:val="en-GB"/>
        </w:rPr>
        <w:t xml:space="preserve">also more likely </w:t>
      </w:r>
      <w:r w:rsidR="00554CA6">
        <w:rPr>
          <w:lang w:val="en-GB"/>
        </w:rPr>
        <w:t>to be</w:t>
      </w:r>
      <w:r w:rsidR="009646A2">
        <w:rPr>
          <w:lang w:val="en-GB"/>
        </w:rPr>
        <w:t xml:space="preserve"> bigger</w:t>
      </w:r>
      <w:r w:rsidR="00554CA6">
        <w:rPr>
          <w:lang w:val="en-GB"/>
        </w:rPr>
        <w:t xml:space="preserve"> in size. T</w:t>
      </w:r>
      <w:r w:rsidR="009646A2">
        <w:rPr>
          <w:lang w:val="en-GB"/>
        </w:rPr>
        <w:t>his is</w:t>
      </w:r>
      <w:r w:rsidR="00554CA6">
        <w:rPr>
          <w:lang w:val="en-GB"/>
        </w:rPr>
        <w:t xml:space="preserve"> </w:t>
      </w:r>
      <w:r w:rsidR="009646A2">
        <w:rPr>
          <w:lang w:val="en-GB"/>
        </w:rPr>
        <w:t>n</w:t>
      </w:r>
      <w:r w:rsidR="00554CA6">
        <w:rPr>
          <w:lang w:val="en-GB"/>
        </w:rPr>
        <w:t>o</w:t>
      </w:r>
      <w:r w:rsidR="009646A2">
        <w:rPr>
          <w:lang w:val="en-GB"/>
        </w:rPr>
        <w:t xml:space="preserve">t a surprising correlation and can be ignored. The next high correlation is between firm size and big 4 audits </w:t>
      </w:r>
      <w:r w:rsidR="00554CA6">
        <w:rPr>
          <w:lang w:val="en-GB"/>
        </w:rPr>
        <w:t>(</w:t>
      </w:r>
      <w:r w:rsidR="009646A2">
        <w:rPr>
          <w:lang w:val="en-GB"/>
        </w:rPr>
        <w:t>0.533</w:t>
      </w:r>
      <w:r w:rsidR="00554CA6">
        <w:rPr>
          <w:lang w:val="en-GB"/>
        </w:rPr>
        <w:t>)</w:t>
      </w:r>
      <w:r w:rsidR="009646A2">
        <w:rPr>
          <w:lang w:val="en-GB"/>
        </w:rPr>
        <w:t xml:space="preserve">, </w:t>
      </w:r>
      <w:r w:rsidR="00554CA6">
        <w:rPr>
          <w:lang w:val="en-GB"/>
        </w:rPr>
        <w:t xml:space="preserve">but </w:t>
      </w:r>
      <w:r w:rsidR="009646A2">
        <w:rPr>
          <w:lang w:val="en-GB"/>
        </w:rPr>
        <w:t>this</w:t>
      </w:r>
      <w:r w:rsidR="00672FCD">
        <w:rPr>
          <w:lang w:val="en-GB"/>
        </w:rPr>
        <w:t xml:space="preserve"> is </w:t>
      </w:r>
      <w:r w:rsidR="00554CA6">
        <w:rPr>
          <w:lang w:val="en-GB"/>
        </w:rPr>
        <w:t xml:space="preserve">also </w:t>
      </w:r>
      <w:r w:rsidR="00672FCD">
        <w:rPr>
          <w:lang w:val="en-GB"/>
        </w:rPr>
        <w:t>a very logical relation. The two financial performance variables</w:t>
      </w:r>
      <w:r w:rsidR="00554CA6">
        <w:rPr>
          <w:lang w:val="en-GB"/>
        </w:rPr>
        <w:t>,</w:t>
      </w:r>
      <w:r w:rsidR="00672FCD">
        <w:rPr>
          <w:lang w:val="en-GB"/>
        </w:rPr>
        <w:t xml:space="preserve"> leverage (LEV) and return on assets (ROA)</w:t>
      </w:r>
      <w:r w:rsidR="00554CA6">
        <w:rPr>
          <w:lang w:val="en-GB"/>
        </w:rPr>
        <w:t>,</w:t>
      </w:r>
      <w:r w:rsidR="00672FCD">
        <w:rPr>
          <w:lang w:val="en-GB"/>
        </w:rPr>
        <w:t xml:space="preserve"> are also highly correlated </w:t>
      </w:r>
      <w:r w:rsidR="00554CA6">
        <w:rPr>
          <w:lang w:val="en-GB"/>
        </w:rPr>
        <w:t>(</w:t>
      </w:r>
      <w:r w:rsidR="00672FCD">
        <w:rPr>
          <w:lang w:val="en-GB"/>
        </w:rPr>
        <w:t>-0.546</w:t>
      </w:r>
      <w:r w:rsidR="00554CA6">
        <w:rPr>
          <w:lang w:val="en-GB"/>
        </w:rPr>
        <w:t>)</w:t>
      </w:r>
      <w:r w:rsidR="00672FCD">
        <w:rPr>
          <w:lang w:val="en-GB"/>
        </w:rPr>
        <w:t xml:space="preserve">, which means that a firm with a high leverage is more likely to have a lower return on assets. This is consistent with the theory </w:t>
      </w:r>
      <w:r w:rsidR="00554CA6">
        <w:rPr>
          <w:lang w:val="en-GB"/>
        </w:rPr>
        <w:t xml:space="preserve">that </w:t>
      </w:r>
      <w:r w:rsidR="00672FCD">
        <w:rPr>
          <w:lang w:val="en-GB"/>
        </w:rPr>
        <w:t xml:space="preserve">a lower leverage </w:t>
      </w:r>
      <w:r w:rsidR="00554CA6">
        <w:rPr>
          <w:lang w:val="en-GB"/>
        </w:rPr>
        <w:t>implies</w:t>
      </w:r>
      <w:r w:rsidR="00672FCD">
        <w:rPr>
          <w:lang w:val="en-GB"/>
        </w:rPr>
        <w:t xml:space="preserve"> a better financial health of the company and thus more profitab</w:t>
      </w:r>
      <w:r w:rsidR="00554CA6">
        <w:rPr>
          <w:lang w:val="en-GB"/>
        </w:rPr>
        <w:t>i</w:t>
      </w:r>
      <w:r w:rsidR="00672FCD">
        <w:rPr>
          <w:lang w:val="en-GB"/>
        </w:rPr>
        <w:t>l</w:t>
      </w:r>
      <w:r w:rsidR="00554CA6">
        <w:rPr>
          <w:lang w:val="en-GB"/>
        </w:rPr>
        <w:t>ity</w:t>
      </w:r>
      <w:r w:rsidR="00672FCD">
        <w:rPr>
          <w:lang w:val="en-GB"/>
        </w:rPr>
        <w:t xml:space="preserve">. </w:t>
      </w:r>
      <w:r w:rsidR="00554CA6">
        <w:rPr>
          <w:lang w:val="en-GB"/>
        </w:rPr>
        <w:t xml:space="preserve">Slightly </w:t>
      </w:r>
      <w:r w:rsidR="00672FCD">
        <w:rPr>
          <w:lang w:val="en-GB"/>
        </w:rPr>
        <w:t>more worrying inter-correlations e</w:t>
      </w:r>
      <w:r w:rsidR="00554CA6">
        <w:rPr>
          <w:lang w:val="en-GB"/>
        </w:rPr>
        <w:t>xist</w:t>
      </w:r>
      <w:r w:rsidR="00672FCD">
        <w:rPr>
          <w:lang w:val="en-GB"/>
        </w:rPr>
        <w:t xml:space="preserve"> between the restructuring variables</w:t>
      </w:r>
      <w:r w:rsidR="00554CA6">
        <w:rPr>
          <w:lang w:val="en-GB"/>
        </w:rPr>
        <w:t>. In itself this</w:t>
      </w:r>
      <w:r w:rsidR="00672FCD">
        <w:rPr>
          <w:lang w:val="en-GB"/>
        </w:rPr>
        <w:t xml:space="preserve"> is logical because the</w:t>
      </w:r>
      <w:r w:rsidR="00554CA6">
        <w:rPr>
          <w:lang w:val="en-GB"/>
        </w:rPr>
        <w:t>se variables</w:t>
      </w:r>
      <w:r w:rsidR="00672FCD">
        <w:rPr>
          <w:lang w:val="en-GB"/>
        </w:rPr>
        <w:t xml:space="preserve"> measure the same phenomen</w:t>
      </w:r>
      <w:r w:rsidR="00554CA6">
        <w:rPr>
          <w:lang w:val="en-GB"/>
        </w:rPr>
        <w:t>on</w:t>
      </w:r>
      <w:r w:rsidR="00672FCD">
        <w:rPr>
          <w:lang w:val="en-GB"/>
        </w:rPr>
        <w:t xml:space="preserve"> in a different way. The highest correlation of 0.988 is between RESTRUCTC and </w:t>
      </w:r>
      <w:r w:rsidR="009970FC">
        <w:rPr>
          <w:lang w:val="en-GB"/>
        </w:rPr>
        <w:t>RESTRUCTD,</w:t>
      </w:r>
      <w:r w:rsidR="009E1718">
        <w:rPr>
          <w:lang w:val="en-GB"/>
        </w:rPr>
        <w:t xml:space="preserve"> which means that the existence of restructuring (RESTRUCTD) is correlated with the </w:t>
      </w:r>
      <w:r w:rsidR="00554CA6">
        <w:rPr>
          <w:lang w:val="en-GB"/>
        </w:rPr>
        <w:t xml:space="preserve">amount </w:t>
      </w:r>
      <w:r w:rsidR="009E1718">
        <w:rPr>
          <w:lang w:val="en-GB"/>
        </w:rPr>
        <w:t xml:space="preserve">of the restructuring costs (RESTRUCTC). This </w:t>
      </w:r>
      <w:r w:rsidR="00554CA6">
        <w:rPr>
          <w:lang w:val="en-GB"/>
        </w:rPr>
        <w:t xml:space="preserve">may </w:t>
      </w:r>
      <w:r w:rsidR="009E1718">
        <w:rPr>
          <w:lang w:val="en-GB"/>
        </w:rPr>
        <w:t>cause a potential bias and therefore in section 6.3 of this chapter the multi-collinearity is tested and an adjusted multinomial logistic regression is presented.</w:t>
      </w:r>
    </w:p>
    <w:p w:rsidR="00B238E1" w:rsidRDefault="00B238E1" w:rsidP="00874FD6">
      <w:pPr>
        <w:rPr>
          <w:b/>
          <w:lang w:val="en-GB"/>
        </w:rPr>
      </w:pPr>
      <w:r>
        <w:rPr>
          <w:b/>
          <w:lang w:val="en-GB"/>
        </w:rPr>
        <w:t xml:space="preserve">IT material weakness development </w:t>
      </w:r>
      <w:r w:rsidR="009E1718">
        <w:rPr>
          <w:b/>
          <w:lang w:val="en-GB"/>
        </w:rPr>
        <w:t>over the years</w:t>
      </w:r>
    </w:p>
    <w:p w:rsidR="0051732D" w:rsidRDefault="00B238E1" w:rsidP="0051732D">
      <w:pPr>
        <w:contextualSpacing/>
        <w:rPr>
          <w:i/>
          <w:lang w:val="en-US"/>
        </w:rPr>
      </w:pPr>
      <w:r>
        <w:rPr>
          <w:lang w:val="en-GB"/>
        </w:rPr>
        <w:t>The information technology within companies has been in constant development in the past years. New information systems, Enterprise Resource Planning Systems and the integration of IT in the e</w:t>
      </w:r>
      <w:r w:rsidR="00B82732">
        <w:rPr>
          <w:lang w:val="en-GB"/>
        </w:rPr>
        <w:t>ntire</w:t>
      </w:r>
      <w:r>
        <w:rPr>
          <w:lang w:val="en-GB"/>
        </w:rPr>
        <w:t xml:space="preserve"> organization have made it necessary to look at IT controls to determine the quality of internal control systems. This research study wants to investigate </w:t>
      </w:r>
      <w:r w:rsidR="00B82732">
        <w:rPr>
          <w:lang w:val="en-GB"/>
        </w:rPr>
        <w:t xml:space="preserve">whether </w:t>
      </w:r>
      <w:r>
        <w:rPr>
          <w:lang w:val="en-GB"/>
        </w:rPr>
        <w:t xml:space="preserve">the trend of an </w:t>
      </w:r>
      <w:r w:rsidR="00B82732">
        <w:rPr>
          <w:lang w:val="en-GB"/>
        </w:rPr>
        <w:t>increasing</w:t>
      </w:r>
      <w:r>
        <w:rPr>
          <w:lang w:val="en-GB"/>
        </w:rPr>
        <w:t xml:space="preserve"> dependence on IT</w:t>
      </w:r>
      <w:r w:rsidR="00B82732">
        <w:rPr>
          <w:lang w:val="en-GB"/>
        </w:rPr>
        <w:t>, is</w:t>
      </w:r>
      <w:r>
        <w:rPr>
          <w:lang w:val="en-GB"/>
        </w:rPr>
        <w:t xml:space="preserve"> also </w:t>
      </w:r>
      <w:r w:rsidR="00B82732">
        <w:rPr>
          <w:lang w:val="en-GB"/>
        </w:rPr>
        <w:t>reflected</w:t>
      </w:r>
      <w:r>
        <w:rPr>
          <w:lang w:val="en-GB"/>
        </w:rPr>
        <w:t xml:space="preserve"> in the number of disclosed IT control weaknesses. There are two </w:t>
      </w:r>
      <w:r w:rsidR="00B82732">
        <w:rPr>
          <w:lang w:val="en-GB"/>
        </w:rPr>
        <w:t>different expectations</w:t>
      </w:r>
      <w:r>
        <w:rPr>
          <w:lang w:val="en-GB"/>
        </w:rPr>
        <w:t xml:space="preserve"> to consider the trend in IT control weaknesses disclosures. </w:t>
      </w:r>
      <w:r w:rsidRPr="001D21DD">
        <w:rPr>
          <w:lang w:val="en-GB"/>
        </w:rPr>
        <w:t xml:space="preserve">The first is that the </w:t>
      </w:r>
      <w:r>
        <w:rPr>
          <w:lang w:val="en-GB"/>
        </w:rPr>
        <w:t>trend shows an inc</w:t>
      </w:r>
      <w:r w:rsidR="004B22C2">
        <w:rPr>
          <w:lang w:val="en-GB"/>
        </w:rPr>
        <w:t>rease</w:t>
      </w:r>
      <w:r>
        <w:rPr>
          <w:lang w:val="en-GB"/>
        </w:rPr>
        <w:t xml:space="preserve"> in </w:t>
      </w:r>
      <w:r w:rsidRPr="001D21DD">
        <w:rPr>
          <w:lang w:val="en-GB"/>
        </w:rPr>
        <w:t>IT control weaknesses</w:t>
      </w:r>
      <w:r>
        <w:rPr>
          <w:lang w:val="en-GB"/>
        </w:rPr>
        <w:t xml:space="preserve">, because firms are more dependent on information systems (like ERP systems) and also because the framework and regulations become more extensive and more strict. The </w:t>
      </w:r>
      <w:r w:rsidR="00B82732">
        <w:rPr>
          <w:lang w:val="en-GB"/>
        </w:rPr>
        <w:t>second is</w:t>
      </w:r>
      <w:r>
        <w:rPr>
          <w:lang w:val="en-GB"/>
        </w:rPr>
        <w:t xml:space="preserve"> suspect</w:t>
      </w:r>
      <w:r w:rsidR="00B82732">
        <w:rPr>
          <w:lang w:val="en-GB"/>
        </w:rPr>
        <w:t>ing</w:t>
      </w:r>
      <w:r>
        <w:rPr>
          <w:lang w:val="en-GB"/>
        </w:rPr>
        <w:t xml:space="preserve"> a negative trend </w:t>
      </w:r>
      <w:r w:rsidR="00B82732">
        <w:rPr>
          <w:lang w:val="en-GB"/>
        </w:rPr>
        <w:t>in</w:t>
      </w:r>
      <w:r>
        <w:rPr>
          <w:lang w:val="en-GB"/>
        </w:rPr>
        <w:t xml:space="preserve"> the number of IT control weaknesses</w:t>
      </w:r>
      <w:r w:rsidR="00B82732">
        <w:rPr>
          <w:lang w:val="en-GB"/>
        </w:rPr>
        <w:t>, assuming</w:t>
      </w:r>
      <w:r>
        <w:rPr>
          <w:lang w:val="en-GB"/>
        </w:rPr>
        <w:t xml:space="preserve"> that the quality</w:t>
      </w:r>
      <w:r w:rsidRPr="001D21DD">
        <w:rPr>
          <w:lang w:val="en-GB"/>
        </w:rPr>
        <w:t xml:space="preserve"> </w:t>
      </w:r>
      <w:r>
        <w:rPr>
          <w:lang w:val="en-GB"/>
        </w:rPr>
        <w:t xml:space="preserve">of </w:t>
      </w:r>
      <w:r w:rsidRPr="001D21DD">
        <w:rPr>
          <w:lang w:val="en-GB"/>
        </w:rPr>
        <w:t>internal control systems ha</w:t>
      </w:r>
      <w:r>
        <w:rPr>
          <w:lang w:val="en-GB"/>
        </w:rPr>
        <w:t>s</w:t>
      </w:r>
      <w:r w:rsidRPr="001D21DD">
        <w:rPr>
          <w:lang w:val="en-GB"/>
        </w:rPr>
        <w:t xml:space="preserve"> improved due to </w:t>
      </w:r>
      <w:r>
        <w:rPr>
          <w:lang w:val="en-GB"/>
        </w:rPr>
        <w:t>better information technology</w:t>
      </w:r>
      <w:r w:rsidR="00B82732">
        <w:rPr>
          <w:lang w:val="en-GB"/>
        </w:rPr>
        <w:t xml:space="preserve">, </w:t>
      </w:r>
      <w:r>
        <w:rPr>
          <w:lang w:val="en-GB"/>
        </w:rPr>
        <w:t>mak</w:t>
      </w:r>
      <w:r w:rsidR="00B82732">
        <w:rPr>
          <w:lang w:val="en-GB"/>
        </w:rPr>
        <w:t>ing</w:t>
      </w:r>
      <w:r>
        <w:rPr>
          <w:lang w:val="en-GB"/>
        </w:rPr>
        <w:t xml:space="preserve"> automated controls and authorizations easier to control</w:t>
      </w:r>
      <w:r w:rsidRPr="001D21DD">
        <w:rPr>
          <w:lang w:val="en-GB"/>
        </w:rPr>
        <w:t>.</w:t>
      </w:r>
      <w:r>
        <w:rPr>
          <w:lang w:val="en-GB"/>
        </w:rPr>
        <w:t xml:space="preserve"> </w:t>
      </w:r>
    </w:p>
    <w:p w:rsidR="000F1EC4" w:rsidRDefault="00445D7D" w:rsidP="00152687">
      <w:pPr>
        <w:pStyle w:val="NoSpacing"/>
        <w:rPr>
          <w:lang w:val="en-GB"/>
        </w:rPr>
      </w:pPr>
      <w:r>
        <w:t>T</w:t>
      </w:r>
      <w:r w:rsidR="000F1EC4" w:rsidRPr="00152687">
        <w:rPr>
          <w:lang w:val="en-GB"/>
        </w:rPr>
        <w:t xml:space="preserve">able 8 </w:t>
      </w:r>
      <w:r>
        <w:rPr>
          <w:lang w:val="en-GB"/>
        </w:rPr>
        <w:t xml:space="preserve">presents </w:t>
      </w:r>
      <w:r w:rsidR="000F1EC4" w:rsidRPr="00152687">
        <w:rPr>
          <w:lang w:val="en-GB"/>
        </w:rPr>
        <w:t>the absolute number of the different types of material weaknesses for each year.</w:t>
      </w:r>
      <w:r w:rsidR="000F1EC4">
        <w:rPr>
          <w:lang w:val="en-GB"/>
        </w:rPr>
        <w:t xml:space="preserve"> The first column shows the sample years 2004 till 2011. The second column presents the total number of firms’ observations in that year. </w:t>
      </w:r>
    </w:p>
    <w:p w:rsidR="000F1EC4" w:rsidRDefault="000F1EC4" w:rsidP="00152687">
      <w:pPr>
        <w:pStyle w:val="NoSpacing"/>
        <w:rPr>
          <w:lang w:val="en-GB"/>
        </w:rPr>
      </w:pPr>
    </w:p>
    <w:p w:rsidR="009E1718" w:rsidRPr="00152687" w:rsidRDefault="009E1718" w:rsidP="00152687">
      <w:pPr>
        <w:pStyle w:val="NoSpacing"/>
        <w:rPr>
          <w:b/>
          <w:i/>
        </w:rPr>
      </w:pPr>
      <w:r w:rsidRPr="00152687">
        <w:rPr>
          <w:b/>
          <w:i/>
        </w:rPr>
        <w:t xml:space="preserve">Table 8: </w:t>
      </w:r>
      <w:r w:rsidR="00770D3B" w:rsidRPr="00770D3B">
        <w:rPr>
          <w:rFonts w:asciiTheme="minorHAnsi" w:hAnsiTheme="minorHAnsi" w:cstheme="minorHAnsi"/>
          <w:b/>
          <w:bCs/>
          <w:i/>
          <w:color w:val="000000"/>
        </w:rPr>
        <w:t>Distribution of (non-) ITMW firms in the period 2004-2011</w:t>
      </w:r>
      <w:r w:rsidR="00770D3B">
        <w:rPr>
          <w:rFonts w:asciiTheme="minorHAnsi" w:hAnsiTheme="minorHAnsi" w:cstheme="minorHAnsi"/>
          <w:b/>
          <w:bCs/>
          <w:i/>
          <w:color w:val="000000"/>
        </w:rPr>
        <w:t xml:space="preserve"> </w:t>
      </w:r>
    </w:p>
    <w:tbl>
      <w:tblPr>
        <w:tblW w:w="0" w:type="auto"/>
        <w:tblInd w:w="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58"/>
        <w:gridCol w:w="1627"/>
        <w:gridCol w:w="1370"/>
        <w:gridCol w:w="1935"/>
        <w:gridCol w:w="1934"/>
      </w:tblGrid>
      <w:tr w:rsidR="00441949" w:rsidTr="00441949">
        <w:trPr>
          <w:trHeight w:val="290"/>
        </w:trPr>
        <w:tc>
          <w:tcPr>
            <w:tcW w:w="1258" w:type="dxa"/>
            <w:tcBorders>
              <w:top w:val="single" w:sz="6" w:space="0" w:color="auto"/>
              <w:bottom w:val="single" w:sz="12" w:space="0" w:color="auto"/>
            </w:tcBorders>
            <w:shd w:val="solid" w:color="C0C0C0" w:fill="auto"/>
          </w:tcPr>
          <w:p w:rsidR="00441949" w:rsidRDefault="00441949">
            <w:pPr>
              <w:autoSpaceDE w:val="0"/>
              <w:autoSpaceDN w:val="0"/>
              <w:adjustRightInd w:val="0"/>
              <w:spacing w:after="0" w:line="240" w:lineRule="auto"/>
              <w:jc w:val="center"/>
              <w:rPr>
                <w:rFonts w:ascii="Arial, Helvetica, Helv" w:hAnsi="Arial, Helvetica, Helv" w:cs="Arial, Helvetica, Helv"/>
                <w:b/>
                <w:bCs/>
                <w:color w:val="000000"/>
                <w:sz w:val="20"/>
                <w:szCs w:val="20"/>
                <w:lang w:val="en-US"/>
              </w:rPr>
            </w:pPr>
            <w:r>
              <w:rPr>
                <w:rFonts w:ascii="Arial, Helvetica, Helv" w:hAnsi="Arial, Helvetica, Helv" w:cs="Arial, Helvetica, Helv"/>
                <w:b/>
                <w:bCs/>
                <w:color w:val="000000"/>
                <w:sz w:val="20"/>
                <w:szCs w:val="20"/>
                <w:lang w:val="en-US"/>
              </w:rPr>
              <w:t>Year</w:t>
            </w:r>
          </w:p>
        </w:tc>
        <w:tc>
          <w:tcPr>
            <w:tcW w:w="1627" w:type="dxa"/>
            <w:tcBorders>
              <w:top w:val="single" w:sz="6" w:space="0" w:color="auto"/>
              <w:bottom w:val="single" w:sz="12" w:space="0" w:color="auto"/>
            </w:tcBorders>
            <w:shd w:val="solid" w:color="C0C0C0" w:fill="auto"/>
          </w:tcPr>
          <w:p w:rsidR="00441949" w:rsidRDefault="00441949">
            <w:pPr>
              <w:autoSpaceDE w:val="0"/>
              <w:autoSpaceDN w:val="0"/>
              <w:adjustRightInd w:val="0"/>
              <w:spacing w:after="0" w:line="240" w:lineRule="auto"/>
              <w:jc w:val="center"/>
              <w:rPr>
                <w:rFonts w:ascii="Arial, Helvetica, Helv" w:hAnsi="Arial, Helvetica, Helv" w:cs="Arial, Helvetica, Helv"/>
                <w:b/>
                <w:bCs/>
                <w:color w:val="000000"/>
                <w:sz w:val="20"/>
                <w:szCs w:val="20"/>
                <w:lang w:val="en-US"/>
              </w:rPr>
            </w:pPr>
            <w:r>
              <w:rPr>
                <w:rFonts w:ascii="Arial, Helvetica, Helv" w:hAnsi="Arial, Helvetica, Helv" w:cs="Arial, Helvetica, Helv"/>
                <w:b/>
                <w:bCs/>
                <w:color w:val="000000"/>
                <w:sz w:val="20"/>
                <w:szCs w:val="20"/>
                <w:lang w:val="en-US"/>
              </w:rPr>
              <w:t>Total firms</w:t>
            </w:r>
          </w:p>
        </w:tc>
        <w:tc>
          <w:tcPr>
            <w:tcW w:w="1370" w:type="dxa"/>
            <w:tcBorders>
              <w:top w:val="single" w:sz="6" w:space="0" w:color="auto"/>
              <w:bottom w:val="single" w:sz="12" w:space="0" w:color="auto"/>
            </w:tcBorders>
            <w:shd w:val="solid" w:color="C0C0C0" w:fill="auto"/>
          </w:tcPr>
          <w:p w:rsidR="00441949" w:rsidRDefault="00441949">
            <w:pPr>
              <w:autoSpaceDE w:val="0"/>
              <w:autoSpaceDN w:val="0"/>
              <w:adjustRightInd w:val="0"/>
              <w:spacing w:after="0" w:line="240" w:lineRule="auto"/>
              <w:jc w:val="center"/>
              <w:rPr>
                <w:rFonts w:ascii="Arial, Helvetica, Helv" w:hAnsi="Arial, Helvetica, Helv" w:cs="Arial, Helvetica, Helv"/>
                <w:b/>
                <w:bCs/>
                <w:color w:val="000000"/>
                <w:sz w:val="20"/>
                <w:szCs w:val="20"/>
                <w:lang w:val="en-US"/>
              </w:rPr>
            </w:pPr>
            <w:r>
              <w:rPr>
                <w:rFonts w:ascii="Arial, Helvetica, Helv" w:hAnsi="Arial, Helvetica, Helv" w:cs="Arial, Helvetica, Helv"/>
                <w:b/>
                <w:bCs/>
                <w:color w:val="000000"/>
                <w:sz w:val="20"/>
                <w:szCs w:val="20"/>
                <w:lang w:val="en-US"/>
              </w:rPr>
              <w:t>ITMW firms</w:t>
            </w:r>
          </w:p>
        </w:tc>
        <w:tc>
          <w:tcPr>
            <w:tcW w:w="1935" w:type="dxa"/>
            <w:tcBorders>
              <w:top w:val="single" w:sz="6" w:space="0" w:color="auto"/>
              <w:bottom w:val="single" w:sz="12" w:space="0" w:color="auto"/>
            </w:tcBorders>
            <w:shd w:val="solid" w:color="C0C0C0" w:fill="auto"/>
          </w:tcPr>
          <w:p w:rsidR="00441949" w:rsidRDefault="00441949">
            <w:pPr>
              <w:autoSpaceDE w:val="0"/>
              <w:autoSpaceDN w:val="0"/>
              <w:adjustRightInd w:val="0"/>
              <w:spacing w:after="0" w:line="240" w:lineRule="auto"/>
              <w:jc w:val="center"/>
              <w:rPr>
                <w:rFonts w:ascii="Arial, Helvetica, Helv" w:hAnsi="Arial, Helvetica, Helv" w:cs="Arial, Helvetica, Helv"/>
                <w:b/>
                <w:bCs/>
                <w:color w:val="000000"/>
                <w:sz w:val="20"/>
                <w:szCs w:val="20"/>
                <w:lang w:val="en-US"/>
              </w:rPr>
            </w:pPr>
            <w:r>
              <w:rPr>
                <w:rFonts w:ascii="Arial, Helvetica, Helv" w:hAnsi="Arial, Helvetica, Helv" w:cs="Arial, Helvetica, Helv"/>
                <w:b/>
                <w:bCs/>
                <w:color w:val="000000"/>
                <w:sz w:val="20"/>
                <w:szCs w:val="20"/>
                <w:lang w:val="en-US"/>
              </w:rPr>
              <w:t>Non-ITMW firms</w:t>
            </w:r>
          </w:p>
        </w:tc>
        <w:tc>
          <w:tcPr>
            <w:tcW w:w="1934" w:type="dxa"/>
            <w:tcBorders>
              <w:top w:val="single" w:sz="6" w:space="0" w:color="auto"/>
              <w:bottom w:val="single" w:sz="12" w:space="0" w:color="auto"/>
            </w:tcBorders>
            <w:shd w:val="solid" w:color="C0C0C0" w:fill="auto"/>
          </w:tcPr>
          <w:p w:rsidR="00441949" w:rsidRDefault="00441949">
            <w:pPr>
              <w:autoSpaceDE w:val="0"/>
              <w:autoSpaceDN w:val="0"/>
              <w:adjustRightInd w:val="0"/>
              <w:spacing w:after="0" w:line="240" w:lineRule="auto"/>
              <w:jc w:val="center"/>
              <w:rPr>
                <w:rFonts w:ascii="Arial, Helvetica, Helv" w:hAnsi="Arial, Helvetica, Helv" w:cs="Arial, Helvetica, Helv"/>
                <w:b/>
                <w:bCs/>
                <w:color w:val="000000"/>
                <w:sz w:val="20"/>
                <w:szCs w:val="20"/>
                <w:lang w:val="en-US"/>
              </w:rPr>
            </w:pPr>
            <w:r>
              <w:rPr>
                <w:rFonts w:ascii="Arial, Helvetica, Helv" w:hAnsi="Arial, Helvetica, Helv" w:cs="Arial, Helvetica, Helv"/>
                <w:b/>
                <w:bCs/>
                <w:color w:val="000000"/>
                <w:sz w:val="20"/>
                <w:szCs w:val="20"/>
                <w:lang w:val="en-US"/>
              </w:rPr>
              <w:t>Total MW firms</w:t>
            </w:r>
          </w:p>
        </w:tc>
      </w:tr>
      <w:tr w:rsidR="00441949" w:rsidTr="00441949">
        <w:trPr>
          <w:trHeight w:val="290"/>
        </w:trPr>
        <w:tc>
          <w:tcPr>
            <w:tcW w:w="1258" w:type="dxa"/>
            <w:tcBorders>
              <w:top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2004</w:t>
            </w:r>
          </w:p>
        </w:tc>
        <w:tc>
          <w:tcPr>
            <w:tcW w:w="1627" w:type="dxa"/>
            <w:tcBorders>
              <w:top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2244</w:t>
            </w:r>
          </w:p>
        </w:tc>
        <w:tc>
          <w:tcPr>
            <w:tcW w:w="1370" w:type="dxa"/>
            <w:tcBorders>
              <w:top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72</w:t>
            </w:r>
          </w:p>
        </w:tc>
        <w:tc>
          <w:tcPr>
            <w:tcW w:w="1935" w:type="dxa"/>
            <w:tcBorders>
              <w:top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275</w:t>
            </w:r>
          </w:p>
        </w:tc>
        <w:tc>
          <w:tcPr>
            <w:tcW w:w="1934" w:type="dxa"/>
            <w:tcBorders>
              <w:top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347</w:t>
            </w:r>
          </w:p>
        </w:tc>
      </w:tr>
      <w:tr w:rsidR="00441949" w:rsidTr="00441949">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2005</w:t>
            </w:r>
          </w:p>
        </w:tc>
        <w:tc>
          <w:tcPr>
            <w:tcW w:w="1627"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3348</w:t>
            </w:r>
          </w:p>
        </w:tc>
        <w:tc>
          <w:tcPr>
            <w:tcW w:w="1370"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76</w:t>
            </w:r>
          </w:p>
        </w:tc>
        <w:tc>
          <w:tcPr>
            <w:tcW w:w="1935"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344</w:t>
            </w:r>
          </w:p>
        </w:tc>
        <w:tc>
          <w:tcPr>
            <w:tcW w:w="1934"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420</w:t>
            </w:r>
          </w:p>
        </w:tc>
      </w:tr>
      <w:tr w:rsidR="00441949" w:rsidTr="00441949">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2006</w:t>
            </w:r>
          </w:p>
        </w:tc>
        <w:tc>
          <w:tcPr>
            <w:tcW w:w="1627"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3909</w:t>
            </w:r>
          </w:p>
        </w:tc>
        <w:tc>
          <w:tcPr>
            <w:tcW w:w="1370"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78</w:t>
            </w:r>
          </w:p>
        </w:tc>
        <w:tc>
          <w:tcPr>
            <w:tcW w:w="1935"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307</w:t>
            </w:r>
          </w:p>
        </w:tc>
        <w:tc>
          <w:tcPr>
            <w:tcW w:w="1934"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385</w:t>
            </w:r>
          </w:p>
        </w:tc>
      </w:tr>
      <w:tr w:rsidR="00441949" w:rsidTr="00441949">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2007</w:t>
            </w:r>
          </w:p>
        </w:tc>
        <w:tc>
          <w:tcPr>
            <w:tcW w:w="1627"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5296</w:t>
            </w:r>
          </w:p>
        </w:tc>
        <w:tc>
          <w:tcPr>
            <w:tcW w:w="1370"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133</w:t>
            </w:r>
          </w:p>
        </w:tc>
        <w:tc>
          <w:tcPr>
            <w:tcW w:w="1935"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356</w:t>
            </w:r>
          </w:p>
        </w:tc>
        <w:tc>
          <w:tcPr>
            <w:tcW w:w="1934"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489</w:t>
            </w:r>
          </w:p>
        </w:tc>
      </w:tr>
      <w:tr w:rsidR="00441949" w:rsidTr="00441949">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2008</w:t>
            </w:r>
          </w:p>
        </w:tc>
        <w:tc>
          <w:tcPr>
            <w:tcW w:w="1627"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5801</w:t>
            </w:r>
          </w:p>
        </w:tc>
        <w:tc>
          <w:tcPr>
            <w:tcW w:w="1370"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99</w:t>
            </w:r>
          </w:p>
        </w:tc>
        <w:tc>
          <w:tcPr>
            <w:tcW w:w="1935"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365</w:t>
            </w:r>
          </w:p>
        </w:tc>
        <w:tc>
          <w:tcPr>
            <w:tcW w:w="1934"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464</w:t>
            </w:r>
          </w:p>
        </w:tc>
      </w:tr>
      <w:tr w:rsidR="00441949" w:rsidTr="00441949">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2009</w:t>
            </w:r>
          </w:p>
        </w:tc>
        <w:tc>
          <w:tcPr>
            <w:tcW w:w="1627"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5944</w:t>
            </w:r>
          </w:p>
        </w:tc>
        <w:tc>
          <w:tcPr>
            <w:tcW w:w="1370"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87</w:t>
            </w:r>
          </w:p>
        </w:tc>
        <w:tc>
          <w:tcPr>
            <w:tcW w:w="1935"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344</w:t>
            </w:r>
          </w:p>
        </w:tc>
        <w:tc>
          <w:tcPr>
            <w:tcW w:w="1934"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431</w:t>
            </w:r>
          </w:p>
        </w:tc>
      </w:tr>
      <w:tr w:rsidR="00441949" w:rsidTr="00441949">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2010</w:t>
            </w:r>
          </w:p>
        </w:tc>
        <w:tc>
          <w:tcPr>
            <w:tcW w:w="1627"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6129</w:t>
            </w:r>
          </w:p>
        </w:tc>
        <w:tc>
          <w:tcPr>
            <w:tcW w:w="1370"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66</w:t>
            </w:r>
          </w:p>
        </w:tc>
        <w:tc>
          <w:tcPr>
            <w:tcW w:w="1935"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384</w:t>
            </w:r>
          </w:p>
        </w:tc>
        <w:tc>
          <w:tcPr>
            <w:tcW w:w="1934"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450</w:t>
            </w:r>
          </w:p>
        </w:tc>
      </w:tr>
      <w:tr w:rsidR="00441949" w:rsidTr="00441949">
        <w:trPr>
          <w:trHeight w:val="290"/>
        </w:trPr>
        <w:tc>
          <w:tcPr>
            <w:tcW w:w="1258" w:type="dxa"/>
            <w:tcBorders>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2011</w:t>
            </w:r>
          </w:p>
        </w:tc>
        <w:tc>
          <w:tcPr>
            <w:tcW w:w="1627" w:type="dxa"/>
            <w:tcBorders>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5559</w:t>
            </w:r>
          </w:p>
        </w:tc>
        <w:tc>
          <w:tcPr>
            <w:tcW w:w="1370" w:type="dxa"/>
            <w:tcBorders>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58</w:t>
            </w:r>
          </w:p>
        </w:tc>
        <w:tc>
          <w:tcPr>
            <w:tcW w:w="1935" w:type="dxa"/>
            <w:tcBorders>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374</w:t>
            </w:r>
          </w:p>
        </w:tc>
        <w:tc>
          <w:tcPr>
            <w:tcW w:w="1934" w:type="dxa"/>
            <w:tcBorders>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432</w:t>
            </w:r>
          </w:p>
        </w:tc>
      </w:tr>
      <w:tr w:rsidR="00441949" w:rsidTr="00441949">
        <w:trPr>
          <w:trHeight w:val="290"/>
        </w:trPr>
        <w:tc>
          <w:tcPr>
            <w:tcW w:w="1258" w:type="dxa"/>
            <w:tcBorders>
              <w:top w:val="single" w:sz="12" w:space="0" w:color="auto"/>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Total</w:t>
            </w:r>
          </w:p>
        </w:tc>
        <w:tc>
          <w:tcPr>
            <w:tcW w:w="1627" w:type="dxa"/>
            <w:tcBorders>
              <w:top w:val="single" w:sz="12" w:space="0" w:color="auto"/>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38230</w:t>
            </w:r>
          </w:p>
        </w:tc>
        <w:tc>
          <w:tcPr>
            <w:tcW w:w="1370" w:type="dxa"/>
            <w:tcBorders>
              <w:top w:val="single" w:sz="12" w:space="0" w:color="auto"/>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669</w:t>
            </w:r>
          </w:p>
        </w:tc>
        <w:tc>
          <w:tcPr>
            <w:tcW w:w="1935" w:type="dxa"/>
            <w:tcBorders>
              <w:top w:val="single" w:sz="12" w:space="0" w:color="auto"/>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2749</w:t>
            </w:r>
          </w:p>
        </w:tc>
        <w:tc>
          <w:tcPr>
            <w:tcW w:w="1934" w:type="dxa"/>
            <w:tcBorders>
              <w:top w:val="single" w:sz="12" w:space="0" w:color="auto"/>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3418</w:t>
            </w:r>
          </w:p>
        </w:tc>
      </w:tr>
    </w:tbl>
    <w:p w:rsidR="00445D7D" w:rsidRDefault="009E1718" w:rsidP="00770D3B">
      <w:pPr>
        <w:pStyle w:val="NoSpacing"/>
      </w:pPr>
      <w:r>
        <w:br/>
      </w:r>
      <w:r w:rsidR="00445D7D">
        <w:rPr>
          <w:lang w:val="en-GB"/>
        </w:rPr>
        <w:t xml:space="preserve">The most surprising result in table 8 is the increase of firms in the year 2007. Also the increase of the material IT control weaknesses in the third column is a remarkable finding, certainly because the number of non-IT material weaknesses stayed relatively on the same level.   </w:t>
      </w:r>
      <w:r w:rsidR="00445D7D">
        <w:br/>
      </w:r>
    </w:p>
    <w:p w:rsidR="000F1EC4" w:rsidRDefault="000F1EC4" w:rsidP="00770D3B">
      <w:pPr>
        <w:pStyle w:val="NoSpacing"/>
        <w:rPr>
          <w:b/>
          <w:i/>
        </w:rPr>
      </w:pPr>
      <w:r>
        <w:t>Table 9 presents the relative measures to correct for fluctuations in the total number of firms in one year. This scaling on the basis of the number of total firms is presented in the second and third column, where the IT and non-IT material weaknesses percentages can be compared. The fourth and fifth column present the earlier discussed relative measures to assess the share of material IT control weaknesses within the total number of material weaknesses disclosures in a year.</w:t>
      </w:r>
    </w:p>
    <w:p w:rsidR="000F1EC4" w:rsidRDefault="000F1EC4" w:rsidP="00770D3B">
      <w:pPr>
        <w:pStyle w:val="NoSpacing"/>
        <w:rPr>
          <w:b/>
          <w:i/>
        </w:rPr>
      </w:pPr>
    </w:p>
    <w:p w:rsidR="00806F26" w:rsidRDefault="00806F26">
      <w:pPr>
        <w:rPr>
          <w:rFonts w:ascii="Calibri" w:eastAsia="Times New Roman" w:hAnsi="Calibri" w:cs="Times New Roman"/>
          <w:b/>
          <w:i/>
          <w:lang w:val="en-US"/>
        </w:rPr>
      </w:pPr>
      <w:r>
        <w:rPr>
          <w:b/>
          <w:i/>
        </w:rPr>
        <w:br w:type="page"/>
      </w:r>
    </w:p>
    <w:p w:rsidR="00770D3B" w:rsidRDefault="009E1718" w:rsidP="00770D3B">
      <w:pPr>
        <w:pStyle w:val="NoSpacing"/>
        <w:rPr>
          <w:b/>
          <w:i/>
        </w:rPr>
      </w:pPr>
      <w:r w:rsidRPr="00770D3B">
        <w:rPr>
          <w:b/>
          <w:i/>
        </w:rPr>
        <w:t xml:space="preserve">Table 9: </w:t>
      </w:r>
      <w:r w:rsidR="00770D3B" w:rsidRPr="00770D3B">
        <w:rPr>
          <w:b/>
          <w:i/>
        </w:rPr>
        <w:t>Percentage of (non-) ITMW firms/ to total firms and total material weakness firms</w:t>
      </w:r>
    </w:p>
    <w:tbl>
      <w:tblPr>
        <w:tblW w:w="0" w:type="auto"/>
        <w:tblInd w:w="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58"/>
        <w:gridCol w:w="1627"/>
        <w:gridCol w:w="1823"/>
        <w:gridCol w:w="1701"/>
        <w:gridCol w:w="1715"/>
      </w:tblGrid>
      <w:tr w:rsidR="00441949" w:rsidRPr="00F93260" w:rsidTr="00770D3B">
        <w:trPr>
          <w:trHeight w:val="506"/>
        </w:trPr>
        <w:tc>
          <w:tcPr>
            <w:tcW w:w="1258" w:type="dxa"/>
            <w:tcBorders>
              <w:top w:val="single" w:sz="12" w:space="0" w:color="auto"/>
              <w:bottom w:val="single" w:sz="12" w:space="0" w:color="auto"/>
            </w:tcBorders>
            <w:shd w:val="solid" w:color="C0C0C0" w:fill="auto"/>
          </w:tcPr>
          <w:p w:rsidR="00441949" w:rsidRDefault="00441949">
            <w:pPr>
              <w:autoSpaceDE w:val="0"/>
              <w:autoSpaceDN w:val="0"/>
              <w:adjustRightInd w:val="0"/>
              <w:spacing w:after="0" w:line="240" w:lineRule="auto"/>
              <w:jc w:val="center"/>
              <w:rPr>
                <w:rFonts w:ascii="Arial, Helvetica, Helv" w:hAnsi="Arial, Helvetica, Helv" w:cs="Arial, Helvetica, Helv"/>
                <w:b/>
                <w:bCs/>
                <w:color w:val="000000"/>
                <w:sz w:val="20"/>
                <w:szCs w:val="20"/>
                <w:lang w:val="en-US"/>
              </w:rPr>
            </w:pPr>
            <w:r>
              <w:rPr>
                <w:rFonts w:ascii="Arial, Helvetica, Helv" w:hAnsi="Arial, Helvetica, Helv" w:cs="Arial, Helvetica, Helv"/>
                <w:b/>
                <w:bCs/>
                <w:color w:val="000000"/>
                <w:sz w:val="20"/>
                <w:szCs w:val="20"/>
                <w:lang w:val="en-US"/>
              </w:rPr>
              <w:t>Year</w:t>
            </w:r>
          </w:p>
        </w:tc>
        <w:tc>
          <w:tcPr>
            <w:tcW w:w="1627" w:type="dxa"/>
            <w:tcBorders>
              <w:top w:val="single" w:sz="12" w:space="0" w:color="auto"/>
              <w:bottom w:val="single" w:sz="12" w:space="0" w:color="auto"/>
            </w:tcBorders>
            <w:shd w:val="solid" w:color="C0C0C0" w:fill="auto"/>
          </w:tcPr>
          <w:p w:rsidR="00441949" w:rsidRDefault="00441949">
            <w:pPr>
              <w:autoSpaceDE w:val="0"/>
              <w:autoSpaceDN w:val="0"/>
              <w:adjustRightInd w:val="0"/>
              <w:spacing w:after="0" w:line="240" w:lineRule="auto"/>
              <w:jc w:val="center"/>
              <w:rPr>
                <w:rFonts w:ascii="Arial, Helvetica, Helv" w:hAnsi="Arial, Helvetica, Helv" w:cs="Arial, Helvetica, Helv"/>
                <w:b/>
                <w:bCs/>
                <w:color w:val="000000"/>
                <w:sz w:val="20"/>
                <w:szCs w:val="20"/>
                <w:lang w:val="en-US"/>
              </w:rPr>
            </w:pPr>
            <w:r>
              <w:rPr>
                <w:rFonts w:ascii="Arial, Helvetica, Helv" w:hAnsi="Arial, Helvetica, Helv" w:cs="Arial, Helvetica, Helv"/>
                <w:b/>
                <w:bCs/>
                <w:color w:val="000000"/>
                <w:sz w:val="20"/>
                <w:szCs w:val="20"/>
                <w:lang w:val="en-US"/>
              </w:rPr>
              <w:t>% ITMW firms/ total firms</w:t>
            </w:r>
          </w:p>
        </w:tc>
        <w:tc>
          <w:tcPr>
            <w:tcW w:w="1823" w:type="dxa"/>
            <w:tcBorders>
              <w:top w:val="single" w:sz="12" w:space="0" w:color="auto"/>
              <w:bottom w:val="single" w:sz="12" w:space="0" w:color="auto"/>
            </w:tcBorders>
            <w:shd w:val="solid" w:color="C0C0C0" w:fill="auto"/>
          </w:tcPr>
          <w:p w:rsidR="00441949" w:rsidRDefault="00441949">
            <w:pPr>
              <w:autoSpaceDE w:val="0"/>
              <w:autoSpaceDN w:val="0"/>
              <w:adjustRightInd w:val="0"/>
              <w:spacing w:after="0" w:line="240" w:lineRule="auto"/>
              <w:jc w:val="center"/>
              <w:rPr>
                <w:rFonts w:ascii="Arial, Helvetica, Helv" w:hAnsi="Arial, Helvetica, Helv" w:cs="Arial, Helvetica, Helv"/>
                <w:b/>
                <w:bCs/>
                <w:color w:val="000000"/>
                <w:sz w:val="20"/>
                <w:szCs w:val="20"/>
                <w:lang w:val="en-US"/>
              </w:rPr>
            </w:pPr>
            <w:r>
              <w:rPr>
                <w:rFonts w:ascii="Arial, Helvetica, Helv" w:hAnsi="Arial, Helvetica, Helv" w:cs="Arial, Helvetica, Helv"/>
                <w:b/>
                <w:bCs/>
                <w:color w:val="000000"/>
                <w:sz w:val="20"/>
                <w:szCs w:val="20"/>
                <w:lang w:val="en-US"/>
              </w:rPr>
              <w:t>% Non ITMW firms/ total firms</w:t>
            </w:r>
          </w:p>
        </w:tc>
        <w:tc>
          <w:tcPr>
            <w:tcW w:w="1701" w:type="dxa"/>
            <w:tcBorders>
              <w:top w:val="single" w:sz="12" w:space="0" w:color="auto"/>
              <w:bottom w:val="single" w:sz="12" w:space="0" w:color="auto"/>
            </w:tcBorders>
            <w:shd w:val="solid" w:color="C0C0C0" w:fill="auto"/>
          </w:tcPr>
          <w:p w:rsidR="00441949" w:rsidRDefault="00441949">
            <w:pPr>
              <w:autoSpaceDE w:val="0"/>
              <w:autoSpaceDN w:val="0"/>
              <w:adjustRightInd w:val="0"/>
              <w:spacing w:after="0" w:line="240" w:lineRule="auto"/>
              <w:jc w:val="center"/>
              <w:rPr>
                <w:rFonts w:ascii="Arial, Helvetica, Helv" w:hAnsi="Arial, Helvetica, Helv" w:cs="Arial, Helvetica, Helv"/>
                <w:b/>
                <w:bCs/>
                <w:color w:val="000000"/>
                <w:sz w:val="20"/>
                <w:szCs w:val="20"/>
                <w:lang w:val="en-US"/>
              </w:rPr>
            </w:pPr>
            <w:r>
              <w:rPr>
                <w:rFonts w:ascii="Arial, Helvetica, Helv" w:hAnsi="Arial, Helvetica, Helv" w:cs="Arial, Helvetica, Helv"/>
                <w:b/>
                <w:bCs/>
                <w:color w:val="000000"/>
                <w:sz w:val="20"/>
                <w:szCs w:val="20"/>
                <w:lang w:val="en-US"/>
              </w:rPr>
              <w:t>% ITMW/ total MW firms</w:t>
            </w:r>
          </w:p>
        </w:tc>
        <w:tc>
          <w:tcPr>
            <w:tcW w:w="1715" w:type="dxa"/>
            <w:tcBorders>
              <w:top w:val="single" w:sz="12" w:space="0" w:color="auto"/>
              <w:bottom w:val="single" w:sz="12" w:space="0" w:color="auto"/>
            </w:tcBorders>
            <w:shd w:val="solid" w:color="C0C0C0" w:fill="auto"/>
          </w:tcPr>
          <w:p w:rsidR="00441949" w:rsidRDefault="00441949">
            <w:pPr>
              <w:autoSpaceDE w:val="0"/>
              <w:autoSpaceDN w:val="0"/>
              <w:adjustRightInd w:val="0"/>
              <w:spacing w:after="0" w:line="240" w:lineRule="auto"/>
              <w:jc w:val="center"/>
              <w:rPr>
                <w:rFonts w:ascii="Arial, Helvetica, Helv" w:hAnsi="Arial, Helvetica, Helv" w:cs="Arial, Helvetica, Helv"/>
                <w:b/>
                <w:bCs/>
                <w:color w:val="000000"/>
                <w:sz w:val="20"/>
                <w:szCs w:val="20"/>
                <w:lang w:val="en-US"/>
              </w:rPr>
            </w:pPr>
            <w:r>
              <w:rPr>
                <w:rFonts w:ascii="Arial, Helvetica, Helv" w:hAnsi="Arial, Helvetica, Helv" w:cs="Arial, Helvetica, Helv"/>
                <w:b/>
                <w:bCs/>
                <w:color w:val="000000"/>
                <w:sz w:val="20"/>
                <w:szCs w:val="20"/>
                <w:lang w:val="en-US"/>
              </w:rPr>
              <w:t>% Non-ITMW/ total MW firms</w:t>
            </w:r>
          </w:p>
        </w:tc>
      </w:tr>
      <w:tr w:rsidR="00441949" w:rsidTr="00770D3B">
        <w:trPr>
          <w:trHeight w:val="290"/>
        </w:trPr>
        <w:tc>
          <w:tcPr>
            <w:tcW w:w="1258" w:type="dxa"/>
            <w:tcBorders>
              <w:top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2004</w:t>
            </w:r>
          </w:p>
        </w:tc>
        <w:tc>
          <w:tcPr>
            <w:tcW w:w="1627" w:type="dxa"/>
            <w:tcBorders>
              <w:top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3.21%</w:t>
            </w:r>
          </w:p>
        </w:tc>
        <w:tc>
          <w:tcPr>
            <w:tcW w:w="1823" w:type="dxa"/>
            <w:tcBorders>
              <w:top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12.25%</w:t>
            </w:r>
          </w:p>
        </w:tc>
        <w:tc>
          <w:tcPr>
            <w:tcW w:w="1701" w:type="dxa"/>
            <w:tcBorders>
              <w:top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20.75%</w:t>
            </w:r>
          </w:p>
        </w:tc>
        <w:tc>
          <w:tcPr>
            <w:tcW w:w="1715" w:type="dxa"/>
            <w:tcBorders>
              <w:top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79.25%</w:t>
            </w:r>
          </w:p>
        </w:tc>
      </w:tr>
      <w:tr w:rsidR="00441949" w:rsidTr="00770D3B">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2005</w:t>
            </w:r>
          </w:p>
        </w:tc>
        <w:tc>
          <w:tcPr>
            <w:tcW w:w="1627"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2.27%</w:t>
            </w:r>
          </w:p>
        </w:tc>
        <w:tc>
          <w:tcPr>
            <w:tcW w:w="1823"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10.27%</w:t>
            </w:r>
          </w:p>
        </w:tc>
        <w:tc>
          <w:tcPr>
            <w:tcW w:w="1701"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18.10%</w:t>
            </w:r>
          </w:p>
        </w:tc>
        <w:tc>
          <w:tcPr>
            <w:tcW w:w="1715"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81.90%</w:t>
            </w:r>
          </w:p>
        </w:tc>
      </w:tr>
      <w:tr w:rsidR="00441949" w:rsidTr="00770D3B">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2006</w:t>
            </w:r>
          </w:p>
        </w:tc>
        <w:tc>
          <w:tcPr>
            <w:tcW w:w="1627"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2.00%</w:t>
            </w:r>
          </w:p>
        </w:tc>
        <w:tc>
          <w:tcPr>
            <w:tcW w:w="1823"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7.85%</w:t>
            </w:r>
          </w:p>
        </w:tc>
        <w:tc>
          <w:tcPr>
            <w:tcW w:w="1701"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20.26%</w:t>
            </w:r>
          </w:p>
        </w:tc>
        <w:tc>
          <w:tcPr>
            <w:tcW w:w="1715"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79.74%</w:t>
            </w:r>
          </w:p>
        </w:tc>
      </w:tr>
      <w:tr w:rsidR="00441949" w:rsidTr="00770D3B">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2007</w:t>
            </w:r>
          </w:p>
        </w:tc>
        <w:tc>
          <w:tcPr>
            <w:tcW w:w="1627"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2.51%</w:t>
            </w:r>
          </w:p>
        </w:tc>
        <w:tc>
          <w:tcPr>
            <w:tcW w:w="1823"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6.72%</w:t>
            </w:r>
          </w:p>
        </w:tc>
        <w:tc>
          <w:tcPr>
            <w:tcW w:w="1701"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27.20%</w:t>
            </w:r>
          </w:p>
        </w:tc>
        <w:tc>
          <w:tcPr>
            <w:tcW w:w="1715"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72.80%</w:t>
            </w:r>
          </w:p>
        </w:tc>
      </w:tr>
      <w:tr w:rsidR="00441949" w:rsidTr="00770D3B">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2008</w:t>
            </w:r>
          </w:p>
        </w:tc>
        <w:tc>
          <w:tcPr>
            <w:tcW w:w="1627"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1.71%</w:t>
            </w:r>
          </w:p>
        </w:tc>
        <w:tc>
          <w:tcPr>
            <w:tcW w:w="1823"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6.29%</w:t>
            </w:r>
          </w:p>
        </w:tc>
        <w:tc>
          <w:tcPr>
            <w:tcW w:w="1701"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21.34%</w:t>
            </w:r>
          </w:p>
        </w:tc>
        <w:tc>
          <w:tcPr>
            <w:tcW w:w="1715"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78.66%</w:t>
            </w:r>
          </w:p>
        </w:tc>
      </w:tr>
      <w:tr w:rsidR="00441949" w:rsidTr="00770D3B">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2009</w:t>
            </w:r>
          </w:p>
        </w:tc>
        <w:tc>
          <w:tcPr>
            <w:tcW w:w="1627"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1.46%</w:t>
            </w:r>
          </w:p>
        </w:tc>
        <w:tc>
          <w:tcPr>
            <w:tcW w:w="1823"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5.79%</w:t>
            </w:r>
          </w:p>
        </w:tc>
        <w:tc>
          <w:tcPr>
            <w:tcW w:w="1701"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20.19%</w:t>
            </w:r>
          </w:p>
        </w:tc>
        <w:tc>
          <w:tcPr>
            <w:tcW w:w="1715"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79.81%</w:t>
            </w:r>
          </w:p>
        </w:tc>
      </w:tr>
      <w:tr w:rsidR="00441949" w:rsidTr="00770D3B">
        <w:trPr>
          <w:trHeight w:val="290"/>
        </w:trPr>
        <w:tc>
          <w:tcPr>
            <w:tcW w:w="1258" w:type="dxa"/>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2010</w:t>
            </w:r>
          </w:p>
        </w:tc>
        <w:tc>
          <w:tcPr>
            <w:tcW w:w="1627"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1.08%</w:t>
            </w:r>
          </w:p>
        </w:tc>
        <w:tc>
          <w:tcPr>
            <w:tcW w:w="1823"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6.27%</w:t>
            </w:r>
          </w:p>
        </w:tc>
        <w:tc>
          <w:tcPr>
            <w:tcW w:w="1701"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14.67%</w:t>
            </w:r>
          </w:p>
        </w:tc>
        <w:tc>
          <w:tcPr>
            <w:tcW w:w="1715" w:type="dxa"/>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85.33%</w:t>
            </w:r>
          </w:p>
        </w:tc>
      </w:tr>
      <w:tr w:rsidR="00441949" w:rsidTr="00770D3B">
        <w:trPr>
          <w:trHeight w:val="290"/>
        </w:trPr>
        <w:tc>
          <w:tcPr>
            <w:tcW w:w="1258" w:type="dxa"/>
            <w:tcBorders>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2011</w:t>
            </w:r>
          </w:p>
        </w:tc>
        <w:tc>
          <w:tcPr>
            <w:tcW w:w="1627" w:type="dxa"/>
            <w:tcBorders>
              <w:bottom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1.04%</w:t>
            </w:r>
          </w:p>
        </w:tc>
        <w:tc>
          <w:tcPr>
            <w:tcW w:w="1823" w:type="dxa"/>
            <w:tcBorders>
              <w:bottom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6.73%</w:t>
            </w:r>
          </w:p>
        </w:tc>
        <w:tc>
          <w:tcPr>
            <w:tcW w:w="1701" w:type="dxa"/>
            <w:tcBorders>
              <w:bottom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13.43%</w:t>
            </w:r>
          </w:p>
        </w:tc>
        <w:tc>
          <w:tcPr>
            <w:tcW w:w="1715" w:type="dxa"/>
            <w:tcBorders>
              <w:bottom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86.57%</w:t>
            </w:r>
          </w:p>
        </w:tc>
      </w:tr>
      <w:tr w:rsidR="00441949" w:rsidTr="00770D3B">
        <w:trPr>
          <w:trHeight w:val="290"/>
        </w:trPr>
        <w:tc>
          <w:tcPr>
            <w:tcW w:w="1258" w:type="dxa"/>
            <w:tcBorders>
              <w:top w:val="single" w:sz="12" w:space="0" w:color="auto"/>
              <w:bottom w:val="single" w:sz="12" w:space="0" w:color="auto"/>
            </w:tcBorders>
          </w:tcPr>
          <w:p w:rsidR="00441949" w:rsidRDefault="00441949">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Total</w:t>
            </w:r>
          </w:p>
        </w:tc>
        <w:tc>
          <w:tcPr>
            <w:tcW w:w="1627" w:type="dxa"/>
            <w:tcBorders>
              <w:top w:val="single" w:sz="12" w:space="0" w:color="auto"/>
              <w:bottom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1.75%</w:t>
            </w:r>
          </w:p>
        </w:tc>
        <w:tc>
          <w:tcPr>
            <w:tcW w:w="1823" w:type="dxa"/>
            <w:tcBorders>
              <w:top w:val="single" w:sz="12" w:space="0" w:color="auto"/>
              <w:bottom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7.19%</w:t>
            </w:r>
          </w:p>
        </w:tc>
        <w:tc>
          <w:tcPr>
            <w:tcW w:w="1701" w:type="dxa"/>
            <w:tcBorders>
              <w:top w:val="single" w:sz="12" w:space="0" w:color="auto"/>
              <w:bottom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19.57%</w:t>
            </w:r>
          </w:p>
        </w:tc>
        <w:tc>
          <w:tcPr>
            <w:tcW w:w="1715" w:type="dxa"/>
            <w:tcBorders>
              <w:top w:val="single" w:sz="12" w:space="0" w:color="auto"/>
              <w:bottom w:val="single" w:sz="12" w:space="0" w:color="auto"/>
            </w:tcBorders>
          </w:tcPr>
          <w:p w:rsidR="00441949" w:rsidRDefault="00441949">
            <w:pPr>
              <w:autoSpaceDE w:val="0"/>
              <w:autoSpaceDN w:val="0"/>
              <w:adjustRightInd w:val="0"/>
              <w:spacing w:after="0" w:line="240" w:lineRule="auto"/>
              <w:jc w:val="right"/>
              <w:rPr>
                <w:rFonts w:ascii="Calibri" w:hAnsi="Calibri" w:cs="Calibri"/>
                <w:color w:val="000000"/>
                <w:lang w:val="en-US"/>
              </w:rPr>
            </w:pPr>
            <w:r>
              <w:rPr>
                <w:rFonts w:ascii="Calibri" w:hAnsi="Calibri" w:cs="Calibri"/>
                <w:color w:val="000000"/>
                <w:lang w:val="en-US"/>
              </w:rPr>
              <w:t>80.43%</w:t>
            </w:r>
          </w:p>
        </w:tc>
      </w:tr>
    </w:tbl>
    <w:p w:rsidR="008B06F2" w:rsidRDefault="008B06F2" w:rsidP="00806F26">
      <w:pPr>
        <w:spacing w:after="0"/>
      </w:pPr>
    </w:p>
    <w:p w:rsidR="00445D7D" w:rsidRPr="00445D7D" w:rsidRDefault="00445D7D">
      <w:pPr>
        <w:rPr>
          <w:lang w:val="en-US"/>
        </w:rPr>
      </w:pPr>
      <w:r w:rsidRPr="00445D7D">
        <w:rPr>
          <w:lang w:val="en-US"/>
        </w:rPr>
        <w:t xml:space="preserve">The </w:t>
      </w:r>
      <w:r>
        <w:rPr>
          <w:lang w:val="en-US"/>
        </w:rPr>
        <w:t xml:space="preserve">first four </w:t>
      </w:r>
      <w:r w:rsidRPr="00445D7D">
        <w:rPr>
          <w:lang w:val="en-US"/>
        </w:rPr>
        <w:t>column</w:t>
      </w:r>
      <w:r>
        <w:rPr>
          <w:lang w:val="en-US"/>
        </w:rPr>
        <w:t>s</w:t>
      </w:r>
      <w:r w:rsidRPr="00445D7D">
        <w:rPr>
          <w:lang w:val="en-US"/>
        </w:rPr>
        <w:t xml:space="preserve"> of table 9 are reflected in diagrams</w:t>
      </w:r>
      <w:r>
        <w:rPr>
          <w:lang w:val="en-US"/>
        </w:rPr>
        <w:t xml:space="preserve"> one and two</w:t>
      </w:r>
      <w:r w:rsidRPr="00445D7D">
        <w:rPr>
          <w:lang w:val="en-US"/>
        </w:rPr>
        <w:t>.</w:t>
      </w:r>
    </w:p>
    <w:tbl>
      <w:tblPr>
        <w:tblStyle w:val="TableGrid"/>
        <w:tblW w:w="0" w:type="auto"/>
        <w:tblLayout w:type="fixed"/>
        <w:tblLook w:val="04A0"/>
      </w:tblPr>
      <w:tblGrid>
        <w:gridCol w:w="9286"/>
      </w:tblGrid>
      <w:tr w:rsidR="00770D3B" w:rsidRPr="00F93260" w:rsidTr="00702ED0">
        <w:tc>
          <w:tcPr>
            <w:tcW w:w="9286" w:type="dxa"/>
          </w:tcPr>
          <w:p w:rsidR="00770D3B" w:rsidRPr="00770D3B" w:rsidRDefault="00770D3B" w:rsidP="00702ED0">
            <w:pPr>
              <w:rPr>
                <w:b/>
                <w:i/>
                <w:lang w:val="en-US"/>
              </w:rPr>
            </w:pPr>
            <w:r w:rsidRPr="00770D3B">
              <w:rPr>
                <w:b/>
                <w:i/>
                <w:lang w:val="en-US"/>
              </w:rPr>
              <w:t>Diagram 1:  Yearly trend of disclosed IT related material weaknesses</w:t>
            </w:r>
          </w:p>
        </w:tc>
      </w:tr>
      <w:tr w:rsidR="00770D3B" w:rsidTr="000F1EC4">
        <w:trPr>
          <w:trHeight w:val="4341"/>
        </w:trPr>
        <w:tc>
          <w:tcPr>
            <w:tcW w:w="9286" w:type="dxa"/>
          </w:tcPr>
          <w:p w:rsidR="00770D3B" w:rsidRDefault="00770D3B" w:rsidP="00702ED0">
            <w:pPr>
              <w:rPr>
                <w:lang w:val="en-US"/>
              </w:rPr>
            </w:pPr>
            <w:r w:rsidRPr="00441949">
              <w:rPr>
                <w:noProof/>
                <w:lang w:val="en-US" w:eastAsia="en-US"/>
              </w:rPr>
              <w:drawing>
                <wp:inline distT="0" distB="0" distL="0" distR="0">
                  <wp:extent cx="5324475" cy="2686050"/>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0F1EC4" w:rsidRPr="00F93260" w:rsidTr="000F1EC4">
        <w:tc>
          <w:tcPr>
            <w:tcW w:w="9286" w:type="dxa"/>
          </w:tcPr>
          <w:p w:rsidR="000F1EC4" w:rsidRDefault="000F1EC4" w:rsidP="00B238E1">
            <w:pPr>
              <w:rPr>
                <w:lang w:val="en-GB"/>
              </w:rPr>
            </w:pPr>
            <w:r w:rsidRPr="00770D3B">
              <w:rPr>
                <w:b/>
                <w:i/>
                <w:lang w:val="en-US"/>
              </w:rPr>
              <w:t>Diagram 2: Percentage of IT-related material weaknesses relative to total MW firms</w:t>
            </w:r>
          </w:p>
        </w:tc>
      </w:tr>
      <w:tr w:rsidR="000F1EC4" w:rsidTr="000F1EC4">
        <w:tc>
          <w:tcPr>
            <w:tcW w:w="9286" w:type="dxa"/>
          </w:tcPr>
          <w:p w:rsidR="000F1EC4" w:rsidRDefault="000F1EC4" w:rsidP="00B238E1">
            <w:pPr>
              <w:rPr>
                <w:lang w:val="en-GB"/>
              </w:rPr>
            </w:pPr>
            <w:r w:rsidRPr="000F1EC4">
              <w:rPr>
                <w:noProof/>
                <w:lang w:val="en-US" w:eastAsia="en-US"/>
              </w:rPr>
              <w:drawing>
                <wp:inline distT="0" distB="0" distL="0" distR="0">
                  <wp:extent cx="5324475" cy="2724150"/>
                  <wp:effectExtent l="19050" t="0" r="9525"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rsidR="00445D7D" w:rsidRDefault="00445D7D" w:rsidP="00B238E1">
      <w:pPr>
        <w:rPr>
          <w:lang w:val="en-GB"/>
        </w:rPr>
      </w:pPr>
    </w:p>
    <w:p w:rsidR="004F43D6" w:rsidRDefault="004F43D6" w:rsidP="00B238E1">
      <w:pPr>
        <w:rPr>
          <w:lang w:val="en-US"/>
        </w:rPr>
      </w:pPr>
      <w:r>
        <w:rPr>
          <w:lang w:val="en-US"/>
        </w:rPr>
        <w:t>The result</w:t>
      </w:r>
      <w:r w:rsidR="00445D7D">
        <w:rPr>
          <w:lang w:val="en-US"/>
        </w:rPr>
        <w:t>s</w:t>
      </w:r>
      <w:r>
        <w:rPr>
          <w:lang w:val="en-US"/>
        </w:rPr>
        <w:t xml:space="preserve"> in table</w:t>
      </w:r>
      <w:r w:rsidR="004138E6">
        <w:rPr>
          <w:lang w:val="en-US"/>
        </w:rPr>
        <w:t> </w:t>
      </w:r>
      <w:r>
        <w:rPr>
          <w:lang w:val="en-US"/>
        </w:rPr>
        <w:t xml:space="preserve">9 </w:t>
      </w:r>
      <w:r w:rsidR="00FA4349">
        <w:rPr>
          <w:lang w:val="en-US"/>
        </w:rPr>
        <w:t>show that the percentage of IT material weakness firm</w:t>
      </w:r>
      <w:r w:rsidR="004138E6">
        <w:rPr>
          <w:lang w:val="en-US"/>
        </w:rPr>
        <w:t>s</w:t>
      </w:r>
      <w:r w:rsidR="00FA4349">
        <w:rPr>
          <w:lang w:val="en-US"/>
        </w:rPr>
        <w:t xml:space="preserve"> relative to total firms has a downward trend, with the exception of the year 2007</w:t>
      </w:r>
      <w:r w:rsidR="004138E6">
        <w:rPr>
          <w:lang w:val="en-US"/>
        </w:rPr>
        <w:t xml:space="preserve">. This </w:t>
      </w:r>
      <w:r w:rsidR="00FA4349">
        <w:rPr>
          <w:lang w:val="en-US"/>
        </w:rPr>
        <w:t>can also be seen in diagram 1. The downward trend is much clearer for the non-IT material weaknesses</w:t>
      </w:r>
      <w:r w:rsidR="004138E6">
        <w:rPr>
          <w:lang w:val="en-US"/>
        </w:rPr>
        <w:t xml:space="preserve">, showing a </w:t>
      </w:r>
      <w:r w:rsidR="00FA4349">
        <w:rPr>
          <w:lang w:val="en-US"/>
        </w:rPr>
        <w:t xml:space="preserve">decrease from 12.25% in 2004 to a steady 6% after 2007. </w:t>
      </w:r>
      <w:r w:rsidR="002328AC">
        <w:rPr>
          <w:lang w:val="en-US"/>
        </w:rPr>
        <w:br/>
        <w:t xml:space="preserve">The trend </w:t>
      </w:r>
      <w:r w:rsidR="004138E6">
        <w:rPr>
          <w:lang w:val="en-US"/>
        </w:rPr>
        <w:t xml:space="preserve">of </w:t>
      </w:r>
      <w:r w:rsidR="002328AC">
        <w:rPr>
          <w:lang w:val="en-US"/>
        </w:rPr>
        <w:t xml:space="preserve">the </w:t>
      </w:r>
      <w:r w:rsidR="000B3301">
        <w:rPr>
          <w:lang w:val="en-US"/>
        </w:rPr>
        <w:t>material IT control weaknesses</w:t>
      </w:r>
      <w:r w:rsidR="002328AC">
        <w:rPr>
          <w:lang w:val="en-US"/>
        </w:rPr>
        <w:t xml:space="preserve"> relative to the total number of material weaknesses </w:t>
      </w:r>
      <w:r w:rsidR="004138E6">
        <w:rPr>
          <w:lang w:val="en-US"/>
        </w:rPr>
        <w:t xml:space="preserve">is </w:t>
      </w:r>
      <w:r w:rsidR="002328AC">
        <w:rPr>
          <w:lang w:val="en-US"/>
        </w:rPr>
        <w:t xml:space="preserve">similar </w:t>
      </w:r>
      <w:r w:rsidR="004138E6">
        <w:rPr>
          <w:lang w:val="en-US"/>
        </w:rPr>
        <w:t xml:space="preserve">to the </w:t>
      </w:r>
      <w:r w:rsidR="002328AC">
        <w:rPr>
          <w:lang w:val="en-US"/>
        </w:rPr>
        <w:t xml:space="preserve">trend </w:t>
      </w:r>
      <w:r w:rsidR="004138E6">
        <w:rPr>
          <w:lang w:val="en-US"/>
        </w:rPr>
        <w:t>in</w:t>
      </w:r>
      <w:r w:rsidR="002328AC">
        <w:rPr>
          <w:lang w:val="en-US"/>
        </w:rPr>
        <w:t xml:space="preserve"> the first column percentages, but as diagram 2 shows the differences between the years </w:t>
      </w:r>
      <w:r w:rsidR="004138E6">
        <w:rPr>
          <w:lang w:val="en-US"/>
        </w:rPr>
        <w:t>are</w:t>
      </w:r>
      <w:r w:rsidR="002328AC">
        <w:rPr>
          <w:lang w:val="en-US"/>
        </w:rPr>
        <w:t xml:space="preserve"> more pronounced. </w:t>
      </w:r>
      <w:r w:rsidR="004138E6">
        <w:rPr>
          <w:lang w:val="en-US"/>
        </w:rPr>
        <w:t>I</w:t>
      </w:r>
      <w:r w:rsidR="002328AC">
        <w:rPr>
          <w:lang w:val="en-US"/>
        </w:rPr>
        <w:t xml:space="preserve">n this trend there is </w:t>
      </w:r>
      <w:r w:rsidR="004138E6">
        <w:rPr>
          <w:lang w:val="en-US"/>
        </w:rPr>
        <w:t xml:space="preserve">also </w:t>
      </w:r>
      <w:r w:rsidR="002328AC">
        <w:rPr>
          <w:lang w:val="en-US"/>
        </w:rPr>
        <w:t>a peak in the year 2007</w:t>
      </w:r>
      <w:r w:rsidR="004138E6">
        <w:rPr>
          <w:lang w:val="en-US"/>
        </w:rPr>
        <w:t>,</w:t>
      </w:r>
      <w:r w:rsidR="002328AC">
        <w:rPr>
          <w:lang w:val="en-US"/>
        </w:rPr>
        <w:t xml:space="preserve"> which is </w:t>
      </w:r>
      <w:r w:rsidR="00022A42">
        <w:rPr>
          <w:lang w:val="en-US"/>
        </w:rPr>
        <w:t xml:space="preserve">interesting because after 2007 the trend continues downwards. A possible explanation for the peak of </w:t>
      </w:r>
      <w:r w:rsidR="000B3301">
        <w:rPr>
          <w:lang w:val="en-US"/>
        </w:rPr>
        <w:t>material IT control weaknesses</w:t>
      </w:r>
      <w:r w:rsidR="00022A42">
        <w:rPr>
          <w:lang w:val="en-US"/>
        </w:rPr>
        <w:t xml:space="preserve"> in 2007 is the introduction of COBIT 4.0 and 4.1 in the period of 2005-2007. Even though COBIT 4.0 was introduced in December 2005</w:t>
      </w:r>
      <w:r w:rsidR="004138E6">
        <w:rPr>
          <w:lang w:val="en-US"/>
        </w:rPr>
        <w:t>,</w:t>
      </w:r>
      <w:r w:rsidR="00022A42">
        <w:rPr>
          <w:lang w:val="en-US"/>
        </w:rPr>
        <w:t xml:space="preserve"> the increase </w:t>
      </w:r>
      <w:r w:rsidR="004138E6">
        <w:rPr>
          <w:lang w:val="en-US"/>
        </w:rPr>
        <w:t>may</w:t>
      </w:r>
      <w:r w:rsidR="00022A42">
        <w:rPr>
          <w:lang w:val="en-US"/>
        </w:rPr>
        <w:t xml:space="preserve"> be explained by this introduction, because the implementation takes time and the first audits on basis of COBIT 4.0 were in the year 2007.</w:t>
      </w:r>
      <w:r w:rsidR="002328AC">
        <w:rPr>
          <w:lang w:val="en-US"/>
        </w:rPr>
        <w:t xml:space="preserve"> </w:t>
      </w:r>
    </w:p>
    <w:p w:rsidR="00984042" w:rsidRPr="00984042" w:rsidRDefault="00984042" w:rsidP="00984042">
      <w:pPr>
        <w:pStyle w:val="ListParagraph"/>
        <w:numPr>
          <w:ilvl w:val="0"/>
          <w:numId w:val="21"/>
        </w:numPr>
        <w:outlineLvl w:val="1"/>
        <w:rPr>
          <w:b/>
          <w:vanish/>
          <w:sz w:val="24"/>
          <w:szCs w:val="24"/>
          <w:lang w:val="en-GB"/>
        </w:rPr>
      </w:pPr>
      <w:bookmarkStart w:id="90" w:name="_Toc363126482"/>
      <w:bookmarkStart w:id="91" w:name="_Toc363126562"/>
      <w:bookmarkStart w:id="92" w:name="_Toc363126728"/>
      <w:bookmarkStart w:id="93" w:name="_Toc363126817"/>
      <w:bookmarkStart w:id="94" w:name="_Toc363204361"/>
      <w:bookmarkStart w:id="95" w:name="_Toc363840778"/>
      <w:bookmarkEnd w:id="90"/>
      <w:bookmarkEnd w:id="91"/>
      <w:bookmarkEnd w:id="92"/>
      <w:bookmarkEnd w:id="93"/>
      <w:bookmarkEnd w:id="94"/>
      <w:bookmarkEnd w:id="95"/>
    </w:p>
    <w:p w:rsidR="00984042" w:rsidRPr="00984042" w:rsidRDefault="00984042" w:rsidP="00984042">
      <w:pPr>
        <w:pStyle w:val="ListParagraph"/>
        <w:numPr>
          <w:ilvl w:val="1"/>
          <w:numId w:val="21"/>
        </w:numPr>
        <w:outlineLvl w:val="1"/>
        <w:rPr>
          <w:b/>
          <w:vanish/>
          <w:sz w:val="24"/>
          <w:szCs w:val="24"/>
          <w:lang w:val="en-GB"/>
        </w:rPr>
      </w:pPr>
      <w:bookmarkStart w:id="96" w:name="_Toc363126483"/>
      <w:bookmarkStart w:id="97" w:name="_Toc363126563"/>
      <w:bookmarkStart w:id="98" w:name="_Toc363126729"/>
      <w:bookmarkStart w:id="99" w:name="_Toc363126818"/>
      <w:bookmarkStart w:id="100" w:name="_Toc363204362"/>
      <w:bookmarkStart w:id="101" w:name="_Toc363840779"/>
      <w:bookmarkEnd w:id="96"/>
      <w:bookmarkEnd w:id="97"/>
      <w:bookmarkEnd w:id="98"/>
      <w:bookmarkEnd w:id="99"/>
      <w:bookmarkEnd w:id="100"/>
      <w:bookmarkEnd w:id="101"/>
    </w:p>
    <w:p w:rsidR="00984042" w:rsidRDefault="00984042" w:rsidP="00984042">
      <w:pPr>
        <w:pStyle w:val="Heading2"/>
      </w:pPr>
      <w:bookmarkStart w:id="102" w:name="_Toc363840780"/>
      <w:r>
        <w:t>Multivariate analysis</w:t>
      </w:r>
      <w:bookmarkEnd w:id="102"/>
    </w:p>
    <w:p w:rsidR="00E56A42" w:rsidRPr="00E56A42" w:rsidRDefault="00E56A42" w:rsidP="00E56A42">
      <w:pPr>
        <w:rPr>
          <w:lang w:val="en-GB"/>
        </w:rPr>
      </w:pPr>
      <w:r>
        <w:rPr>
          <w:lang w:val="en-GB"/>
        </w:rPr>
        <w:t xml:space="preserve">In this section multiple results from the regression </w:t>
      </w:r>
      <w:r w:rsidR="004138E6">
        <w:rPr>
          <w:lang w:val="en-GB"/>
        </w:rPr>
        <w:t xml:space="preserve">analysis </w:t>
      </w:r>
      <w:r>
        <w:rPr>
          <w:lang w:val="en-GB"/>
        </w:rPr>
        <w:t>are being presented. The main analysis is done by conducti</w:t>
      </w:r>
      <w:r w:rsidR="00445D7D">
        <w:rPr>
          <w:lang w:val="en-GB"/>
        </w:rPr>
        <w:t>ng</w:t>
      </w:r>
      <w:r w:rsidR="004B22C2">
        <w:rPr>
          <w:lang w:val="en-GB"/>
        </w:rPr>
        <w:t xml:space="preserve"> </w:t>
      </w:r>
      <w:r>
        <w:rPr>
          <w:lang w:val="en-GB"/>
        </w:rPr>
        <w:t xml:space="preserve">multinomial logistic regressions. The reason for conducting logistic regressions is that the dependent variable </w:t>
      </w:r>
      <w:r w:rsidR="000B3301">
        <w:rPr>
          <w:lang w:val="en-GB"/>
        </w:rPr>
        <w:t>material IT control weaknesses</w:t>
      </w:r>
      <w:r>
        <w:rPr>
          <w:lang w:val="en-GB"/>
        </w:rPr>
        <w:t xml:space="preserve"> is a dummy variable and therefore a logistic regression is more appropriate. </w:t>
      </w:r>
      <w:r w:rsidR="00750A40">
        <w:rPr>
          <w:lang w:val="en-GB"/>
        </w:rPr>
        <w:t xml:space="preserve">For the first regression the explanatory variables industry differences and restructuring are regressed separately from the other variables. This is </w:t>
      </w:r>
      <w:r w:rsidR="004138E6">
        <w:rPr>
          <w:lang w:val="en-GB"/>
        </w:rPr>
        <w:t xml:space="preserve">done </w:t>
      </w:r>
      <w:r w:rsidR="00750A40">
        <w:rPr>
          <w:lang w:val="en-GB"/>
        </w:rPr>
        <w:t xml:space="preserve">to </w:t>
      </w:r>
      <w:r w:rsidR="004138E6">
        <w:rPr>
          <w:lang w:val="en-GB"/>
        </w:rPr>
        <w:t>analyse</w:t>
      </w:r>
      <w:r w:rsidR="00750A40">
        <w:rPr>
          <w:lang w:val="en-GB"/>
        </w:rPr>
        <w:t xml:space="preserve"> the standalone effect of the explanatory variables on (IT-) material weaknesses. The second analysis is a full multinomial logistic regression with all explanatory variables and control variables. All result tables contain the results of two dependent variables, namely the IT material weakness variable and the non-IT material weakness variable. This is done to compare the different types of internal control weaknesses and to </w:t>
      </w:r>
      <w:r w:rsidR="004138E6">
        <w:rPr>
          <w:lang w:val="en-GB"/>
        </w:rPr>
        <w:t>analyse whether</w:t>
      </w:r>
      <w:r w:rsidR="00750A40">
        <w:rPr>
          <w:lang w:val="en-GB"/>
        </w:rPr>
        <w:t xml:space="preserve"> IT material weakness firms have different characteristics. </w:t>
      </w:r>
    </w:p>
    <w:p w:rsidR="00B238E1" w:rsidRDefault="00E56A42" w:rsidP="00874FD6">
      <w:pPr>
        <w:rPr>
          <w:b/>
          <w:lang w:val="en-GB"/>
        </w:rPr>
      </w:pPr>
      <w:r>
        <w:rPr>
          <w:b/>
          <w:lang w:val="en-GB"/>
        </w:rPr>
        <w:t>M</w:t>
      </w:r>
      <w:r w:rsidR="00E74844">
        <w:rPr>
          <w:b/>
          <w:lang w:val="en-GB"/>
        </w:rPr>
        <w:t>ultinomial logistic regressions</w:t>
      </w:r>
      <w:r w:rsidR="00B238E1">
        <w:rPr>
          <w:b/>
          <w:lang w:val="en-GB"/>
        </w:rPr>
        <w:t xml:space="preserve"> </w:t>
      </w:r>
      <w:r w:rsidR="004138E6">
        <w:rPr>
          <w:b/>
          <w:lang w:val="en-GB"/>
        </w:rPr>
        <w:t xml:space="preserve">/ </w:t>
      </w:r>
      <w:r w:rsidR="00B238E1">
        <w:rPr>
          <w:b/>
          <w:lang w:val="en-GB"/>
        </w:rPr>
        <w:t>Analysis</w:t>
      </w:r>
      <w:r>
        <w:rPr>
          <w:b/>
          <w:lang w:val="en-GB"/>
        </w:rPr>
        <w:t xml:space="preserve"> per main explanatory variable</w:t>
      </w:r>
    </w:p>
    <w:p w:rsidR="000F1EC4" w:rsidRDefault="004B1AC8">
      <w:pPr>
        <w:rPr>
          <w:lang w:val="en-GB"/>
        </w:rPr>
      </w:pPr>
      <w:r>
        <w:rPr>
          <w:lang w:val="en-GB"/>
        </w:rPr>
        <w:t>T</w:t>
      </w:r>
      <w:r w:rsidR="000F1EC4" w:rsidRPr="00750A40">
        <w:rPr>
          <w:lang w:val="en-GB"/>
        </w:rPr>
        <w:t>able 10 show the logistic regression on the two industry difference variables (INDFRAUD and INDCOMP).</w:t>
      </w:r>
      <w:r w:rsidR="000F1EC4">
        <w:rPr>
          <w:lang w:val="en-GB"/>
        </w:rPr>
        <w:t xml:space="preserve"> </w:t>
      </w:r>
      <w:r w:rsidR="000F1EC4" w:rsidRPr="00750A40">
        <w:rPr>
          <w:lang w:val="en-GB"/>
        </w:rPr>
        <w:t xml:space="preserve"> </w:t>
      </w:r>
      <w:r w:rsidR="000F1EC4">
        <w:rPr>
          <w:lang w:val="en-GB"/>
        </w:rPr>
        <w:t>In this table the coefficient, the p-value and the odds ratio (effect size) is included. The model Chi-square explains if the regression model is significant i</w:t>
      </w:r>
      <w:r>
        <w:rPr>
          <w:lang w:val="en-GB"/>
        </w:rPr>
        <w:t>n</w:t>
      </w:r>
      <w:r w:rsidR="000F1EC4">
        <w:rPr>
          <w:lang w:val="en-GB"/>
        </w:rPr>
        <w:t xml:space="preserve"> explaining the dependent variable. Finally also the pseudo R-square is included to see what the explanatory power is of the model. </w:t>
      </w:r>
    </w:p>
    <w:p w:rsidR="00E74844" w:rsidRPr="00B77BD5" w:rsidRDefault="00EC2BEC" w:rsidP="00B77BD5">
      <w:pPr>
        <w:pStyle w:val="NoSpacing"/>
        <w:rPr>
          <w:b/>
          <w:i/>
        </w:rPr>
      </w:pPr>
      <w:r w:rsidRPr="00B77BD5">
        <w:rPr>
          <w:b/>
          <w:i/>
        </w:rPr>
        <w:t xml:space="preserve">Table 10: </w:t>
      </w:r>
      <w:r w:rsidR="00E74844" w:rsidRPr="00B77BD5">
        <w:rPr>
          <w:b/>
          <w:i/>
        </w:rPr>
        <w:t xml:space="preserve">Model 1: only industry </w:t>
      </w:r>
      <w:r w:rsidR="00750A40" w:rsidRPr="00B77BD5">
        <w:rPr>
          <w:b/>
          <w:i/>
        </w:rPr>
        <w:t xml:space="preserve">differences </w:t>
      </w:r>
      <w:r w:rsidR="00E74844" w:rsidRPr="00B77BD5">
        <w:rPr>
          <w:b/>
          <w:i/>
        </w:rPr>
        <w:t>variables</w:t>
      </w:r>
    </w:p>
    <w:tbl>
      <w:tblPr>
        <w:tblW w:w="9356" w:type="dxa"/>
        <w:tblInd w:w="-318" w:type="dxa"/>
        <w:tblLayout w:type="fixed"/>
        <w:tblLook w:val="0000"/>
      </w:tblPr>
      <w:tblGrid>
        <w:gridCol w:w="3120"/>
        <w:gridCol w:w="1417"/>
        <w:gridCol w:w="851"/>
        <w:gridCol w:w="851"/>
        <w:gridCol w:w="1276"/>
        <w:gridCol w:w="991"/>
        <w:gridCol w:w="850"/>
      </w:tblGrid>
      <w:tr w:rsidR="004B22C2" w:rsidRPr="00F93260" w:rsidTr="00806F26">
        <w:trPr>
          <w:trHeight w:val="20"/>
        </w:trPr>
        <w:tc>
          <w:tcPr>
            <w:tcW w:w="3120" w:type="dxa"/>
            <w:tcBorders>
              <w:top w:val="single" w:sz="12" w:space="0" w:color="auto"/>
              <w:left w:val="single" w:sz="12" w:space="0" w:color="auto"/>
              <w:bottom w:val="single" w:sz="12" w:space="0" w:color="auto"/>
              <w:right w:val="single" w:sz="12" w:space="0" w:color="auto"/>
            </w:tcBorders>
          </w:tcPr>
          <w:p w:rsidR="004B22C2" w:rsidRDefault="004B22C2">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Logistic regression model 1</w:t>
            </w:r>
          </w:p>
        </w:tc>
        <w:tc>
          <w:tcPr>
            <w:tcW w:w="6236" w:type="dxa"/>
            <w:gridSpan w:val="6"/>
            <w:tcBorders>
              <w:top w:val="single" w:sz="12" w:space="0" w:color="auto"/>
              <w:left w:val="single" w:sz="12" w:space="0" w:color="auto"/>
              <w:bottom w:val="single" w:sz="12" w:space="0" w:color="auto"/>
              <w:right w:val="single" w:sz="12" w:space="0" w:color="auto"/>
            </w:tcBorders>
          </w:tcPr>
          <w:p w:rsidR="004B22C2" w:rsidRPr="00B77BD5" w:rsidRDefault="004B22C2" w:rsidP="004B22C2">
            <w:pPr>
              <w:pStyle w:val="NoSpacing"/>
              <w:rPr>
                <w:rFonts w:cs="Calibri"/>
                <w:color w:val="000000"/>
                <w:sz w:val="20"/>
                <w:szCs w:val="20"/>
              </w:rPr>
            </w:pPr>
            <w:r w:rsidRPr="00B77BD5">
              <w:rPr>
                <w:sz w:val="20"/>
                <w:szCs w:val="20"/>
              </w:rPr>
              <w:t xml:space="preserve">1) ITMW = </w:t>
            </w:r>
            <w:r w:rsidRPr="00B77BD5">
              <w:rPr>
                <w:rFonts w:cstheme="minorHAnsi"/>
                <w:sz w:val="20"/>
                <w:szCs w:val="20"/>
              </w:rPr>
              <w:t>α</w:t>
            </w:r>
            <w:r w:rsidRPr="00B77BD5">
              <w:rPr>
                <w:sz w:val="20"/>
                <w:szCs w:val="20"/>
                <w:vertAlign w:val="subscript"/>
              </w:rPr>
              <w:t>0</w:t>
            </w:r>
            <w:r w:rsidRPr="00B77BD5">
              <w:rPr>
                <w:sz w:val="20"/>
                <w:szCs w:val="20"/>
              </w:rPr>
              <w:t xml:space="preserve"> + </w:t>
            </w:r>
            <w:r w:rsidRPr="00B77BD5">
              <w:rPr>
                <w:rFonts w:cstheme="minorHAnsi"/>
                <w:sz w:val="20"/>
                <w:szCs w:val="20"/>
              </w:rPr>
              <w:t>α</w:t>
            </w:r>
            <w:r w:rsidRPr="00B77BD5">
              <w:rPr>
                <w:sz w:val="20"/>
                <w:szCs w:val="20"/>
                <w:vertAlign w:val="subscript"/>
              </w:rPr>
              <w:t>1</w:t>
            </w:r>
            <w:r w:rsidRPr="00B77BD5">
              <w:rPr>
                <w:sz w:val="20"/>
                <w:szCs w:val="20"/>
              </w:rPr>
              <w:t xml:space="preserve"> INDFRAUD + </w:t>
            </w:r>
            <w:r w:rsidRPr="00B77BD5">
              <w:rPr>
                <w:rFonts w:cstheme="minorHAnsi"/>
                <w:sz w:val="20"/>
                <w:szCs w:val="20"/>
              </w:rPr>
              <w:t>α</w:t>
            </w:r>
            <w:r w:rsidRPr="00B77BD5">
              <w:rPr>
                <w:sz w:val="20"/>
                <w:szCs w:val="20"/>
                <w:vertAlign w:val="subscript"/>
              </w:rPr>
              <w:t>2</w:t>
            </w:r>
            <w:r w:rsidRPr="00B77BD5">
              <w:rPr>
                <w:sz w:val="20"/>
                <w:szCs w:val="20"/>
              </w:rPr>
              <w:t xml:space="preserve"> INDCOMP + </w:t>
            </w:r>
            <w:r w:rsidRPr="00B77BD5">
              <w:rPr>
                <w:rFonts w:cstheme="minorHAnsi"/>
                <w:sz w:val="20"/>
                <w:szCs w:val="20"/>
              </w:rPr>
              <w:t>ԑ</w:t>
            </w:r>
            <w:r w:rsidRPr="00B77BD5">
              <w:rPr>
                <w:rFonts w:cstheme="minorHAnsi"/>
                <w:sz w:val="20"/>
                <w:szCs w:val="20"/>
              </w:rPr>
              <w:br/>
            </w:r>
            <w:r w:rsidRPr="00B77BD5">
              <w:rPr>
                <w:sz w:val="20"/>
                <w:szCs w:val="20"/>
              </w:rPr>
              <w:t xml:space="preserve">2) NON- ITMW = </w:t>
            </w:r>
            <w:r w:rsidRPr="00B77BD5">
              <w:rPr>
                <w:rFonts w:cstheme="minorHAnsi"/>
                <w:sz w:val="20"/>
                <w:szCs w:val="20"/>
              </w:rPr>
              <w:t>α</w:t>
            </w:r>
            <w:r w:rsidRPr="00B77BD5">
              <w:rPr>
                <w:sz w:val="20"/>
                <w:szCs w:val="20"/>
                <w:vertAlign w:val="subscript"/>
              </w:rPr>
              <w:t>0</w:t>
            </w:r>
            <w:r w:rsidRPr="00B77BD5">
              <w:rPr>
                <w:sz w:val="20"/>
                <w:szCs w:val="20"/>
              </w:rPr>
              <w:t xml:space="preserve"> + </w:t>
            </w:r>
            <w:r w:rsidRPr="00B77BD5">
              <w:rPr>
                <w:rFonts w:cstheme="minorHAnsi"/>
                <w:sz w:val="20"/>
                <w:szCs w:val="20"/>
              </w:rPr>
              <w:t>α</w:t>
            </w:r>
            <w:r w:rsidRPr="00B77BD5">
              <w:rPr>
                <w:sz w:val="20"/>
                <w:szCs w:val="20"/>
                <w:vertAlign w:val="subscript"/>
              </w:rPr>
              <w:t>1</w:t>
            </w:r>
            <w:r w:rsidRPr="00B77BD5">
              <w:rPr>
                <w:sz w:val="20"/>
                <w:szCs w:val="20"/>
              </w:rPr>
              <w:t xml:space="preserve"> INDFRAUD + </w:t>
            </w:r>
            <w:r w:rsidRPr="00B77BD5">
              <w:rPr>
                <w:rFonts w:cstheme="minorHAnsi"/>
                <w:sz w:val="20"/>
                <w:szCs w:val="20"/>
              </w:rPr>
              <w:t>α</w:t>
            </w:r>
            <w:r w:rsidRPr="00B77BD5">
              <w:rPr>
                <w:sz w:val="20"/>
                <w:szCs w:val="20"/>
                <w:vertAlign w:val="subscript"/>
              </w:rPr>
              <w:t>2</w:t>
            </w:r>
            <w:r w:rsidRPr="00B77BD5">
              <w:rPr>
                <w:sz w:val="20"/>
                <w:szCs w:val="20"/>
              </w:rPr>
              <w:t xml:space="preserve"> INDCOMP + </w:t>
            </w:r>
            <w:r w:rsidRPr="00B77BD5">
              <w:rPr>
                <w:rFonts w:cstheme="minorHAnsi"/>
                <w:sz w:val="20"/>
                <w:szCs w:val="20"/>
              </w:rPr>
              <w:t>ԑ</w:t>
            </w:r>
          </w:p>
        </w:tc>
      </w:tr>
      <w:tr w:rsidR="00692151" w:rsidTr="00806F26">
        <w:trPr>
          <w:trHeight w:val="20"/>
        </w:trPr>
        <w:tc>
          <w:tcPr>
            <w:tcW w:w="3120" w:type="dxa"/>
            <w:tcBorders>
              <w:top w:val="single" w:sz="12" w:space="0" w:color="auto"/>
              <w:left w:val="single" w:sz="12" w:space="0" w:color="auto"/>
              <w:bottom w:val="single" w:sz="6" w:space="0" w:color="auto"/>
              <w:right w:val="single" w:sz="12" w:space="0" w:color="auto"/>
            </w:tcBorders>
          </w:tcPr>
          <w:p w:rsidR="00692151" w:rsidRDefault="004B22C2" w:rsidP="004B1AC8">
            <w:pPr>
              <w:pStyle w:val="NoSpacing"/>
              <w:jc w:val="center"/>
            </w:pPr>
            <w:r>
              <w:t>Dependent variable:</w:t>
            </w:r>
          </w:p>
        </w:tc>
        <w:tc>
          <w:tcPr>
            <w:tcW w:w="1417" w:type="dxa"/>
            <w:tcBorders>
              <w:top w:val="single" w:sz="12" w:space="0" w:color="auto"/>
              <w:left w:val="single" w:sz="12" w:space="0" w:color="auto"/>
              <w:bottom w:val="single" w:sz="6" w:space="0" w:color="auto"/>
              <w:right w:val="nil"/>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ITMW</w:t>
            </w:r>
          </w:p>
        </w:tc>
        <w:tc>
          <w:tcPr>
            <w:tcW w:w="851" w:type="dxa"/>
            <w:tcBorders>
              <w:top w:val="single" w:sz="12" w:space="0" w:color="auto"/>
              <w:left w:val="nil"/>
              <w:bottom w:val="single" w:sz="6"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c>
          <w:tcPr>
            <w:tcW w:w="851" w:type="dxa"/>
            <w:tcBorders>
              <w:top w:val="single" w:sz="12" w:space="0" w:color="auto"/>
              <w:bottom w:val="single" w:sz="6"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c>
          <w:tcPr>
            <w:tcW w:w="1276" w:type="dxa"/>
            <w:tcBorders>
              <w:top w:val="single" w:sz="12" w:space="0" w:color="auto"/>
              <w:left w:val="single" w:sz="12" w:space="0" w:color="auto"/>
              <w:bottom w:val="single" w:sz="6" w:space="0" w:color="auto"/>
              <w:right w:val="nil"/>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NON-ITMW</w:t>
            </w:r>
          </w:p>
        </w:tc>
        <w:tc>
          <w:tcPr>
            <w:tcW w:w="991" w:type="dxa"/>
            <w:tcBorders>
              <w:top w:val="single" w:sz="12" w:space="0" w:color="auto"/>
              <w:left w:val="nil"/>
              <w:bottom w:val="single" w:sz="6"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c>
          <w:tcPr>
            <w:tcW w:w="850" w:type="dxa"/>
            <w:tcBorders>
              <w:top w:val="single" w:sz="12" w:space="0" w:color="auto"/>
              <w:bottom w:val="single" w:sz="6"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r>
      <w:tr w:rsidR="00692151" w:rsidTr="00806F26">
        <w:trPr>
          <w:trHeight w:val="20"/>
        </w:trPr>
        <w:tc>
          <w:tcPr>
            <w:tcW w:w="3120" w:type="dxa"/>
            <w:tcBorders>
              <w:top w:val="single" w:sz="6" w:space="0" w:color="auto"/>
              <w:left w:val="single" w:sz="12" w:space="0" w:color="auto"/>
              <w:bottom w:val="single" w:sz="6"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Observations (N):</w:t>
            </w:r>
          </w:p>
        </w:tc>
        <w:tc>
          <w:tcPr>
            <w:tcW w:w="1417" w:type="dxa"/>
            <w:tcBorders>
              <w:top w:val="single" w:sz="6" w:space="0" w:color="auto"/>
              <w:left w:val="single" w:sz="12" w:space="0" w:color="auto"/>
              <w:bottom w:val="single" w:sz="6" w:space="0" w:color="auto"/>
              <w:right w:val="nil"/>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669</w:t>
            </w:r>
          </w:p>
        </w:tc>
        <w:tc>
          <w:tcPr>
            <w:tcW w:w="851" w:type="dxa"/>
            <w:tcBorders>
              <w:top w:val="single" w:sz="6" w:space="0" w:color="auto"/>
              <w:left w:val="nil"/>
              <w:bottom w:val="single" w:sz="6"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c>
          <w:tcPr>
            <w:tcW w:w="851" w:type="dxa"/>
            <w:tcBorders>
              <w:top w:val="single" w:sz="6" w:space="0" w:color="auto"/>
              <w:bottom w:val="single" w:sz="6"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c>
          <w:tcPr>
            <w:tcW w:w="1276" w:type="dxa"/>
            <w:tcBorders>
              <w:top w:val="single" w:sz="6" w:space="0" w:color="auto"/>
              <w:left w:val="single" w:sz="12" w:space="0" w:color="auto"/>
              <w:bottom w:val="single" w:sz="6" w:space="0" w:color="auto"/>
              <w:right w:val="nil"/>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2749</w:t>
            </w:r>
          </w:p>
        </w:tc>
        <w:tc>
          <w:tcPr>
            <w:tcW w:w="991" w:type="dxa"/>
            <w:tcBorders>
              <w:top w:val="single" w:sz="6" w:space="0" w:color="auto"/>
              <w:left w:val="nil"/>
              <w:bottom w:val="single" w:sz="6"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c>
          <w:tcPr>
            <w:tcW w:w="850" w:type="dxa"/>
            <w:tcBorders>
              <w:top w:val="single" w:sz="6" w:space="0" w:color="auto"/>
              <w:bottom w:val="single" w:sz="6"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r>
      <w:tr w:rsidR="00692151" w:rsidTr="00806F26">
        <w:trPr>
          <w:trHeight w:val="20"/>
        </w:trPr>
        <w:tc>
          <w:tcPr>
            <w:tcW w:w="3120" w:type="dxa"/>
            <w:tcBorders>
              <w:top w:val="single" w:sz="6" w:space="0" w:color="auto"/>
              <w:left w:val="single" w:sz="12" w:space="0" w:color="auto"/>
              <w:bottom w:val="single" w:sz="12"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Independent variables</w:t>
            </w:r>
          </w:p>
        </w:tc>
        <w:tc>
          <w:tcPr>
            <w:tcW w:w="1417" w:type="dxa"/>
            <w:tcBorders>
              <w:top w:val="single" w:sz="6" w:space="0" w:color="auto"/>
              <w:left w:val="single" w:sz="12" w:space="0" w:color="auto"/>
              <w:bottom w:val="single" w:sz="12" w:space="0" w:color="auto"/>
              <w:right w:val="single" w:sz="6"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Coefficient (B)</w:t>
            </w:r>
          </w:p>
        </w:tc>
        <w:tc>
          <w:tcPr>
            <w:tcW w:w="851" w:type="dxa"/>
            <w:tcBorders>
              <w:top w:val="single" w:sz="6" w:space="0" w:color="auto"/>
              <w:left w:val="single" w:sz="6" w:space="0" w:color="auto"/>
              <w:bottom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Sig. value</w:t>
            </w:r>
          </w:p>
        </w:tc>
        <w:tc>
          <w:tcPr>
            <w:tcW w:w="851" w:type="dxa"/>
            <w:tcBorders>
              <w:top w:val="single" w:sz="6" w:space="0" w:color="auto"/>
              <w:left w:val="single" w:sz="4" w:space="0" w:color="auto"/>
              <w:bottom w:val="single" w:sz="12"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Odd</w:t>
            </w:r>
            <w:r w:rsidR="00EB73C0">
              <w:rPr>
                <w:rFonts w:ascii="Calibri" w:hAnsi="Calibri" w:cs="Calibri"/>
                <w:color w:val="000000"/>
                <w:lang w:val="en-US"/>
              </w:rPr>
              <w:t>s</w:t>
            </w:r>
            <w:r>
              <w:rPr>
                <w:rFonts w:ascii="Calibri" w:hAnsi="Calibri" w:cs="Calibri"/>
                <w:color w:val="000000"/>
                <w:lang w:val="en-US"/>
              </w:rPr>
              <w:t xml:space="preserve"> ratio </w:t>
            </w:r>
          </w:p>
        </w:tc>
        <w:tc>
          <w:tcPr>
            <w:tcW w:w="1276" w:type="dxa"/>
            <w:tcBorders>
              <w:top w:val="single" w:sz="6" w:space="0" w:color="auto"/>
              <w:left w:val="single" w:sz="12" w:space="0" w:color="auto"/>
              <w:bottom w:val="single" w:sz="12" w:space="0" w:color="auto"/>
              <w:right w:val="single" w:sz="6"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Coefficient (B)</w:t>
            </w:r>
          </w:p>
        </w:tc>
        <w:tc>
          <w:tcPr>
            <w:tcW w:w="991" w:type="dxa"/>
            <w:tcBorders>
              <w:top w:val="single" w:sz="6" w:space="0" w:color="auto"/>
              <w:left w:val="single" w:sz="6" w:space="0" w:color="auto"/>
              <w:bottom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Sig. value</w:t>
            </w:r>
          </w:p>
        </w:tc>
        <w:tc>
          <w:tcPr>
            <w:tcW w:w="850" w:type="dxa"/>
            <w:tcBorders>
              <w:top w:val="single" w:sz="6" w:space="0" w:color="auto"/>
              <w:left w:val="single" w:sz="4" w:space="0" w:color="auto"/>
              <w:bottom w:val="single" w:sz="12"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Odd</w:t>
            </w:r>
            <w:r w:rsidR="00EB73C0">
              <w:rPr>
                <w:rFonts w:ascii="Calibri" w:hAnsi="Calibri" w:cs="Calibri"/>
                <w:color w:val="000000"/>
                <w:lang w:val="en-US"/>
              </w:rPr>
              <w:t>s</w:t>
            </w:r>
            <w:r>
              <w:rPr>
                <w:rFonts w:ascii="Calibri" w:hAnsi="Calibri" w:cs="Calibri"/>
                <w:color w:val="000000"/>
                <w:lang w:val="en-US"/>
              </w:rPr>
              <w:t xml:space="preserve"> ratio</w:t>
            </w:r>
          </w:p>
        </w:tc>
      </w:tr>
      <w:tr w:rsidR="00692151" w:rsidTr="00806F26">
        <w:trPr>
          <w:trHeight w:val="20"/>
        </w:trPr>
        <w:tc>
          <w:tcPr>
            <w:tcW w:w="3120" w:type="dxa"/>
            <w:tcBorders>
              <w:top w:val="single" w:sz="12" w:space="0" w:color="auto"/>
              <w:left w:val="single" w:sz="12" w:space="0" w:color="auto"/>
              <w:right w:val="single" w:sz="12" w:space="0" w:color="auto"/>
            </w:tcBorders>
          </w:tcPr>
          <w:p w:rsidR="00692151" w:rsidRDefault="008309CD">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INDFRAUD </w:t>
            </w:r>
          </w:p>
        </w:tc>
        <w:tc>
          <w:tcPr>
            <w:tcW w:w="1417" w:type="dxa"/>
            <w:tcBorders>
              <w:top w:val="single" w:sz="12" w:space="0" w:color="auto"/>
              <w:left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.350</w:t>
            </w:r>
          </w:p>
        </w:tc>
        <w:tc>
          <w:tcPr>
            <w:tcW w:w="851" w:type="dxa"/>
            <w:tcBorders>
              <w:top w:val="single" w:sz="12" w:space="0" w:color="auto"/>
              <w:left w:val="single" w:sz="4"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r w:rsidR="002A1847">
              <w:rPr>
                <w:rFonts w:ascii="Calibri" w:hAnsi="Calibri" w:cs="Calibri"/>
                <w:color w:val="000000"/>
                <w:lang w:val="en-US"/>
              </w:rPr>
              <w:t>**</w:t>
            </w:r>
          </w:p>
        </w:tc>
        <w:tc>
          <w:tcPr>
            <w:tcW w:w="851" w:type="dxa"/>
            <w:tcBorders>
              <w:top w:val="single" w:sz="12" w:space="0" w:color="auto"/>
              <w:left w:val="single" w:sz="4"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1.419</w:t>
            </w:r>
          </w:p>
        </w:tc>
        <w:tc>
          <w:tcPr>
            <w:tcW w:w="1276" w:type="dxa"/>
            <w:tcBorders>
              <w:top w:val="single" w:sz="12" w:space="0" w:color="auto"/>
              <w:left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.088</w:t>
            </w:r>
          </w:p>
        </w:tc>
        <w:tc>
          <w:tcPr>
            <w:tcW w:w="991" w:type="dxa"/>
            <w:tcBorders>
              <w:top w:val="single" w:sz="12" w:space="0" w:color="auto"/>
              <w:left w:val="single" w:sz="4"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.045</w:t>
            </w:r>
            <w:r w:rsidR="002A1847">
              <w:rPr>
                <w:rFonts w:ascii="Calibri" w:hAnsi="Calibri" w:cs="Calibri"/>
                <w:color w:val="000000"/>
                <w:lang w:val="en-US"/>
              </w:rPr>
              <w:t>**</w:t>
            </w:r>
          </w:p>
        </w:tc>
        <w:tc>
          <w:tcPr>
            <w:tcW w:w="850" w:type="dxa"/>
            <w:tcBorders>
              <w:top w:val="single" w:sz="12" w:space="0" w:color="auto"/>
              <w:left w:val="single" w:sz="4"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1.092</w:t>
            </w:r>
          </w:p>
        </w:tc>
      </w:tr>
      <w:tr w:rsidR="00692151" w:rsidTr="00806F26">
        <w:trPr>
          <w:trHeight w:val="20"/>
        </w:trPr>
        <w:tc>
          <w:tcPr>
            <w:tcW w:w="3120" w:type="dxa"/>
            <w:tcBorders>
              <w:left w:val="single" w:sz="12" w:space="0" w:color="auto"/>
              <w:right w:val="single" w:sz="12" w:space="0" w:color="auto"/>
            </w:tcBorders>
          </w:tcPr>
          <w:p w:rsidR="00692151" w:rsidRDefault="008309CD">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INDCOMP </w:t>
            </w:r>
          </w:p>
        </w:tc>
        <w:tc>
          <w:tcPr>
            <w:tcW w:w="1417" w:type="dxa"/>
            <w:tcBorders>
              <w:left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.245</w:t>
            </w:r>
          </w:p>
        </w:tc>
        <w:tc>
          <w:tcPr>
            <w:tcW w:w="851" w:type="dxa"/>
            <w:tcBorders>
              <w:left w:val="single" w:sz="4"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.247</w:t>
            </w:r>
          </w:p>
        </w:tc>
        <w:tc>
          <w:tcPr>
            <w:tcW w:w="851" w:type="dxa"/>
            <w:tcBorders>
              <w:left w:val="single" w:sz="4" w:space="0" w:color="auto"/>
              <w:right w:val="single" w:sz="12" w:space="0" w:color="auto"/>
            </w:tcBorders>
          </w:tcPr>
          <w:p w:rsidR="00A33070" w:rsidRDefault="00A33070" w:rsidP="00A3307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1.278</w:t>
            </w:r>
          </w:p>
        </w:tc>
        <w:tc>
          <w:tcPr>
            <w:tcW w:w="1276" w:type="dxa"/>
            <w:tcBorders>
              <w:left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.093</w:t>
            </w:r>
          </w:p>
        </w:tc>
        <w:tc>
          <w:tcPr>
            <w:tcW w:w="991" w:type="dxa"/>
            <w:tcBorders>
              <w:left w:val="single" w:sz="4"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.438</w:t>
            </w:r>
          </w:p>
        </w:tc>
        <w:tc>
          <w:tcPr>
            <w:tcW w:w="850" w:type="dxa"/>
            <w:tcBorders>
              <w:left w:val="single" w:sz="4"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1.097</w:t>
            </w:r>
          </w:p>
        </w:tc>
      </w:tr>
      <w:tr w:rsidR="00692151" w:rsidTr="00806F26">
        <w:trPr>
          <w:trHeight w:val="20"/>
        </w:trPr>
        <w:tc>
          <w:tcPr>
            <w:tcW w:w="3120" w:type="dxa"/>
            <w:tcBorders>
              <w:left w:val="single" w:sz="12"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Intercept</w:t>
            </w:r>
          </w:p>
        </w:tc>
        <w:tc>
          <w:tcPr>
            <w:tcW w:w="1417" w:type="dxa"/>
            <w:tcBorders>
              <w:left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3.793</w:t>
            </w:r>
          </w:p>
        </w:tc>
        <w:tc>
          <w:tcPr>
            <w:tcW w:w="851" w:type="dxa"/>
            <w:tcBorders>
              <w:left w:val="single" w:sz="4"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2.492</w:t>
            </w:r>
          </w:p>
        </w:tc>
        <w:tc>
          <w:tcPr>
            <w:tcW w:w="991" w:type="dxa"/>
            <w:tcBorders>
              <w:left w:val="single" w:sz="4"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r w:rsidR="002A1847">
              <w:rPr>
                <w:rFonts w:ascii="Calibri" w:hAnsi="Calibri" w:cs="Calibri"/>
                <w:color w:val="000000"/>
                <w:lang w:val="en-US"/>
              </w:rPr>
              <w:t>**</w:t>
            </w:r>
          </w:p>
        </w:tc>
        <w:tc>
          <w:tcPr>
            <w:tcW w:w="850" w:type="dxa"/>
            <w:tcBorders>
              <w:left w:val="single" w:sz="4"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r>
      <w:tr w:rsidR="00692151" w:rsidTr="00806F26">
        <w:trPr>
          <w:trHeight w:val="20"/>
        </w:trPr>
        <w:tc>
          <w:tcPr>
            <w:tcW w:w="3120" w:type="dxa"/>
            <w:tcBorders>
              <w:left w:val="single" w:sz="12"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Model Chi-square</w:t>
            </w:r>
          </w:p>
        </w:tc>
        <w:tc>
          <w:tcPr>
            <w:tcW w:w="1417" w:type="dxa"/>
            <w:tcBorders>
              <w:left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17.463</w:t>
            </w:r>
          </w:p>
        </w:tc>
        <w:tc>
          <w:tcPr>
            <w:tcW w:w="851" w:type="dxa"/>
            <w:tcBorders>
              <w:left w:val="single" w:sz="4"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4.983</w:t>
            </w:r>
          </w:p>
        </w:tc>
        <w:tc>
          <w:tcPr>
            <w:tcW w:w="991" w:type="dxa"/>
            <w:tcBorders>
              <w:left w:val="single" w:sz="4"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0.0827</w:t>
            </w:r>
            <w:r w:rsidR="002A1847">
              <w:rPr>
                <w:rFonts w:ascii="Calibri" w:hAnsi="Calibri" w:cs="Calibri"/>
                <w:color w:val="000000"/>
                <w:lang w:val="en-US"/>
              </w:rPr>
              <w:t>*</w:t>
            </w:r>
          </w:p>
        </w:tc>
        <w:tc>
          <w:tcPr>
            <w:tcW w:w="850" w:type="dxa"/>
            <w:tcBorders>
              <w:left w:val="single" w:sz="4"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r>
      <w:tr w:rsidR="00692151" w:rsidTr="00806F26">
        <w:trPr>
          <w:trHeight w:val="20"/>
        </w:trPr>
        <w:tc>
          <w:tcPr>
            <w:tcW w:w="3120" w:type="dxa"/>
            <w:tcBorders>
              <w:left w:val="single" w:sz="12" w:space="0" w:color="auto"/>
              <w:bottom w:val="single" w:sz="12"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Pseudo R-square (Nagelkerke)</w:t>
            </w:r>
          </w:p>
        </w:tc>
        <w:tc>
          <w:tcPr>
            <w:tcW w:w="1417" w:type="dxa"/>
            <w:tcBorders>
              <w:left w:val="single" w:sz="12" w:space="0" w:color="auto"/>
              <w:bottom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0.003</w:t>
            </w:r>
          </w:p>
        </w:tc>
        <w:tc>
          <w:tcPr>
            <w:tcW w:w="851" w:type="dxa"/>
            <w:tcBorders>
              <w:left w:val="single" w:sz="4" w:space="0" w:color="auto"/>
              <w:bottom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c>
          <w:tcPr>
            <w:tcW w:w="851" w:type="dxa"/>
            <w:tcBorders>
              <w:left w:val="single" w:sz="4" w:space="0" w:color="auto"/>
              <w:bottom w:val="single" w:sz="12"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bottom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991" w:type="dxa"/>
            <w:tcBorders>
              <w:left w:val="single" w:sz="4" w:space="0" w:color="auto"/>
              <w:bottom w:val="single" w:sz="12" w:space="0" w:color="auto"/>
              <w:right w:val="single" w:sz="4"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c>
          <w:tcPr>
            <w:tcW w:w="850" w:type="dxa"/>
            <w:tcBorders>
              <w:left w:val="single" w:sz="4" w:space="0" w:color="auto"/>
              <w:bottom w:val="single" w:sz="12" w:space="0" w:color="auto"/>
              <w:right w:val="single" w:sz="12" w:space="0" w:color="auto"/>
            </w:tcBorders>
          </w:tcPr>
          <w:p w:rsidR="00692151" w:rsidRDefault="00692151">
            <w:pPr>
              <w:autoSpaceDE w:val="0"/>
              <w:autoSpaceDN w:val="0"/>
              <w:adjustRightInd w:val="0"/>
              <w:spacing w:after="0" w:line="240" w:lineRule="auto"/>
              <w:jc w:val="center"/>
              <w:rPr>
                <w:rFonts w:ascii="Calibri" w:hAnsi="Calibri" w:cs="Calibri"/>
                <w:color w:val="000000"/>
                <w:lang w:val="en-US"/>
              </w:rPr>
            </w:pPr>
          </w:p>
        </w:tc>
      </w:tr>
    </w:tbl>
    <w:p w:rsidR="002A1847" w:rsidRPr="0006085D" w:rsidRDefault="002A1847" w:rsidP="0006085D">
      <w:pPr>
        <w:pStyle w:val="NoSpacing"/>
        <w:rPr>
          <w:b/>
          <w:i/>
          <w:sz w:val="20"/>
          <w:szCs w:val="20"/>
        </w:rPr>
      </w:pPr>
      <w:r w:rsidRPr="0006085D">
        <w:rPr>
          <w:b/>
          <w:i/>
          <w:sz w:val="20"/>
          <w:szCs w:val="20"/>
        </w:rPr>
        <w:t>p &lt; 0.05 = **</w:t>
      </w:r>
      <w:r w:rsidR="0006085D">
        <w:rPr>
          <w:b/>
          <w:i/>
          <w:sz w:val="20"/>
          <w:szCs w:val="20"/>
        </w:rPr>
        <w:br/>
      </w:r>
      <w:r w:rsidR="00806F26">
        <w:rPr>
          <w:b/>
          <w:i/>
          <w:sz w:val="20"/>
          <w:szCs w:val="20"/>
        </w:rPr>
        <w:t>p &lt; 0.10 = *</w:t>
      </w:r>
    </w:p>
    <w:p w:rsidR="00EC2BEC" w:rsidRDefault="00083666" w:rsidP="00874FD6">
      <w:pPr>
        <w:rPr>
          <w:lang w:val="en-GB"/>
        </w:rPr>
      </w:pPr>
      <w:r>
        <w:rPr>
          <w:lang w:val="en-GB"/>
        </w:rPr>
        <w:t>The first result of INDFRAUD is a significant association with ITMW (b=0.350, p&lt;0.01)</w:t>
      </w:r>
      <w:r w:rsidR="004138E6">
        <w:rPr>
          <w:lang w:val="en-GB"/>
        </w:rPr>
        <w:t>. I</w:t>
      </w:r>
      <w:r>
        <w:rPr>
          <w:lang w:val="en-GB"/>
        </w:rPr>
        <w:t xml:space="preserve">t is </w:t>
      </w:r>
      <w:r w:rsidR="004138E6">
        <w:rPr>
          <w:lang w:val="en-GB"/>
        </w:rPr>
        <w:t xml:space="preserve">a </w:t>
      </w:r>
      <w:r>
        <w:rPr>
          <w:lang w:val="en-GB"/>
        </w:rPr>
        <w:t>positive relation, which means that when a firm is in the technology, health care or financial services industry</w:t>
      </w:r>
      <w:r w:rsidR="004138E6">
        <w:rPr>
          <w:lang w:val="en-GB"/>
        </w:rPr>
        <w:t>,</w:t>
      </w:r>
      <w:r>
        <w:rPr>
          <w:lang w:val="en-GB"/>
        </w:rPr>
        <w:t xml:space="preserve"> there is a higher change of finding a</w:t>
      </w:r>
      <w:r w:rsidR="004138E6">
        <w:rPr>
          <w:lang w:val="en-GB"/>
        </w:rPr>
        <w:t>n</w:t>
      </w:r>
      <w:r>
        <w:rPr>
          <w:lang w:val="en-GB"/>
        </w:rPr>
        <w:t xml:space="preserve"> IT material weakness. INDFRAUD is also significant for non-ITMW, but has a much lower coefficient</w:t>
      </w:r>
      <w:r w:rsidR="004138E6">
        <w:rPr>
          <w:lang w:val="en-GB"/>
        </w:rPr>
        <w:t>,</w:t>
      </w:r>
      <w:r>
        <w:rPr>
          <w:lang w:val="en-GB"/>
        </w:rPr>
        <w:t xml:space="preserve"> which is also reflected </w:t>
      </w:r>
      <w:r w:rsidR="008309CD">
        <w:rPr>
          <w:lang w:val="en-GB"/>
        </w:rPr>
        <w:t xml:space="preserve">in the effect size (odd ratio 1.419 vs. 1.092) </w:t>
      </w:r>
      <w:r>
        <w:rPr>
          <w:lang w:val="en-GB"/>
        </w:rPr>
        <w:t>and is only significant for p&lt;0.05. For the other industry difference measure INDCOMP</w:t>
      </w:r>
      <w:r w:rsidR="004138E6">
        <w:rPr>
          <w:lang w:val="en-GB"/>
        </w:rPr>
        <w:t>,</w:t>
      </w:r>
      <w:r>
        <w:rPr>
          <w:lang w:val="en-GB"/>
        </w:rPr>
        <w:t xml:space="preserve"> there is</w:t>
      </w:r>
      <w:r w:rsidR="004138E6">
        <w:rPr>
          <w:lang w:val="en-GB"/>
        </w:rPr>
        <w:t xml:space="preserve"> </w:t>
      </w:r>
      <w:r w:rsidR="00B9614A">
        <w:rPr>
          <w:lang w:val="en-GB"/>
        </w:rPr>
        <w:t>no</w:t>
      </w:r>
      <w:r>
        <w:rPr>
          <w:lang w:val="en-GB"/>
        </w:rPr>
        <w:t xml:space="preserve"> significant relation for both IT and non-IT material </w:t>
      </w:r>
      <w:r w:rsidR="00A33070">
        <w:rPr>
          <w:lang w:val="en-GB"/>
        </w:rPr>
        <w:t>weaknesses</w:t>
      </w:r>
      <w:r w:rsidR="00B9614A">
        <w:rPr>
          <w:lang w:val="en-GB"/>
        </w:rPr>
        <w:t>. T</w:t>
      </w:r>
      <w:r w:rsidR="00A33070">
        <w:rPr>
          <w:lang w:val="en-GB"/>
        </w:rPr>
        <w:t>he</w:t>
      </w:r>
      <w:r w:rsidR="008309CD">
        <w:rPr>
          <w:lang w:val="en-GB"/>
        </w:rPr>
        <w:t xml:space="preserve"> coefficient of INDCOMP </w:t>
      </w:r>
      <w:r w:rsidR="00C94136">
        <w:rPr>
          <w:lang w:val="en-GB"/>
        </w:rPr>
        <w:t xml:space="preserve">for ITMW is </w:t>
      </w:r>
      <w:r w:rsidR="00A33070">
        <w:rPr>
          <w:lang w:val="en-GB"/>
        </w:rPr>
        <w:t>positive</w:t>
      </w:r>
      <w:r w:rsidR="00B9614A">
        <w:rPr>
          <w:lang w:val="en-GB"/>
        </w:rPr>
        <w:t>,</w:t>
      </w:r>
      <w:r w:rsidR="00C94136">
        <w:rPr>
          <w:lang w:val="en-GB"/>
        </w:rPr>
        <w:t xml:space="preserve"> which </w:t>
      </w:r>
      <w:r w:rsidR="00A33070">
        <w:rPr>
          <w:lang w:val="en-GB"/>
        </w:rPr>
        <w:t>supports</w:t>
      </w:r>
      <w:r w:rsidR="00C94136">
        <w:rPr>
          <w:lang w:val="en-GB"/>
        </w:rPr>
        <w:t xml:space="preserve"> hypothesis 1b in </w:t>
      </w:r>
      <w:r w:rsidR="00B9614A">
        <w:rPr>
          <w:lang w:val="en-GB"/>
        </w:rPr>
        <w:t xml:space="preserve">the sense </w:t>
      </w:r>
      <w:r w:rsidR="00C94136">
        <w:rPr>
          <w:lang w:val="en-GB"/>
        </w:rPr>
        <w:t xml:space="preserve">that non-competitive industries have more </w:t>
      </w:r>
      <w:r w:rsidR="000B3301">
        <w:rPr>
          <w:lang w:val="en-GB"/>
        </w:rPr>
        <w:t>material IT control weaknesses</w:t>
      </w:r>
      <w:r w:rsidR="00C94136">
        <w:rPr>
          <w:lang w:val="en-GB"/>
        </w:rPr>
        <w:t xml:space="preserve">. </w:t>
      </w:r>
    </w:p>
    <w:p w:rsidR="004B1AC8" w:rsidRPr="00750A40" w:rsidRDefault="004B1AC8" w:rsidP="00874FD6">
      <w:pPr>
        <w:rPr>
          <w:lang w:val="en-GB"/>
        </w:rPr>
      </w:pPr>
      <w:r>
        <w:rPr>
          <w:lang w:val="en-GB"/>
        </w:rPr>
        <w:t>Using a similar layout as table 10, table 11 presents the results focussing on the restructuring variables.</w:t>
      </w:r>
    </w:p>
    <w:p w:rsidR="00E74844" w:rsidRPr="00B77BD5" w:rsidRDefault="00EC2BEC" w:rsidP="00B77BD5">
      <w:pPr>
        <w:pStyle w:val="NoSpacing"/>
        <w:rPr>
          <w:b/>
          <w:i/>
        </w:rPr>
      </w:pPr>
      <w:r w:rsidRPr="00B77BD5">
        <w:rPr>
          <w:b/>
          <w:i/>
        </w:rPr>
        <w:t xml:space="preserve">Table 11: </w:t>
      </w:r>
      <w:r w:rsidR="00E74844" w:rsidRPr="00B77BD5">
        <w:rPr>
          <w:b/>
          <w:i/>
        </w:rPr>
        <w:t>Model 2: only restructuring variables</w:t>
      </w:r>
    </w:p>
    <w:tbl>
      <w:tblPr>
        <w:tblW w:w="9356" w:type="dxa"/>
        <w:tblInd w:w="-318" w:type="dxa"/>
        <w:tblLayout w:type="fixed"/>
        <w:tblLook w:val="0000"/>
      </w:tblPr>
      <w:tblGrid>
        <w:gridCol w:w="3120"/>
        <w:gridCol w:w="1417"/>
        <w:gridCol w:w="851"/>
        <w:gridCol w:w="851"/>
        <w:gridCol w:w="1276"/>
        <w:gridCol w:w="991"/>
        <w:gridCol w:w="850"/>
      </w:tblGrid>
      <w:tr w:rsidR="004B22C2" w:rsidRPr="00F93260" w:rsidTr="004B1AC8">
        <w:trPr>
          <w:trHeight w:val="492"/>
        </w:trPr>
        <w:tc>
          <w:tcPr>
            <w:tcW w:w="3120" w:type="dxa"/>
            <w:tcBorders>
              <w:top w:val="single" w:sz="12" w:space="0" w:color="auto"/>
              <w:left w:val="single" w:sz="12" w:space="0" w:color="auto"/>
              <w:bottom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Logistic regression model 2</w:t>
            </w:r>
          </w:p>
        </w:tc>
        <w:tc>
          <w:tcPr>
            <w:tcW w:w="6236" w:type="dxa"/>
            <w:gridSpan w:val="6"/>
            <w:tcBorders>
              <w:top w:val="single" w:sz="12" w:space="0" w:color="auto"/>
              <w:left w:val="single" w:sz="12" w:space="0" w:color="auto"/>
              <w:bottom w:val="single" w:sz="12" w:space="0" w:color="auto"/>
              <w:right w:val="single" w:sz="12" w:space="0" w:color="auto"/>
            </w:tcBorders>
          </w:tcPr>
          <w:p w:rsidR="004B22C2" w:rsidRPr="00B77BD5" w:rsidRDefault="004B22C2" w:rsidP="00B77BD5">
            <w:pPr>
              <w:pStyle w:val="NoSpacing"/>
              <w:numPr>
                <w:ilvl w:val="0"/>
                <w:numId w:val="28"/>
              </w:numPr>
              <w:ind w:left="317" w:hanging="284"/>
              <w:rPr>
                <w:rFonts w:cs="Calibri"/>
                <w:color w:val="000000"/>
                <w:sz w:val="20"/>
                <w:szCs w:val="20"/>
              </w:rPr>
            </w:pPr>
            <w:r w:rsidRPr="00B77BD5">
              <w:rPr>
                <w:sz w:val="20"/>
                <w:szCs w:val="20"/>
              </w:rPr>
              <w:t xml:space="preserve">ITMW = </w:t>
            </w:r>
            <w:r w:rsidRPr="00B77BD5">
              <w:rPr>
                <w:rFonts w:cstheme="minorHAnsi"/>
                <w:sz w:val="20"/>
                <w:szCs w:val="20"/>
              </w:rPr>
              <w:t>α</w:t>
            </w:r>
            <w:r w:rsidRPr="00B77BD5">
              <w:rPr>
                <w:sz w:val="20"/>
                <w:szCs w:val="20"/>
                <w:vertAlign w:val="subscript"/>
              </w:rPr>
              <w:t>0</w:t>
            </w:r>
            <w:r w:rsidRPr="00B77BD5">
              <w:rPr>
                <w:sz w:val="20"/>
                <w:szCs w:val="20"/>
              </w:rPr>
              <w:t xml:space="preserve"> + </w:t>
            </w:r>
            <w:r w:rsidRPr="00B77BD5">
              <w:rPr>
                <w:rFonts w:cstheme="minorHAnsi"/>
                <w:sz w:val="20"/>
                <w:szCs w:val="20"/>
              </w:rPr>
              <w:t>α</w:t>
            </w:r>
            <w:r w:rsidRPr="00B77BD5">
              <w:rPr>
                <w:sz w:val="20"/>
                <w:szCs w:val="20"/>
                <w:vertAlign w:val="subscript"/>
              </w:rPr>
              <w:t>1</w:t>
            </w:r>
            <w:r w:rsidRPr="00B77BD5">
              <w:rPr>
                <w:sz w:val="20"/>
                <w:szCs w:val="20"/>
              </w:rPr>
              <w:t xml:space="preserve"> RESTRUCTD + </w:t>
            </w:r>
            <w:r w:rsidRPr="00B77BD5">
              <w:rPr>
                <w:rFonts w:cstheme="minorHAnsi"/>
                <w:sz w:val="20"/>
                <w:szCs w:val="20"/>
              </w:rPr>
              <w:t>ԑ</w:t>
            </w:r>
            <w:r w:rsidR="0006085D">
              <w:rPr>
                <w:rFonts w:cstheme="minorHAnsi"/>
                <w:sz w:val="20"/>
                <w:szCs w:val="20"/>
              </w:rPr>
              <w:t xml:space="preserve"> / </w:t>
            </w:r>
            <w:r w:rsidRPr="00B77BD5">
              <w:rPr>
                <w:sz w:val="20"/>
                <w:szCs w:val="20"/>
              </w:rPr>
              <w:t xml:space="preserve">NON- ITMW = </w:t>
            </w:r>
            <w:r w:rsidRPr="00B77BD5">
              <w:rPr>
                <w:rFonts w:cstheme="minorHAnsi"/>
                <w:sz w:val="20"/>
                <w:szCs w:val="20"/>
              </w:rPr>
              <w:t>α</w:t>
            </w:r>
            <w:r w:rsidRPr="00B77BD5">
              <w:rPr>
                <w:sz w:val="20"/>
                <w:szCs w:val="20"/>
                <w:vertAlign w:val="subscript"/>
              </w:rPr>
              <w:t>0</w:t>
            </w:r>
            <w:r w:rsidRPr="00B77BD5">
              <w:rPr>
                <w:sz w:val="20"/>
                <w:szCs w:val="20"/>
              </w:rPr>
              <w:t xml:space="preserve"> + </w:t>
            </w:r>
            <w:r w:rsidRPr="00B77BD5">
              <w:rPr>
                <w:rFonts w:cstheme="minorHAnsi"/>
                <w:sz w:val="20"/>
                <w:szCs w:val="20"/>
              </w:rPr>
              <w:t>α</w:t>
            </w:r>
            <w:r w:rsidRPr="00B77BD5">
              <w:rPr>
                <w:sz w:val="20"/>
                <w:szCs w:val="20"/>
                <w:vertAlign w:val="subscript"/>
              </w:rPr>
              <w:t>1</w:t>
            </w:r>
            <w:r w:rsidRPr="00B77BD5">
              <w:rPr>
                <w:sz w:val="20"/>
                <w:szCs w:val="20"/>
              </w:rPr>
              <w:t xml:space="preserve"> RESTRUCTD + </w:t>
            </w:r>
            <w:r w:rsidRPr="00B77BD5">
              <w:rPr>
                <w:rFonts w:cstheme="minorHAnsi"/>
                <w:sz w:val="20"/>
                <w:szCs w:val="20"/>
              </w:rPr>
              <w:t>ԑ</w:t>
            </w:r>
          </w:p>
          <w:p w:rsidR="004B22C2" w:rsidRPr="00B77BD5" w:rsidRDefault="004B22C2" w:rsidP="00B77BD5">
            <w:pPr>
              <w:pStyle w:val="NoSpacing"/>
              <w:numPr>
                <w:ilvl w:val="0"/>
                <w:numId w:val="28"/>
              </w:numPr>
              <w:ind w:left="317" w:hanging="284"/>
              <w:rPr>
                <w:rFonts w:cs="Calibri"/>
                <w:color w:val="000000"/>
                <w:sz w:val="20"/>
                <w:szCs w:val="20"/>
              </w:rPr>
            </w:pPr>
            <w:r w:rsidRPr="00B77BD5">
              <w:rPr>
                <w:sz w:val="20"/>
                <w:szCs w:val="20"/>
              </w:rPr>
              <w:t xml:space="preserve">ITMW = </w:t>
            </w:r>
            <w:r w:rsidRPr="00B77BD5">
              <w:rPr>
                <w:rFonts w:cstheme="minorHAnsi"/>
                <w:sz w:val="20"/>
                <w:szCs w:val="20"/>
              </w:rPr>
              <w:t>α</w:t>
            </w:r>
            <w:r w:rsidRPr="00B77BD5">
              <w:rPr>
                <w:sz w:val="20"/>
                <w:szCs w:val="20"/>
                <w:vertAlign w:val="subscript"/>
              </w:rPr>
              <w:t>0</w:t>
            </w:r>
            <w:r w:rsidRPr="00B77BD5">
              <w:rPr>
                <w:sz w:val="20"/>
                <w:szCs w:val="20"/>
              </w:rPr>
              <w:t xml:space="preserve"> + </w:t>
            </w:r>
            <w:r w:rsidRPr="00B77BD5">
              <w:rPr>
                <w:rFonts w:cstheme="minorHAnsi"/>
                <w:sz w:val="20"/>
                <w:szCs w:val="20"/>
              </w:rPr>
              <w:t>α</w:t>
            </w:r>
            <w:r w:rsidRPr="00B77BD5">
              <w:rPr>
                <w:sz w:val="20"/>
                <w:szCs w:val="20"/>
                <w:vertAlign w:val="subscript"/>
              </w:rPr>
              <w:t>1</w:t>
            </w:r>
            <w:r w:rsidRPr="00B77BD5">
              <w:rPr>
                <w:sz w:val="20"/>
                <w:szCs w:val="20"/>
              </w:rPr>
              <w:t xml:space="preserve"> RESTRUCT</w:t>
            </w:r>
            <w:r w:rsidR="00B77BD5" w:rsidRPr="00B77BD5">
              <w:rPr>
                <w:sz w:val="20"/>
                <w:szCs w:val="20"/>
              </w:rPr>
              <w:t>C</w:t>
            </w:r>
            <w:r w:rsidRPr="00B77BD5">
              <w:rPr>
                <w:sz w:val="20"/>
                <w:szCs w:val="20"/>
              </w:rPr>
              <w:t xml:space="preserve"> + </w:t>
            </w:r>
            <w:r w:rsidRPr="00B77BD5">
              <w:rPr>
                <w:rFonts w:cstheme="minorHAnsi"/>
                <w:sz w:val="20"/>
                <w:szCs w:val="20"/>
              </w:rPr>
              <w:t>ԑ</w:t>
            </w:r>
            <w:r w:rsidR="0006085D">
              <w:rPr>
                <w:rFonts w:cstheme="minorHAnsi"/>
                <w:sz w:val="20"/>
                <w:szCs w:val="20"/>
              </w:rPr>
              <w:t xml:space="preserve"> / </w:t>
            </w:r>
            <w:r w:rsidRPr="00B77BD5">
              <w:rPr>
                <w:sz w:val="20"/>
                <w:szCs w:val="20"/>
              </w:rPr>
              <w:t xml:space="preserve">NON- ITMW = </w:t>
            </w:r>
            <w:r w:rsidRPr="00B77BD5">
              <w:rPr>
                <w:rFonts w:cstheme="minorHAnsi"/>
                <w:sz w:val="20"/>
                <w:szCs w:val="20"/>
              </w:rPr>
              <w:t>α</w:t>
            </w:r>
            <w:r w:rsidRPr="00B77BD5">
              <w:rPr>
                <w:sz w:val="20"/>
                <w:szCs w:val="20"/>
                <w:vertAlign w:val="subscript"/>
              </w:rPr>
              <w:t>0</w:t>
            </w:r>
            <w:r w:rsidRPr="00B77BD5">
              <w:rPr>
                <w:sz w:val="20"/>
                <w:szCs w:val="20"/>
              </w:rPr>
              <w:t xml:space="preserve"> + </w:t>
            </w:r>
            <w:r w:rsidRPr="00B77BD5">
              <w:rPr>
                <w:rFonts w:cstheme="minorHAnsi"/>
                <w:sz w:val="20"/>
                <w:szCs w:val="20"/>
              </w:rPr>
              <w:t>α</w:t>
            </w:r>
            <w:r w:rsidRPr="00B77BD5">
              <w:rPr>
                <w:sz w:val="20"/>
                <w:szCs w:val="20"/>
                <w:vertAlign w:val="subscript"/>
              </w:rPr>
              <w:t>1</w:t>
            </w:r>
            <w:r w:rsidRPr="00B77BD5">
              <w:rPr>
                <w:sz w:val="20"/>
                <w:szCs w:val="20"/>
              </w:rPr>
              <w:t xml:space="preserve"> RESTRUCT</w:t>
            </w:r>
            <w:r w:rsidR="00B77BD5" w:rsidRPr="00B77BD5">
              <w:rPr>
                <w:sz w:val="20"/>
                <w:szCs w:val="20"/>
              </w:rPr>
              <w:t>C</w:t>
            </w:r>
            <w:r w:rsidRPr="00B77BD5">
              <w:rPr>
                <w:sz w:val="20"/>
                <w:szCs w:val="20"/>
              </w:rPr>
              <w:t xml:space="preserve"> + </w:t>
            </w:r>
            <w:r w:rsidRPr="00B77BD5">
              <w:rPr>
                <w:rFonts w:cstheme="minorHAnsi"/>
                <w:sz w:val="20"/>
                <w:szCs w:val="20"/>
              </w:rPr>
              <w:t>ԑ</w:t>
            </w:r>
          </w:p>
          <w:p w:rsidR="004B22C2" w:rsidRPr="00B77BD5" w:rsidRDefault="00B77BD5" w:rsidP="0006085D">
            <w:pPr>
              <w:pStyle w:val="NoSpacing"/>
              <w:numPr>
                <w:ilvl w:val="0"/>
                <w:numId w:val="28"/>
              </w:numPr>
              <w:ind w:left="317" w:hanging="284"/>
              <w:rPr>
                <w:rFonts w:cs="Calibri"/>
                <w:color w:val="000000"/>
              </w:rPr>
            </w:pPr>
            <w:r w:rsidRPr="00B77BD5">
              <w:rPr>
                <w:sz w:val="20"/>
                <w:szCs w:val="20"/>
              </w:rPr>
              <w:t xml:space="preserve">ITMW = </w:t>
            </w:r>
            <w:r w:rsidRPr="00B77BD5">
              <w:rPr>
                <w:rFonts w:cstheme="minorHAnsi"/>
                <w:sz w:val="20"/>
                <w:szCs w:val="20"/>
              </w:rPr>
              <w:t>α</w:t>
            </w:r>
            <w:r w:rsidRPr="00B77BD5">
              <w:rPr>
                <w:sz w:val="20"/>
                <w:szCs w:val="20"/>
                <w:vertAlign w:val="subscript"/>
              </w:rPr>
              <w:t>0</w:t>
            </w:r>
            <w:r w:rsidRPr="00B77BD5">
              <w:rPr>
                <w:sz w:val="20"/>
                <w:szCs w:val="20"/>
              </w:rPr>
              <w:t xml:space="preserve"> + </w:t>
            </w:r>
            <w:r w:rsidRPr="00B77BD5">
              <w:rPr>
                <w:rFonts w:cstheme="minorHAnsi"/>
                <w:sz w:val="20"/>
                <w:szCs w:val="20"/>
              </w:rPr>
              <w:t>α</w:t>
            </w:r>
            <w:r w:rsidRPr="00B77BD5">
              <w:rPr>
                <w:sz w:val="20"/>
                <w:szCs w:val="20"/>
                <w:vertAlign w:val="subscript"/>
              </w:rPr>
              <w:t>1</w:t>
            </w:r>
            <w:r w:rsidRPr="00B77BD5">
              <w:rPr>
                <w:sz w:val="20"/>
                <w:szCs w:val="20"/>
              </w:rPr>
              <w:t xml:space="preserve"> RESTRUCTP + </w:t>
            </w:r>
            <w:r w:rsidRPr="00B77BD5">
              <w:rPr>
                <w:rFonts w:cstheme="minorHAnsi"/>
                <w:sz w:val="20"/>
                <w:szCs w:val="20"/>
              </w:rPr>
              <w:t>ԑ</w:t>
            </w:r>
            <w:r w:rsidR="0006085D">
              <w:rPr>
                <w:rFonts w:cstheme="minorHAnsi"/>
                <w:sz w:val="20"/>
                <w:szCs w:val="20"/>
              </w:rPr>
              <w:t xml:space="preserve"> / </w:t>
            </w:r>
            <w:r w:rsidRPr="00B77BD5">
              <w:rPr>
                <w:sz w:val="20"/>
                <w:szCs w:val="20"/>
              </w:rPr>
              <w:t xml:space="preserve">NON- ITMW = </w:t>
            </w:r>
            <w:r w:rsidRPr="00B77BD5">
              <w:rPr>
                <w:rFonts w:cstheme="minorHAnsi"/>
                <w:sz w:val="20"/>
                <w:szCs w:val="20"/>
              </w:rPr>
              <w:t>α</w:t>
            </w:r>
            <w:r w:rsidRPr="00B77BD5">
              <w:rPr>
                <w:sz w:val="20"/>
                <w:szCs w:val="20"/>
                <w:vertAlign w:val="subscript"/>
              </w:rPr>
              <w:t>0</w:t>
            </w:r>
            <w:r w:rsidRPr="00B77BD5">
              <w:rPr>
                <w:sz w:val="20"/>
                <w:szCs w:val="20"/>
              </w:rPr>
              <w:t xml:space="preserve"> + </w:t>
            </w:r>
            <w:r w:rsidRPr="00B77BD5">
              <w:rPr>
                <w:rFonts w:cstheme="minorHAnsi"/>
                <w:sz w:val="20"/>
                <w:szCs w:val="20"/>
              </w:rPr>
              <w:t>α</w:t>
            </w:r>
            <w:r w:rsidRPr="00B77BD5">
              <w:rPr>
                <w:sz w:val="20"/>
                <w:szCs w:val="20"/>
                <w:vertAlign w:val="subscript"/>
              </w:rPr>
              <w:t>1</w:t>
            </w:r>
            <w:r w:rsidRPr="00B77BD5">
              <w:rPr>
                <w:sz w:val="20"/>
                <w:szCs w:val="20"/>
              </w:rPr>
              <w:t xml:space="preserve"> RESTRUCTP + </w:t>
            </w:r>
            <w:r w:rsidRPr="00B77BD5">
              <w:rPr>
                <w:rFonts w:cstheme="minorHAnsi"/>
                <w:sz w:val="20"/>
                <w:szCs w:val="20"/>
              </w:rPr>
              <w:t>ԑ</w:t>
            </w:r>
          </w:p>
        </w:tc>
      </w:tr>
      <w:tr w:rsidR="004B22C2" w:rsidTr="004B1AC8">
        <w:trPr>
          <w:trHeight w:val="215"/>
        </w:trPr>
        <w:tc>
          <w:tcPr>
            <w:tcW w:w="3120" w:type="dxa"/>
            <w:tcBorders>
              <w:top w:val="single" w:sz="12" w:space="0" w:color="auto"/>
              <w:left w:val="single" w:sz="12" w:space="0" w:color="auto"/>
              <w:bottom w:val="single" w:sz="6" w:space="0" w:color="auto"/>
              <w:right w:val="single" w:sz="12" w:space="0" w:color="auto"/>
            </w:tcBorders>
          </w:tcPr>
          <w:p w:rsidR="004B22C2" w:rsidRDefault="004B22C2" w:rsidP="004B22C2">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Dependent variable: </w:t>
            </w:r>
          </w:p>
        </w:tc>
        <w:tc>
          <w:tcPr>
            <w:tcW w:w="1417" w:type="dxa"/>
            <w:tcBorders>
              <w:top w:val="single" w:sz="12" w:space="0" w:color="auto"/>
              <w:left w:val="single" w:sz="12" w:space="0" w:color="auto"/>
              <w:bottom w:val="single" w:sz="6" w:space="0" w:color="auto"/>
              <w:right w:val="nil"/>
            </w:tcBorders>
          </w:tcPr>
          <w:p w:rsidR="004B22C2" w:rsidRDefault="00B77BD5" w:rsidP="004B22C2">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ITMW</w:t>
            </w:r>
          </w:p>
        </w:tc>
        <w:tc>
          <w:tcPr>
            <w:tcW w:w="851" w:type="dxa"/>
            <w:tcBorders>
              <w:top w:val="single" w:sz="12" w:space="0" w:color="auto"/>
              <w:left w:val="nil"/>
              <w:bottom w:val="single" w:sz="6"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851" w:type="dxa"/>
            <w:tcBorders>
              <w:top w:val="single" w:sz="12" w:space="0" w:color="auto"/>
              <w:bottom w:val="single" w:sz="6"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1276" w:type="dxa"/>
            <w:tcBorders>
              <w:top w:val="single" w:sz="12" w:space="0" w:color="auto"/>
              <w:left w:val="single" w:sz="12" w:space="0" w:color="auto"/>
              <w:bottom w:val="single" w:sz="6" w:space="0" w:color="auto"/>
              <w:right w:val="nil"/>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NON-ITMW</w:t>
            </w:r>
          </w:p>
        </w:tc>
        <w:tc>
          <w:tcPr>
            <w:tcW w:w="991" w:type="dxa"/>
            <w:tcBorders>
              <w:top w:val="single" w:sz="12" w:space="0" w:color="auto"/>
              <w:left w:val="nil"/>
              <w:bottom w:val="single" w:sz="6"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850" w:type="dxa"/>
            <w:tcBorders>
              <w:top w:val="single" w:sz="12" w:space="0" w:color="auto"/>
              <w:bottom w:val="single" w:sz="6"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r>
      <w:tr w:rsidR="004B22C2" w:rsidTr="00692151">
        <w:trPr>
          <w:trHeight w:val="305"/>
        </w:trPr>
        <w:tc>
          <w:tcPr>
            <w:tcW w:w="3120" w:type="dxa"/>
            <w:tcBorders>
              <w:top w:val="single" w:sz="6" w:space="0" w:color="auto"/>
              <w:left w:val="single" w:sz="12" w:space="0" w:color="auto"/>
              <w:bottom w:val="single" w:sz="6"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Observations (N):</w:t>
            </w:r>
          </w:p>
        </w:tc>
        <w:tc>
          <w:tcPr>
            <w:tcW w:w="1417" w:type="dxa"/>
            <w:tcBorders>
              <w:top w:val="single" w:sz="6" w:space="0" w:color="auto"/>
              <w:left w:val="single" w:sz="12" w:space="0" w:color="auto"/>
              <w:bottom w:val="single" w:sz="6" w:space="0" w:color="auto"/>
              <w:right w:val="nil"/>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669</w:t>
            </w:r>
          </w:p>
        </w:tc>
        <w:tc>
          <w:tcPr>
            <w:tcW w:w="851" w:type="dxa"/>
            <w:tcBorders>
              <w:top w:val="single" w:sz="6" w:space="0" w:color="auto"/>
              <w:left w:val="nil"/>
              <w:bottom w:val="single" w:sz="6"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851" w:type="dxa"/>
            <w:tcBorders>
              <w:top w:val="single" w:sz="6" w:space="0" w:color="auto"/>
              <w:bottom w:val="single" w:sz="6"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1276" w:type="dxa"/>
            <w:tcBorders>
              <w:top w:val="single" w:sz="6" w:space="0" w:color="auto"/>
              <w:left w:val="single" w:sz="12" w:space="0" w:color="auto"/>
              <w:bottom w:val="single" w:sz="6" w:space="0" w:color="auto"/>
              <w:right w:val="nil"/>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2749</w:t>
            </w:r>
          </w:p>
        </w:tc>
        <w:tc>
          <w:tcPr>
            <w:tcW w:w="991" w:type="dxa"/>
            <w:tcBorders>
              <w:top w:val="single" w:sz="6" w:space="0" w:color="auto"/>
              <w:left w:val="nil"/>
              <w:bottom w:val="single" w:sz="6"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850" w:type="dxa"/>
            <w:tcBorders>
              <w:top w:val="single" w:sz="6" w:space="0" w:color="auto"/>
              <w:bottom w:val="single" w:sz="6"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r>
      <w:tr w:rsidR="004B22C2" w:rsidTr="00692151">
        <w:trPr>
          <w:trHeight w:val="319"/>
        </w:trPr>
        <w:tc>
          <w:tcPr>
            <w:tcW w:w="3120" w:type="dxa"/>
            <w:tcBorders>
              <w:top w:val="single" w:sz="6" w:space="0" w:color="auto"/>
              <w:left w:val="single" w:sz="12" w:space="0" w:color="auto"/>
              <w:bottom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Independent variables</w:t>
            </w:r>
          </w:p>
        </w:tc>
        <w:tc>
          <w:tcPr>
            <w:tcW w:w="1417" w:type="dxa"/>
            <w:tcBorders>
              <w:top w:val="single" w:sz="6" w:space="0" w:color="auto"/>
              <w:left w:val="single" w:sz="12" w:space="0" w:color="auto"/>
              <w:bottom w:val="single" w:sz="12" w:space="0" w:color="auto"/>
              <w:right w:val="single" w:sz="6"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Coefficient (B)</w:t>
            </w:r>
          </w:p>
        </w:tc>
        <w:tc>
          <w:tcPr>
            <w:tcW w:w="851" w:type="dxa"/>
            <w:tcBorders>
              <w:top w:val="single" w:sz="6" w:space="0" w:color="auto"/>
              <w:left w:val="single" w:sz="6"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Sig. value</w:t>
            </w:r>
          </w:p>
        </w:tc>
        <w:tc>
          <w:tcPr>
            <w:tcW w:w="851" w:type="dxa"/>
            <w:tcBorders>
              <w:top w:val="single" w:sz="6" w:space="0" w:color="auto"/>
              <w:left w:val="single" w:sz="4" w:space="0" w:color="auto"/>
              <w:bottom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Odds ratio </w:t>
            </w:r>
          </w:p>
        </w:tc>
        <w:tc>
          <w:tcPr>
            <w:tcW w:w="1276" w:type="dxa"/>
            <w:tcBorders>
              <w:top w:val="single" w:sz="6" w:space="0" w:color="auto"/>
              <w:left w:val="single" w:sz="12" w:space="0" w:color="auto"/>
              <w:bottom w:val="single" w:sz="12" w:space="0" w:color="auto"/>
              <w:right w:val="single" w:sz="6"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Coefficient (B)</w:t>
            </w:r>
          </w:p>
        </w:tc>
        <w:tc>
          <w:tcPr>
            <w:tcW w:w="991" w:type="dxa"/>
            <w:tcBorders>
              <w:top w:val="single" w:sz="6" w:space="0" w:color="auto"/>
              <w:left w:val="single" w:sz="6"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Sig. value</w:t>
            </w:r>
          </w:p>
        </w:tc>
        <w:tc>
          <w:tcPr>
            <w:tcW w:w="850" w:type="dxa"/>
            <w:tcBorders>
              <w:top w:val="single" w:sz="6" w:space="0" w:color="auto"/>
              <w:left w:val="single" w:sz="4" w:space="0" w:color="auto"/>
              <w:bottom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Odds ratio</w:t>
            </w:r>
          </w:p>
        </w:tc>
      </w:tr>
      <w:tr w:rsidR="004B22C2" w:rsidTr="00692151">
        <w:trPr>
          <w:trHeight w:val="290"/>
        </w:trPr>
        <w:tc>
          <w:tcPr>
            <w:tcW w:w="3120" w:type="dxa"/>
            <w:tcBorders>
              <w:top w:val="single" w:sz="12" w:space="0" w:color="auto"/>
              <w:left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RESTRUCTD </w:t>
            </w:r>
          </w:p>
        </w:tc>
        <w:tc>
          <w:tcPr>
            <w:tcW w:w="1417" w:type="dxa"/>
            <w:tcBorders>
              <w:top w:val="single" w:sz="12" w:space="0" w:color="auto"/>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-.144</w:t>
            </w:r>
          </w:p>
        </w:tc>
        <w:tc>
          <w:tcPr>
            <w:tcW w:w="851" w:type="dxa"/>
            <w:tcBorders>
              <w:top w:val="single" w:sz="12" w:space="0" w:color="auto"/>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.140</w:t>
            </w:r>
          </w:p>
        </w:tc>
        <w:tc>
          <w:tcPr>
            <w:tcW w:w="851" w:type="dxa"/>
            <w:tcBorders>
              <w:top w:val="single" w:sz="12" w:space="0" w:color="auto"/>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0.866</w:t>
            </w:r>
          </w:p>
        </w:tc>
        <w:tc>
          <w:tcPr>
            <w:tcW w:w="1276" w:type="dxa"/>
            <w:tcBorders>
              <w:top w:val="single" w:sz="12" w:space="0" w:color="auto"/>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-.320</w:t>
            </w:r>
          </w:p>
        </w:tc>
        <w:tc>
          <w:tcPr>
            <w:tcW w:w="991" w:type="dxa"/>
            <w:tcBorders>
              <w:top w:val="single" w:sz="12" w:space="0" w:color="auto"/>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0" w:type="dxa"/>
            <w:tcBorders>
              <w:top w:val="single" w:sz="12" w:space="0" w:color="auto"/>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.726</w:t>
            </w:r>
          </w:p>
        </w:tc>
      </w:tr>
      <w:tr w:rsidR="004B22C2" w:rsidTr="00692151">
        <w:trPr>
          <w:trHeight w:val="290"/>
        </w:trPr>
        <w:tc>
          <w:tcPr>
            <w:tcW w:w="3120" w:type="dxa"/>
            <w:tcBorders>
              <w:left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Intercept</w:t>
            </w:r>
          </w:p>
        </w:tc>
        <w:tc>
          <w:tcPr>
            <w:tcW w:w="1417"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4.150</w:t>
            </w:r>
          </w:p>
        </w:tc>
        <w:tc>
          <w:tcPr>
            <w:tcW w:w="85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1"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2.814</w:t>
            </w:r>
          </w:p>
        </w:tc>
        <w:tc>
          <w:tcPr>
            <w:tcW w:w="99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0"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r>
      <w:tr w:rsidR="004B22C2" w:rsidTr="00692151">
        <w:trPr>
          <w:trHeight w:val="80"/>
        </w:trPr>
        <w:tc>
          <w:tcPr>
            <w:tcW w:w="3120" w:type="dxa"/>
            <w:tcBorders>
              <w:left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Model Chi-square</w:t>
            </w:r>
          </w:p>
        </w:tc>
        <w:tc>
          <w:tcPr>
            <w:tcW w:w="1417"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2.234</w:t>
            </w:r>
          </w:p>
        </w:tc>
        <w:tc>
          <w:tcPr>
            <w:tcW w:w="85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.135</w:t>
            </w:r>
          </w:p>
        </w:tc>
        <w:tc>
          <w:tcPr>
            <w:tcW w:w="851"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40.435</w:t>
            </w:r>
          </w:p>
        </w:tc>
        <w:tc>
          <w:tcPr>
            <w:tcW w:w="99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0"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r>
      <w:tr w:rsidR="004B22C2" w:rsidTr="008D0A0A">
        <w:trPr>
          <w:trHeight w:val="305"/>
        </w:trPr>
        <w:tc>
          <w:tcPr>
            <w:tcW w:w="3120" w:type="dxa"/>
            <w:tcBorders>
              <w:left w:val="single" w:sz="12" w:space="0" w:color="auto"/>
              <w:bottom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Pseudo R-square (Nagelkerke)</w:t>
            </w:r>
          </w:p>
        </w:tc>
        <w:tc>
          <w:tcPr>
            <w:tcW w:w="1417" w:type="dxa"/>
            <w:tcBorders>
              <w:left w:val="single" w:sz="12"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1" w:type="dxa"/>
            <w:tcBorders>
              <w:left w:val="single" w:sz="4"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851" w:type="dxa"/>
            <w:tcBorders>
              <w:left w:val="single" w:sz="4" w:space="0" w:color="auto"/>
              <w:bottom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.003</w:t>
            </w:r>
          </w:p>
        </w:tc>
        <w:tc>
          <w:tcPr>
            <w:tcW w:w="991" w:type="dxa"/>
            <w:tcBorders>
              <w:left w:val="single" w:sz="4"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850" w:type="dxa"/>
            <w:tcBorders>
              <w:left w:val="single" w:sz="4" w:space="0" w:color="auto"/>
              <w:bottom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r>
      <w:tr w:rsidR="004B22C2" w:rsidTr="008D0A0A">
        <w:trPr>
          <w:trHeight w:val="305"/>
        </w:trPr>
        <w:tc>
          <w:tcPr>
            <w:tcW w:w="3120" w:type="dxa"/>
            <w:tcBorders>
              <w:top w:val="single" w:sz="12" w:space="0" w:color="auto"/>
              <w:left w:val="single" w:sz="12" w:space="0" w:color="auto"/>
              <w:right w:val="single" w:sz="12" w:space="0" w:color="auto"/>
            </w:tcBorders>
          </w:tcPr>
          <w:p w:rsidR="004B22C2" w:rsidRDefault="004B22C2" w:rsidP="00DC437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RESTRUCTC </w:t>
            </w:r>
          </w:p>
        </w:tc>
        <w:tc>
          <w:tcPr>
            <w:tcW w:w="1417" w:type="dxa"/>
            <w:tcBorders>
              <w:top w:val="single" w:sz="12" w:space="0" w:color="auto"/>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.020</w:t>
            </w:r>
          </w:p>
        </w:tc>
        <w:tc>
          <w:tcPr>
            <w:tcW w:w="851" w:type="dxa"/>
            <w:tcBorders>
              <w:top w:val="single" w:sz="12" w:space="0" w:color="auto"/>
              <w:left w:val="single" w:sz="4" w:space="0" w:color="auto"/>
              <w:right w:val="single" w:sz="4" w:space="0" w:color="auto"/>
            </w:tcBorders>
          </w:tcPr>
          <w:p w:rsidR="004B22C2" w:rsidRDefault="004B22C2" w:rsidP="00DC4370">
            <w:pPr>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.145</w:t>
            </w:r>
          </w:p>
        </w:tc>
        <w:tc>
          <w:tcPr>
            <w:tcW w:w="851" w:type="dxa"/>
            <w:tcBorders>
              <w:top w:val="single" w:sz="12" w:space="0" w:color="auto"/>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1.021</w:t>
            </w:r>
          </w:p>
        </w:tc>
        <w:tc>
          <w:tcPr>
            <w:tcW w:w="1276" w:type="dxa"/>
            <w:tcBorders>
              <w:top w:val="single" w:sz="12" w:space="0" w:color="auto"/>
              <w:left w:val="single" w:sz="12" w:space="0" w:color="auto"/>
              <w:right w:val="single" w:sz="4" w:space="0" w:color="auto"/>
            </w:tcBorders>
          </w:tcPr>
          <w:p w:rsidR="004B22C2" w:rsidRDefault="004B22C2" w:rsidP="00D06425">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.051</w:t>
            </w:r>
          </w:p>
        </w:tc>
        <w:tc>
          <w:tcPr>
            <w:tcW w:w="991" w:type="dxa"/>
            <w:tcBorders>
              <w:top w:val="single" w:sz="12" w:space="0" w:color="auto"/>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0" w:type="dxa"/>
            <w:tcBorders>
              <w:top w:val="single" w:sz="12" w:space="0" w:color="auto"/>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1.052</w:t>
            </w:r>
          </w:p>
        </w:tc>
      </w:tr>
      <w:tr w:rsidR="004B22C2" w:rsidTr="00DC4370">
        <w:trPr>
          <w:trHeight w:val="305"/>
        </w:trPr>
        <w:tc>
          <w:tcPr>
            <w:tcW w:w="3120" w:type="dxa"/>
            <w:tcBorders>
              <w:left w:val="single" w:sz="12" w:space="0" w:color="auto"/>
              <w:right w:val="single" w:sz="12" w:space="0" w:color="auto"/>
            </w:tcBorders>
          </w:tcPr>
          <w:p w:rsidR="004B22C2" w:rsidRDefault="004B22C2" w:rsidP="00DC437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Intercept</w:t>
            </w:r>
          </w:p>
        </w:tc>
        <w:tc>
          <w:tcPr>
            <w:tcW w:w="1417"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3.998</w:t>
            </w:r>
          </w:p>
        </w:tc>
        <w:tc>
          <w:tcPr>
            <w:tcW w:w="85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1"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2.488</w:t>
            </w:r>
          </w:p>
        </w:tc>
        <w:tc>
          <w:tcPr>
            <w:tcW w:w="99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0"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r>
      <w:tr w:rsidR="004B22C2" w:rsidTr="00DC4370">
        <w:trPr>
          <w:trHeight w:val="305"/>
        </w:trPr>
        <w:tc>
          <w:tcPr>
            <w:tcW w:w="3120" w:type="dxa"/>
            <w:tcBorders>
              <w:left w:val="single" w:sz="12" w:space="0" w:color="auto"/>
              <w:right w:val="single" w:sz="12" w:space="0" w:color="auto"/>
            </w:tcBorders>
          </w:tcPr>
          <w:p w:rsidR="004B22C2" w:rsidRDefault="004B22C2" w:rsidP="00DC437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Model Chi-square</w:t>
            </w:r>
          </w:p>
        </w:tc>
        <w:tc>
          <w:tcPr>
            <w:tcW w:w="1417"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2.184</w:t>
            </w:r>
          </w:p>
        </w:tc>
        <w:tc>
          <w:tcPr>
            <w:tcW w:w="85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.139</w:t>
            </w:r>
          </w:p>
        </w:tc>
        <w:tc>
          <w:tcPr>
            <w:tcW w:w="851"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49.158</w:t>
            </w:r>
          </w:p>
        </w:tc>
        <w:tc>
          <w:tcPr>
            <w:tcW w:w="99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0"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r>
      <w:tr w:rsidR="004B22C2" w:rsidTr="008D0A0A">
        <w:trPr>
          <w:trHeight w:val="305"/>
        </w:trPr>
        <w:tc>
          <w:tcPr>
            <w:tcW w:w="3120" w:type="dxa"/>
            <w:tcBorders>
              <w:left w:val="single" w:sz="12" w:space="0" w:color="auto"/>
              <w:bottom w:val="single" w:sz="12" w:space="0" w:color="auto"/>
              <w:right w:val="single" w:sz="12" w:space="0" w:color="auto"/>
            </w:tcBorders>
          </w:tcPr>
          <w:p w:rsidR="004B22C2" w:rsidRDefault="004B22C2" w:rsidP="00DC437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Pseudo R-square (Nagelkerke)</w:t>
            </w:r>
          </w:p>
        </w:tc>
        <w:tc>
          <w:tcPr>
            <w:tcW w:w="1417" w:type="dxa"/>
            <w:tcBorders>
              <w:left w:val="single" w:sz="12"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1" w:type="dxa"/>
            <w:tcBorders>
              <w:left w:val="single" w:sz="4"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851" w:type="dxa"/>
            <w:tcBorders>
              <w:left w:val="single" w:sz="4" w:space="0" w:color="auto"/>
              <w:bottom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.003</w:t>
            </w:r>
          </w:p>
        </w:tc>
        <w:tc>
          <w:tcPr>
            <w:tcW w:w="991" w:type="dxa"/>
            <w:tcBorders>
              <w:left w:val="single" w:sz="4"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850" w:type="dxa"/>
            <w:tcBorders>
              <w:left w:val="single" w:sz="4" w:space="0" w:color="auto"/>
              <w:bottom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r>
      <w:tr w:rsidR="004B22C2" w:rsidTr="008D0A0A">
        <w:trPr>
          <w:trHeight w:val="305"/>
        </w:trPr>
        <w:tc>
          <w:tcPr>
            <w:tcW w:w="3120" w:type="dxa"/>
            <w:tcBorders>
              <w:top w:val="single" w:sz="12" w:space="0" w:color="auto"/>
              <w:left w:val="single" w:sz="12" w:space="0" w:color="auto"/>
              <w:right w:val="single" w:sz="12" w:space="0" w:color="auto"/>
            </w:tcBorders>
          </w:tcPr>
          <w:p w:rsidR="004B22C2" w:rsidRDefault="004B22C2" w:rsidP="00DC437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RESTRUCTP</w:t>
            </w:r>
          </w:p>
        </w:tc>
        <w:tc>
          <w:tcPr>
            <w:tcW w:w="1417" w:type="dxa"/>
            <w:tcBorders>
              <w:top w:val="single" w:sz="12" w:space="0" w:color="auto"/>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-.125</w:t>
            </w:r>
          </w:p>
        </w:tc>
        <w:tc>
          <w:tcPr>
            <w:tcW w:w="851" w:type="dxa"/>
            <w:tcBorders>
              <w:top w:val="single" w:sz="12" w:space="0" w:color="auto"/>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.113</w:t>
            </w:r>
          </w:p>
        </w:tc>
        <w:tc>
          <w:tcPr>
            <w:tcW w:w="851" w:type="dxa"/>
            <w:tcBorders>
              <w:top w:val="single" w:sz="12" w:space="0" w:color="auto"/>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.883</w:t>
            </w:r>
          </w:p>
        </w:tc>
        <w:tc>
          <w:tcPr>
            <w:tcW w:w="1276" w:type="dxa"/>
            <w:tcBorders>
              <w:top w:val="single" w:sz="12" w:space="0" w:color="auto"/>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-.394</w:t>
            </w:r>
          </w:p>
        </w:tc>
        <w:tc>
          <w:tcPr>
            <w:tcW w:w="991" w:type="dxa"/>
            <w:tcBorders>
              <w:top w:val="single" w:sz="12" w:space="0" w:color="auto"/>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0" w:type="dxa"/>
            <w:tcBorders>
              <w:top w:val="single" w:sz="12" w:space="0" w:color="auto"/>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.674</w:t>
            </w:r>
          </w:p>
        </w:tc>
      </w:tr>
      <w:tr w:rsidR="004B22C2" w:rsidTr="00DC4370">
        <w:trPr>
          <w:trHeight w:val="305"/>
        </w:trPr>
        <w:tc>
          <w:tcPr>
            <w:tcW w:w="3120" w:type="dxa"/>
            <w:tcBorders>
              <w:left w:val="single" w:sz="12" w:space="0" w:color="auto"/>
              <w:right w:val="single" w:sz="12" w:space="0" w:color="auto"/>
            </w:tcBorders>
          </w:tcPr>
          <w:p w:rsidR="004B22C2" w:rsidRDefault="004B22C2" w:rsidP="00DC437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Intercept</w:t>
            </w:r>
          </w:p>
        </w:tc>
        <w:tc>
          <w:tcPr>
            <w:tcW w:w="1417"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4.096</w:t>
            </w:r>
          </w:p>
        </w:tc>
        <w:tc>
          <w:tcPr>
            <w:tcW w:w="85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1"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2.784</w:t>
            </w:r>
          </w:p>
        </w:tc>
        <w:tc>
          <w:tcPr>
            <w:tcW w:w="99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0"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r>
      <w:tr w:rsidR="004B22C2" w:rsidTr="00DC4370">
        <w:trPr>
          <w:trHeight w:val="305"/>
        </w:trPr>
        <w:tc>
          <w:tcPr>
            <w:tcW w:w="3120" w:type="dxa"/>
            <w:tcBorders>
              <w:left w:val="single" w:sz="12" w:space="0" w:color="auto"/>
              <w:right w:val="single" w:sz="12" w:space="0" w:color="auto"/>
            </w:tcBorders>
          </w:tcPr>
          <w:p w:rsidR="004B22C2" w:rsidRDefault="004B22C2" w:rsidP="00DC437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Model Chi-square</w:t>
            </w:r>
          </w:p>
        </w:tc>
        <w:tc>
          <w:tcPr>
            <w:tcW w:w="1417"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2.524</w:t>
            </w:r>
          </w:p>
        </w:tc>
        <w:tc>
          <w:tcPr>
            <w:tcW w:w="85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.112</w:t>
            </w:r>
          </w:p>
        </w:tc>
        <w:tc>
          <w:tcPr>
            <w:tcW w:w="851"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95.916</w:t>
            </w:r>
          </w:p>
        </w:tc>
        <w:tc>
          <w:tcPr>
            <w:tcW w:w="991" w:type="dxa"/>
            <w:tcBorders>
              <w:left w:val="single" w:sz="4"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0" w:type="dxa"/>
            <w:tcBorders>
              <w:left w:val="single" w:sz="4"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r>
      <w:tr w:rsidR="004B22C2" w:rsidTr="00692151">
        <w:trPr>
          <w:trHeight w:val="305"/>
        </w:trPr>
        <w:tc>
          <w:tcPr>
            <w:tcW w:w="3120" w:type="dxa"/>
            <w:tcBorders>
              <w:left w:val="single" w:sz="12" w:space="0" w:color="auto"/>
              <w:bottom w:val="single" w:sz="12" w:space="0" w:color="auto"/>
              <w:right w:val="single" w:sz="12" w:space="0" w:color="auto"/>
            </w:tcBorders>
          </w:tcPr>
          <w:p w:rsidR="004B22C2" w:rsidRDefault="004B22C2" w:rsidP="00DC437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Pseudo R-square (Nagelkerke)</w:t>
            </w:r>
          </w:p>
        </w:tc>
        <w:tc>
          <w:tcPr>
            <w:tcW w:w="1417" w:type="dxa"/>
            <w:tcBorders>
              <w:left w:val="single" w:sz="12"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w:t>
            </w:r>
          </w:p>
        </w:tc>
        <w:tc>
          <w:tcPr>
            <w:tcW w:w="851" w:type="dxa"/>
            <w:tcBorders>
              <w:left w:val="single" w:sz="4"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851" w:type="dxa"/>
            <w:tcBorders>
              <w:left w:val="single" w:sz="4" w:space="0" w:color="auto"/>
              <w:bottom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1276" w:type="dxa"/>
            <w:tcBorders>
              <w:left w:val="single" w:sz="12"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.006</w:t>
            </w:r>
          </w:p>
        </w:tc>
        <w:tc>
          <w:tcPr>
            <w:tcW w:w="991" w:type="dxa"/>
            <w:tcBorders>
              <w:left w:val="single" w:sz="4" w:space="0" w:color="auto"/>
              <w:bottom w:val="single" w:sz="12" w:space="0" w:color="auto"/>
              <w:right w:val="single" w:sz="4"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c>
          <w:tcPr>
            <w:tcW w:w="850" w:type="dxa"/>
            <w:tcBorders>
              <w:left w:val="single" w:sz="4" w:space="0" w:color="auto"/>
              <w:bottom w:val="single" w:sz="12" w:space="0" w:color="auto"/>
              <w:right w:val="single" w:sz="12" w:space="0" w:color="auto"/>
            </w:tcBorders>
          </w:tcPr>
          <w:p w:rsidR="004B22C2" w:rsidRDefault="004B22C2" w:rsidP="00692151">
            <w:pPr>
              <w:autoSpaceDE w:val="0"/>
              <w:autoSpaceDN w:val="0"/>
              <w:adjustRightInd w:val="0"/>
              <w:spacing w:after="0" w:line="240" w:lineRule="auto"/>
              <w:jc w:val="center"/>
              <w:rPr>
                <w:rFonts w:ascii="Calibri" w:hAnsi="Calibri" w:cs="Calibri"/>
                <w:color w:val="000000"/>
                <w:lang w:val="en-US"/>
              </w:rPr>
            </w:pPr>
          </w:p>
        </w:tc>
      </w:tr>
    </w:tbl>
    <w:p w:rsidR="002A1847" w:rsidRPr="0006085D" w:rsidRDefault="002A1847" w:rsidP="0006085D">
      <w:pPr>
        <w:pStyle w:val="NoSpacing"/>
        <w:rPr>
          <w:b/>
          <w:i/>
        </w:rPr>
      </w:pPr>
      <w:r w:rsidRPr="0006085D">
        <w:rPr>
          <w:b/>
          <w:i/>
        </w:rPr>
        <w:t>p &lt; 0.05 = **</w:t>
      </w:r>
      <w:r w:rsidRPr="0006085D">
        <w:rPr>
          <w:b/>
          <w:i/>
        </w:rPr>
        <w:br/>
        <w:t>p &lt; 0.10 = *</w:t>
      </w:r>
      <w:r w:rsidR="0006085D">
        <w:rPr>
          <w:b/>
          <w:i/>
        </w:rPr>
        <w:br/>
      </w:r>
    </w:p>
    <w:p w:rsidR="00692151" w:rsidRDefault="002A1847" w:rsidP="00874FD6">
      <w:pPr>
        <w:rPr>
          <w:lang w:val="en-GB"/>
        </w:rPr>
      </w:pPr>
      <w:r w:rsidRPr="00AA1001">
        <w:rPr>
          <w:lang w:val="en-GB"/>
        </w:rPr>
        <w:t>T</w:t>
      </w:r>
      <w:r w:rsidR="00C94136" w:rsidRPr="00AA1001">
        <w:rPr>
          <w:lang w:val="en-GB"/>
        </w:rPr>
        <w:t>he second model presented in table 11 only looks at the restructuring variables</w:t>
      </w:r>
      <w:r w:rsidR="00AF5932" w:rsidRPr="00AA1001">
        <w:rPr>
          <w:lang w:val="en-GB"/>
        </w:rPr>
        <w:t xml:space="preserve"> and it presents a clear difference between IT and non-IT material weakness firms. The difference is that </w:t>
      </w:r>
      <w:r w:rsidR="0001048F" w:rsidRPr="00AA1001">
        <w:rPr>
          <w:lang w:val="en-GB"/>
        </w:rPr>
        <w:t>no</w:t>
      </w:r>
      <w:r w:rsidR="00B9614A" w:rsidRPr="00AA1001">
        <w:rPr>
          <w:lang w:val="en-GB"/>
        </w:rPr>
        <w:t xml:space="preserve">ne of </w:t>
      </w:r>
      <w:r w:rsidR="00E80B96" w:rsidRPr="00AA1001">
        <w:rPr>
          <w:lang w:val="en-GB"/>
        </w:rPr>
        <w:t>the restructuring</w:t>
      </w:r>
      <w:r w:rsidR="0001048F" w:rsidRPr="00AA1001">
        <w:rPr>
          <w:lang w:val="en-GB"/>
        </w:rPr>
        <w:t xml:space="preserve"> variable is significant for ITMW, while for NON-ITMW all restructuring variables are significant. First</w:t>
      </w:r>
      <w:r w:rsidR="00B9614A" w:rsidRPr="00AA1001">
        <w:rPr>
          <w:lang w:val="en-GB"/>
        </w:rPr>
        <w:t>ly</w:t>
      </w:r>
      <w:r w:rsidR="0001048F" w:rsidRPr="00AA1001">
        <w:rPr>
          <w:lang w:val="en-GB"/>
        </w:rPr>
        <w:t xml:space="preserve"> the RESTUCTD, which is a dummy variable for the existence of a restructuring, has a negative non-significant coefficient (b=-0.1</w:t>
      </w:r>
      <w:r w:rsidR="007A2E44" w:rsidRPr="00AA1001">
        <w:rPr>
          <w:lang w:val="en-GB"/>
        </w:rPr>
        <w:t>44</w:t>
      </w:r>
      <w:r w:rsidR="0001048F" w:rsidRPr="00AA1001">
        <w:rPr>
          <w:lang w:val="en-GB"/>
        </w:rPr>
        <w:t>, p=0.</w:t>
      </w:r>
      <w:r w:rsidR="007A2E44" w:rsidRPr="00AA1001">
        <w:rPr>
          <w:lang w:val="en-GB"/>
        </w:rPr>
        <w:t>140</w:t>
      </w:r>
      <w:r w:rsidR="0001048F" w:rsidRPr="00AA1001">
        <w:rPr>
          <w:lang w:val="en-GB"/>
        </w:rPr>
        <w:t>)</w:t>
      </w:r>
      <w:r w:rsidR="00B9614A" w:rsidRPr="00AA1001">
        <w:rPr>
          <w:lang w:val="en-GB"/>
        </w:rPr>
        <w:t>. T</w:t>
      </w:r>
      <w:r w:rsidR="0001048F" w:rsidRPr="00AA1001">
        <w:rPr>
          <w:lang w:val="en-GB"/>
        </w:rPr>
        <w:t>his is not consistent with the assumption that restructuring results in more ITMW</w:t>
      </w:r>
      <w:r w:rsidR="004B1AC8">
        <w:rPr>
          <w:lang w:val="en-GB"/>
        </w:rPr>
        <w:t xml:space="preserve"> (which would imply</w:t>
      </w:r>
      <w:r w:rsidR="0001048F" w:rsidRPr="00AA1001">
        <w:rPr>
          <w:lang w:val="en-GB"/>
        </w:rPr>
        <w:t xml:space="preserve"> a positive coefficient</w:t>
      </w:r>
      <w:r w:rsidR="004B1AC8">
        <w:rPr>
          <w:lang w:val="en-GB"/>
        </w:rPr>
        <w:t>)</w:t>
      </w:r>
      <w:r w:rsidR="0001048F" w:rsidRPr="00AA1001">
        <w:rPr>
          <w:lang w:val="en-GB"/>
        </w:rPr>
        <w:t xml:space="preserve">. For NON-ITMW the </w:t>
      </w:r>
      <w:r w:rsidR="00B9614A" w:rsidRPr="00AA1001">
        <w:rPr>
          <w:lang w:val="en-GB"/>
        </w:rPr>
        <w:t xml:space="preserve">variable </w:t>
      </w:r>
      <w:r w:rsidR="0001048F" w:rsidRPr="00AA1001">
        <w:rPr>
          <w:lang w:val="en-GB"/>
        </w:rPr>
        <w:t xml:space="preserve">RESTRUCTD </w:t>
      </w:r>
      <w:r w:rsidR="00B9614A" w:rsidRPr="00AA1001">
        <w:rPr>
          <w:lang w:val="en-GB"/>
        </w:rPr>
        <w:t>has</w:t>
      </w:r>
      <w:r w:rsidR="0001048F" w:rsidRPr="00AA1001">
        <w:rPr>
          <w:lang w:val="en-GB"/>
        </w:rPr>
        <w:t xml:space="preserve"> </w:t>
      </w:r>
      <w:r w:rsidR="00B9614A" w:rsidRPr="00AA1001">
        <w:rPr>
          <w:lang w:val="en-GB"/>
        </w:rPr>
        <w:t xml:space="preserve">a </w:t>
      </w:r>
      <w:r w:rsidR="0001048F" w:rsidRPr="00AA1001">
        <w:rPr>
          <w:lang w:val="en-GB"/>
        </w:rPr>
        <w:t xml:space="preserve">highly significant </w:t>
      </w:r>
      <w:r w:rsidR="007A2E44" w:rsidRPr="00AA1001">
        <w:rPr>
          <w:lang w:val="en-GB"/>
        </w:rPr>
        <w:t>negative</w:t>
      </w:r>
      <w:r w:rsidR="0001048F" w:rsidRPr="00AA1001">
        <w:rPr>
          <w:lang w:val="en-GB"/>
        </w:rPr>
        <w:t xml:space="preserve"> coefficient (</w:t>
      </w:r>
      <w:r w:rsidR="007A2E44" w:rsidRPr="00AA1001">
        <w:rPr>
          <w:lang w:val="en-GB"/>
        </w:rPr>
        <w:t>b= -0.320</w:t>
      </w:r>
      <w:r w:rsidR="0001048F" w:rsidRPr="00AA1001">
        <w:rPr>
          <w:lang w:val="en-GB"/>
        </w:rPr>
        <w:t>, p&lt;0.01)</w:t>
      </w:r>
      <w:r w:rsidR="00B9614A" w:rsidRPr="00AA1001">
        <w:rPr>
          <w:lang w:val="en-GB"/>
        </w:rPr>
        <w:t xml:space="preserve">. </w:t>
      </w:r>
      <w:r w:rsidR="000C6151">
        <w:rPr>
          <w:lang w:val="en-GB"/>
        </w:rPr>
        <w:t>This</w:t>
      </w:r>
      <w:r w:rsidR="000C6151" w:rsidRPr="00AA1001">
        <w:rPr>
          <w:lang w:val="en-GB"/>
        </w:rPr>
        <w:t xml:space="preserve"> </w:t>
      </w:r>
      <w:r w:rsidR="0001048F" w:rsidRPr="00AA1001">
        <w:rPr>
          <w:lang w:val="en-GB"/>
        </w:rPr>
        <w:t xml:space="preserve">is </w:t>
      </w:r>
      <w:r w:rsidR="00AA1001" w:rsidRPr="00AA1001">
        <w:rPr>
          <w:lang w:val="en-GB"/>
        </w:rPr>
        <w:t xml:space="preserve">not </w:t>
      </w:r>
      <w:r w:rsidR="0001048F" w:rsidRPr="00AA1001">
        <w:rPr>
          <w:lang w:val="en-GB"/>
        </w:rPr>
        <w:t xml:space="preserve">consistent with the results of Doyle et al. (2007). RESTRUCTP has a negative coefficient </w:t>
      </w:r>
      <w:r w:rsidR="00B9614A" w:rsidRPr="00AA1001">
        <w:rPr>
          <w:lang w:val="en-GB"/>
        </w:rPr>
        <w:t xml:space="preserve">for both ITMW </w:t>
      </w:r>
      <w:r w:rsidR="00146A5F" w:rsidRPr="00AA1001">
        <w:rPr>
          <w:lang w:val="en-GB"/>
        </w:rPr>
        <w:t xml:space="preserve">(b=-0.125, p=0.113) </w:t>
      </w:r>
      <w:r w:rsidR="00B9614A" w:rsidRPr="00AA1001">
        <w:rPr>
          <w:lang w:val="en-GB"/>
        </w:rPr>
        <w:t>and NON-ITMW</w:t>
      </w:r>
      <w:r w:rsidR="00146A5F" w:rsidRPr="00AA1001">
        <w:rPr>
          <w:lang w:val="en-GB"/>
        </w:rPr>
        <w:t xml:space="preserve"> (b= -0.394, p&lt;0.01)</w:t>
      </w:r>
      <w:r w:rsidR="00B9614A" w:rsidRPr="00AA1001">
        <w:rPr>
          <w:lang w:val="en-GB"/>
        </w:rPr>
        <w:t>. This</w:t>
      </w:r>
      <w:r w:rsidR="0001048F" w:rsidRPr="00AA1001">
        <w:rPr>
          <w:lang w:val="en-GB"/>
        </w:rPr>
        <w:t xml:space="preserve"> is not consiste</w:t>
      </w:r>
      <w:r w:rsidR="00B9614A" w:rsidRPr="00AA1001">
        <w:rPr>
          <w:lang w:val="en-GB"/>
        </w:rPr>
        <w:t>nt</w:t>
      </w:r>
      <w:r w:rsidR="0001048F" w:rsidRPr="00AA1001">
        <w:rPr>
          <w:lang w:val="en-GB"/>
        </w:rPr>
        <w:t xml:space="preserve"> with the theory and the </w:t>
      </w:r>
      <w:r w:rsidR="002D70AD" w:rsidRPr="00AA1001">
        <w:rPr>
          <w:lang w:val="en-GB"/>
        </w:rPr>
        <w:t>findings of Stoel and Muhanna (2007)</w:t>
      </w:r>
      <w:r w:rsidR="00B9614A" w:rsidRPr="00AA1001">
        <w:rPr>
          <w:lang w:val="en-GB"/>
        </w:rPr>
        <w:t>, indicating</w:t>
      </w:r>
      <w:r w:rsidR="002D70AD" w:rsidRPr="00AA1001">
        <w:rPr>
          <w:lang w:val="en-GB"/>
        </w:rPr>
        <w:t xml:space="preserve"> that a restructuring i</w:t>
      </w:r>
      <w:r w:rsidR="00B9614A" w:rsidRPr="00AA1001">
        <w:rPr>
          <w:lang w:val="en-GB"/>
        </w:rPr>
        <w:t>n</w:t>
      </w:r>
      <w:r w:rsidR="002D70AD" w:rsidRPr="00AA1001">
        <w:rPr>
          <w:lang w:val="en-GB"/>
        </w:rPr>
        <w:t xml:space="preserve"> the sample period result</w:t>
      </w:r>
      <w:r w:rsidR="00B9614A" w:rsidRPr="00AA1001">
        <w:rPr>
          <w:lang w:val="en-GB"/>
        </w:rPr>
        <w:t>s</w:t>
      </w:r>
      <w:r w:rsidR="002D70AD" w:rsidRPr="00AA1001">
        <w:rPr>
          <w:lang w:val="en-GB"/>
        </w:rPr>
        <w:t xml:space="preserve"> in more (IT) material weaknesses. Finally RESTRUCTC</w:t>
      </w:r>
      <w:r w:rsidR="00B9614A" w:rsidRPr="00AA1001">
        <w:rPr>
          <w:lang w:val="en-GB"/>
        </w:rPr>
        <w:t>,</w:t>
      </w:r>
      <w:r w:rsidR="002D70AD" w:rsidRPr="00AA1001">
        <w:rPr>
          <w:lang w:val="en-GB"/>
        </w:rPr>
        <w:t xml:space="preserve"> that represent the scaled restructuring costs</w:t>
      </w:r>
      <w:r w:rsidR="00B9614A" w:rsidRPr="00AA1001">
        <w:rPr>
          <w:lang w:val="en-GB"/>
        </w:rPr>
        <w:t>,</w:t>
      </w:r>
      <w:r w:rsidR="002D70AD" w:rsidRPr="00AA1001">
        <w:rPr>
          <w:lang w:val="en-GB"/>
        </w:rPr>
        <w:t xml:space="preserve"> is only significant for NON-ITMW</w:t>
      </w:r>
      <w:r w:rsidR="004B1AC8">
        <w:rPr>
          <w:lang w:val="en-GB"/>
        </w:rPr>
        <w:t>,</w:t>
      </w:r>
      <w:r w:rsidR="004B1AC8" w:rsidRPr="004B1AC8">
        <w:rPr>
          <w:lang w:val="en-GB"/>
        </w:rPr>
        <w:t xml:space="preserve"> </w:t>
      </w:r>
      <w:r w:rsidR="004B1AC8" w:rsidRPr="00AA1001">
        <w:rPr>
          <w:lang w:val="en-GB"/>
        </w:rPr>
        <w:t>just like RESTRUCTD</w:t>
      </w:r>
      <w:r w:rsidR="00B9614A" w:rsidRPr="00AA1001">
        <w:rPr>
          <w:lang w:val="en-GB"/>
        </w:rPr>
        <w:t>. W</w:t>
      </w:r>
      <w:r w:rsidR="002D70AD" w:rsidRPr="00AA1001">
        <w:rPr>
          <w:lang w:val="en-GB"/>
        </w:rPr>
        <w:t>ith a positive coefficient (b=0.</w:t>
      </w:r>
      <w:r w:rsidR="00146A5F" w:rsidRPr="00AA1001">
        <w:rPr>
          <w:lang w:val="en-GB"/>
        </w:rPr>
        <w:t>051,</w:t>
      </w:r>
      <w:r w:rsidR="00AA1001" w:rsidRPr="00AA1001">
        <w:rPr>
          <w:lang w:val="en-GB"/>
        </w:rPr>
        <w:t xml:space="preserve"> </w:t>
      </w:r>
      <w:r w:rsidR="00146A5F" w:rsidRPr="00AA1001">
        <w:rPr>
          <w:lang w:val="en-GB"/>
        </w:rPr>
        <w:t>p&lt;0.01</w:t>
      </w:r>
      <w:r w:rsidR="002D70AD" w:rsidRPr="00AA1001">
        <w:rPr>
          <w:lang w:val="en-GB"/>
        </w:rPr>
        <w:t>)</w:t>
      </w:r>
      <w:r w:rsidR="00B9614A" w:rsidRPr="00AA1001">
        <w:rPr>
          <w:lang w:val="en-GB"/>
        </w:rPr>
        <w:t>, this is</w:t>
      </w:r>
      <w:r w:rsidR="002D70AD" w:rsidRPr="00AA1001">
        <w:rPr>
          <w:lang w:val="en-GB"/>
        </w:rPr>
        <w:t xml:space="preserve"> consistent with Doyle et al. (2007). </w:t>
      </w:r>
    </w:p>
    <w:p w:rsidR="00BC1402" w:rsidRPr="00AA1001" w:rsidRDefault="00BC1402" w:rsidP="00874FD6">
      <w:pPr>
        <w:rPr>
          <w:lang w:val="en-GB"/>
        </w:rPr>
      </w:pPr>
      <w:r w:rsidRPr="008F09BA">
        <w:rPr>
          <w:lang w:val="en-GB"/>
        </w:rPr>
        <w:t>In table 12 the full multinomial logistic regression is shown</w:t>
      </w:r>
      <w:r>
        <w:rPr>
          <w:lang w:val="en-GB"/>
        </w:rPr>
        <w:t>,</w:t>
      </w:r>
      <w:r w:rsidRPr="008F09BA">
        <w:rPr>
          <w:lang w:val="en-GB"/>
        </w:rPr>
        <w:t xml:space="preserve"> including </w:t>
      </w:r>
      <w:r>
        <w:rPr>
          <w:lang w:val="en-GB"/>
        </w:rPr>
        <w:t xml:space="preserve">all </w:t>
      </w:r>
      <w:r w:rsidRPr="008F09BA">
        <w:rPr>
          <w:lang w:val="en-GB"/>
        </w:rPr>
        <w:t>the industry differences, restructuring variables and control variables.</w:t>
      </w:r>
    </w:p>
    <w:p w:rsidR="00E74844" w:rsidRPr="00B77BD5" w:rsidRDefault="00EC2BEC" w:rsidP="00B77BD5">
      <w:pPr>
        <w:pStyle w:val="NoSpacing"/>
        <w:rPr>
          <w:b/>
          <w:i/>
        </w:rPr>
      </w:pPr>
      <w:r w:rsidRPr="00B77BD5">
        <w:rPr>
          <w:b/>
          <w:i/>
        </w:rPr>
        <w:t xml:space="preserve">Table 12: </w:t>
      </w:r>
      <w:r w:rsidR="00E74844" w:rsidRPr="00B77BD5">
        <w:rPr>
          <w:b/>
          <w:i/>
        </w:rPr>
        <w:t>Model 3: full model with all control variables</w:t>
      </w:r>
    </w:p>
    <w:tbl>
      <w:tblPr>
        <w:tblW w:w="9356" w:type="dxa"/>
        <w:tblInd w:w="-318" w:type="dxa"/>
        <w:tblLayout w:type="fixed"/>
        <w:tblLook w:val="0000"/>
      </w:tblPr>
      <w:tblGrid>
        <w:gridCol w:w="3120"/>
        <w:gridCol w:w="1275"/>
        <w:gridCol w:w="993"/>
        <w:gridCol w:w="851"/>
        <w:gridCol w:w="1275"/>
        <w:gridCol w:w="992"/>
        <w:gridCol w:w="850"/>
      </w:tblGrid>
      <w:tr w:rsidR="00B77BD5" w:rsidRPr="00F93260" w:rsidTr="00B77BD5">
        <w:trPr>
          <w:trHeight w:val="326"/>
        </w:trPr>
        <w:tc>
          <w:tcPr>
            <w:tcW w:w="3120" w:type="dxa"/>
            <w:tcBorders>
              <w:top w:val="single" w:sz="12" w:space="0" w:color="auto"/>
              <w:left w:val="single" w:sz="12" w:space="0" w:color="auto"/>
              <w:bottom w:val="single" w:sz="6" w:space="0" w:color="auto"/>
              <w:right w:val="single" w:sz="12" w:space="0" w:color="auto"/>
            </w:tcBorders>
          </w:tcPr>
          <w:p w:rsidR="00B77BD5" w:rsidRDefault="00B77BD5"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Logistic regression model 3</w:t>
            </w:r>
          </w:p>
        </w:tc>
        <w:tc>
          <w:tcPr>
            <w:tcW w:w="6236" w:type="dxa"/>
            <w:gridSpan w:val="6"/>
            <w:tcBorders>
              <w:top w:val="single" w:sz="12" w:space="0" w:color="auto"/>
              <w:left w:val="single" w:sz="12" w:space="0" w:color="auto"/>
              <w:bottom w:val="single" w:sz="12" w:space="0" w:color="auto"/>
              <w:right w:val="single" w:sz="12" w:space="0" w:color="auto"/>
            </w:tcBorders>
          </w:tcPr>
          <w:p w:rsidR="00591967" w:rsidRPr="00591967" w:rsidRDefault="00591967" w:rsidP="00B77BD5">
            <w:pPr>
              <w:pStyle w:val="NoSpacing"/>
              <w:numPr>
                <w:ilvl w:val="0"/>
                <w:numId w:val="30"/>
              </w:numPr>
              <w:ind w:left="317" w:hanging="317"/>
              <w:rPr>
                <w:rFonts w:cs="Calibri"/>
                <w:color w:val="000000"/>
              </w:rPr>
            </w:pPr>
            <w:r w:rsidRPr="00591967">
              <w:rPr>
                <w:sz w:val="20"/>
                <w:szCs w:val="20"/>
              </w:rPr>
              <w:t>ITMW = α0 + α1 INDFRAUD + α2 INDCOMP + α3 RESTRUCTD + α4 RESTRUCTC + α5 SIZE + α6 AGE + α7 LEV+ α8 ROA + α9 SEGNUM + α10 FORTRANS + α11 BIG4 + ԑ</w:t>
            </w:r>
          </w:p>
          <w:p w:rsidR="00B77BD5" w:rsidRPr="00B77BD5" w:rsidRDefault="00591967" w:rsidP="00B77BD5">
            <w:pPr>
              <w:pStyle w:val="NoSpacing"/>
              <w:numPr>
                <w:ilvl w:val="0"/>
                <w:numId w:val="30"/>
              </w:numPr>
              <w:ind w:left="317" w:hanging="317"/>
              <w:rPr>
                <w:rFonts w:cs="Calibri"/>
                <w:color w:val="000000"/>
              </w:rPr>
            </w:pPr>
            <w:r>
              <w:rPr>
                <w:sz w:val="20"/>
                <w:szCs w:val="20"/>
              </w:rPr>
              <w:t>NON-</w:t>
            </w:r>
            <w:r w:rsidRPr="00591967">
              <w:rPr>
                <w:sz w:val="20"/>
                <w:szCs w:val="20"/>
              </w:rPr>
              <w:t>ITMW = α0 + α1 INDFRAUD + α2 INDCOMP + α3 RESTRUCTD + α4 RESTRUCTC + α5 SIZE + α6 AGE + α7 LEV+ α8 ROA + α9 SEGNUM + α10 FORTRANS + α11 BIG4 + ԑ</w:t>
            </w:r>
          </w:p>
        </w:tc>
      </w:tr>
      <w:tr w:rsidR="00692151" w:rsidTr="00084F96">
        <w:trPr>
          <w:trHeight w:val="220"/>
        </w:trPr>
        <w:tc>
          <w:tcPr>
            <w:tcW w:w="3120" w:type="dxa"/>
            <w:tcBorders>
              <w:top w:val="single" w:sz="6" w:space="0" w:color="auto"/>
              <w:left w:val="single" w:sz="12" w:space="0" w:color="auto"/>
              <w:bottom w:val="single" w:sz="6" w:space="0" w:color="auto"/>
              <w:right w:val="single" w:sz="12" w:space="0" w:color="auto"/>
            </w:tcBorders>
          </w:tcPr>
          <w:p w:rsidR="00692151" w:rsidRDefault="00B77BD5"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Dependent variable:</w:t>
            </w:r>
          </w:p>
        </w:tc>
        <w:tc>
          <w:tcPr>
            <w:tcW w:w="1275" w:type="dxa"/>
            <w:tcBorders>
              <w:top w:val="single" w:sz="12" w:space="0" w:color="auto"/>
              <w:left w:val="single" w:sz="12" w:space="0" w:color="auto"/>
              <w:bottom w:val="single" w:sz="6" w:space="0" w:color="auto"/>
              <w:right w:val="nil"/>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ITMW</w:t>
            </w:r>
          </w:p>
        </w:tc>
        <w:tc>
          <w:tcPr>
            <w:tcW w:w="993" w:type="dxa"/>
            <w:tcBorders>
              <w:top w:val="single" w:sz="12" w:space="0" w:color="auto"/>
              <w:left w:val="nil"/>
              <w:bottom w:val="single" w:sz="6"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p>
        </w:tc>
        <w:tc>
          <w:tcPr>
            <w:tcW w:w="851" w:type="dxa"/>
            <w:tcBorders>
              <w:top w:val="single" w:sz="12" w:space="0" w:color="auto"/>
              <w:bottom w:val="single" w:sz="6" w:space="0" w:color="auto"/>
              <w:right w:val="single" w:sz="12"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p>
        </w:tc>
        <w:tc>
          <w:tcPr>
            <w:tcW w:w="1275" w:type="dxa"/>
            <w:tcBorders>
              <w:top w:val="single" w:sz="12" w:space="0" w:color="auto"/>
              <w:left w:val="single" w:sz="12" w:space="0" w:color="auto"/>
              <w:bottom w:val="single" w:sz="6" w:space="0" w:color="auto"/>
              <w:right w:val="nil"/>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NON-ITMW</w:t>
            </w:r>
          </w:p>
        </w:tc>
        <w:tc>
          <w:tcPr>
            <w:tcW w:w="992" w:type="dxa"/>
            <w:tcBorders>
              <w:top w:val="single" w:sz="12" w:space="0" w:color="auto"/>
              <w:left w:val="nil"/>
              <w:bottom w:val="single" w:sz="6"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p>
        </w:tc>
        <w:tc>
          <w:tcPr>
            <w:tcW w:w="850" w:type="dxa"/>
            <w:tcBorders>
              <w:top w:val="single" w:sz="12" w:space="0" w:color="auto"/>
              <w:bottom w:val="single" w:sz="6" w:space="0" w:color="auto"/>
              <w:right w:val="single" w:sz="12"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p>
        </w:tc>
      </w:tr>
      <w:tr w:rsidR="00692151" w:rsidTr="008F09BA">
        <w:trPr>
          <w:trHeight w:val="305"/>
        </w:trPr>
        <w:tc>
          <w:tcPr>
            <w:tcW w:w="3120" w:type="dxa"/>
            <w:tcBorders>
              <w:top w:val="single" w:sz="6" w:space="0" w:color="auto"/>
              <w:left w:val="single" w:sz="12" w:space="0" w:color="auto"/>
              <w:bottom w:val="single" w:sz="6" w:space="0" w:color="auto"/>
              <w:right w:val="single" w:sz="12"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Observations (N):</w:t>
            </w:r>
          </w:p>
        </w:tc>
        <w:tc>
          <w:tcPr>
            <w:tcW w:w="1275" w:type="dxa"/>
            <w:tcBorders>
              <w:top w:val="single" w:sz="6" w:space="0" w:color="auto"/>
              <w:left w:val="single" w:sz="12" w:space="0" w:color="auto"/>
              <w:bottom w:val="single" w:sz="6" w:space="0" w:color="auto"/>
              <w:right w:val="nil"/>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669</w:t>
            </w:r>
          </w:p>
        </w:tc>
        <w:tc>
          <w:tcPr>
            <w:tcW w:w="993" w:type="dxa"/>
            <w:tcBorders>
              <w:top w:val="single" w:sz="6" w:space="0" w:color="auto"/>
              <w:left w:val="nil"/>
              <w:bottom w:val="single" w:sz="6"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p>
        </w:tc>
        <w:tc>
          <w:tcPr>
            <w:tcW w:w="851" w:type="dxa"/>
            <w:tcBorders>
              <w:top w:val="single" w:sz="6" w:space="0" w:color="auto"/>
              <w:bottom w:val="single" w:sz="6" w:space="0" w:color="auto"/>
              <w:right w:val="single" w:sz="12"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p>
        </w:tc>
        <w:tc>
          <w:tcPr>
            <w:tcW w:w="1275" w:type="dxa"/>
            <w:tcBorders>
              <w:top w:val="single" w:sz="6" w:space="0" w:color="auto"/>
              <w:left w:val="single" w:sz="12" w:space="0" w:color="auto"/>
              <w:bottom w:val="single" w:sz="6" w:space="0" w:color="auto"/>
              <w:right w:val="nil"/>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2749</w:t>
            </w:r>
          </w:p>
        </w:tc>
        <w:tc>
          <w:tcPr>
            <w:tcW w:w="992" w:type="dxa"/>
            <w:tcBorders>
              <w:top w:val="single" w:sz="6" w:space="0" w:color="auto"/>
              <w:left w:val="nil"/>
              <w:bottom w:val="single" w:sz="6"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p>
        </w:tc>
        <w:tc>
          <w:tcPr>
            <w:tcW w:w="850" w:type="dxa"/>
            <w:tcBorders>
              <w:top w:val="single" w:sz="6" w:space="0" w:color="auto"/>
              <w:bottom w:val="single" w:sz="6" w:space="0" w:color="auto"/>
              <w:right w:val="single" w:sz="12"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p>
        </w:tc>
      </w:tr>
      <w:tr w:rsidR="00692151" w:rsidTr="008F09BA">
        <w:trPr>
          <w:trHeight w:val="319"/>
        </w:trPr>
        <w:tc>
          <w:tcPr>
            <w:tcW w:w="3120" w:type="dxa"/>
            <w:tcBorders>
              <w:top w:val="single" w:sz="6" w:space="0" w:color="auto"/>
              <w:left w:val="single" w:sz="12" w:space="0" w:color="auto"/>
              <w:bottom w:val="single" w:sz="12" w:space="0" w:color="auto"/>
              <w:right w:val="single" w:sz="12"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Independent variables</w:t>
            </w:r>
          </w:p>
        </w:tc>
        <w:tc>
          <w:tcPr>
            <w:tcW w:w="1275" w:type="dxa"/>
            <w:tcBorders>
              <w:top w:val="single" w:sz="6" w:space="0" w:color="auto"/>
              <w:left w:val="single" w:sz="12" w:space="0" w:color="auto"/>
              <w:bottom w:val="single" w:sz="12" w:space="0" w:color="auto"/>
              <w:right w:val="single" w:sz="6"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Coefficient (B)</w:t>
            </w:r>
          </w:p>
        </w:tc>
        <w:tc>
          <w:tcPr>
            <w:tcW w:w="993" w:type="dxa"/>
            <w:tcBorders>
              <w:top w:val="single" w:sz="6" w:space="0" w:color="auto"/>
              <w:left w:val="single" w:sz="6" w:space="0" w:color="auto"/>
              <w:bottom w:val="single" w:sz="12" w:space="0" w:color="auto"/>
              <w:right w:val="single" w:sz="4"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Sig. value</w:t>
            </w:r>
          </w:p>
        </w:tc>
        <w:tc>
          <w:tcPr>
            <w:tcW w:w="851" w:type="dxa"/>
            <w:tcBorders>
              <w:top w:val="single" w:sz="6" w:space="0" w:color="auto"/>
              <w:left w:val="single" w:sz="4" w:space="0" w:color="auto"/>
              <w:bottom w:val="single" w:sz="12" w:space="0" w:color="auto"/>
              <w:right w:val="single" w:sz="12"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Odd</w:t>
            </w:r>
            <w:r w:rsidR="00EB73C0">
              <w:rPr>
                <w:rFonts w:ascii="Calibri" w:hAnsi="Calibri" w:cs="Calibri"/>
                <w:color w:val="000000"/>
                <w:lang w:val="en-US"/>
              </w:rPr>
              <w:t>s</w:t>
            </w:r>
            <w:r>
              <w:rPr>
                <w:rFonts w:ascii="Calibri" w:hAnsi="Calibri" w:cs="Calibri"/>
                <w:color w:val="000000"/>
                <w:lang w:val="en-US"/>
              </w:rPr>
              <w:t xml:space="preserve"> ratio </w:t>
            </w:r>
          </w:p>
        </w:tc>
        <w:tc>
          <w:tcPr>
            <w:tcW w:w="1275" w:type="dxa"/>
            <w:tcBorders>
              <w:top w:val="single" w:sz="6" w:space="0" w:color="auto"/>
              <w:left w:val="single" w:sz="12" w:space="0" w:color="auto"/>
              <w:bottom w:val="single" w:sz="12" w:space="0" w:color="auto"/>
              <w:right w:val="single" w:sz="6"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Coefficient (B)</w:t>
            </w:r>
          </w:p>
        </w:tc>
        <w:tc>
          <w:tcPr>
            <w:tcW w:w="992" w:type="dxa"/>
            <w:tcBorders>
              <w:top w:val="single" w:sz="6" w:space="0" w:color="auto"/>
              <w:left w:val="single" w:sz="6" w:space="0" w:color="auto"/>
              <w:bottom w:val="single" w:sz="12" w:space="0" w:color="auto"/>
              <w:right w:val="single" w:sz="4"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Sig. value</w:t>
            </w:r>
          </w:p>
        </w:tc>
        <w:tc>
          <w:tcPr>
            <w:tcW w:w="850" w:type="dxa"/>
            <w:tcBorders>
              <w:top w:val="single" w:sz="6" w:space="0" w:color="auto"/>
              <w:left w:val="single" w:sz="4" w:space="0" w:color="auto"/>
              <w:bottom w:val="single" w:sz="12" w:space="0" w:color="auto"/>
              <w:right w:val="single" w:sz="12" w:space="0" w:color="auto"/>
            </w:tcBorders>
          </w:tcPr>
          <w:p w:rsidR="00692151" w:rsidRDefault="00692151"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Odd</w:t>
            </w:r>
            <w:r w:rsidR="00EB73C0">
              <w:rPr>
                <w:rFonts w:ascii="Calibri" w:hAnsi="Calibri" w:cs="Calibri"/>
                <w:color w:val="000000"/>
                <w:lang w:val="en-US"/>
              </w:rPr>
              <w:t>s</w:t>
            </w:r>
            <w:r>
              <w:rPr>
                <w:rFonts w:ascii="Calibri" w:hAnsi="Calibri" w:cs="Calibri"/>
                <w:color w:val="000000"/>
                <w:lang w:val="en-US"/>
              </w:rPr>
              <w:t xml:space="preserve"> ratio</w:t>
            </w:r>
          </w:p>
        </w:tc>
      </w:tr>
      <w:tr w:rsidR="00EB73C0" w:rsidTr="008F09BA">
        <w:trPr>
          <w:trHeight w:val="290"/>
        </w:trPr>
        <w:tc>
          <w:tcPr>
            <w:tcW w:w="3120" w:type="dxa"/>
            <w:tcBorders>
              <w:top w:val="single" w:sz="12" w:space="0" w:color="auto"/>
              <w:left w:val="single" w:sz="12" w:space="0" w:color="auto"/>
              <w:right w:val="single" w:sz="12" w:space="0" w:color="auto"/>
            </w:tcBorders>
          </w:tcPr>
          <w:p w:rsidR="00EB73C0" w:rsidRDefault="008309CD"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INDFRAUD</w:t>
            </w:r>
          </w:p>
        </w:tc>
        <w:tc>
          <w:tcPr>
            <w:tcW w:w="1275" w:type="dxa"/>
            <w:tcBorders>
              <w:top w:val="single" w:sz="12" w:space="0" w:color="auto"/>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0.287</w:t>
            </w:r>
          </w:p>
        </w:tc>
        <w:tc>
          <w:tcPr>
            <w:tcW w:w="993" w:type="dxa"/>
            <w:tcBorders>
              <w:top w:val="single" w:sz="12" w:space="0" w:color="auto"/>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0.001</w:t>
            </w:r>
            <w:r w:rsidR="002A1847">
              <w:rPr>
                <w:rFonts w:ascii="Calibri" w:hAnsi="Calibri" w:cs="Calibri"/>
                <w:color w:val="000000"/>
                <w:lang w:val="en-US"/>
              </w:rPr>
              <w:t>**</w:t>
            </w:r>
          </w:p>
        </w:tc>
        <w:tc>
          <w:tcPr>
            <w:tcW w:w="851" w:type="dxa"/>
            <w:tcBorders>
              <w:top w:val="single" w:sz="12" w:space="0" w:color="auto"/>
              <w:left w:val="single" w:sz="4" w:space="0" w:color="auto"/>
              <w:right w:val="single" w:sz="12" w:space="0" w:color="auto"/>
            </w:tcBorders>
          </w:tcPr>
          <w:p w:rsidR="00EB73C0" w:rsidRDefault="005F2E7C"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1.333</w:t>
            </w:r>
          </w:p>
        </w:tc>
        <w:tc>
          <w:tcPr>
            <w:tcW w:w="1275" w:type="dxa"/>
            <w:tcBorders>
              <w:top w:val="single" w:sz="12" w:space="0" w:color="auto"/>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0.004</w:t>
            </w:r>
          </w:p>
        </w:tc>
        <w:tc>
          <w:tcPr>
            <w:tcW w:w="992" w:type="dxa"/>
            <w:tcBorders>
              <w:top w:val="single" w:sz="12" w:space="0" w:color="auto"/>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0.928</w:t>
            </w:r>
          </w:p>
        </w:tc>
        <w:tc>
          <w:tcPr>
            <w:tcW w:w="850" w:type="dxa"/>
            <w:tcBorders>
              <w:top w:val="single" w:sz="12" w:space="0" w:color="auto"/>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1.004</w:t>
            </w:r>
          </w:p>
        </w:tc>
      </w:tr>
      <w:tr w:rsidR="00EB73C0" w:rsidTr="008F09BA">
        <w:trPr>
          <w:trHeight w:val="290"/>
        </w:trPr>
        <w:tc>
          <w:tcPr>
            <w:tcW w:w="3120" w:type="dxa"/>
            <w:tcBorders>
              <w:left w:val="single" w:sz="12" w:space="0" w:color="auto"/>
              <w:right w:val="single" w:sz="12" w:space="0" w:color="auto"/>
            </w:tcBorders>
          </w:tcPr>
          <w:p w:rsidR="00EB73C0" w:rsidRDefault="008309CD"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INDCOMP </w:t>
            </w:r>
          </w:p>
        </w:tc>
        <w:tc>
          <w:tcPr>
            <w:tcW w:w="1275" w:type="dxa"/>
            <w:tcBorders>
              <w:left w:val="single" w:sz="12" w:space="0" w:color="auto"/>
              <w:right w:val="single" w:sz="4" w:space="0" w:color="auto"/>
            </w:tcBorders>
          </w:tcPr>
          <w:p w:rsidR="00EB73C0" w:rsidRDefault="002E216D" w:rsidP="002E216D">
            <w:pPr>
              <w:tabs>
                <w:tab w:val="left" w:pos="225"/>
                <w:tab w:val="center" w:pos="529"/>
              </w:tabs>
              <w:autoSpaceDE w:val="0"/>
              <w:autoSpaceDN w:val="0"/>
              <w:adjustRightInd w:val="0"/>
              <w:spacing w:after="0" w:line="240" w:lineRule="auto"/>
              <w:rPr>
                <w:rFonts w:ascii="Calibri" w:hAnsi="Calibri" w:cs="Calibri"/>
                <w:color w:val="000000"/>
                <w:lang w:val="en-US"/>
              </w:rPr>
            </w:pPr>
            <w:r>
              <w:rPr>
                <w:rFonts w:ascii="Calibri" w:hAnsi="Calibri" w:cs="Calibri"/>
                <w:color w:val="000000"/>
                <w:lang w:val="en-US"/>
              </w:rPr>
              <w:tab/>
              <w:t xml:space="preserve"> </w:t>
            </w:r>
            <w:r w:rsidR="00EB73C0">
              <w:rPr>
                <w:rFonts w:ascii="Calibri" w:hAnsi="Calibri" w:cs="Calibri"/>
                <w:color w:val="000000"/>
                <w:lang w:val="en-US"/>
              </w:rPr>
              <w:t>0.424</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0.048</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EB73C0" w:rsidRDefault="002E216D"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1.528</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0.018</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0.891</w:t>
            </w:r>
          </w:p>
        </w:tc>
        <w:tc>
          <w:tcPr>
            <w:tcW w:w="850" w:type="dxa"/>
            <w:tcBorders>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1.018</w:t>
            </w:r>
          </w:p>
        </w:tc>
      </w:tr>
      <w:tr w:rsidR="00EB73C0" w:rsidTr="008F09BA">
        <w:trPr>
          <w:trHeight w:val="290"/>
        </w:trPr>
        <w:tc>
          <w:tcPr>
            <w:tcW w:w="3120" w:type="dxa"/>
            <w:tcBorders>
              <w:left w:val="single" w:sz="12" w:space="0" w:color="auto"/>
              <w:right w:val="single" w:sz="12" w:space="0" w:color="auto"/>
            </w:tcBorders>
          </w:tcPr>
          <w:p w:rsidR="00EB73C0" w:rsidRDefault="008309CD"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RESTRUCTD </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-1.477</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0.017</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EB73C0" w:rsidRDefault="005F2E7C"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0.228</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-0.430</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0.245</w:t>
            </w:r>
          </w:p>
        </w:tc>
        <w:tc>
          <w:tcPr>
            <w:tcW w:w="850" w:type="dxa"/>
            <w:tcBorders>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0.650</w:t>
            </w:r>
          </w:p>
        </w:tc>
      </w:tr>
      <w:tr w:rsidR="00EB73C0" w:rsidTr="008F09BA">
        <w:trPr>
          <w:trHeight w:val="290"/>
        </w:trPr>
        <w:tc>
          <w:tcPr>
            <w:tcW w:w="3120" w:type="dxa"/>
            <w:tcBorders>
              <w:left w:val="single" w:sz="12" w:space="0" w:color="auto"/>
              <w:right w:val="single" w:sz="12" w:space="0" w:color="auto"/>
            </w:tcBorders>
          </w:tcPr>
          <w:p w:rsidR="00EB73C0" w:rsidRDefault="008309CD"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RESTRUCTP </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0.231</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0.029</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EB73C0" w:rsidRDefault="005F2E7C"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1.260</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0.080</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0.153</w:t>
            </w:r>
          </w:p>
        </w:tc>
        <w:tc>
          <w:tcPr>
            <w:tcW w:w="850" w:type="dxa"/>
            <w:tcBorders>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1.084</w:t>
            </w:r>
          </w:p>
        </w:tc>
      </w:tr>
      <w:tr w:rsidR="00EB73C0" w:rsidTr="008F09BA">
        <w:trPr>
          <w:trHeight w:val="290"/>
        </w:trPr>
        <w:tc>
          <w:tcPr>
            <w:tcW w:w="3120" w:type="dxa"/>
            <w:tcBorders>
              <w:left w:val="single" w:sz="12" w:space="0" w:color="auto"/>
              <w:right w:val="single" w:sz="12"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RESTRUCTC</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-0.281</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0.015</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EB73C0" w:rsidRDefault="005F2E7C"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0.804</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-0.073</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0.186</w:t>
            </w:r>
          </w:p>
        </w:tc>
        <w:tc>
          <w:tcPr>
            <w:tcW w:w="850" w:type="dxa"/>
            <w:tcBorders>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0.930</w:t>
            </w:r>
          </w:p>
        </w:tc>
      </w:tr>
      <w:tr w:rsidR="00EB73C0" w:rsidTr="008F09BA">
        <w:trPr>
          <w:trHeight w:val="290"/>
        </w:trPr>
        <w:tc>
          <w:tcPr>
            <w:tcW w:w="3120" w:type="dxa"/>
            <w:tcBorders>
              <w:left w:val="single" w:sz="12" w:space="0" w:color="auto"/>
              <w:right w:val="single" w:sz="12"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SIZE</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0.176</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EB73C0" w:rsidRDefault="005F2E7C"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1.192</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0.444</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r w:rsidR="002A1847">
              <w:rPr>
                <w:rFonts w:ascii="Calibri" w:hAnsi="Calibri" w:cs="Calibri"/>
                <w:color w:val="000000"/>
                <w:lang w:val="en-US"/>
              </w:rPr>
              <w:t>**</w:t>
            </w:r>
          </w:p>
        </w:tc>
        <w:tc>
          <w:tcPr>
            <w:tcW w:w="850" w:type="dxa"/>
            <w:tcBorders>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1.559</w:t>
            </w:r>
          </w:p>
        </w:tc>
      </w:tr>
      <w:tr w:rsidR="00EB73C0" w:rsidTr="008F09BA">
        <w:trPr>
          <w:trHeight w:val="290"/>
        </w:trPr>
        <w:tc>
          <w:tcPr>
            <w:tcW w:w="3120" w:type="dxa"/>
            <w:tcBorders>
              <w:left w:val="single" w:sz="12" w:space="0" w:color="auto"/>
              <w:right w:val="single" w:sz="12"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AGE</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0.518</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EB73C0" w:rsidRDefault="005F2E7C"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1.679</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0.552</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r w:rsidR="002A1847">
              <w:rPr>
                <w:rFonts w:ascii="Calibri" w:hAnsi="Calibri" w:cs="Calibri"/>
                <w:color w:val="000000"/>
                <w:lang w:val="en-US"/>
              </w:rPr>
              <w:t>**</w:t>
            </w:r>
          </w:p>
        </w:tc>
        <w:tc>
          <w:tcPr>
            <w:tcW w:w="850" w:type="dxa"/>
            <w:tcBorders>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1.737</w:t>
            </w:r>
          </w:p>
        </w:tc>
      </w:tr>
      <w:tr w:rsidR="00EB73C0" w:rsidTr="008F09BA">
        <w:trPr>
          <w:trHeight w:val="290"/>
        </w:trPr>
        <w:tc>
          <w:tcPr>
            <w:tcW w:w="3120" w:type="dxa"/>
            <w:tcBorders>
              <w:left w:val="single" w:sz="12" w:space="0" w:color="auto"/>
              <w:right w:val="single" w:sz="12"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LEV</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0.001</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0.371</w:t>
            </w:r>
          </w:p>
        </w:tc>
        <w:tc>
          <w:tcPr>
            <w:tcW w:w="851" w:type="dxa"/>
            <w:tcBorders>
              <w:left w:val="single" w:sz="4" w:space="0" w:color="auto"/>
              <w:right w:val="single" w:sz="12" w:space="0" w:color="auto"/>
            </w:tcBorders>
          </w:tcPr>
          <w:p w:rsidR="00EB73C0" w:rsidRDefault="005F2E7C"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1.001</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0.263</w:t>
            </w:r>
          </w:p>
        </w:tc>
        <w:tc>
          <w:tcPr>
            <w:tcW w:w="850" w:type="dxa"/>
            <w:tcBorders>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1.000</w:t>
            </w:r>
          </w:p>
        </w:tc>
      </w:tr>
      <w:tr w:rsidR="00EB73C0" w:rsidTr="008F09BA">
        <w:trPr>
          <w:trHeight w:val="290"/>
        </w:trPr>
        <w:tc>
          <w:tcPr>
            <w:tcW w:w="3120" w:type="dxa"/>
            <w:tcBorders>
              <w:left w:val="single" w:sz="12" w:space="0" w:color="auto"/>
              <w:right w:val="single" w:sz="12"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ROA</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0.001</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0.663</w:t>
            </w:r>
          </w:p>
        </w:tc>
        <w:tc>
          <w:tcPr>
            <w:tcW w:w="851" w:type="dxa"/>
            <w:tcBorders>
              <w:left w:val="single" w:sz="4" w:space="0" w:color="auto"/>
              <w:right w:val="single" w:sz="12" w:space="0" w:color="auto"/>
            </w:tcBorders>
          </w:tcPr>
          <w:p w:rsidR="00EB73C0" w:rsidRDefault="005F2E7C"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1.001</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0.006</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0.008</w:t>
            </w:r>
            <w:r w:rsidR="002A1847">
              <w:rPr>
                <w:rFonts w:ascii="Calibri" w:hAnsi="Calibri" w:cs="Calibri"/>
                <w:color w:val="000000"/>
                <w:lang w:val="en-US"/>
              </w:rPr>
              <w:t>**</w:t>
            </w:r>
          </w:p>
        </w:tc>
        <w:tc>
          <w:tcPr>
            <w:tcW w:w="850" w:type="dxa"/>
            <w:tcBorders>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1.006</w:t>
            </w:r>
          </w:p>
        </w:tc>
      </w:tr>
      <w:tr w:rsidR="00EB73C0" w:rsidTr="008F09BA">
        <w:trPr>
          <w:trHeight w:val="290"/>
        </w:trPr>
        <w:tc>
          <w:tcPr>
            <w:tcW w:w="3120" w:type="dxa"/>
            <w:tcBorders>
              <w:left w:val="single" w:sz="12" w:space="0" w:color="auto"/>
              <w:right w:val="single" w:sz="12"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SEGNUM</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-0.028</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0.016</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EB73C0" w:rsidRDefault="005F2E7C"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0.972</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-0.048</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r w:rsidR="002A1847">
              <w:rPr>
                <w:rFonts w:ascii="Calibri" w:hAnsi="Calibri" w:cs="Calibri"/>
                <w:color w:val="000000"/>
                <w:lang w:val="en-US"/>
              </w:rPr>
              <w:t>**</w:t>
            </w:r>
          </w:p>
        </w:tc>
        <w:tc>
          <w:tcPr>
            <w:tcW w:w="850" w:type="dxa"/>
            <w:tcBorders>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0.953</w:t>
            </w:r>
          </w:p>
        </w:tc>
      </w:tr>
      <w:tr w:rsidR="00EB73C0" w:rsidTr="008F09BA">
        <w:trPr>
          <w:trHeight w:val="290"/>
        </w:trPr>
        <w:tc>
          <w:tcPr>
            <w:tcW w:w="3120" w:type="dxa"/>
            <w:tcBorders>
              <w:left w:val="single" w:sz="12" w:space="0" w:color="auto"/>
              <w:right w:val="single" w:sz="12" w:space="0" w:color="auto"/>
            </w:tcBorders>
          </w:tcPr>
          <w:p w:rsidR="00EB73C0" w:rsidRDefault="008309CD"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FORTRANS </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0.103</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0.256</w:t>
            </w:r>
          </w:p>
        </w:tc>
        <w:tc>
          <w:tcPr>
            <w:tcW w:w="851" w:type="dxa"/>
            <w:tcBorders>
              <w:left w:val="single" w:sz="4" w:space="0" w:color="auto"/>
              <w:right w:val="single" w:sz="12" w:space="0" w:color="auto"/>
            </w:tcBorders>
          </w:tcPr>
          <w:p w:rsidR="00EB73C0" w:rsidRDefault="005F2E7C"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1.109</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-0.040</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0.409</w:t>
            </w:r>
          </w:p>
        </w:tc>
        <w:tc>
          <w:tcPr>
            <w:tcW w:w="850" w:type="dxa"/>
            <w:tcBorders>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0.961</w:t>
            </w:r>
          </w:p>
        </w:tc>
      </w:tr>
      <w:tr w:rsidR="00EB73C0" w:rsidTr="008F09BA">
        <w:trPr>
          <w:trHeight w:val="290"/>
        </w:trPr>
        <w:tc>
          <w:tcPr>
            <w:tcW w:w="3120" w:type="dxa"/>
            <w:tcBorders>
              <w:left w:val="single" w:sz="12" w:space="0" w:color="auto"/>
              <w:right w:val="single" w:sz="12" w:space="0" w:color="auto"/>
            </w:tcBorders>
          </w:tcPr>
          <w:p w:rsidR="00EB73C0" w:rsidRDefault="008309CD"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 xml:space="preserve">BIG 4 </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-0.732</w:t>
            </w:r>
          </w:p>
        </w:tc>
        <w:tc>
          <w:tcPr>
            <w:tcW w:w="993" w:type="dxa"/>
            <w:tcBorders>
              <w:left w:val="single" w:sz="4" w:space="0" w:color="auto"/>
              <w:right w:val="single" w:sz="4" w:space="0" w:color="auto"/>
            </w:tcBorders>
          </w:tcPr>
          <w:p w:rsidR="00EB73C0" w:rsidRDefault="00EB73C0"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EB73C0" w:rsidRDefault="005F2E7C" w:rsidP="008F09BA">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0.481</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-0.459</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r w:rsidR="002A1847">
              <w:rPr>
                <w:rFonts w:ascii="Calibri" w:hAnsi="Calibri" w:cs="Calibri"/>
                <w:color w:val="000000"/>
                <w:lang w:val="en-US"/>
              </w:rPr>
              <w:t>**</w:t>
            </w:r>
          </w:p>
        </w:tc>
        <w:tc>
          <w:tcPr>
            <w:tcW w:w="850" w:type="dxa"/>
            <w:tcBorders>
              <w:left w:val="single" w:sz="4" w:space="0" w:color="auto"/>
              <w:right w:val="single" w:sz="12" w:space="0" w:color="auto"/>
            </w:tcBorders>
          </w:tcPr>
          <w:p w:rsidR="00EB73C0" w:rsidRDefault="005F2E7C"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0.632</w:t>
            </w:r>
          </w:p>
        </w:tc>
      </w:tr>
      <w:tr w:rsidR="00EB73C0" w:rsidTr="008F09BA">
        <w:trPr>
          <w:trHeight w:val="290"/>
        </w:trPr>
        <w:tc>
          <w:tcPr>
            <w:tcW w:w="3120" w:type="dxa"/>
            <w:tcBorders>
              <w:left w:val="single" w:sz="12" w:space="0" w:color="auto"/>
              <w:right w:val="single" w:sz="12" w:space="0" w:color="auto"/>
            </w:tcBorders>
          </w:tcPr>
          <w:p w:rsidR="00EB73C0" w:rsidRDefault="00EB73C0"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Intercept</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3.614</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EB73C0" w:rsidRDefault="00EB73C0" w:rsidP="00692151">
            <w:pPr>
              <w:autoSpaceDE w:val="0"/>
              <w:autoSpaceDN w:val="0"/>
              <w:adjustRightInd w:val="0"/>
              <w:spacing w:after="0" w:line="240" w:lineRule="auto"/>
              <w:jc w:val="center"/>
              <w:rPr>
                <w:rFonts w:ascii="Calibri" w:hAnsi="Calibri" w:cs="Calibri"/>
                <w:color w:val="000000"/>
                <w:lang w:val="en-US"/>
              </w:rPr>
            </w:pP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-0.878</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0.027</w:t>
            </w:r>
            <w:r w:rsidR="002A1847">
              <w:rPr>
                <w:rFonts w:ascii="Calibri" w:hAnsi="Calibri" w:cs="Calibri"/>
                <w:color w:val="000000"/>
                <w:lang w:val="en-US"/>
              </w:rPr>
              <w:t>**</w:t>
            </w:r>
          </w:p>
        </w:tc>
        <w:tc>
          <w:tcPr>
            <w:tcW w:w="850" w:type="dxa"/>
            <w:tcBorders>
              <w:left w:val="single" w:sz="4" w:space="0" w:color="auto"/>
              <w:right w:val="single" w:sz="12" w:space="0" w:color="auto"/>
            </w:tcBorders>
          </w:tcPr>
          <w:p w:rsidR="00EB73C0" w:rsidRDefault="00EB73C0" w:rsidP="00692151">
            <w:pPr>
              <w:autoSpaceDE w:val="0"/>
              <w:autoSpaceDN w:val="0"/>
              <w:adjustRightInd w:val="0"/>
              <w:spacing w:after="0" w:line="240" w:lineRule="auto"/>
              <w:jc w:val="center"/>
              <w:rPr>
                <w:rFonts w:ascii="Calibri" w:hAnsi="Calibri" w:cs="Calibri"/>
                <w:color w:val="000000"/>
                <w:lang w:val="en-US"/>
              </w:rPr>
            </w:pPr>
          </w:p>
        </w:tc>
      </w:tr>
      <w:tr w:rsidR="00EB73C0" w:rsidTr="008F09BA">
        <w:trPr>
          <w:trHeight w:val="80"/>
        </w:trPr>
        <w:tc>
          <w:tcPr>
            <w:tcW w:w="3120" w:type="dxa"/>
            <w:tcBorders>
              <w:left w:val="single" w:sz="12" w:space="0" w:color="auto"/>
              <w:right w:val="single" w:sz="12" w:space="0" w:color="auto"/>
            </w:tcBorders>
          </w:tcPr>
          <w:p w:rsidR="00EB73C0" w:rsidRDefault="00EB73C0"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Model Chi-square</w:t>
            </w: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242.938</w:t>
            </w:r>
          </w:p>
        </w:tc>
        <w:tc>
          <w:tcPr>
            <w:tcW w:w="993"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r w:rsidR="002A1847">
              <w:rPr>
                <w:rFonts w:ascii="Calibri" w:hAnsi="Calibri" w:cs="Calibri"/>
                <w:color w:val="000000"/>
                <w:lang w:val="en-US"/>
              </w:rPr>
              <w:t>**</w:t>
            </w:r>
          </w:p>
        </w:tc>
        <w:tc>
          <w:tcPr>
            <w:tcW w:w="851" w:type="dxa"/>
            <w:tcBorders>
              <w:left w:val="single" w:sz="4" w:space="0" w:color="auto"/>
              <w:right w:val="single" w:sz="12" w:space="0" w:color="auto"/>
            </w:tcBorders>
          </w:tcPr>
          <w:p w:rsidR="00EB73C0" w:rsidRDefault="00EB73C0" w:rsidP="00692151">
            <w:pPr>
              <w:autoSpaceDE w:val="0"/>
              <w:autoSpaceDN w:val="0"/>
              <w:adjustRightInd w:val="0"/>
              <w:spacing w:after="0" w:line="240" w:lineRule="auto"/>
              <w:jc w:val="center"/>
              <w:rPr>
                <w:rFonts w:ascii="Calibri" w:hAnsi="Calibri" w:cs="Calibri"/>
                <w:color w:val="000000"/>
                <w:lang w:val="en-US"/>
              </w:rPr>
            </w:pPr>
          </w:p>
        </w:tc>
        <w:tc>
          <w:tcPr>
            <w:tcW w:w="1275" w:type="dxa"/>
            <w:tcBorders>
              <w:left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1704.781</w:t>
            </w:r>
          </w:p>
        </w:tc>
        <w:tc>
          <w:tcPr>
            <w:tcW w:w="992" w:type="dxa"/>
            <w:tcBorders>
              <w:left w:val="single" w:sz="4"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0.000</w:t>
            </w:r>
            <w:r w:rsidR="002A1847">
              <w:rPr>
                <w:rFonts w:ascii="Calibri" w:hAnsi="Calibri" w:cs="Calibri"/>
                <w:color w:val="000000"/>
                <w:lang w:val="en-US"/>
              </w:rPr>
              <w:t>**</w:t>
            </w:r>
          </w:p>
        </w:tc>
        <w:tc>
          <w:tcPr>
            <w:tcW w:w="850" w:type="dxa"/>
            <w:tcBorders>
              <w:left w:val="single" w:sz="4" w:space="0" w:color="auto"/>
              <w:right w:val="single" w:sz="12" w:space="0" w:color="auto"/>
            </w:tcBorders>
          </w:tcPr>
          <w:p w:rsidR="00EB73C0" w:rsidRDefault="00EB73C0" w:rsidP="00692151">
            <w:pPr>
              <w:autoSpaceDE w:val="0"/>
              <w:autoSpaceDN w:val="0"/>
              <w:adjustRightInd w:val="0"/>
              <w:spacing w:after="0" w:line="240" w:lineRule="auto"/>
              <w:jc w:val="center"/>
              <w:rPr>
                <w:rFonts w:ascii="Calibri" w:hAnsi="Calibri" w:cs="Calibri"/>
                <w:color w:val="000000"/>
                <w:lang w:val="en-US"/>
              </w:rPr>
            </w:pPr>
          </w:p>
        </w:tc>
      </w:tr>
      <w:tr w:rsidR="00EB73C0" w:rsidTr="008F09BA">
        <w:trPr>
          <w:trHeight w:val="305"/>
        </w:trPr>
        <w:tc>
          <w:tcPr>
            <w:tcW w:w="3120" w:type="dxa"/>
            <w:tcBorders>
              <w:left w:val="single" w:sz="12" w:space="0" w:color="auto"/>
              <w:bottom w:val="single" w:sz="12" w:space="0" w:color="auto"/>
              <w:right w:val="single" w:sz="12" w:space="0" w:color="auto"/>
            </w:tcBorders>
          </w:tcPr>
          <w:p w:rsidR="00EB73C0" w:rsidRDefault="00EB73C0" w:rsidP="00692151">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Pseudo R-square (Nagelkerke)</w:t>
            </w:r>
          </w:p>
        </w:tc>
        <w:tc>
          <w:tcPr>
            <w:tcW w:w="1275" w:type="dxa"/>
            <w:tcBorders>
              <w:left w:val="single" w:sz="12" w:space="0" w:color="auto"/>
              <w:bottom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0.042</w:t>
            </w:r>
          </w:p>
        </w:tc>
        <w:tc>
          <w:tcPr>
            <w:tcW w:w="993" w:type="dxa"/>
            <w:tcBorders>
              <w:left w:val="single" w:sz="4" w:space="0" w:color="auto"/>
              <w:bottom w:val="single" w:sz="12" w:space="0" w:color="auto"/>
              <w:right w:val="single" w:sz="4" w:space="0" w:color="auto"/>
            </w:tcBorders>
          </w:tcPr>
          <w:p w:rsidR="00EB73C0" w:rsidRDefault="00EB73C0" w:rsidP="00692151">
            <w:pPr>
              <w:autoSpaceDE w:val="0"/>
              <w:autoSpaceDN w:val="0"/>
              <w:adjustRightInd w:val="0"/>
              <w:spacing w:after="0" w:line="240" w:lineRule="auto"/>
              <w:jc w:val="center"/>
              <w:rPr>
                <w:rFonts w:ascii="Calibri" w:hAnsi="Calibri" w:cs="Calibri"/>
                <w:color w:val="000000"/>
                <w:lang w:val="en-US"/>
              </w:rPr>
            </w:pPr>
          </w:p>
        </w:tc>
        <w:tc>
          <w:tcPr>
            <w:tcW w:w="851" w:type="dxa"/>
            <w:tcBorders>
              <w:left w:val="single" w:sz="4" w:space="0" w:color="auto"/>
              <w:bottom w:val="single" w:sz="12" w:space="0" w:color="auto"/>
              <w:right w:val="single" w:sz="12" w:space="0" w:color="auto"/>
            </w:tcBorders>
          </w:tcPr>
          <w:p w:rsidR="00EB73C0" w:rsidRDefault="00EB73C0" w:rsidP="00692151">
            <w:pPr>
              <w:autoSpaceDE w:val="0"/>
              <w:autoSpaceDN w:val="0"/>
              <w:adjustRightInd w:val="0"/>
              <w:spacing w:after="0" w:line="240" w:lineRule="auto"/>
              <w:jc w:val="center"/>
              <w:rPr>
                <w:rFonts w:ascii="Calibri" w:hAnsi="Calibri" w:cs="Calibri"/>
                <w:color w:val="000000"/>
                <w:lang w:val="en-US"/>
              </w:rPr>
            </w:pPr>
          </w:p>
        </w:tc>
        <w:tc>
          <w:tcPr>
            <w:tcW w:w="1275" w:type="dxa"/>
            <w:tcBorders>
              <w:left w:val="single" w:sz="12" w:space="0" w:color="auto"/>
              <w:bottom w:val="single" w:sz="12" w:space="0" w:color="auto"/>
              <w:right w:val="single" w:sz="4" w:space="0" w:color="auto"/>
            </w:tcBorders>
          </w:tcPr>
          <w:p w:rsidR="00EB73C0" w:rsidRDefault="00EB73C0" w:rsidP="00EB73C0">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0.114</w:t>
            </w:r>
          </w:p>
        </w:tc>
        <w:tc>
          <w:tcPr>
            <w:tcW w:w="992" w:type="dxa"/>
            <w:tcBorders>
              <w:left w:val="single" w:sz="4" w:space="0" w:color="auto"/>
              <w:bottom w:val="single" w:sz="12" w:space="0" w:color="auto"/>
              <w:right w:val="single" w:sz="4" w:space="0" w:color="auto"/>
            </w:tcBorders>
          </w:tcPr>
          <w:p w:rsidR="00EB73C0" w:rsidRDefault="00EB73C0" w:rsidP="00692151">
            <w:pPr>
              <w:autoSpaceDE w:val="0"/>
              <w:autoSpaceDN w:val="0"/>
              <w:adjustRightInd w:val="0"/>
              <w:spacing w:after="0" w:line="240" w:lineRule="auto"/>
              <w:jc w:val="center"/>
              <w:rPr>
                <w:rFonts w:ascii="Calibri" w:hAnsi="Calibri" w:cs="Calibri"/>
                <w:color w:val="000000"/>
                <w:lang w:val="en-US"/>
              </w:rPr>
            </w:pPr>
          </w:p>
        </w:tc>
        <w:tc>
          <w:tcPr>
            <w:tcW w:w="850" w:type="dxa"/>
            <w:tcBorders>
              <w:left w:val="single" w:sz="4" w:space="0" w:color="auto"/>
              <w:bottom w:val="single" w:sz="12" w:space="0" w:color="auto"/>
              <w:right w:val="single" w:sz="12" w:space="0" w:color="auto"/>
            </w:tcBorders>
          </w:tcPr>
          <w:p w:rsidR="00EB73C0" w:rsidRDefault="00EB73C0" w:rsidP="00692151">
            <w:pPr>
              <w:autoSpaceDE w:val="0"/>
              <w:autoSpaceDN w:val="0"/>
              <w:adjustRightInd w:val="0"/>
              <w:spacing w:after="0" w:line="240" w:lineRule="auto"/>
              <w:jc w:val="center"/>
              <w:rPr>
                <w:rFonts w:ascii="Calibri" w:hAnsi="Calibri" w:cs="Calibri"/>
                <w:color w:val="000000"/>
                <w:lang w:val="en-US"/>
              </w:rPr>
            </w:pPr>
          </w:p>
        </w:tc>
      </w:tr>
    </w:tbl>
    <w:p w:rsidR="00806F26" w:rsidRDefault="002A1847" w:rsidP="002A1847">
      <w:pPr>
        <w:rPr>
          <w:lang w:val="en-GB"/>
        </w:rPr>
      </w:pPr>
      <w:r w:rsidRPr="0006085D">
        <w:rPr>
          <w:b/>
          <w:i/>
          <w:sz w:val="20"/>
          <w:szCs w:val="20"/>
          <w:lang w:val="en-GB"/>
        </w:rPr>
        <w:t>p &lt; 0.05 = **</w:t>
      </w:r>
      <w:r w:rsidRPr="0006085D">
        <w:rPr>
          <w:b/>
          <w:i/>
          <w:sz w:val="20"/>
          <w:szCs w:val="20"/>
          <w:lang w:val="en-GB"/>
        </w:rPr>
        <w:br/>
        <w:t>p &lt; 0.10 = *</w:t>
      </w:r>
      <w:r w:rsidR="0006085D">
        <w:rPr>
          <w:b/>
          <w:lang w:val="en-GB"/>
        </w:rPr>
        <w:br/>
      </w:r>
      <w:r w:rsidR="008F09BA">
        <w:rPr>
          <w:b/>
          <w:lang w:val="en-GB"/>
        </w:rPr>
        <w:br/>
      </w:r>
      <w:r w:rsidR="00BC1402">
        <w:rPr>
          <w:lang w:val="en-GB"/>
        </w:rPr>
        <w:t>Table 12 shows that both</w:t>
      </w:r>
      <w:r w:rsidR="008F09BA">
        <w:rPr>
          <w:lang w:val="en-GB"/>
        </w:rPr>
        <w:t xml:space="preserve"> industry difference variable</w:t>
      </w:r>
      <w:r w:rsidR="00B9614A">
        <w:rPr>
          <w:lang w:val="en-GB"/>
        </w:rPr>
        <w:t>s</w:t>
      </w:r>
      <w:r w:rsidR="008F09BA">
        <w:rPr>
          <w:lang w:val="en-GB"/>
        </w:rPr>
        <w:t xml:space="preserve"> have become significant for the IT material weakness firms. INDFRAUD has a significant positive coefficient (b=0.287, p&lt;0.01)</w:t>
      </w:r>
      <w:r w:rsidR="00B9614A">
        <w:rPr>
          <w:lang w:val="en-GB"/>
        </w:rPr>
        <w:t>,</w:t>
      </w:r>
      <w:r w:rsidR="008F09BA">
        <w:rPr>
          <w:lang w:val="en-GB"/>
        </w:rPr>
        <w:t xml:space="preserve"> which is consistent with the assumption of hypothesis 1a</w:t>
      </w:r>
      <w:r w:rsidR="00451DE6">
        <w:rPr>
          <w:lang w:val="en-GB"/>
        </w:rPr>
        <w:t xml:space="preserve"> and supports the theory of Beasley et al. (2000) that </w:t>
      </w:r>
      <w:r w:rsidR="00BC1402">
        <w:rPr>
          <w:lang w:val="en-GB"/>
        </w:rPr>
        <w:t>T</w:t>
      </w:r>
      <w:r w:rsidR="00451DE6">
        <w:rPr>
          <w:lang w:val="en-GB"/>
        </w:rPr>
        <w:t xml:space="preserve">echnology, </w:t>
      </w:r>
      <w:r w:rsidR="00BC1402">
        <w:rPr>
          <w:lang w:val="en-GB"/>
        </w:rPr>
        <w:t>H</w:t>
      </w:r>
      <w:r w:rsidR="00451DE6">
        <w:rPr>
          <w:lang w:val="en-GB"/>
        </w:rPr>
        <w:t xml:space="preserve">ealth care and </w:t>
      </w:r>
      <w:r w:rsidR="00BC1402">
        <w:rPr>
          <w:lang w:val="en-GB"/>
        </w:rPr>
        <w:t>F</w:t>
      </w:r>
      <w:r w:rsidR="00451DE6">
        <w:rPr>
          <w:lang w:val="en-GB"/>
        </w:rPr>
        <w:t>inancial service industries are more likely to have control problems due to complexity of the financial reporting</w:t>
      </w:r>
      <w:r w:rsidR="008F09BA">
        <w:rPr>
          <w:lang w:val="en-GB"/>
        </w:rPr>
        <w:t>.</w:t>
      </w:r>
      <w:r w:rsidR="00451DE6">
        <w:rPr>
          <w:lang w:val="en-GB"/>
        </w:rPr>
        <w:t xml:space="preserve"> </w:t>
      </w:r>
      <w:r w:rsidR="008F09BA">
        <w:rPr>
          <w:lang w:val="en-GB"/>
        </w:rPr>
        <w:t xml:space="preserve">The INDCOMP variable is significant </w:t>
      </w:r>
      <w:r w:rsidR="002B67FC">
        <w:rPr>
          <w:lang w:val="en-GB"/>
        </w:rPr>
        <w:t>and</w:t>
      </w:r>
      <w:r w:rsidR="008F09BA">
        <w:rPr>
          <w:lang w:val="en-GB"/>
        </w:rPr>
        <w:t xml:space="preserve"> has a </w:t>
      </w:r>
      <w:r w:rsidR="002E216D">
        <w:rPr>
          <w:lang w:val="en-GB"/>
        </w:rPr>
        <w:t>positive</w:t>
      </w:r>
      <w:r w:rsidR="008F09BA">
        <w:rPr>
          <w:lang w:val="en-GB"/>
        </w:rPr>
        <w:t xml:space="preserve"> coefficient (b=0.424, p&lt;0.05)</w:t>
      </w:r>
      <w:r w:rsidR="00B9614A">
        <w:rPr>
          <w:lang w:val="en-GB"/>
        </w:rPr>
        <w:t>;</w:t>
      </w:r>
      <w:r w:rsidR="008F09BA">
        <w:rPr>
          <w:lang w:val="en-GB"/>
        </w:rPr>
        <w:t xml:space="preserve"> this is </w:t>
      </w:r>
      <w:r w:rsidR="002B67FC">
        <w:rPr>
          <w:lang w:val="en-GB"/>
        </w:rPr>
        <w:t>co</w:t>
      </w:r>
      <w:r w:rsidR="002E216D">
        <w:rPr>
          <w:lang w:val="en-GB"/>
        </w:rPr>
        <w:t>nsistent with hypothesis 1b and has roughly the same odds</w:t>
      </w:r>
      <w:r w:rsidR="00451DE6">
        <w:rPr>
          <w:lang w:val="en-GB"/>
        </w:rPr>
        <w:t xml:space="preserve"> as</w:t>
      </w:r>
      <w:r w:rsidR="002E216D">
        <w:rPr>
          <w:lang w:val="en-GB"/>
        </w:rPr>
        <w:t xml:space="preserve"> </w:t>
      </w:r>
      <w:r w:rsidR="002B67FC">
        <w:rPr>
          <w:lang w:val="en-GB"/>
        </w:rPr>
        <w:t>INDFRAUD (1.</w:t>
      </w:r>
      <w:r w:rsidR="002E216D">
        <w:rPr>
          <w:lang w:val="en-GB"/>
        </w:rPr>
        <w:t>528</w:t>
      </w:r>
      <w:r w:rsidR="002B67FC">
        <w:rPr>
          <w:lang w:val="en-GB"/>
        </w:rPr>
        <w:t xml:space="preserve"> vs. </w:t>
      </w:r>
      <w:r w:rsidR="002E216D">
        <w:rPr>
          <w:lang w:val="en-GB"/>
        </w:rPr>
        <w:t>1.333</w:t>
      </w:r>
      <w:r w:rsidR="002B67FC">
        <w:rPr>
          <w:lang w:val="en-GB"/>
        </w:rPr>
        <w:t xml:space="preserve">). </w:t>
      </w:r>
      <w:r w:rsidR="00451DE6">
        <w:rPr>
          <w:lang w:val="en-GB"/>
        </w:rPr>
        <w:t>The theory of the industry differences based on competitiveness (Giroud and Mueller, 2007) is supported for the existence of material IT control weaknesses by showing a significant correlation between non-competitive industr</w:t>
      </w:r>
      <w:r w:rsidR="00BC1402">
        <w:rPr>
          <w:lang w:val="en-GB"/>
        </w:rPr>
        <w:t>ies</w:t>
      </w:r>
      <w:r w:rsidR="00451DE6">
        <w:rPr>
          <w:lang w:val="en-GB"/>
        </w:rPr>
        <w:t xml:space="preserve"> and the occurrence of IT control weaknesses. </w:t>
      </w:r>
      <w:r w:rsidR="002B67FC">
        <w:rPr>
          <w:lang w:val="en-GB"/>
        </w:rPr>
        <w:t xml:space="preserve">The results for industry differences on the NON-ITMW group </w:t>
      </w:r>
      <w:r w:rsidR="0026037E">
        <w:rPr>
          <w:lang w:val="en-GB"/>
        </w:rPr>
        <w:t>are not</w:t>
      </w:r>
      <w:r w:rsidR="002B67FC">
        <w:rPr>
          <w:lang w:val="en-GB"/>
        </w:rPr>
        <w:t xml:space="preserve"> significant</w:t>
      </w:r>
      <w:r w:rsidR="00B9614A">
        <w:rPr>
          <w:lang w:val="en-GB"/>
        </w:rPr>
        <w:t>,</w:t>
      </w:r>
      <w:r w:rsidR="002B67FC">
        <w:rPr>
          <w:lang w:val="en-GB"/>
        </w:rPr>
        <w:t xml:space="preserve"> but have positive coefficients (b=0.004, p=0.928; b=0.018, p=0.891) and roughly the same effect size (odds ratio 1.004 vs. 1.018).</w:t>
      </w:r>
      <w:r w:rsidR="002B67FC">
        <w:rPr>
          <w:lang w:val="en-GB"/>
        </w:rPr>
        <w:br/>
      </w:r>
    </w:p>
    <w:p w:rsidR="00D031CA" w:rsidRDefault="002B67FC" w:rsidP="002A1847">
      <w:pPr>
        <w:rPr>
          <w:lang w:val="en-GB"/>
        </w:rPr>
      </w:pPr>
      <w:r>
        <w:rPr>
          <w:lang w:val="en-GB"/>
        </w:rPr>
        <w:t>The results of the restructuring variables are different from the model 2 regression</w:t>
      </w:r>
      <w:r w:rsidR="00B9614A">
        <w:rPr>
          <w:lang w:val="en-GB"/>
        </w:rPr>
        <w:t>. T</w:t>
      </w:r>
      <w:r>
        <w:rPr>
          <w:lang w:val="en-GB"/>
        </w:rPr>
        <w:t>able 11 indicate</w:t>
      </w:r>
      <w:r w:rsidR="000E36E2">
        <w:rPr>
          <w:lang w:val="en-GB"/>
        </w:rPr>
        <w:t>s</w:t>
      </w:r>
      <w:r>
        <w:rPr>
          <w:lang w:val="en-GB"/>
        </w:rPr>
        <w:t xml:space="preserve"> that restructuring is only significant for NON-ITMW firms, but the full model in table 12 </w:t>
      </w:r>
      <w:r w:rsidR="00737D70">
        <w:rPr>
          <w:lang w:val="en-GB"/>
        </w:rPr>
        <w:t>shows</w:t>
      </w:r>
      <w:r>
        <w:rPr>
          <w:lang w:val="en-GB"/>
        </w:rPr>
        <w:t xml:space="preserve"> opposite results</w:t>
      </w:r>
      <w:r w:rsidR="000E36E2">
        <w:rPr>
          <w:lang w:val="en-GB"/>
        </w:rPr>
        <w:t>,</w:t>
      </w:r>
      <w:r>
        <w:rPr>
          <w:lang w:val="en-GB"/>
        </w:rPr>
        <w:t xml:space="preserve"> because the restructuring variables are only significant for the ITMW group.</w:t>
      </w:r>
      <w:r w:rsidR="000C6151">
        <w:rPr>
          <w:lang w:val="en-GB"/>
        </w:rPr>
        <w:t xml:space="preserve"> This difference can be explained by the inter-correlation between the restructuring variables therefore in section 6.3 the restructuring variables are separated into different regression equations.</w:t>
      </w:r>
      <w:r>
        <w:rPr>
          <w:lang w:val="en-GB"/>
        </w:rPr>
        <w:t xml:space="preserve"> </w:t>
      </w:r>
      <w:r w:rsidR="00737D70">
        <w:rPr>
          <w:lang w:val="en-GB"/>
        </w:rPr>
        <w:t>The dummy variable RESTRUCTD for ITMW has a negative coefficient (b=-1.477, p&lt;0.05) and a small effect size (odds ratio=0.228)</w:t>
      </w:r>
      <w:r w:rsidR="000E36E2">
        <w:rPr>
          <w:lang w:val="en-GB"/>
        </w:rPr>
        <w:t>.</w:t>
      </w:r>
      <w:r w:rsidR="00737D70">
        <w:rPr>
          <w:lang w:val="en-GB"/>
        </w:rPr>
        <w:t xml:space="preserve"> </w:t>
      </w:r>
      <w:r w:rsidR="000E36E2">
        <w:rPr>
          <w:lang w:val="en-GB"/>
        </w:rPr>
        <w:t>T</w:t>
      </w:r>
      <w:r w:rsidR="00737D70">
        <w:rPr>
          <w:lang w:val="en-GB"/>
        </w:rPr>
        <w:t>his means that the existence of restructuring result</w:t>
      </w:r>
      <w:r w:rsidR="000E36E2">
        <w:rPr>
          <w:lang w:val="en-GB"/>
        </w:rPr>
        <w:t>s</w:t>
      </w:r>
      <w:r w:rsidR="00737D70">
        <w:rPr>
          <w:lang w:val="en-GB"/>
        </w:rPr>
        <w:t xml:space="preserve"> in fewer ITMW</w:t>
      </w:r>
      <w:r w:rsidR="000E36E2">
        <w:rPr>
          <w:lang w:val="en-GB"/>
        </w:rPr>
        <w:t xml:space="preserve"> and</w:t>
      </w:r>
      <w:r w:rsidR="00737D70">
        <w:rPr>
          <w:lang w:val="en-GB"/>
        </w:rPr>
        <w:t xml:space="preserve"> this is not in accordance with hypothesis 2a. The second dummy variable RESTRUCTP</w:t>
      </w:r>
      <w:r w:rsidR="000E36E2">
        <w:rPr>
          <w:lang w:val="en-GB"/>
        </w:rPr>
        <w:t>,</w:t>
      </w:r>
      <w:r w:rsidR="00737D70">
        <w:rPr>
          <w:lang w:val="en-GB"/>
        </w:rPr>
        <w:t xml:space="preserve"> </w:t>
      </w:r>
      <w:r w:rsidR="000E36E2">
        <w:rPr>
          <w:lang w:val="en-GB"/>
        </w:rPr>
        <w:t>indicating that</w:t>
      </w:r>
      <w:r w:rsidR="00737D70">
        <w:rPr>
          <w:lang w:val="en-GB"/>
        </w:rPr>
        <w:t xml:space="preserve"> the firm has had a restructuring in the sample period, shows a significant positive coefficient</w:t>
      </w:r>
      <w:r w:rsidR="00504563">
        <w:rPr>
          <w:lang w:val="en-GB"/>
        </w:rPr>
        <w:t xml:space="preserve"> for ITMW</w:t>
      </w:r>
      <w:r w:rsidR="00737D70">
        <w:rPr>
          <w:lang w:val="en-GB"/>
        </w:rPr>
        <w:t xml:space="preserve"> (b=0.231, p&lt;0.05) with a large effect size of 1.260</w:t>
      </w:r>
      <w:r w:rsidR="000E36E2">
        <w:rPr>
          <w:lang w:val="en-GB"/>
        </w:rPr>
        <w:t>. This</w:t>
      </w:r>
      <w:r w:rsidR="00737D70">
        <w:rPr>
          <w:lang w:val="en-GB"/>
        </w:rPr>
        <w:t xml:space="preserve"> is consistent with the assumptions of hypothesis 2c. Also the RESTRUCTC is significant </w:t>
      </w:r>
      <w:r w:rsidR="00504563">
        <w:rPr>
          <w:lang w:val="en-GB"/>
        </w:rPr>
        <w:t>for ITMW firms</w:t>
      </w:r>
      <w:r w:rsidR="000E36E2">
        <w:rPr>
          <w:lang w:val="en-GB"/>
        </w:rPr>
        <w:t>,</w:t>
      </w:r>
      <w:r w:rsidR="00504563">
        <w:rPr>
          <w:lang w:val="en-GB"/>
        </w:rPr>
        <w:t xml:space="preserve"> </w:t>
      </w:r>
      <w:r w:rsidR="00737D70">
        <w:rPr>
          <w:lang w:val="en-GB"/>
        </w:rPr>
        <w:t>but just like RESTRUCTD it has a negative coefficient (b=-0.281, p&lt;0.05)</w:t>
      </w:r>
      <w:r w:rsidR="000E36E2">
        <w:rPr>
          <w:lang w:val="en-GB"/>
        </w:rPr>
        <w:t>; this</w:t>
      </w:r>
      <w:r w:rsidR="00737D70">
        <w:rPr>
          <w:lang w:val="en-GB"/>
        </w:rPr>
        <w:t xml:space="preserve"> is not consistent with hypothesis 2b.</w:t>
      </w:r>
      <w:r w:rsidR="00504563" w:rsidRPr="00504563">
        <w:rPr>
          <w:lang w:val="en-GB"/>
        </w:rPr>
        <w:t xml:space="preserve"> </w:t>
      </w:r>
      <w:r w:rsidR="00504563">
        <w:rPr>
          <w:lang w:val="en-GB"/>
        </w:rPr>
        <w:t>For the NON-ITMW group all restructuring variables are not significant and RESTRUCTD and RESTRUCTD have also a negative coefficient (b=-0.430, p=0.245; b=-0.073, p=0.186).</w:t>
      </w:r>
      <w:r w:rsidR="00504563">
        <w:rPr>
          <w:lang w:val="en-GB"/>
        </w:rPr>
        <w:br/>
      </w:r>
      <w:r w:rsidR="000E36E2">
        <w:rPr>
          <w:lang w:val="en-GB"/>
        </w:rPr>
        <w:br/>
        <w:t>Lo</w:t>
      </w:r>
      <w:r w:rsidR="00504563">
        <w:rPr>
          <w:lang w:val="en-GB"/>
        </w:rPr>
        <w:t xml:space="preserve">oking at the associations of the control variables and the ITMW / NON-ITMW </w:t>
      </w:r>
      <w:r w:rsidR="000E36E2">
        <w:rPr>
          <w:lang w:val="en-GB"/>
        </w:rPr>
        <w:t xml:space="preserve">variables, </w:t>
      </w:r>
      <w:r w:rsidR="00504563">
        <w:rPr>
          <w:lang w:val="en-GB"/>
        </w:rPr>
        <w:t>there seem</w:t>
      </w:r>
      <w:r w:rsidR="000E36E2">
        <w:rPr>
          <w:lang w:val="en-GB"/>
        </w:rPr>
        <w:t>s</w:t>
      </w:r>
      <w:r w:rsidR="00504563">
        <w:rPr>
          <w:lang w:val="en-GB"/>
        </w:rPr>
        <w:t xml:space="preserve"> to be some overlap between the correlations of table 7 and the results of table 12. This is because the correlated control variable</w:t>
      </w:r>
      <w:r w:rsidR="00F275BD">
        <w:rPr>
          <w:lang w:val="en-GB"/>
        </w:rPr>
        <w:t>s</w:t>
      </w:r>
      <w:r w:rsidR="00504563">
        <w:rPr>
          <w:lang w:val="en-GB"/>
        </w:rPr>
        <w:t xml:space="preserve"> firm size, firm age and big 4 audits are now also significantly associated with </w:t>
      </w:r>
      <w:r w:rsidR="000B3301">
        <w:rPr>
          <w:lang w:val="en-GB"/>
        </w:rPr>
        <w:t>material IT control weaknesses</w:t>
      </w:r>
      <w:r w:rsidR="00504563">
        <w:rPr>
          <w:lang w:val="en-GB"/>
        </w:rPr>
        <w:t>. SIZE has a positive significant coefficient (b=0.176, p&lt;0.01)</w:t>
      </w:r>
      <w:r w:rsidR="000E36E2">
        <w:rPr>
          <w:lang w:val="en-GB"/>
        </w:rPr>
        <w:t>,</w:t>
      </w:r>
      <w:r w:rsidR="00504563">
        <w:rPr>
          <w:lang w:val="en-GB"/>
        </w:rPr>
        <w:t xml:space="preserve"> which means that </w:t>
      </w:r>
      <w:r w:rsidR="000E36E2">
        <w:rPr>
          <w:lang w:val="en-GB"/>
        </w:rPr>
        <w:t xml:space="preserve">larger </w:t>
      </w:r>
      <w:r w:rsidR="00504563">
        <w:rPr>
          <w:lang w:val="en-GB"/>
        </w:rPr>
        <w:t>firms have more ITMW.</w:t>
      </w:r>
      <w:r w:rsidR="00161BD1">
        <w:rPr>
          <w:lang w:val="en-GB"/>
        </w:rPr>
        <w:t xml:space="preserve"> This is not consistent with the results of Doyle et al. (2007) and Li et al. (2012) that showed a negative correlation between firm size and material IT control weaknesses, which means that smaller firms have more weaknesses. </w:t>
      </w:r>
      <w:r w:rsidR="00504563">
        <w:rPr>
          <w:lang w:val="en-GB"/>
        </w:rPr>
        <w:t xml:space="preserve"> AGE also </w:t>
      </w:r>
      <w:r w:rsidR="000E36E2">
        <w:rPr>
          <w:lang w:val="en-GB"/>
        </w:rPr>
        <w:t xml:space="preserve">has </w:t>
      </w:r>
      <w:r w:rsidR="00504563">
        <w:rPr>
          <w:lang w:val="en-GB"/>
        </w:rPr>
        <w:t>a positive significant coefficient (b=0.518, p&lt;0.01)</w:t>
      </w:r>
      <w:r w:rsidR="000E36E2">
        <w:rPr>
          <w:lang w:val="en-GB"/>
        </w:rPr>
        <w:t>;</w:t>
      </w:r>
      <w:r w:rsidR="00504563">
        <w:rPr>
          <w:lang w:val="en-GB"/>
        </w:rPr>
        <w:t xml:space="preserve"> so older firms are more likely to have ITMW.</w:t>
      </w:r>
      <w:r w:rsidR="00161BD1">
        <w:rPr>
          <w:lang w:val="en-GB"/>
        </w:rPr>
        <w:t xml:space="preserve"> </w:t>
      </w:r>
      <w:r w:rsidR="00BF494C">
        <w:rPr>
          <w:lang w:val="en-GB"/>
        </w:rPr>
        <w:t xml:space="preserve">Stoel and Muhanna (2011) did also </w:t>
      </w:r>
      <w:r w:rsidR="00F275BD">
        <w:rPr>
          <w:lang w:val="en-GB"/>
        </w:rPr>
        <w:t xml:space="preserve">find a </w:t>
      </w:r>
      <w:r w:rsidR="00BF494C">
        <w:rPr>
          <w:lang w:val="en-GB"/>
        </w:rPr>
        <w:t xml:space="preserve">positive association between ITMW and firm age, but </w:t>
      </w:r>
      <w:r w:rsidR="00161BD1">
        <w:rPr>
          <w:lang w:val="en-GB"/>
        </w:rPr>
        <w:t xml:space="preserve">the </w:t>
      </w:r>
      <w:r w:rsidR="00BF494C">
        <w:rPr>
          <w:lang w:val="en-GB"/>
        </w:rPr>
        <w:t xml:space="preserve">positive </w:t>
      </w:r>
      <w:r w:rsidR="00161BD1">
        <w:rPr>
          <w:lang w:val="en-GB"/>
        </w:rPr>
        <w:t>association is not consistent with the assumption and results of Doyle et al. (2007) that  younger firms have more</w:t>
      </w:r>
      <w:r w:rsidR="00BF494C">
        <w:rPr>
          <w:lang w:val="en-GB"/>
        </w:rPr>
        <w:t xml:space="preserve"> (internal control)</w:t>
      </w:r>
      <w:r w:rsidR="00161BD1">
        <w:rPr>
          <w:lang w:val="en-GB"/>
        </w:rPr>
        <w:t xml:space="preserve"> weaknesses. </w:t>
      </w:r>
      <w:r w:rsidR="000E36E2">
        <w:rPr>
          <w:lang w:val="en-GB"/>
        </w:rPr>
        <w:t>B</w:t>
      </w:r>
      <w:r w:rsidR="00EA1694">
        <w:rPr>
          <w:lang w:val="en-GB"/>
        </w:rPr>
        <w:t>ig 4 audits have a significant association and a negative coefficient (b=-0.732, p&lt;0.01)</w:t>
      </w:r>
      <w:r w:rsidR="000E36E2">
        <w:rPr>
          <w:lang w:val="en-GB"/>
        </w:rPr>
        <w:t>.</w:t>
      </w:r>
      <w:r w:rsidR="00EA1694">
        <w:rPr>
          <w:lang w:val="en-GB"/>
        </w:rPr>
        <w:t xml:space="preserve"> </w:t>
      </w:r>
      <w:r w:rsidR="000E36E2">
        <w:rPr>
          <w:lang w:val="en-GB"/>
        </w:rPr>
        <w:t>T</w:t>
      </w:r>
      <w:r w:rsidR="00EA1694">
        <w:rPr>
          <w:lang w:val="en-GB"/>
        </w:rPr>
        <w:t xml:space="preserve">his </w:t>
      </w:r>
      <w:r w:rsidR="000E36E2">
        <w:rPr>
          <w:lang w:val="en-GB"/>
        </w:rPr>
        <w:t>implies</w:t>
      </w:r>
      <w:r w:rsidR="00EA1694">
        <w:rPr>
          <w:lang w:val="en-GB"/>
        </w:rPr>
        <w:t xml:space="preserve"> that ITMW firms more often </w:t>
      </w:r>
      <w:r w:rsidR="000E36E2">
        <w:rPr>
          <w:lang w:val="en-GB"/>
        </w:rPr>
        <w:t xml:space="preserve">have </w:t>
      </w:r>
      <w:r w:rsidR="00EA1694">
        <w:rPr>
          <w:lang w:val="en-GB"/>
        </w:rPr>
        <w:t>a non-</w:t>
      </w:r>
      <w:r w:rsidR="00EA7A09">
        <w:rPr>
          <w:lang w:val="en-GB"/>
        </w:rPr>
        <w:t>B</w:t>
      </w:r>
      <w:r w:rsidR="00EA1694">
        <w:rPr>
          <w:lang w:val="en-GB"/>
        </w:rPr>
        <w:t xml:space="preserve">ig 4 auditor.  </w:t>
      </w:r>
      <w:r w:rsidR="00BF494C">
        <w:rPr>
          <w:lang w:val="en-GB"/>
        </w:rPr>
        <w:t>This is consistent with the results of Li et al. (2007) that also found a negative association. Other research papers (Li et al., 2012; Stoel and Muhanna, 2011) did include BIG 4 proxies</w:t>
      </w:r>
      <w:r w:rsidR="00F275BD">
        <w:rPr>
          <w:lang w:val="en-GB"/>
        </w:rPr>
        <w:t>,</w:t>
      </w:r>
      <w:r w:rsidR="00BF494C">
        <w:rPr>
          <w:lang w:val="en-GB"/>
        </w:rPr>
        <w:t xml:space="preserve"> but did not find a significant relation. </w:t>
      </w:r>
      <w:r w:rsidR="00F275BD">
        <w:rPr>
          <w:lang w:val="en-GB"/>
        </w:rPr>
        <w:t xml:space="preserve">Not only </w:t>
      </w:r>
      <w:r w:rsidR="00EA1694">
        <w:rPr>
          <w:lang w:val="en-GB"/>
        </w:rPr>
        <w:t>the correlated control variables</w:t>
      </w:r>
      <w:r w:rsidR="00F275BD">
        <w:rPr>
          <w:lang w:val="en-GB"/>
        </w:rPr>
        <w:t>, but also</w:t>
      </w:r>
      <w:r w:rsidR="00EA1694">
        <w:rPr>
          <w:lang w:val="en-GB"/>
        </w:rPr>
        <w:t xml:space="preserve"> the number of segments </w:t>
      </w:r>
      <w:r w:rsidR="000E36E2">
        <w:rPr>
          <w:lang w:val="en-GB"/>
        </w:rPr>
        <w:t xml:space="preserve">has </w:t>
      </w:r>
      <w:r w:rsidR="00EA1694">
        <w:rPr>
          <w:lang w:val="en-GB"/>
        </w:rPr>
        <w:t>a significant negative coefficient (b=-0.028, p&lt;0.05)</w:t>
      </w:r>
      <w:r w:rsidR="000E36E2">
        <w:rPr>
          <w:lang w:val="en-GB"/>
        </w:rPr>
        <w:t xml:space="preserve">. </w:t>
      </w:r>
      <w:r w:rsidR="00F275BD">
        <w:rPr>
          <w:lang w:val="en-GB"/>
        </w:rPr>
        <w:t>This</w:t>
      </w:r>
      <w:r w:rsidR="00EA1694">
        <w:rPr>
          <w:lang w:val="en-GB"/>
        </w:rPr>
        <w:t xml:space="preserve"> is a very small coefficient and </w:t>
      </w:r>
      <w:r w:rsidR="004606D8">
        <w:rPr>
          <w:lang w:val="en-GB"/>
        </w:rPr>
        <w:t>it may imply</w:t>
      </w:r>
      <w:r w:rsidR="00EA1694">
        <w:rPr>
          <w:lang w:val="en-GB"/>
        </w:rPr>
        <w:t xml:space="preserve"> that ITMW firms have fewer segments</w:t>
      </w:r>
      <w:r w:rsidR="000C6151">
        <w:rPr>
          <w:lang w:val="en-GB"/>
        </w:rPr>
        <w:t>, which is not consistent with the predicted sign</w:t>
      </w:r>
      <w:r w:rsidR="00F275BD">
        <w:rPr>
          <w:lang w:val="en-GB"/>
        </w:rPr>
        <w:t>,</w:t>
      </w:r>
      <w:r w:rsidR="000C6151">
        <w:rPr>
          <w:lang w:val="en-GB"/>
        </w:rPr>
        <w:t xml:space="preserve"> assum</w:t>
      </w:r>
      <w:r w:rsidR="00F275BD">
        <w:rPr>
          <w:lang w:val="en-GB"/>
        </w:rPr>
        <w:t>ing</w:t>
      </w:r>
      <w:r w:rsidR="000C6151">
        <w:rPr>
          <w:lang w:val="en-GB"/>
        </w:rPr>
        <w:t xml:space="preserve"> that more segments cause more ITMW</w:t>
      </w:r>
      <w:r w:rsidR="00EA1694">
        <w:rPr>
          <w:lang w:val="en-GB"/>
        </w:rPr>
        <w:t xml:space="preserve">. </w:t>
      </w:r>
      <w:r w:rsidR="00EA1694">
        <w:rPr>
          <w:lang w:val="en-GB"/>
        </w:rPr>
        <w:br/>
        <w:t>The significant control variables of the NON-ITMW group also ha</w:t>
      </w:r>
      <w:r w:rsidR="004606D8">
        <w:rPr>
          <w:lang w:val="en-GB"/>
        </w:rPr>
        <w:t>ve</w:t>
      </w:r>
      <w:r w:rsidR="00EA1694">
        <w:rPr>
          <w:lang w:val="en-GB"/>
        </w:rPr>
        <w:t xml:space="preserve"> significant</w:t>
      </w:r>
      <w:r w:rsidR="004606D8">
        <w:rPr>
          <w:lang w:val="en-GB"/>
        </w:rPr>
        <w:t>ly</w:t>
      </w:r>
      <w:r w:rsidR="00EA1694">
        <w:rPr>
          <w:lang w:val="en-GB"/>
        </w:rPr>
        <w:t xml:space="preserve"> different means in the descriptive statistics (table 5). These control variables are: firm size (SIZE), firm age (AGE), return on assets (ROA) </w:t>
      </w:r>
      <w:r w:rsidR="00FC369C">
        <w:rPr>
          <w:lang w:val="en-GB"/>
        </w:rPr>
        <w:t xml:space="preserve">and </w:t>
      </w:r>
      <w:r w:rsidR="000B3301">
        <w:rPr>
          <w:lang w:val="en-GB"/>
        </w:rPr>
        <w:t xml:space="preserve">number of </w:t>
      </w:r>
      <w:r w:rsidR="00FC369C">
        <w:rPr>
          <w:lang w:val="en-GB"/>
        </w:rPr>
        <w:t>segment</w:t>
      </w:r>
      <w:r w:rsidR="000B3301">
        <w:rPr>
          <w:lang w:val="en-GB"/>
        </w:rPr>
        <w:t>s</w:t>
      </w:r>
      <w:r w:rsidR="00FC369C">
        <w:rPr>
          <w:lang w:val="en-GB"/>
        </w:rPr>
        <w:t xml:space="preserve"> (SEGNUM). All have the same sign as the control variables in the ITMW group. In this analysis also the big 4 audits (BIG4) have a significant effect with the same sign as</w:t>
      </w:r>
      <w:r w:rsidR="00F275BD">
        <w:rPr>
          <w:lang w:val="en-GB"/>
        </w:rPr>
        <w:t xml:space="preserve"> the</w:t>
      </w:r>
      <w:r w:rsidR="00FC369C">
        <w:rPr>
          <w:lang w:val="en-GB"/>
        </w:rPr>
        <w:t xml:space="preserve"> ITMW group. </w:t>
      </w:r>
    </w:p>
    <w:p w:rsidR="00A92A47" w:rsidRDefault="00A92A47" w:rsidP="009E1718">
      <w:pPr>
        <w:pStyle w:val="Heading2"/>
      </w:pPr>
      <w:bookmarkStart w:id="103" w:name="_Toc363840781"/>
      <w:r>
        <w:t>Robustness checks</w:t>
      </w:r>
      <w:bookmarkEnd w:id="103"/>
      <w:r>
        <w:t xml:space="preserve"> </w:t>
      </w:r>
    </w:p>
    <w:p w:rsidR="00A92A47" w:rsidRDefault="00A92A47" w:rsidP="00874FD6">
      <w:pPr>
        <w:rPr>
          <w:lang w:val="en-GB"/>
        </w:rPr>
      </w:pPr>
      <w:r>
        <w:rPr>
          <w:lang w:val="en-GB"/>
        </w:rPr>
        <w:t>In a multinomial logistic regression it is possible that multicollinearity between the variables cause</w:t>
      </w:r>
      <w:r w:rsidR="004606D8">
        <w:rPr>
          <w:lang w:val="en-GB"/>
        </w:rPr>
        <w:t>s</w:t>
      </w:r>
      <w:r>
        <w:rPr>
          <w:lang w:val="en-GB"/>
        </w:rPr>
        <w:t xml:space="preserve"> biases affect</w:t>
      </w:r>
      <w:r w:rsidR="004606D8">
        <w:rPr>
          <w:lang w:val="en-GB"/>
        </w:rPr>
        <w:t>ing</w:t>
      </w:r>
      <w:r>
        <w:rPr>
          <w:lang w:val="en-GB"/>
        </w:rPr>
        <w:t xml:space="preserve"> the robustness of the results. This bias can be measured by looking at the tolerance and the VIF score. When </w:t>
      </w:r>
      <w:r w:rsidR="004606D8">
        <w:rPr>
          <w:lang w:val="en-GB"/>
        </w:rPr>
        <w:t>a</w:t>
      </w:r>
      <w:r>
        <w:rPr>
          <w:lang w:val="en-GB"/>
        </w:rPr>
        <w:t xml:space="preserve"> variable has multicollinearity problems the value of tolerance is below 0.10 and the VIF score is above 10. In the table below the results are shown for the original model with all variables and </w:t>
      </w:r>
      <w:r w:rsidR="004606D8">
        <w:rPr>
          <w:lang w:val="en-GB"/>
        </w:rPr>
        <w:t>for a</w:t>
      </w:r>
      <w:r>
        <w:rPr>
          <w:lang w:val="en-GB"/>
        </w:rPr>
        <w:t xml:space="preserve"> model </w:t>
      </w:r>
      <w:r w:rsidR="004606D8">
        <w:rPr>
          <w:lang w:val="en-GB"/>
        </w:rPr>
        <w:t>in which</w:t>
      </w:r>
      <w:r>
        <w:rPr>
          <w:lang w:val="en-GB"/>
        </w:rPr>
        <w:t xml:space="preserve"> one multicollinearity variable is excluded.</w:t>
      </w:r>
    </w:p>
    <w:p w:rsidR="00EC2BEC" w:rsidRPr="00084F96" w:rsidRDefault="00EC2BEC" w:rsidP="00084F96">
      <w:pPr>
        <w:pStyle w:val="NoSpacing"/>
        <w:rPr>
          <w:b/>
          <w:i/>
        </w:rPr>
      </w:pPr>
      <w:r w:rsidRPr="00084F96">
        <w:rPr>
          <w:b/>
          <w:i/>
        </w:rPr>
        <w:t>Table 13: Collinearity robustness test</w:t>
      </w:r>
    </w:p>
    <w:tbl>
      <w:tblPr>
        <w:tblW w:w="9948" w:type="dxa"/>
        <w:tblInd w:w="-318" w:type="dxa"/>
        <w:tblLayout w:type="fixed"/>
        <w:tblLook w:val="0000"/>
      </w:tblPr>
      <w:tblGrid>
        <w:gridCol w:w="1692"/>
        <w:gridCol w:w="1144"/>
        <w:gridCol w:w="920"/>
        <w:gridCol w:w="1206"/>
        <w:gridCol w:w="858"/>
        <w:gridCol w:w="1127"/>
        <w:gridCol w:w="937"/>
        <w:gridCol w:w="1189"/>
        <w:gridCol w:w="875"/>
      </w:tblGrid>
      <w:tr w:rsidR="00E10879" w:rsidRPr="0036448D" w:rsidTr="00E10879">
        <w:trPr>
          <w:trHeight w:val="319"/>
        </w:trPr>
        <w:tc>
          <w:tcPr>
            <w:tcW w:w="1692" w:type="dxa"/>
            <w:tcBorders>
              <w:top w:val="single" w:sz="18" w:space="0" w:color="000000"/>
              <w:left w:val="single" w:sz="18" w:space="0" w:color="000000"/>
              <w:bottom w:val="nil"/>
              <w:right w:val="single" w:sz="18" w:space="0" w:color="000000"/>
            </w:tcBorders>
            <w:shd w:val="solid" w:color="FFFFFF" w:fill="auto"/>
          </w:tcPr>
          <w:p w:rsidR="00E10879" w:rsidRPr="0036448D" w:rsidRDefault="00E10879" w:rsidP="0036448D">
            <w:pPr>
              <w:pStyle w:val="NoSpacing"/>
            </w:pPr>
          </w:p>
        </w:tc>
        <w:tc>
          <w:tcPr>
            <w:tcW w:w="2064" w:type="dxa"/>
            <w:gridSpan w:val="2"/>
            <w:tcBorders>
              <w:top w:val="single" w:sz="18" w:space="0" w:color="000000"/>
              <w:left w:val="single" w:sz="18" w:space="0" w:color="000000"/>
              <w:bottom w:val="single" w:sz="12" w:space="0" w:color="000000"/>
              <w:right w:val="single" w:sz="18" w:space="0" w:color="000000"/>
            </w:tcBorders>
            <w:shd w:val="solid" w:color="FFFFFF" w:fill="auto"/>
          </w:tcPr>
          <w:p w:rsidR="00E10879" w:rsidRPr="0036448D" w:rsidRDefault="00E10879" w:rsidP="0036448D">
            <w:pPr>
              <w:pStyle w:val="NoSpacing"/>
            </w:pPr>
            <w:r w:rsidRPr="0036448D">
              <w:t>Collinearity Model 1</w:t>
            </w:r>
          </w:p>
        </w:tc>
        <w:tc>
          <w:tcPr>
            <w:tcW w:w="2064" w:type="dxa"/>
            <w:gridSpan w:val="2"/>
            <w:tcBorders>
              <w:top w:val="single" w:sz="18" w:space="0" w:color="000000"/>
              <w:left w:val="single" w:sz="18" w:space="0" w:color="000000"/>
              <w:bottom w:val="single" w:sz="12" w:space="0" w:color="000000"/>
              <w:right w:val="single" w:sz="18" w:space="0" w:color="000000"/>
            </w:tcBorders>
            <w:shd w:val="solid" w:color="FFFFFF" w:fill="auto"/>
          </w:tcPr>
          <w:p w:rsidR="00E10879" w:rsidRPr="0036448D" w:rsidRDefault="00E10879" w:rsidP="0036448D">
            <w:pPr>
              <w:pStyle w:val="NoSpacing"/>
            </w:pPr>
            <w:r w:rsidRPr="0036448D">
              <w:t>Collinearity Model 2</w:t>
            </w:r>
          </w:p>
        </w:tc>
        <w:tc>
          <w:tcPr>
            <w:tcW w:w="2064" w:type="dxa"/>
            <w:gridSpan w:val="2"/>
            <w:tcBorders>
              <w:top w:val="single" w:sz="18" w:space="0" w:color="000000"/>
              <w:left w:val="single" w:sz="18" w:space="0" w:color="000000"/>
              <w:bottom w:val="single" w:sz="12" w:space="0" w:color="000000"/>
              <w:right w:val="single" w:sz="18" w:space="0" w:color="000000"/>
            </w:tcBorders>
            <w:shd w:val="solid" w:color="FFFFFF" w:fill="auto"/>
          </w:tcPr>
          <w:p w:rsidR="00E10879" w:rsidRPr="0036448D" w:rsidRDefault="00E10879" w:rsidP="0036448D">
            <w:pPr>
              <w:pStyle w:val="NoSpacing"/>
            </w:pPr>
            <w:r w:rsidRPr="0036448D">
              <w:t>Collinearity Model 3</w:t>
            </w:r>
          </w:p>
        </w:tc>
        <w:tc>
          <w:tcPr>
            <w:tcW w:w="2064" w:type="dxa"/>
            <w:gridSpan w:val="2"/>
            <w:tcBorders>
              <w:top w:val="single" w:sz="18" w:space="0" w:color="000000"/>
              <w:left w:val="single" w:sz="18" w:space="0" w:color="000000"/>
              <w:bottom w:val="single" w:sz="12" w:space="0" w:color="000000"/>
              <w:right w:val="single" w:sz="18" w:space="0" w:color="000000"/>
            </w:tcBorders>
            <w:shd w:val="solid" w:color="FFFFFF" w:fill="auto"/>
          </w:tcPr>
          <w:p w:rsidR="00E10879" w:rsidRPr="0036448D" w:rsidRDefault="00E10879" w:rsidP="0036448D">
            <w:pPr>
              <w:pStyle w:val="NoSpacing"/>
            </w:pPr>
            <w:r w:rsidRPr="0036448D">
              <w:t>Collinearity Model 4</w:t>
            </w:r>
          </w:p>
        </w:tc>
      </w:tr>
      <w:tr w:rsidR="00E10879" w:rsidRPr="0036448D" w:rsidTr="0036448D">
        <w:trPr>
          <w:trHeight w:val="305"/>
        </w:trPr>
        <w:tc>
          <w:tcPr>
            <w:tcW w:w="1692" w:type="dxa"/>
            <w:tcBorders>
              <w:top w:val="nil"/>
              <w:left w:val="single" w:sz="18" w:space="0" w:color="000000"/>
              <w:bottom w:val="single" w:sz="18" w:space="0" w:color="000000"/>
              <w:right w:val="single" w:sz="18" w:space="0" w:color="000000"/>
            </w:tcBorders>
            <w:shd w:val="solid" w:color="FFFFFF" w:fill="auto"/>
          </w:tcPr>
          <w:p w:rsidR="00E10879" w:rsidRPr="0036448D" w:rsidRDefault="00E10879" w:rsidP="0036448D">
            <w:pPr>
              <w:pStyle w:val="NoSpacing"/>
            </w:pPr>
          </w:p>
        </w:tc>
        <w:tc>
          <w:tcPr>
            <w:tcW w:w="1144" w:type="dxa"/>
            <w:tcBorders>
              <w:top w:val="single" w:sz="12" w:space="0" w:color="000000"/>
              <w:left w:val="single" w:sz="18" w:space="0" w:color="000000"/>
              <w:bottom w:val="single" w:sz="18" w:space="0" w:color="000000"/>
              <w:right w:val="single" w:sz="12" w:space="0" w:color="000000"/>
            </w:tcBorders>
            <w:shd w:val="solid" w:color="FFFFFF" w:fill="auto"/>
          </w:tcPr>
          <w:p w:rsidR="00E10879" w:rsidRPr="0036448D" w:rsidRDefault="00E10879" w:rsidP="0036448D">
            <w:pPr>
              <w:pStyle w:val="NoSpacing"/>
            </w:pPr>
            <w:r w:rsidRPr="0036448D">
              <w:t>Tolerance</w:t>
            </w:r>
          </w:p>
        </w:tc>
        <w:tc>
          <w:tcPr>
            <w:tcW w:w="920" w:type="dxa"/>
            <w:tcBorders>
              <w:top w:val="single" w:sz="12" w:space="0" w:color="000000"/>
              <w:left w:val="single" w:sz="12" w:space="0" w:color="000000"/>
              <w:bottom w:val="single" w:sz="18" w:space="0" w:color="000000"/>
              <w:right w:val="single" w:sz="18" w:space="0" w:color="000000"/>
            </w:tcBorders>
            <w:shd w:val="solid" w:color="FFFFFF" w:fill="auto"/>
          </w:tcPr>
          <w:p w:rsidR="00E10879" w:rsidRPr="0036448D" w:rsidRDefault="00E10879" w:rsidP="0036448D">
            <w:pPr>
              <w:pStyle w:val="NoSpacing"/>
            </w:pPr>
            <w:r w:rsidRPr="0036448D">
              <w:t>VIF</w:t>
            </w:r>
          </w:p>
        </w:tc>
        <w:tc>
          <w:tcPr>
            <w:tcW w:w="1206" w:type="dxa"/>
            <w:tcBorders>
              <w:top w:val="single" w:sz="12" w:space="0" w:color="000000"/>
              <w:left w:val="single" w:sz="18" w:space="0" w:color="000000"/>
              <w:bottom w:val="single" w:sz="18" w:space="0" w:color="000000"/>
              <w:right w:val="single" w:sz="12" w:space="0" w:color="000000"/>
            </w:tcBorders>
            <w:shd w:val="solid" w:color="FFFFFF" w:fill="auto"/>
          </w:tcPr>
          <w:p w:rsidR="00E10879" w:rsidRPr="0036448D" w:rsidRDefault="00E10879" w:rsidP="0036448D">
            <w:pPr>
              <w:pStyle w:val="NoSpacing"/>
            </w:pPr>
            <w:r w:rsidRPr="0036448D">
              <w:t>Tolerance</w:t>
            </w:r>
          </w:p>
        </w:tc>
        <w:tc>
          <w:tcPr>
            <w:tcW w:w="858" w:type="dxa"/>
            <w:tcBorders>
              <w:top w:val="single" w:sz="12" w:space="0" w:color="000000"/>
              <w:left w:val="single" w:sz="12" w:space="0" w:color="000000"/>
              <w:bottom w:val="single" w:sz="18" w:space="0" w:color="000000"/>
              <w:right w:val="single" w:sz="18" w:space="0" w:color="000000"/>
            </w:tcBorders>
            <w:shd w:val="solid" w:color="FFFFFF" w:fill="auto"/>
          </w:tcPr>
          <w:p w:rsidR="00E10879" w:rsidRPr="0036448D" w:rsidRDefault="00E10879" w:rsidP="0036448D">
            <w:pPr>
              <w:pStyle w:val="NoSpacing"/>
            </w:pPr>
            <w:r w:rsidRPr="0036448D">
              <w:t>VIF</w:t>
            </w:r>
          </w:p>
        </w:tc>
        <w:tc>
          <w:tcPr>
            <w:tcW w:w="1127" w:type="dxa"/>
            <w:tcBorders>
              <w:top w:val="single" w:sz="12" w:space="0" w:color="000000"/>
              <w:left w:val="single" w:sz="18" w:space="0" w:color="000000"/>
              <w:bottom w:val="single" w:sz="18" w:space="0" w:color="000000"/>
              <w:right w:val="single" w:sz="12" w:space="0" w:color="000000"/>
            </w:tcBorders>
            <w:shd w:val="solid" w:color="FFFFFF" w:fill="auto"/>
          </w:tcPr>
          <w:p w:rsidR="00E10879" w:rsidRPr="0036448D" w:rsidRDefault="00E10879" w:rsidP="0036448D">
            <w:pPr>
              <w:pStyle w:val="NoSpacing"/>
            </w:pPr>
            <w:r w:rsidRPr="0036448D">
              <w:t>Tolerance</w:t>
            </w:r>
          </w:p>
        </w:tc>
        <w:tc>
          <w:tcPr>
            <w:tcW w:w="937" w:type="dxa"/>
            <w:tcBorders>
              <w:top w:val="single" w:sz="12" w:space="0" w:color="000000"/>
              <w:left w:val="single" w:sz="12" w:space="0" w:color="000000"/>
              <w:bottom w:val="single" w:sz="18" w:space="0" w:color="000000"/>
              <w:right w:val="single" w:sz="18" w:space="0" w:color="000000"/>
            </w:tcBorders>
            <w:shd w:val="solid" w:color="FFFFFF" w:fill="auto"/>
          </w:tcPr>
          <w:p w:rsidR="00E10879" w:rsidRPr="0036448D" w:rsidRDefault="00E10879" w:rsidP="0036448D">
            <w:pPr>
              <w:pStyle w:val="NoSpacing"/>
            </w:pPr>
            <w:r w:rsidRPr="0036448D">
              <w:t>VIF</w:t>
            </w:r>
          </w:p>
        </w:tc>
        <w:tc>
          <w:tcPr>
            <w:tcW w:w="1189" w:type="dxa"/>
            <w:tcBorders>
              <w:top w:val="single" w:sz="12" w:space="0" w:color="000000"/>
              <w:left w:val="single" w:sz="18" w:space="0" w:color="000000"/>
              <w:bottom w:val="single" w:sz="18" w:space="0" w:color="000000"/>
              <w:right w:val="single" w:sz="12" w:space="0" w:color="000000"/>
            </w:tcBorders>
            <w:shd w:val="solid" w:color="FFFFFF" w:fill="auto"/>
          </w:tcPr>
          <w:p w:rsidR="00E10879" w:rsidRPr="0036448D" w:rsidRDefault="00E10879" w:rsidP="0036448D">
            <w:pPr>
              <w:pStyle w:val="NoSpacing"/>
            </w:pPr>
            <w:r w:rsidRPr="0036448D">
              <w:t>Tolerance</w:t>
            </w:r>
          </w:p>
        </w:tc>
        <w:tc>
          <w:tcPr>
            <w:tcW w:w="875" w:type="dxa"/>
            <w:tcBorders>
              <w:top w:val="single" w:sz="12" w:space="0" w:color="000000"/>
              <w:left w:val="single" w:sz="12" w:space="0" w:color="000000"/>
              <w:bottom w:val="single" w:sz="18" w:space="0" w:color="000000"/>
              <w:right w:val="single" w:sz="18" w:space="0" w:color="000000"/>
            </w:tcBorders>
            <w:shd w:val="solid" w:color="FFFFFF" w:fill="auto"/>
          </w:tcPr>
          <w:p w:rsidR="00E10879" w:rsidRPr="0036448D" w:rsidRDefault="00E10879" w:rsidP="0036448D">
            <w:pPr>
              <w:pStyle w:val="NoSpacing"/>
            </w:pPr>
            <w:r w:rsidRPr="0036448D">
              <w:t>VIF</w:t>
            </w:r>
          </w:p>
        </w:tc>
      </w:tr>
      <w:tr w:rsidR="0036448D" w:rsidRPr="0036448D" w:rsidTr="0036448D">
        <w:trPr>
          <w:trHeight w:val="305"/>
        </w:trPr>
        <w:tc>
          <w:tcPr>
            <w:tcW w:w="1692" w:type="dxa"/>
            <w:tcBorders>
              <w:top w:val="single" w:sz="18" w:space="0" w:color="000000"/>
              <w:left w:val="single" w:sz="18"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INDFRAUD</w:t>
            </w:r>
          </w:p>
        </w:tc>
        <w:tc>
          <w:tcPr>
            <w:tcW w:w="1144" w:type="dxa"/>
            <w:tcBorders>
              <w:top w:val="single" w:sz="18"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.964</w:t>
            </w:r>
          </w:p>
        </w:tc>
        <w:tc>
          <w:tcPr>
            <w:tcW w:w="920" w:type="dxa"/>
            <w:tcBorders>
              <w:top w:val="single" w:sz="18"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1.037</w:t>
            </w:r>
          </w:p>
        </w:tc>
        <w:tc>
          <w:tcPr>
            <w:tcW w:w="1206" w:type="dxa"/>
            <w:tcBorders>
              <w:top w:val="single" w:sz="18"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.965</w:t>
            </w:r>
          </w:p>
        </w:tc>
        <w:tc>
          <w:tcPr>
            <w:tcW w:w="858" w:type="dxa"/>
            <w:tcBorders>
              <w:top w:val="single" w:sz="18"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1.036</w:t>
            </w:r>
          </w:p>
        </w:tc>
        <w:tc>
          <w:tcPr>
            <w:tcW w:w="1127" w:type="dxa"/>
            <w:tcBorders>
              <w:top w:val="single" w:sz="18"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.965</w:t>
            </w:r>
          </w:p>
        </w:tc>
        <w:tc>
          <w:tcPr>
            <w:tcW w:w="937" w:type="dxa"/>
            <w:tcBorders>
              <w:top w:val="single" w:sz="18"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1.036</w:t>
            </w:r>
          </w:p>
        </w:tc>
        <w:tc>
          <w:tcPr>
            <w:tcW w:w="1189" w:type="dxa"/>
            <w:tcBorders>
              <w:top w:val="single" w:sz="18"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.965</w:t>
            </w:r>
          </w:p>
        </w:tc>
        <w:tc>
          <w:tcPr>
            <w:tcW w:w="875" w:type="dxa"/>
            <w:tcBorders>
              <w:top w:val="single" w:sz="18"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1.036</w:t>
            </w:r>
          </w:p>
        </w:tc>
      </w:tr>
      <w:tr w:rsidR="0036448D" w:rsidRPr="0036448D" w:rsidTr="0036448D">
        <w:trPr>
          <w:trHeight w:val="290"/>
        </w:trPr>
        <w:tc>
          <w:tcPr>
            <w:tcW w:w="1692" w:type="dxa"/>
            <w:tcBorders>
              <w:top w:val="single" w:sz="2" w:space="0" w:color="000000"/>
              <w:left w:val="single" w:sz="18"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INDCOMP</w:t>
            </w:r>
          </w:p>
        </w:tc>
        <w:tc>
          <w:tcPr>
            <w:tcW w:w="1144"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.979</w:t>
            </w:r>
          </w:p>
        </w:tc>
        <w:tc>
          <w:tcPr>
            <w:tcW w:w="920"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1.022</w:t>
            </w:r>
          </w:p>
        </w:tc>
        <w:tc>
          <w:tcPr>
            <w:tcW w:w="1206"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.979</w:t>
            </w:r>
          </w:p>
        </w:tc>
        <w:tc>
          <w:tcPr>
            <w:tcW w:w="858"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1.021</w:t>
            </w:r>
          </w:p>
        </w:tc>
        <w:tc>
          <w:tcPr>
            <w:tcW w:w="1127"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.979</w:t>
            </w:r>
          </w:p>
        </w:tc>
        <w:tc>
          <w:tcPr>
            <w:tcW w:w="937"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1.021</w:t>
            </w:r>
          </w:p>
        </w:tc>
        <w:tc>
          <w:tcPr>
            <w:tcW w:w="1189"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.979</w:t>
            </w:r>
          </w:p>
        </w:tc>
        <w:tc>
          <w:tcPr>
            <w:tcW w:w="875"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1.021</w:t>
            </w:r>
          </w:p>
        </w:tc>
      </w:tr>
      <w:tr w:rsidR="00E10879" w:rsidRPr="0036448D" w:rsidTr="0036448D">
        <w:trPr>
          <w:trHeight w:val="290"/>
        </w:trPr>
        <w:tc>
          <w:tcPr>
            <w:tcW w:w="1692" w:type="dxa"/>
            <w:tcBorders>
              <w:top w:val="single" w:sz="2" w:space="0" w:color="000000"/>
              <w:left w:val="single" w:sz="18" w:space="0" w:color="000000"/>
              <w:bottom w:val="single" w:sz="2" w:space="0" w:color="000000"/>
              <w:right w:val="single" w:sz="18" w:space="0" w:color="000000"/>
            </w:tcBorders>
            <w:shd w:val="solid" w:color="FFFFFF" w:fill="auto"/>
          </w:tcPr>
          <w:p w:rsidR="00E10879" w:rsidRPr="0036448D" w:rsidRDefault="00E10879" w:rsidP="0036448D">
            <w:pPr>
              <w:pStyle w:val="NoSpacing"/>
            </w:pPr>
            <w:r w:rsidRPr="0036448D">
              <w:t>RESTRUCTD</w:t>
            </w:r>
          </w:p>
        </w:tc>
        <w:tc>
          <w:tcPr>
            <w:tcW w:w="1144" w:type="dxa"/>
            <w:tcBorders>
              <w:top w:val="single" w:sz="2" w:space="0" w:color="000000"/>
              <w:left w:val="single" w:sz="18" w:space="0" w:color="000000"/>
              <w:bottom w:val="single" w:sz="2" w:space="0" w:color="000000"/>
              <w:right w:val="single" w:sz="12" w:space="0" w:color="000000"/>
            </w:tcBorders>
            <w:shd w:val="solid" w:color="FFFFFF" w:fill="auto"/>
          </w:tcPr>
          <w:p w:rsidR="00E10879" w:rsidRPr="0036448D" w:rsidRDefault="00E10879" w:rsidP="0036448D">
            <w:pPr>
              <w:pStyle w:val="NoSpacing"/>
            </w:pPr>
            <w:r w:rsidRPr="0036448D">
              <w:t>.</w:t>
            </w:r>
            <w:r w:rsidRPr="00C51C2E">
              <w:rPr>
                <w:highlight w:val="yellow"/>
              </w:rPr>
              <w:t>021</w:t>
            </w:r>
          </w:p>
        </w:tc>
        <w:tc>
          <w:tcPr>
            <w:tcW w:w="920" w:type="dxa"/>
            <w:tcBorders>
              <w:top w:val="single" w:sz="2" w:space="0" w:color="000000"/>
              <w:left w:val="single" w:sz="12" w:space="0" w:color="000000"/>
              <w:bottom w:val="single" w:sz="2" w:space="0" w:color="000000"/>
              <w:right w:val="single" w:sz="18" w:space="0" w:color="000000"/>
            </w:tcBorders>
            <w:shd w:val="solid" w:color="FFFFFF" w:fill="auto"/>
          </w:tcPr>
          <w:p w:rsidR="00E10879" w:rsidRPr="00C51C2E" w:rsidRDefault="00E10879" w:rsidP="0036448D">
            <w:pPr>
              <w:pStyle w:val="NoSpacing"/>
              <w:rPr>
                <w:highlight w:val="yellow"/>
              </w:rPr>
            </w:pPr>
            <w:r w:rsidRPr="00C51C2E">
              <w:rPr>
                <w:highlight w:val="yellow"/>
              </w:rPr>
              <w:t>47.317</w:t>
            </w:r>
          </w:p>
        </w:tc>
        <w:tc>
          <w:tcPr>
            <w:tcW w:w="1206" w:type="dxa"/>
            <w:tcBorders>
              <w:top w:val="single" w:sz="4" w:space="0" w:color="000000"/>
              <w:left w:val="single" w:sz="18" w:space="0" w:color="000000"/>
              <w:bottom w:val="single" w:sz="4" w:space="0" w:color="000000"/>
              <w:right w:val="single" w:sz="12" w:space="0" w:color="000000"/>
            </w:tcBorders>
            <w:shd w:val="solid" w:color="FFFFFF" w:fill="auto"/>
          </w:tcPr>
          <w:p w:rsidR="00E10879" w:rsidRPr="0036448D" w:rsidRDefault="00E10879" w:rsidP="0036448D">
            <w:pPr>
              <w:pStyle w:val="NoSpacing"/>
            </w:pPr>
            <w:r w:rsidRPr="0036448D">
              <w:t>.903</w:t>
            </w:r>
          </w:p>
        </w:tc>
        <w:tc>
          <w:tcPr>
            <w:tcW w:w="858" w:type="dxa"/>
            <w:tcBorders>
              <w:top w:val="single" w:sz="4" w:space="0" w:color="000000"/>
              <w:left w:val="single" w:sz="12" w:space="0" w:color="000000"/>
              <w:bottom w:val="single" w:sz="4" w:space="0" w:color="000000"/>
              <w:right w:val="single" w:sz="18" w:space="0" w:color="000000"/>
            </w:tcBorders>
            <w:shd w:val="solid" w:color="FFFFFF" w:fill="auto"/>
          </w:tcPr>
          <w:p w:rsidR="00E10879" w:rsidRPr="0036448D" w:rsidRDefault="00E10879" w:rsidP="0036448D">
            <w:pPr>
              <w:pStyle w:val="NoSpacing"/>
            </w:pPr>
            <w:r w:rsidRPr="0036448D">
              <w:t>1.107</w:t>
            </w:r>
          </w:p>
        </w:tc>
        <w:tc>
          <w:tcPr>
            <w:tcW w:w="1127" w:type="dxa"/>
            <w:tcBorders>
              <w:top w:val="single" w:sz="4" w:space="0" w:color="000000"/>
              <w:left w:val="single" w:sz="18" w:space="0" w:color="000000"/>
              <w:bottom w:val="single" w:sz="4" w:space="0" w:color="000000"/>
              <w:right w:val="single" w:sz="12" w:space="0" w:color="000000"/>
            </w:tcBorders>
            <w:shd w:val="solid" w:color="FFFFFF" w:fill="auto"/>
          </w:tcPr>
          <w:p w:rsidR="00E10879" w:rsidRPr="0036448D" w:rsidRDefault="0036448D" w:rsidP="0036448D">
            <w:pPr>
              <w:pStyle w:val="NoSpacing"/>
            </w:pPr>
            <w:r w:rsidRPr="0036448D">
              <w:t>-</w:t>
            </w:r>
          </w:p>
        </w:tc>
        <w:tc>
          <w:tcPr>
            <w:tcW w:w="937" w:type="dxa"/>
            <w:tcBorders>
              <w:top w:val="single" w:sz="4" w:space="0" w:color="000000"/>
              <w:left w:val="single" w:sz="12" w:space="0" w:color="000000"/>
              <w:bottom w:val="single" w:sz="4" w:space="0" w:color="000000"/>
              <w:right w:val="single" w:sz="18" w:space="0" w:color="000000"/>
            </w:tcBorders>
            <w:shd w:val="solid" w:color="FFFFFF" w:fill="auto"/>
          </w:tcPr>
          <w:p w:rsidR="00E10879" w:rsidRPr="0036448D" w:rsidRDefault="0036448D" w:rsidP="0036448D">
            <w:pPr>
              <w:pStyle w:val="NoSpacing"/>
            </w:pPr>
            <w:r w:rsidRPr="0036448D">
              <w:t>-</w:t>
            </w:r>
          </w:p>
        </w:tc>
        <w:tc>
          <w:tcPr>
            <w:tcW w:w="1189" w:type="dxa"/>
            <w:tcBorders>
              <w:top w:val="single" w:sz="2" w:space="0" w:color="000000"/>
              <w:left w:val="single" w:sz="18" w:space="0" w:color="000000"/>
              <w:bottom w:val="single" w:sz="2" w:space="0" w:color="000000"/>
              <w:right w:val="single" w:sz="12" w:space="0" w:color="000000"/>
            </w:tcBorders>
            <w:shd w:val="solid" w:color="FFFFFF" w:fill="auto"/>
          </w:tcPr>
          <w:p w:rsidR="00E10879" w:rsidRPr="0036448D" w:rsidRDefault="0036448D" w:rsidP="0036448D">
            <w:pPr>
              <w:pStyle w:val="NoSpacing"/>
            </w:pPr>
            <w:r w:rsidRPr="0036448D">
              <w:t>-</w:t>
            </w:r>
          </w:p>
        </w:tc>
        <w:tc>
          <w:tcPr>
            <w:tcW w:w="875" w:type="dxa"/>
            <w:tcBorders>
              <w:top w:val="single" w:sz="2" w:space="0" w:color="000000"/>
              <w:left w:val="single" w:sz="12" w:space="0" w:color="000000"/>
              <w:bottom w:val="single" w:sz="2" w:space="0" w:color="000000"/>
              <w:right w:val="single" w:sz="18" w:space="0" w:color="000000"/>
            </w:tcBorders>
            <w:shd w:val="solid" w:color="FFFFFF" w:fill="auto"/>
          </w:tcPr>
          <w:p w:rsidR="00E10879" w:rsidRPr="0036448D" w:rsidRDefault="0036448D" w:rsidP="0036448D">
            <w:pPr>
              <w:pStyle w:val="NoSpacing"/>
            </w:pPr>
            <w:r w:rsidRPr="0036448D">
              <w:t>-</w:t>
            </w:r>
          </w:p>
        </w:tc>
      </w:tr>
      <w:tr w:rsidR="0036448D" w:rsidRPr="0036448D" w:rsidTr="0036448D">
        <w:trPr>
          <w:trHeight w:val="290"/>
        </w:trPr>
        <w:tc>
          <w:tcPr>
            <w:tcW w:w="1692" w:type="dxa"/>
            <w:tcBorders>
              <w:top w:val="single" w:sz="2" w:space="0" w:color="000000"/>
              <w:left w:val="single" w:sz="18"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RESTRUCTP</w:t>
            </w:r>
          </w:p>
        </w:tc>
        <w:tc>
          <w:tcPr>
            <w:tcW w:w="1144"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.625</w:t>
            </w:r>
          </w:p>
        </w:tc>
        <w:tc>
          <w:tcPr>
            <w:tcW w:w="920"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1.6</w:t>
            </w:r>
            <w:r w:rsidR="00C51C2E">
              <w:t>00</w:t>
            </w:r>
          </w:p>
        </w:tc>
        <w:tc>
          <w:tcPr>
            <w:tcW w:w="1206"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w:t>
            </w:r>
          </w:p>
        </w:tc>
        <w:tc>
          <w:tcPr>
            <w:tcW w:w="858"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w:t>
            </w:r>
          </w:p>
        </w:tc>
        <w:tc>
          <w:tcPr>
            <w:tcW w:w="1127"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.851</w:t>
            </w:r>
          </w:p>
        </w:tc>
        <w:tc>
          <w:tcPr>
            <w:tcW w:w="937"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1.175</w:t>
            </w:r>
          </w:p>
        </w:tc>
        <w:tc>
          <w:tcPr>
            <w:tcW w:w="1189"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w:t>
            </w:r>
          </w:p>
        </w:tc>
        <w:tc>
          <w:tcPr>
            <w:tcW w:w="875"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w:t>
            </w:r>
          </w:p>
        </w:tc>
      </w:tr>
      <w:tr w:rsidR="0036448D" w:rsidRPr="0036448D" w:rsidTr="0036448D">
        <w:trPr>
          <w:trHeight w:val="290"/>
        </w:trPr>
        <w:tc>
          <w:tcPr>
            <w:tcW w:w="1692" w:type="dxa"/>
            <w:tcBorders>
              <w:top w:val="single" w:sz="2" w:space="0" w:color="000000"/>
              <w:left w:val="single" w:sz="18"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 xml:space="preserve">RESTRUCTC </w:t>
            </w:r>
          </w:p>
        </w:tc>
        <w:tc>
          <w:tcPr>
            <w:tcW w:w="1144"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w:t>
            </w:r>
            <w:r w:rsidRPr="00C51C2E">
              <w:rPr>
                <w:highlight w:val="yellow"/>
              </w:rPr>
              <w:t>021</w:t>
            </w:r>
          </w:p>
        </w:tc>
        <w:tc>
          <w:tcPr>
            <w:tcW w:w="920"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C51C2E">
              <w:rPr>
                <w:highlight w:val="yellow"/>
              </w:rPr>
              <w:t>47.5</w:t>
            </w:r>
            <w:r w:rsidR="00C51C2E" w:rsidRPr="00C51C2E">
              <w:rPr>
                <w:highlight w:val="yellow"/>
              </w:rPr>
              <w:t>00</w:t>
            </w:r>
          </w:p>
        </w:tc>
        <w:tc>
          <w:tcPr>
            <w:tcW w:w="1206"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w:t>
            </w:r>
          </w:p>
        </w:tc>
        <w:tc>
          <w:tcPr>
            <w:tcW w:w="858"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w:t>
            </w:r>
          </w:p>
        </w:tc>
        <w:tc>
          <w:tcPr>
            <w:tcW w:w="1127"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w:t>
            </w:r>
          </w:p>
        </w:tc>
        <w:tc>
          <w:tcPr>
            <w:tcW w:w="937"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w:t>
            </w:r>
          </w:p>
        </w:tc>
        <w:tc>
          <w:tcPr>
            <w:tcW w:w="1189"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.887</w:t>
            </w:r>
          </w:p>
        </w:tc>
        <w:tc>
          <w:tcPr>
            <w:tcW w:w="875"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1.128</w:t>
            </w:r>
          </w:p>
        </w:tc>
      </w:tr>
      <w:tr w:rsidR="0036448D" w:rsidRPr="0036448D" w:rsidTr="0036448D">
        <w:trPr>
          <w:trHeight w:val="290"/>
        </w:trPr>
        <w:tc>
          <w:tcPr>
            <w:tcW w:w="1692" w:type="dxa"/>
            <w:tcBorders>
              <w:top w:val="single" w:sz="2" w:space="0" w:color="000000"/>
              <w:left w:val="single" w:sz="18"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 xml:space="preserve">AGE </w:t>
            </w:r>
          </w:p>
        </w:tc>
        <w:tc>
          <w:tcPr>
            <w:tcW w:w="1144"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.83</w:t>
            </w:r>
          </w:p>
        </w:tc>
        <w:tc>
          <w:tcPr>
            <w:tcW w:w="920"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1.204</w:t>
            </w:r>
          </w:p>
        </w:tc>
        <w:tc>
          <w:tcPr>
            <w:tcW w:w="1206"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.838</w:t>
            </w:r>
          </w:p>
        </w:tc>
        <w:tc>
          <w:tcPr>
            <w:tcW w:w="858"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1.193</w:t>
            </w:r>
          </w:p>
        </w:tc>
        <w:tc>
          <w:tcPr>
            <w:tcW w:w="1127"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.831</w:t>
            </w:r>
          </w:p>
        </w:tc>
        <w:tc>
          <w:tcPr>
            <w:tcW w:w="937"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1.204</w:t>
            </w:r>
          </w:p>
        </w:tc>
        <w:tc>
          <w:tcPr>
            <w:tcW w:w="1189"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0.91</w:t>
            </w:r>
          </w:p>
        </w:tc>
        <w:tc>
          <w:tcPr>
            <w:tcW w:w="875"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1.099</w:t>
            </w:r>
          </w:p>
        </w:tc>
      </w:tr>
      <w:tr w:rsidR="0036448D" w:rsidRPr="0036448D" w:rsidTr="0036448D">
        <w:trPr>
          <w:trHeight w:val="290"/>
        </w:trPr>
        <w:tc>
          <w:tcPr>
            <w:tcW w:w="1692" w:type="dxa"/>
            <w:tcBorders>
              <w:top w:val="single" w:sz="2" w:space="0" w:color="000000"/>
              <w:left w:val="single" w:sz="18"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SIZE</w:t>
            </w:r>
          </w:p>
        </w:tc>
        <w:tc>
          <w:tcPr>
            <w:tcW w:w="1144"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.593</w:t>
            </w:r>
          </w:p>
        </w:tc>
        <w:tc>
          <w:tcPr>
            <w:tcW w:w="920"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1.687</w:t>
            </w:r>
          </w:p>
        </w:tc>
        <w:tc>
          <w:tcPr>
            <w:tcW w:w="1206"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.627</w:t>
            </w:r>
          </w:p>
        </w:tc>
        <w:tc>
          <w:tcPr>
            <w:tcW w:w="858"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1.596</w:t>
            </w:r>
          </w:p>
        </w:tc>
        <w:tc>
          <w:tcPr>
            <w:tcW w:w="1127"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.627</w:t>
            </w:r>
          </w:p>
        </w:tc>
        <w:tc>
          <w:tcPr>
            <w:tcW w:w="937"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1.595</w:t>
            </w:r>
          </w:p>
        </w:tc>
        <w:tc>
          <w:tcPr>
            <w:tcW w:w="1189"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.624</w:t>
            </w:r>
          </w:p>
        </w:tc>
        <w:tc>
          <w:tcPr>
            <w:tcW w:w="875"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1.601</w:t>
            </w:r>
          </w:p>
        </w:tc>
      </w:tr>
      <w:tr w:rsidR="0036448D" w:rsidRPr="0036448D" w:rsidTr="0036448D">
        <w:trPr>
          <w:trHeight w:val="290"/>
        </w:trPr>
        <w:tc>
          <w:tcPr>
            <w:tcW w:w="1692" w:type="dxa"/>
            <w:tcBorders>
              <w:top w:val="single" w:sz="2" w:space="0" w:color="000000"/>
              <w:left w:val="single" w:sz="18"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LEV</w:t>
            </w:r>
          </w:p>
        </w:tc>
        <w:tc>
          <w:tcPr>
            <w:tcW w:w="1144"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.698</w:t>
            </w:r>
          </w:p>
        </w:tc>
        <w:tc>
          <w:tcPr>
            <w:tcW w:w="920"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1.434</w:t>
            </w:r>
          </w:p>
        </w:tc>
        <w:tc>
          <w:tcPr>
            <w:tcW w:w="1206"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.698</w:t>
            </w:r>
          </w:p>
        </w:tc>
        <w:tc>
          <w:tcPr>
            <w:tcW w:w="858"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1.433</w:t>
            </w:r>
          </w:p>
        </w:tc>
        <w:tc>
          <w:tcPr>
            <w:tcW w:w="1127"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.698</w:t>
            </w:r>
          </w:p>
        </w:tc>
        <w:tc>
          <w:tcPr>
            <w:tcW w:w="937"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1.433</w:t>
            </w:r>
          </w:p>
        </w:tc>
        <w:tc>
          <w:tcPr>
            <w:tcW w:w="1189"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.698</w:t>
            </w:r>
          </w:p>
        </w:tc>
        <w:tc>
          <w:tcPr>
            <w:tcW w:w="875"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1.433</w:t>
            </w:r>
          </w:p>
        </w:tc>
      </w:tr>
      <w:tr w:rsidR="0036448D" w:rsidRPr="0036448D" w:rsidTr="0036448D">
        <w:trPr>
          <w:trHeight w:val="290"/>
        </w:trPr>
        <w:tc>
          <w:tcPr>
            <w:tcW w:w="1692" w:type="dxa"/>
            <w:tcBorders>
              <w:top w:val="single" w:sz="2" w:space="0" w:color="000000"/>
              <w:left w:val="single" w:sz="18"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ROA</w:t>
            </w:r>
          </w:p>
        </w:tc>
        <w:tc>
          <w:tcPr>
            <w:tcW w:w="1144"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.698</w:t>
            </w:r>
          </w:p>
        </w:tc>
        <w:tc>
          <w:tcPr>
            <w:tcW w:w="920"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1.432</w:t>
            </w:r>
          </w:p>
        </w:tc>
        <w:tc>
          <w:tcPr>
            <w:tcW w:w="1206"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.698</w:t>
            </w:r>
          </w:p>
        </w:tc>
        <w:tc>
          <w:tcPr>
            <w:tcW w:w="858"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1.432</w:t>
            </w:r>
          </w:p>
        </w:tc>
        <w:tc>
          <w:tcPr>
            <w:tcW w:w="1127"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.698</w:t>
            </w:r>
          </w:p>
        </w:tc>
        <w:tc>
          <w:tcPr>
            <w:tcW w:w="937"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1.432</w:t>
            </w:r>
          </w:p>
        </w:tc>
        <w:tc>
          <w:tcPr>
            <w:tcW w:w="1189"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.698</w:t>
            </w:r>
          </w:p>
        </w:tc>
        <w:tc>
          <w:tcPr>
            <w:tcW w:w="875"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1.432</w:t>
            </w:r>
          </w:p>
        </w:tc>
      </w:tr>
      <w:tr w:rsidR="0036448D" w:rsidRPr="0036448D" w:rsidTr="0036448D">
        <w:trPr>
          <w:trHeight w:val="290"/>
        </w:trPr>
        <w:tc>
          <w:tcPr>
            <w:tcW w:w="1692" w:type="dxa"/>
            <w:tcBorders>
              <w:top w:val="single" w:sz="2" w:space="0" w:color="000000"/>
              <w:left w:val="single" w:sz="18"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 xml:space="preserve">SEGNUM </w:t>
            </w:r>
          </w:p>
        </w:tc>
        <w:tc>
          <w:tcPr>
            <w:tcW w:w="1144"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.827</w:t>
            </w:r>
          </w:p>
        </w:tc>
        <w:tc>
          <w:tcPr>
            <w:tcW w:w="920"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1.21</w:t>
            </w:r>
          </w:p>
        </w:tc>
        <w:tc>
          <w:tcPr>
            <w:tcW w:w="1206"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.850</w:t>
            </w:r>
          </w:p>
        </w:tc>
        <w:tc>
          <w:tcPr>
            <w:tcW w:w="858"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1.176</w:t>
            </w:r>
          </w:p>
        </w:tc>
        <w:tc>
          <w:tcPr>
            <w:tcW w:w="1127"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.840</w:t>
            </w:r>
          </w:p>
        </w:tc>
        <w:tc>
          <w:tcPr>
            <w:tcW w:w="937"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1.191</w:t>
            </w:r>
          </w:p>
        </w:tc>
        <w:tc>
          <w:tcPr>
            <w:tcW w:w="1189"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.847</w:t>
            </w:r>
          </w:p>
        </w:tc>
        <w:tc>
          <w:tcPr>
            <w:tcW w:w="875"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1.181</w:t>
            </w:r>
          </w:p>
        </w:tc>
      </w:tr>
      <w:tr w:rsidR="0036448D" w:rsidRPr="0036448D" w:rsidTr="0036448D">
        <w:trPr>
          <w:trHeight w:val="290"/>
        </w:trPr>
        <w:tc>
          <w:tcPr>
            <w:tcW w:w="1692" w:type="dxa"/>
            <w:tcBorders>
              <w:top w:val="single" w:sz="2" w:space="0" w:color="000000"/>
              <w:left w:val="single" w:sz="18"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FORTRANS</w:t>
            </w:r>
          </w:p>
        </w:tc>
        <w:tc>
          <w:tcPr>
            <w:tcW w:w="1144"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.91</w:t>
            </w:r>
          </w:p>
        </w:tc>
        <w:tc>
          <w:tcPr>
            <w:tcW w:w="920"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1.099</w:t>
            </w:r>
          </w:p>
        </w:tc>
        <w:tc>
          <w:tcPr>
            <w:tcW w:w="1206"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.911</w:t>
            </w:r>
          </w:p>
        </w:tc>
        <w:tc>
          <w:tcPr>
            <w:tcW w:w="858"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1.098</w:t>
            </w:r>
          </w:p>
        </w:tc>
        <w:tc>
          <w:tcPr>
            <w:tcW w:w="1127" w:type="dxa"/>
            <w:tcBorders>
              <w:top w:val="single" w:sz="4" w:space="0" w:color="000000"/>
              <w:left w:val="single" w:sz="18" w:space="0" w:color="000000"/>
              <w:bottom w:val="single" w:sz="4" w:space="0" w:color="000000"/>
              <w:right w:val="single" w:sz="12" w:space="0" w:color="000000"/>
            </w:tcBorders>
            <w:shd w:val="solid" w:color="FFFFFF" w:fill="auto"/>
          </w:tcPr>
          <w:p w:rsidR="0036448D" w:rsidRPr="0036448D" w:rsidRDefault="0036448D" w:rsidP="0036448D">
            <w:pPr>
              <w:pStyle w:val="NoSpacing"/>
            </w:pPr>
            <w:r w:rsidRPr="0036448D">
              <w:t>.913</w:t>
            </w:r>
          </w:p>
        </w:tc>
        <w:tc>
          <w:tcPr>
            <w:tcW w:w="937" w:type="dxa"/>
            <w:tcBorders>
              <w:top w:val="single" w:sz="4" w:space="0" w:color="000000"/>
              <w:left w:val="single" w:sz="12" w:space="0" w:color="000000"/>
              <w:bottom w:val="single" w:sz="4" w:space="0" w:color="000000"/>
              <w:right w:val="single" w:sz="18" w:space="0" w:color="000000"/>
            </w:tcBorders>
            <w:shd w:val="solid" w:color="FFFFFF" w:fill="auto"/>
          </w:tcPr>
          <w:p w:rsidR="0036448D" w:rsidRPr="0036448D" w:rsidRDefault="0036448D" w:rsidP="0036448D">
            <w:pPr>
              <w:pStyle w:val="NoSpacing"/>
            </w:pPr>
            <w:r w:rsidRPr="0036448D">
              <w:t>1.095</w:t>
            </w:r>
          </w:p>
        </w:tc>
        <w:tc>
          <w:tcPr>
            <w:tcW w:w="1189" w:type="dxa"/>
            <w:tcBorders>
              <w:top w:val="single" w:sz="2" w:space="0" w:color="000000"/>
              <w:left w:val="single" w:sz="18" w:space="0" w:color="000000"/>
              <w:bottom w:val="single" w:sz="2" w:space="0" w:color="000000"/>
              <w:right w:val="single" w:sz="12" w:space="0" w:color="000000"/>
            </w:tcBorders>
            <w:shd w:val="solid" w:color="FFFFFF" w:fill="auto"/>
          </w:tcPr>
          <w:p w:rsidR="0036448D" w:rsidRPr="0036448D" w:rsidRDefault="0036448D" w:rsidP="0036448D">
            <w:pPr>
              <w:pStyle w:val="NoSpacing"/>
            </w:pPr>
            <w:r w:rsidRPr="0036448D">
              <w:t>.911</w:t>
            </w:r>
          </w:p>
        </w:tc>
        <w:tc>
          <w:tcPr>
            <w:tcW w:w="875" w:type="dxa"/>
            <w:tcBorders>
              <w:top w:val="single" w:sz="2" w:space="0" w:color="000000"/>
              <w:left w:val="single" w:sz="12" w:space="0" w:color="000000"/>
              <w:bottom w:val="single" w:sz="2" w:space="0" w:color="000000"/>
              <w:right w:val="single" w:sz="18" w:space="0" w:color="000000"/>
            </w:tcBorders>
            <w:shd w:val="solid" w:color="FFFFFF" w:fill="auto"/>
          </w:tcPr>
          <w:p w:rsidR="0036448D" w:rsidRPr="0036448D" w:rsidRDefault="0036448D" w:rsidP="0036448D">
            <w:pPr>
              <w:pStyle w:val="NoSpacing"/>
            </w:pPr>
            <w:r w:rsidRPr="0036448D">
              <w:t>1.098</w:t>
            </w:r>
          </w:p>
        </w:tc>
      </w:tr>
      <w:tr w:rsidR="0036448D" w:rsidRPr="0036448D" w:rsidTr="0036448D">
        <w:trPr>
          <w:trHeight w:val="305"/>
        </w:trPr>
        <w:tc>
          <w:tcPr>
            <w:tcW w:w="1692" w:type="dxa"/>
            <w:tcBorders>
              <w:top w:val="single" w:sz="2" w:space="0" w:color="000000"/>
              <w:left w:val="single" w:sz="18" w:space="0" w:color="000000"/>
              <w:bottom w:val="single" w:sz="18" w:space="0" w:color="000000"/>
              <w:right w:val="single" w:sz="18" w:space="0" w:color="000000"/>
            </w:tcBorders>
            <w:shd w:val="solid" w:color="FFFFFF" w:fill="auto"/>
          </w:tcPr>
          <w:p w:rsidR="0036448D" w:rsidRPr="0036448D" w:rsidRDefault="0036448D" w:rsidP="0036448D">
            <w:pPr>
              <w:pStyle w:val="NoSpacing"/>
            </w:pPr>
            <w:r w:rsidRPr="0036448D">
              <w:t>BIG 4</w:t>
            </w:r>
          </w:p>
        </w:tc>
        <w:tc>
          <w:tcPr>
            <w:tcW w:w="1144" w:type="dxa"/>
            <w:tcBorders>
              <w:top w:val="single" w:sz="2" w:space="0" w:color="000000"/>
              <w:left w:val="single" w:sz="18" w:space="0" w:color="000000"/>
              <w:bottom w:val="single" w:sz="18" w:space="0" w:color="000000"/>
              <w:right w:val="single" w:sz="12" w:space="0" w:color="000000"/>
            </w:tcBorders>
            <w:shd w:val="solid" w:color="FFFFFF" w:fill="auto"/>
          </w:tcPr>
          <w:p w:rsidR="0036448D" w:rsidRPr="0036448D" w:rsidRDefault="0036448D" w:rsidP="0036448D">
            <w:pPr>
              <w:pStyle w:val="NoSpacing"/>
            </w:pPr>
            <w:r w:rsidRPr="0036448D">
              <w:t>.667</w:t>
            </w:r>
          </w:p>
        </w:tc>
        <w:tc>
          <w:tcPr>
            <w:tcW w:w="920" w:type="dxa"/>
            <w:tcBorders>
              <w:top w:val="single" w:sz="2" w:space="0" w:color="000000"/>
              <w:left w:val="single" w:sz="12" w:space="0" w:color="000000"/>
              <w:bottom w:val="single" w:sz="18" w:space="0" w:color="000000"/>
              <w:right w:val="single" w:sz="18" w:space="0" w:color="000000"/>
            </w:tcBorders>
            <w:shd w:val="solid" w:color="FFFFFF" w:fill="auto"/>
          </w:tcPr>
          <w:p w:rsidR="0036448D" w:rsidRPr="0036448D" w:rsidRDefault="0036448D" w:rsidP="0036448D">
            <w:pPr>
              <w:pStyle w:val="NoSpacing"/>
            </w:pPr>
            <w:r w:rsidRPr="0036448D">
              <w:t>1.499</w:t>
            </w:r>
          </w:p>
        </w:tc>
        <w:tc>
          <w:tcPr>
            <w:tcW w:w="1206" w:type="dxa"/>
            <w:tcBorders>
              <w:top w:val="single" w:sz="4" w:space="0" w:color="000000"/>
              <w:left w:val="single" w:sz="18" w:space="0" w:color="000000"/>
              <w:bottom w:val="single" w:sz="12" w:space="0" w:color="000000"/>
              <w:right w:val="single" w:sz="12" w:space="0" w:color="000000"/>
            </w:tcBorders>
            <w:shd w:val="solid" w:color="FFFFFF" w:fill="auto"/>
          </w:tcPr>
          <w:p w:rsidR="0036448D" w:rsidRPr="0036448D" w:rsidRDefault="0036448D" w:rsidP="0036448D">
            <w:pPr>
              <w:pStyle w:val="NoSpacing"/>
            </w:pPr>
            <w:r w:rsidRPr="0036448D">
              <w:t>.681</w:t>
            </w:r>
          </w:p>
        </w:tc>
        <w:tc>
          <w:tcPr>
            <w:tcW w:w="858" w:type="dxa"/>
            <w:tcBorders>
              <w:top w:val="single" w:sz="4" w:space="0" w:color="000000"/>
              <w:left w:val="single" w:sz="12" w:space="0" w:color="000000"/>
              <w:bottom w:val="single" w:sz="12" w:space="0" w:color="000000"/>
              <w:right w:val="single" w:sz="18" w:space="0" w:color="000000"/>
            </w:tcBorders>
            <w:shd w:val="solid" w:color="FFFFFF" w:fill="auto"/>
          </w:tcPr>
          <w:p w:rsidR="0036448D" w:rsidRPr="0036448D" w:rsidRDefault="0036448D" w:rsidP="0036448D">
            <w:pPr>
              <w:pStyle w:val="NoSpacing"/>
            </w:pPr>
            <w:r w:rsidRPr="0036448D">
              <w:t>1.468</w:t>
            </w:r>
          </w:p>
        </w:tc>
        <w:tc>
          <w:tcPr>
            <w:tcW w:w="1127" w:type="dxa"/>
            <w:tcBorders>
              <w:top w:val="single" w:sz="4" w:space="0" w:color="000000"/>
              <w:left w:val="single" w:sz="18" w:space="0" w:color="000000"/>
              <w:bottom w:val="single" w:sz="18" w:space="0" w:color="000000"/>
              <w:right w:val="single" w:sz="12" w:space="0" w:color="000000"/>
            </w:tcBorders>
            <w:shd w:val="solid" w:color="FFFFFF" w:fill="auto"/>
          </w:tcPr>
          <w:p w:rsidR="0036448D" w:rsidRPr="0036448D" w:rsidRDefault="0036448D" w:rsidP="0036448D">
            <w:pPr>
              <w:pStyle w:val="NoSpacing"/>
            </w:pPr>
            <w:r w:rsidRPr="0036448D">
              <w:t>.669</w:t>
            </w:r>
          </w:p>
        </w:tc>
        <w:tc>
          <w:tcPr>
            <w:tcW w:w="937" w:type="dxa"/>
            <w:tcBorders>
              <w:top w:val="single" w:sz="4" w:space="0" w:color="000000"/>
              <w:left w:val="single" w:sz="12" w:space="0" w:color="000000"/>
              <w:bottom w:val="single" w:sz="18" w:space="0" w:color="000000"/>
              <w:right w:val="single" w:sz="18" w:space="0" w:color="000000"/>
            </w:tcBorders>
            <w:shd w:val="solid" w:color="FFFFFF" w:fill="auto"/>
          </w:tcPr>
          <w:p w:rsidR="0036448D" w:rsidRPr="0036448D" w:rsidRDefault="0036448D" w:rsidP="0036448D">
            <w:pPr>
              <w:pStyle w:val="NoSpacing"/>
            </w:pPr>
            <w:r w:rsidRPr="0036448D">
              <w:t>1.496</w:t>
            </w:r>
          </w:p>
        </w:tc>
        <w:tc>
          <w:tcPr>
            <w:tcW w:w="1189" w:type="dxa"/>
            <w:tcBorders>
              <w:top w:val="single" w:sz="2" w:space="0" w:color="000000"/>
              <w:left w:val="single" w:sz="18" w:space="0" w:color="000000"/>
              <w:bottom w:val="single" w:sz="18" w:space="0" w:color="000000"/>
              <w:right w:val="single" w:sz="12" w:space="0" w:color="000000"/>
            </w:tcBorders>
            <w:shd w:val="solid" w:color="FFFFFF" w:fill="auto"/>
          </w:tcPr>
          <w:p w:rsidR="0036448D" w:rsidRPr="0036448D" w:rsidRDefault="0036448D" w:rsidP="0036448D">
            <w:pPr>
              <w:pStyle w:val="NoSpacing"/>
            </w:pPr>
            <w:r w:rsidRPr="0036448D">
              <w:t>.682</w:t>
            </w:r>
          </w:p>
        </w:tc>
        <w:tc>
          <w:tcPr>
            <w:tcW w:w="875" w:type="dxa"/>
            <w:tcBorders>
              <w:top w:val="single" w:sz="2" w:space="0" w:color="000000"/>
              <w:left w:val="single" w:sz="12" w:space="0" w:color="000000"/>
              <w:bottom w:val="single" w:sz="18" w:space="0" w:color="000000"/>
              <w:right w:val="single" w:sz="18" w:space="0" w:color="000000"/>
            </w:tcBorders>
            <w:shd w:val="solid" w:color="FFFFFF" w:fill="auto"/>
          </w:tcPr>
          <w:p w:rsidR="0036448D" w:rsidRPr="0036448D" w:rsidRDefault="0036448D" w:rsidP="0036448D">
            <w:pPr>
              <w:pStyle w:val="NoSpacing"/>
            </w:pPr>
            <w:r w:rsidRPr="0036448D">
              <w:t>1.466</w:t>
            </w:r>
          </w:p>
        </w:tc>
      </w:tr>
    </w:tbl>
    <w:p w:rsidR="001E3445" w:rsidRPr="001928AB" w:rsidRDefault="00E10879">
      <w:pPr>
        <w:rPr>
          <w:i/>
          <w:lang w:val="en-GB"/>
        </w:rPr>
      </w:pPr>
      <w:r>
        <w:rPr>
          <w:lang w:val="en-GB"/>
        </w:rPr>
        <w:br/>
      </w:r>
      <w:r w:rsidR="00D43274" w:rsidRPr="00C51C2E">
        <w:rPr>
          <w:lang w:val="en-GB"/>
        </w:rPr>
        <w:t>The results of the multico</w:t>
      </w:r>
      <w:r w:rsidR="00111E9C" w:rsidRPr="00C51C2E">
        <w:rPr>
          <w:lang w:val="en-GB"/>
        </w:rPr>
        <w:t>l</w:t>
      </w:r>
      <w:r w:rsidR="00D43274" w:rsidRPr="00C51C2E">
        <w:rPr>
          <w:lang w:val="en-GB"/>
        </w:rPr>
        <w:t>linearity test show that the original model contains variables with a tolerance below 0.1 and a VIF score above 10. These variables are RESTRUCTD and RESTUCTC</w:t>
      </w:r>
      <w:r w:rsidR="004606D8" w:rsidRPr="00C51C2E">
        <w:rPr>
          <w:lang w:val="en-GB"/>
        </w:rPr>
        <w:t>.</w:t>
      </w:r>
      <w:r w:rsidR="00D43274" w:rsidRPr="00C51C2E">
        <w:rPr>
          <w:lang w:val="en-GB"/>
        </w:rPr>
        <w:t xml:space="preserve"> </w:t>
      </w:r>
      <w:r w:rsidR="004606D8" w:rsidRPr="00C51C2E">
        <w:rPr>
          <w:lang w:val="en-GB"/>
        </w:rPr>
        <w:t xml:space="preserve">An </w:t>
      </w:r>
      <w:r w:rsidR="00D43274" w:rsidRPr="00C51C2E">
        <w:rPr>
          <w:lang w:val="en-GB"/>
        </w:rPr>
        <w:t>explanation for these results is that the variables are highly inter-correlated</w:t>
      </w:r>
      <w:r w:rsidR="00F275BD">
        <w:rPr>
          <w:lang w:val="en-GB"/>
        </w:rPr>
        <w:t>,</w:t>
      </w:r>
      <w:r w:rsidR="00D43274" w:rsidRPr="00C51C2E">
        <w:rPr>
          <w:lang w:val="en-GB"/>
        </w:rPr>
        <w:t xml:space="preserve"> which can result in a bias.</w:t>
      </w:r>
      <w:r w:rsidR="00D43274" w:rsidRPr="001928AB">
        <w:rPr>
          <w:i/>
          <w:lang w:val="en-GB"/>
        </w:rPr>
        <w:t xml:space="preserve"> </w:t>
      </w:r>
      <w:r w:rsidR="00D43274" w:rsidRPr="00C51C2E">
        <w:rPr>
          <w:lang w:val="en-GB"/>
        </w:rPr>
        <w:t>In order to correct this problem</w:t>
      </w:r>
      <w:r w:rsidR="00C51C2E">
        <w:rPr>
          <w:lang w:val="en-GB"/>
        </w:rPr>
        <w:t xml:space="preserve"> the restructuring variables are separated in three models</w:t>
      </w:r>
      <w:r w:rsidR="00C51C2E" w:rsidRPr="00C51C2E">
        <w:rPr>
          <w:lang w:val="en-GB"/>
        </w:rPr>
        <w:t xml:space="preserve"> </w:t>
      </w:r>
      <w:r w:rsidR="00D43274" w:rsidRPr="00C51C2E">
        <w:rPr>
          <w:lang w:val="en-GB"/>
        </w:rPr>
        <w:t xml:space="preserve">to see if the multicollinearity problem disappears. </w:t>
      </w:r>
      <w:r w:rsidR="00C51C2E">
        <w:rPr>
          <w:lang w:val="en-GB"/>
        </w:rPr>
        <w:t xml:space="preserve">In model 2 RESTRUCTP and RESTRUCTC are excluded to see the separate effect of RESTRUCTD. Model 3 contains only the RESTRUCTP variable and model 4 has only RESTRUCTC as proxy for restructuring. </w:t>
      </w:r>
      <w:r w:rsidR="004606D8" w:rsidRPr="00C51C2E">
        <w:rPr>
          <w:lang w:val="en-GB"/>
        </w:rPr>
        <w:t>As expected t</w:t>
      </w:r>
      <w:r w:rsidR="00D43274" w:rsidRPr="00C51C2E">
        <w:rPr>
          <w:lang w:val="en-GB"/>
        </w:rPr>
        <w:t xml:space="preserve">he results of the </w:t>
      </w:r>
      <w:r w:rsidR="00C51C2E" w:rsidRPr="00C51C2E">
        <w:rPr>
          <w:lang w:val="en-GB"/>
        </w:rPr>
        <w:t>separated models</w:t>
      </w:r>
      <w:r w:rsidR="00D43274" w:rsidRPr="00C51C2E">
        <w:rPr>
          <w:lang w:val="en-GB"/>
        </w:rPr>
        <w:t xml:space="preserve"> show that </w:t>
      </w:r>
      <w:r w:rsidR="00084F96" w:rsidRPr="00C51C2E">
        <w:rPr>
          <w:lang w:val="en-GB"/>
        </w:rPr>
        <w:t>t</w:t>
      </w:r>
      <w:r w:rsidR="00D43274" w:rsidRPr="00C51C2E">
        <w:rPr>
          <w:lang w:val="en-GB"/>
        </w:rPr>
        <w:t>here is</w:t>
      </w:r>
      <w:r w:rsidR="004606D8" w:rsidRPr="00C51C2E">
        <w:rPr>
          <w:lang w:val="en-GB"/>
        </w:rPr>
        <w:t xml:space="preserve"> </w:t>
      </w:r>
      <w:r w:rsidR="00D43274" w:rsidRPr="00C51C2E">
        <w:rPr>
          <w:lang w:val="en-GB"/>
        </w:rPr>
        <w:t>n</w:t>
      </w:r>
      <w:r w:rsidR="004606D8" w:rsidRPr="00C51C2E">
        <w:rPr>
          <w:lang w:val="en-GB"/>
        </w:rPr>
        <w:t>o</w:t>
      </w:r>
      <w:r w:rsidR="00D43274" w:rsidRPr="00C51C2E">
        <w:rPr>
          <w:lang w:val="en-GB"/>
        </w:rPr>
        <w:t xml:space="preserve"> </w:t>
      </w:r>
      <w:r w:rsidR="00C51C2E" w:rsidRPr="00C51C2E">
        <w:rPr>
          <w:lang w:val="en-GB"/>
        </w:rPr>
        <w:t>collinearity</w:t>
      </w:r>
      <w:r w:rsidR="00D43274" w:rsidRPr="00C51C2E">
        <w:rPr>
          <w:lang w:val="en-GB"/>
        </w:rPr>
        <w:t xml:space="preserve"> issue any more</w:t>
      </w:r>
      <w:r w:rsidR="00F275BD">
        <w:rPr>
          <w:lang w:val="en-GB"/>
        </w:rPr>
        <w:t>;</w:t>
      </w:r>
      <w:r w:rsidR="00C51C2E">
        <w:rPr>
          <w:lang w:val="en-GB"/>
        </w:rPr>
        <w:t xml:space="preserve"> all tolerance values are above 0.1 and the VIF scores are below 10</w:t>
      </w:r>
      <w:r w:rsidR="004606D8" w:rsidRPr="00C51C2E">
        <w:rPr>
          <w:lang w:val="en-GB"/>
        </w:rPr>
        <w:t>. T</w:t>
      </w:r>
      <w:r w:rsidR="00D43274" w:rsidRPr="00C51C2E">
        <w:rPr>
          <w:lang w:val="en-GB"/>
        </w:rPr>
        <w:t>herefore th</w:t>
      </w:r>
      <w:r w:rsidR="00C51C2E" w:rsidRPr="00C51C2E">
        <w:rPr>
          <w:lang w:val="en-GB"/>
        </w:rPr>
        <w:t>e</w:t>
      </w:r>
      <w:r w:rsidR="00D43274" w:rsidRPr="00C51C2E">
        <w:rPr>
          <w:lang w:val="en-GB"/>
        </w:rPr>
        <w:t>s</w:t>
      </w:r>
      <w:r w:rsidR="00C51C2E" w:rsidRPr="00C51C2E">
        <w:rPr>
          <w:lang w:val="en-GB"/>
        </w:rPr>
        <w:t>e</w:t>
      </w:r>
      <w:r w:rsidR="00D43274" w:rsidRPr="00C51C2E">
        <w:rPr>
          <w:lang w:val="en-GB"/>
        </w:rPr>
        <w:t xml:space="preserve"> adjusted model</w:t>
      </w:r>
      <w:r w:rsidR="00C51C2E" w:rsidRPr="00C51C2E">
        <w:rPr>
          <w:lang w:val="en-GB"/>
        </w:rPr>
        <w:t>s are</w:t>
      </w:r>
      <w:r w:rsidR="00D43274" w:rsidRPr="00C51C2E">
        <w:rPr>
          <w:lang w:val="en-GB"/>
        </w:rPr>
        <w:t xml:space="preserve"> tested again in a multinomial logistic regression to see if the results are affected by the bias</w:t>
      </w:r>
      <w:r w:rsidR="00F275BD">
        <w:rPr>
          <w:lang w:val="en-GB"/>
        </w:rPr>
        <w:t xml:space="preserve"> (see table 14)</w:t>
      </w:r>
      <w:r w:rsidR="00D43274" w:rsidRPr="00C51C2E">
        <w:rPr>
          <w:lang w:val="en-GB"/>
        </w:rPr>
        <w:t>.</w:t>
      </w:r>
    </w:p>
    <w:p w:rsidR="00947A93" w:rsidRDefault="00947A93" w:rsidP="00084F96">
      <w:pPr>
        <w:pStyle w:val="NoSpacing"/>
        <w:rPr>
          <w:b/>
          <w:i/>
        </w:rPr>
      </w:pPr>
    </w:p>
    <w:p w:rsidR="00947A93" w:rsidRDefault="00947A93">
      <w:pPr>
        <w:rPr>
          <w:rFonts w:ascii="Calibri" w:eastAsia="Times New Roman" w:hAnsi="Calibri" w:cs="Times New Roman"/>
          <w:b/>
          <w:i/>
          <w:lang w:val="en-US"/>
        </w:rPr>
      </w:pPr>
      <w:r w:rsidRPr="00F65AC9">
        <w:rPr>
          <w:b/>
          <w:i/>
          <w:lang w:val="en-US"/>
        </w:rPr>
        <w:br w:type="page"/>
      </w:r>
    </w:p>
    <w:p w:rsidR="00EC2BEC" w:rsidRPr="00084F96" w:rsidRDefault="00EC2BEC" w:rsidP="00084F96">
      <w:pPr>
        <w:pStyle w:val="NoSpacing"/>
        <w:rPr>
          <w:b/>
          <w:i/>
        </w:rPr>
      </w:pPr>
      <w:r w:rsidRPr="00084F96">
        <w:rPr>
          <w:b/>
          <w:i/>
        </w:rPr>
        <w:t xml:space="preserve">Table 14: Adjusted Multinomial </w:t>
      </w:r>
      <w:r w:rsidR="00771557" w:rsidRPr="00084F96">
        <w:rPr>
          <w:b/>
          <w:i/>
        </w:rPr>
        <w:t>logistic</w:t>
      </w:r>
      <w:r w:rsidRPr="00084F96">
        <w:rPr>
          <w:b/>
          <w:i/>
        </w:rPr>
        <w:t xml:space="preserve"> regression</w:t>
      </w:r>
    </w:p>
    <w:tbl>
      <w:tblPr>
        <w:tblW w:w="9357" w:type="dxa"/>
        <w:tblInd w:w="-318" w:type="dxa"/>
        <w:tblLayout w:type="fixed"/>
        <w:tblLook w:val="0000"/>
      </w:tblPr>
      <w:tblGrid>
        <w:gridCol w:w="1419"/>
        <w:gridCol w:w="992"/>
        <w:gridCol w:w="851"/>
        <w:gridCol w:w="709"/>
        <w:gridCol w:w="991"/>
        <w:gridCol w:w="851"/>
        <w:gridCol w:w="709"/>
        <w:gridCol w:w="992"/>
        <w:gridCol w:w="851"/>
        <w:gridCol w:w="992"/>
      </w:tblGrid>
      <w:tr w:rsidR="0089227D" w:rsidRPr="0089227D" w:rsidTr="00F275BD">
        <w:trPr>
          <w:trHeight w:val="20"/>
        </w:trPr>
        <w:tc>
          <w:tcPr>
            <w:tcW w:w="1419" w:type="dxa"/>
            <w:tcBorders>
              <w:top w:val="single" w:sz="12" w:space="0" w:color="auto"/>
              <w:left w:val="single" w:sz="12" w:space="0" w:color="auto"/>
              <w:bottom w:val="single" w:sz="12" w:space="0" w:color="auto"/>
              <w:right w:val="single" w:sz="12" w:space="0" w:color="auto"/>
            </w:tcBorders>
          </w:tcPr>
          <w:p w:rsidR="0089227D" w:rsidRPr="0013700D" w:rsidRDefault="00F15A55" w:rsidP="0013700D">
            <w:pPr>
              <w:pStyle w:val="NoSpacing"/>
              <w:rPr>
                <w:sz w:val="18"/>
                <w:szCs w:val="18"/>
              </w:rPr>
            </w:pPr>
            <w:r w:rsidRPr="0013700D">
              <w:rPr>
                <w:sz w:val="18"/>
                <w:szCs w:val="18"/>
              </w:rPr>
              <w:t>M</w:t>
            </w:r>
            <w:r w:rsidR="0089227D" w:rsidRPr="0013700D">
              <w:rPr>
                <w:sz w:val="18"/>
                <w:szCs w:val="18"/>
              </w:rPr>
              <w:t>odel 4</w:t>
            </w:r>
          </w:p>
        </w:tc>
        <w:tc>
          <w:tcPr>
            <w:tcW w:w="2552" w:type="dxa"/>
            <w:gridSpan w:val="3"/>
            <w:tcBorders>
              <w:top w:val="single" w:sz="12" w:space="0" w:color="auto"/>
              <w:left w:val="single" w:sz="12"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RESTRUCTD</w:t>
            </w:r>
          </w:p>
        </w:tc>
        <w:tc>
          <w:tcPr>
            <w:tcW w:w="2551" w:type="dxa"/>
            <w:gridSpan w:val="3"/>
            <w:tcBorders>
              <w:top w:val="single" w:sz="12" w:space="0" w:color="auto"/>
              <w:left w:val="single" w:sz="12"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RESTRUCTC</w:t>
            </w:r>
          </w:p>
        </w:tc>
        <w:tc>
          <w:tcPr>
            <w:tcW w:w="2835" w:type="dxa"/>
            <w:gridSpan w:val="3"/>
            <w:tcBorders>
              <w:top w:val="single" w:sz="12"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RESTRUCTP</w:t>
            </w:r>
          </w:p>
        </w:tc>
      </w:tr>
      <w:tr w:rsidR="0089227D" w:rsidRPr="0089227D" w:rsidTr="00F275BD">
        <w:trPr>
          <w:trHeight w:val="20"/>
        </w:trPr>
        <w:tc>
          <w:tcPr>
            <w:tcW w:w="1419" w:type="dxa"/>
            <w:tcBorders>
              <w:top w:val="single" w:sz="12" w:space="0" w:color="auto"/>
              <w:left w:val="single" w:sz="12" w:space="0" w:color="auto"/>
              <w:bottom w:val="single" w:sz="6" w:space="0" w:color="auto"/>
              <w:right w:val="single" w:sz="12" w:space="0" w:color="auto"/>
            </w:tcBorders>
          </w:tcPr>
          <w:p w:rsidR="0089227D" w:rsidRPr="0013700D" w:rsidRDefault="0089227D" w:rsidP="0013700D">
            <w:pPr>
              <w:pStyle w:val="NoSpacing"/>
              <w:rPr>
                <w:sz w:val="18"/>
                <w:szCs w:val="18"/>
              </w:rPr>
            </w:pPr>
            <w:r w:rsidRPr="0013700D">
              <w:rPr>
                <w:sz w:val="18"/>
                <w:szCs w:val="18"/>
              </w:rPr>
              <w:t>Dependent</w:t>
            </w:r>
            <w:r w:rsidR="0008232E" w:rsidRPr="0013700D">
              <w:rPr>
                <w:sz w:val="18"/>
                <w:szCs w:val="18"/>
              </w:rPr>
              <w:t xml:space="preserve"> var. </w:t>
            </w:r>
          </w:p>
        </w:tc>
        <w:tc>
          <w:tcPr>
            <w:tcW w:w="992" w:type="dxa"/>
            <w:tcBorders>
              <w:top w:val="single" w:sz="12" w:space="0" w:color="auto"/>
              <w:left w:val="single" w:sz="12" w:space="0" w:color="auto"/>
              <w:bottom w:val="single" w:sz="6" w:space="0" w:color="auto"/>
              <w:right w:val="nil"/>
            </w:tcBorders>
          </w:tcPr>
          <w:p w:rsidR="0089227D" w:rsidRPr="0013700D" w:rsidRDefault="0089227D" w:rsidP="0013700D">
            <w:pPr>
              <w:pStyle w:val="NoSpacing"/>
              <w:rPr>
                <w:sz w:val="18"/>
                <w:szCs w:val="18"/>
              </w:rPr>
            </w:pPr>
            <w:r w:rsidRPr="0013700D">
              <w:rPr>
                <w:sz w:val="18"/>
                <w:szCs w:val="18"/>
              </w:rPr>
              <w:t>ITMW</w:t>
            </w:r>
            <w:r w:rsidR="00B77BD5" w:rsidRPr="0013700D">
              <w:rPr>
                <w:sz w:val="18"/>
                <w:szCs w:val="18"/>
              </w:rPr>
              <w:t xml:space="preserve"> (1)</w:t>
            </w:r>
          </w:p>
        </w:tc>
        <w:tc>
          <w:tcPr>
            <w:tcW w:w="851" w:type="dxa"/>
            <w:tcBorders>
              <w:top w:val="single" w:sz="12" w:space="0" w:color="auto"/>
              <w:left w:val="nil"/>
              <w:bottom w:val="single" w:sz="6" w:space="0" w:color="auto"/>
            </w:tcBorders>
          </w:tcPr>
          <w:p w:rsidR="0089227D" w:rsidRPr="0013700D" w:rsidRDefault="0089227D" w:rsidP="0013700D">
            <w:pPr>
              <w:pStyle w:val="NoSpacing"/>
              <w:rPr>
                <w:sz w:val="18"/>
                <w:szCs w:val="18"/>
              </w:rPr>
            </w:pPr>
          </w:p>
        </w:tc>
        <w:tc>
          <w:tcPr>
            <w:tcW w:w="709" w:type="dxa"/>
            <w:tcBorders>
              <w:top w:val="single" w:sz="12" w:space="0" w:color="auto"/>
              <w:bottom w:val="single" w:sz="6" w:space="0" w:color="auto"/>
              <w:right w:val="single" w:sz="12" w:space="0" w:color="auto"/>
            </w:tcBorders>
          </w:tcPr>
          <w:p w:rsidR="0089227D" w:rsidRPr="0013700D" w:rsidRDefault="0089227D" w:rsidP="0013700D">
            <w:pPr>
              <w:pStyle w:val="NoSpacing"/>
              <w:rPr>
                <w:sz w:val="18"/>
                <w:szCs w:val="18"/>
              </w:rPr>
            </w:pPr>
          </w:p>
        </w:tc>
        <w:tc>
          <w:tcPr>
            <w:tcW w:w="991" w:type="dxa"/>
            <w:tcBorders>
              <w:top w:val="single" w:sz="12" w:space="0" w:color="auto"/>
              <w:left w:val="single" w:sz="12" w:space="0" w:color="auto"/>
              <w:bottom w:val="single" w:sz="6" w:space="0" w:color="auto"/>
              <w:right w:val="nil"/>
            </w:tcBorders>
          </w:tcPr>
          <w:p w:rsidR="0089227D" w:rsidRPr="0013700D" w:rsidRDefault="0089227D" w:rsidP="0013700D">
            <w:pPr>
              <w:pStyle w:val="NoSpacing"/>
              <w:rPr>
                <w:sz w:val="18"/>
                <w:szCs w:val="18"/>
              </w:rPr>
            </w:pPr>
            <w:r w:rsidRPr="0013700D">
              <w:rPr>
                <w:sz w:val="18"/>
                <w:szCs w:val="18"/>
              </w:rPr>
              <w:t>ITMW</w:t>
            </w:r>
            <w:r w:rsidR="00B77BD5" w:rsidRPr="0013700D">
              <w:rPr>
                <w:sz w:val="18"/>
                <w:szCs w:val="18"/>
              </w:rPr>
              <w:t xml:space="preserve"> (3)</w:t>
            </w:r>
          </w:p>
        </w:tc>
        <w:tc>
          <w:tcPr>
            <w:tcW w:w="851" w:type="dxa"/>
            <w:tcBorders>
              <w:top w:val="single" w:sz="12" w:space="0" w:color="auto"/>
              <w:left w:val="nil"/>
              <w:bottom w:val="single" w:sz="6" w:space="0" w:color="auto"/>
            </w:tcBorders>
          </w:tcPr>
          <w:p w:rsidR="0089227D" w:rsidRPr="0013700D" w:rsidRDefault="0089227D" w:rsidP="0013700D">
            <w:pPr>
              <w:pStyle w:val="NoSpacing"/>
              <w:rPr>
                <w:sz w:val="18"/>
                <w:szCs w:val="18"/>
              </w:rPr>
            </w:pPr>
          </w:p>
        </w:tc>
        <w:tc>
          <w:tcPr>
            <w:tcW w:w="709" w:type="dxa"/>
            <w:tcBorders>
              <w:top w:val="single" w:sz="12" w:space="0" w:color="auto"/>
              <w:bottom w:val="single" w:sz="6" w:space="0" w:color="auto"/>
              <w:right w:val="single" w:sz="12" w:space="0" w:color="auto"/>
            </w:tcBorders>
          </w:tcPr>
          <w:p w:rsidR="0089227D" w:rsidRPr="0013700D" w:rsidRDefault="0089227D" w:rsidP="0013700D">
            <w:pPr>
              <w:pStyle w:val="NoSpacing"/>
              <w:rPr>
                <w:sz w:val="18"/>
                <w:szCs w:val="18"/>
              </w:rPr>
            </w:pPr>
          </w:p>
        </w:tc>
        <w:tc>
          <w:tcPr>
            <w:tcW w:w="992" w:type="dxa"/>
            <w:tcBorders>
              <w:top w:val="single" w:sz="12" w:space="0" w:color="auto"/>
              <w:bottom w:val="single" w:sz="6" w:space="0" w:color="auto"/>
            </w:tcBorders>
          </w:tcPr>
          <w:p w:rsidR="0089227D" w:rsidRPr="0013700D" w:rsidRDefault="0089227D" w:rsidP="0013700D">
            <w:pPr>
              <w:pStyle w:val="NoSpacing"/>
              <w:rPr>
                <w:sz w:val="18"/>
                <w:szCs w:val="18"/>
              </w:rPr>
            </w:pPr>
            <w:r w:rsidRPr="0013700D">
              <w:rPr>
                <w:sz w:val="18"/>
                <w:szCs w:val="18"/>
              </w:rPr>
              <w:t>ITMW</w:t>
            </w:r>
            <w:r w:rsidR="00B77BD5" w:rsidRPr="0013700D">
              <w:rPr>
                <w:sz w:val="18"/>
                <w:szCs w:val="18"/>
              </w:rPr>
              <w:t xml:space="preserve"> (5)</w:t>
            </w:r>
          </w:p>
        </w:tc>
        <w:tc>
          <w:tcPr>
            <w:tcW w:w="851" w:type="dxa"/>
            <w:tcBorders>
              <w:top w:val="single" w:sz="12" w:space="0" w:color="auto"/>
              <w:bottom w:val="single" w:sz="6" w:space="0" w:color="auto"/>
            </w:tcBorders>
          </w:tcPr>
          <w:p w:rsidR="0089227D" w:rsidRPr="0013700D" w:rsidRDefault="0089227D" w:rsidP="0013700D">
            <w:pPr>
              <w:pStyle w:val="NoSpacing"/>
              <w:rPr>
                <w:sz w:val="18"/>
                <w:szCs w:val="18"/>
              </w:rPr>
            </w:pPr>
          </w:p>
        </w:tc>
        <w:tc>
          <w:tcPr>
            <w:tcW w:w="992" w:type="dxa"/>
            <w:tcBorders>
              <w:top w:val="single" w:sz="12" w:space="0" w:color="auto"/>
              <w:bottom w:val="single" w:sz="6" w:space="0" w:color="auto"/>
              <w:right w:val="single" w:sz="12" w:space="0" w:color="auto"/>
            </w:tcBorders>
          </w:tcPr>
          <w:p w:rsidR="0089227D" w:rsidRPr="0013700D" w:rsidRDefault="0089227D" w:rsidP="0013700D">
            <w:pPr>
              <w:pStyle w:val="NoSpacing"/>
              <w:rPr>
                <w:sz w:val="18"/>
                <w:szCs w:val="18"/>
              </w:rPr>
            </w:pPr>
          </w:p>
        </w:tc>
      </w:tr>
      <w:tr w:rsidR="0089227D" w:rsidRPr="0089227D" w:rsidTr="0013700D">
        <w:trPr>
          <w:trHeight w:val="20"/>
        </w:trPr>
        <w:tc>
          <w:tcPr>
            <w:tcW w:w="1419" w:type="dxa"/>
            <w:tcBorders>
              <w:top w:val="single" w:sz="6" w:space="0" w:color="auto"/>
              <w:left w:val="single" w:sz="12" w:space="0" w:color="auto"/>
              <w:bottom w:val="single" w:sz="6" w:space="0" w:color="auto"/>
              <w:right w:val="single" w:sz="12" w:space="0" w:color="auto"/>
            </w:tcBorders>
          </w:tcPr>
          <w:p w:rsidR="0089227D" w:rsidRPr="0013700D" w:rsidRDefault="0008232E" w:rsidP="0013700D">
            <w:pPr>
              <w:pStyle w:val="NoSpacing"/>
              <w:rPr>
                <w:sz w:val="18"/>
                <w:szCs w:val="18"/>
              </w:rPr>
            </w:pPr>
            <w:r w:rsidRPr="0013700D">
              <w:rPr>
                <w:sz w:val="18"/>
                <w:szCs w:val="18"/>
              </w:rPr>
              <w:t>Observations(N)</w:t>
            </w:r>
          </w:p>
        </w:tc>
        <w:tc>
          <w:tcPr>
            <w:tcW w:w="992" w:type="dxa"/>
            <w:tcBorders>
              <w:top w:val="single" w:sz="6" w:space="0" w:color="auto"/>
              <w:left w:val="single" w:sz="12" w:space="0" w:color="auto"/>
              <w:bottom w:val="single" w:sz="6" w:space="0" w:color="auto"/>
              <w:right w:val="nil"/>
            </w:tcBorders>
          </w:tcPr>
          <w:p w:rsidR="0089227D" w:rsidRPr="0013700D" w:rsidRDefault="0089227D" w:rsidP="0013700D">
            <w:pPr>
              <w:pStyle w:val="NoSpacing"/>
              <w:rPr>
                <w:sz w:val="18"/>
                <w:szCs w:val="18"/>
              </w:rPr>
            </w:pPr>
            <w:r w:rsidRPr="0013700D">
              <w:rPr>
                <w:sz w:val="18"/>
                <w:szCs w:val="18"/>
              </w:rPr>
              <w:t>669</w:t>
            </w:r>
          </w:p>
        </w:tc>
        <w:tc>
          <w:tcPr>
            <w:tcW w:w="851" w:type="dxa"/>
            <w:tcBorders>
              <w:top w:val="single" w:sz="6" w:space="0" w:color="auto"/>
              <w:left w:val="nil"/>
              <w:bottom w:val="single" w:sz="6" w:space="0" w:color="auto"/>
            </w:tcBorders>
          </w:tcPr>
          <w:p w:rsidR="0089227D" w:rsidRPr="0013700D" w:rsidRDefault="0089227D" w:rsidP="0013700D">
            <w:pPr>
              <w:pStyle w:val="NoSpacing"/>
              <w:rPr>
                <w:sz w:val="18"/>
                <w:szCs w:val="18"/>
              </w:rPr>
            </w:pPr>
          </w:p>
        </w:tc>
        <w:tc>
          <w:tcPr>
            <w:tcW w:w="709" w:type="dxa"/>
            <w:tcBorders>
              <w:top w:val="single" w:sz="6" w:space="0" w:color="auto"/>
              <w:bottom w:val="single" w:sz="6" w:space="0" w:color="auto"/>
              <w:right w:val="single" w:sz="12" w:space="0" w:color="auto"/>
            </w:tcBorders>
          </w:tcPr>
          <w:p w:rsidR="0089227D" w:rsidRPr="0013700D" w:rsidRDefault="0089227D" w:rsidP="0013700D">
            <w:pPr>
              <w:pStyle w:val="NoSpacing"/>
              <w:rPr>
                <w:sz w:val="18"/>
                <w:szCs w:val="18"/>
              </w:rPr>
            </w:pPr>
          </w:p>
        </w:tc>
        <w:tc>
          <w:tcPr>
            <w:tcW w:w="991" w:type="dxa"/>
            <w:tcBorders>
              <w:top w:val="single" w:sz="6" w:space="0" w:color="auto"/>
              <w:left w:val="single" w:sz="12" w:space="0" w:color="auto"/>
              <w:bottom w:val="single" w:sz="6" w:space="0" w:color="auto"/>
              <w:right w:val="nil"/>
            </w:tcBorders>
          </w:tcPr>
          <w:p w:rsidR="0089227D" w:rsidRPr="0013700D" w:rsidRDefault="0089227D" w:rsidP="0013700D">
            <w:pPr>
              <w:pStyle w:val="NoSpacing"/>
              <w:rPr>
                <w:sz w:val="18"/>
                <w:szCs w:val="18"/>
              </w:rPr>
            </w:pPr>
            <w:r w:rsidRPr="0013700D">
              <w:rPr>
                <w:sz w:val="18"/>
                <w:szCs w:val="18"/>
              </w:rPr>
              <w:t>669</w:t>
            </w:r>
          </w:p>
        </w:tc>
        <w:tc>
          <w:tcPr>
            <w:tcW w:w="851" w:type="dxa"/>
            <w:tcBorders>
              <w:top w:val="single" w:sz="6" w:space="0" w:color="auto"/>
              <w:left w:val="nil"/>
              <w:bottom w:val="single" w:sz="6" w:space="0" w:color="auto"/>
            </w:tcBorders>
          </w:tcPr>
          <w:p w:rsidR="0089227D" w:rsidRPr="0013700D" w:rsidRDefault="0089227D" w:rsidP="0013700D">
            <w:pPr>
              <w:pStyle w:val="NoSpacing"/>
              <w:rPr>
                <w:sz w:val="18"/>
                <w:szCs w:val="18"/>
              </w:rPr>
            </w:pPr>
          </w:p>
        </w:tc>
        <w:tc>
          <w:tcPr>
            <w:tcW w:w="709" w:type="dxa"/>
            <w:tcBorders>
              <w:top w:val="single" w:sz="6" w:space="0" w:color="auto"/>
              <w:bottom w:val="single" w:sz="6" w:space="0" w:color="auto"/>
              <w:right w:val="single" w:sz="12" w:space="0" w:color="auto"/>
            </w:tcBorders>
          </w:tcPr>
          <w:p w:rsidR="0089227D" w:rsidRPr="0013700D" w:rsidRDefault="0089227D" w:rsidP="0013700D">
            <w:pPr>
              <w:pStyle w:val="NoSpacing"/>
              <w:rPr>
                <w:sz w:val="18"/>
                <w:szCs w:val="18"/>
              </w:rPr>
            </w:pPr>
          </w:p>
        </w:tc>
        <w:tc>
          <w:tcPr>
            <w:tcW w:w="992" w:type="dxa"/>
            <w:tcBorders>
              <w:top w:val="single" w:sz="6" w:space="0" w:color="auto"/>
              <w:bottom w:val="single" w:sz="6" w:space="0" w:color="auto"/>
            </w:tcBorders>
          </w:tcPr>
          <w:p w:rsidR="0089227D" w:rsidRPr="0013700D" w:rsidRDefault="0089227D" w:rsidP="0013700D">
            <w:pPr>
              <w:pStyle w:val="NoSpacing"/>
              <w:rPr>
                <w:sz w:val="18"/>
                <w:szCs w:val="18"/>
              </w:rPr>
            </w:pPr>
            <w:r w:rsidRPr="0013700D">
              <w:rPr>
                <w:sz w:val="18"/>
                <w:szCs w:val="18"/>
              </w:rPr>
              <w:t>669</w:t>
            </w:r>
          </w:p>
        </w:tc>
        <w:tc>
          <w:tcPr>
            <w:tcW w:w="851" w:type="dxa"/>
            <w:tcBorders>
              <w:top w:val="single" w:sz="6" w:space="0" w:color="auto"/>
              <w:bottom w:val="single" w:sz="6" w:space="0" w:color="auto"/>
            </w:tcBorders>
          </w:tcPr>
          <w:p w:rsidR="0089227D" w:rsidRPr="0013700D" w:rsidRDefault="0089227D" w:rsidP="0013700D">
            <w:pPr>
              <w:pStyle w:val="NoSpacing"/>
              <w:rPr>
                <w:sz w:val="18"/>
                <w:szCs w:val="18"/>
              </w:rPr>
            </w:pPr>
          </w:p>
        </w:tc>
        <w:tc>
          <w:tcPr>
            <w:tcW w:w="992" w:type="dxa"/>
            <w:tcBorders>
              <w:top w:val="single" w:sz="6" w:space="0" w:color="auto"/>
              <w:bottom w:val="single" w:sz="6" w:space="0" w:color="auto"/>
              <w:right w:val="single" w:sz="12" w:space="0" w:color="auto"/>
            </w:tcBorders>
          </w:tcPr>
          <w:p w:rsidR="0089227D" w:rsidRPr="0013700D" w:rsidRDefault="0089227D" w:rsidP="0013700D">
            <w:pPr>
              <w:pStyle w:val="NoSpacing"/>
              <w:rPr>
                <w:sz w:val="18"/>
                <w:szCs w:val="18"/>
              </w:rPr>
            </w:pPr>
          </w:p>
        </w:tc>
      </w:tr>
      <w:tr w:rsidR="0089227D" w:rsidRPr="0089227D" w:rsidTr="0013700D">
        <w:trPr>
          <w:trHeight w:val="20"/>
        </w:trPr>
        <w:tc>
          <w:tcPr>
            <w:tcW w:w="1419" w:type="dxa"/>
            <w:tcBorders>
              <w:top w:val="single" w:sz="6" w:space="0" w:color="auto"/>
              <w:left w:val="single" w:sz="12"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Independent variables</w:t>
            </w:r>
          </w:p>
        </w:tc>
        <w:tc>
          <w:tcPr>
            <w:tcW w:w="992" w:type="dxa"/>
            <w:tcBorders>
              <w:top w:val="single" w:sz="6" w:space="0" w:color="auto"/>
              <w:left w:val="single" w:sz="12" w:space="0" w:color="auto"/>
              <w:bottom w:val="single" w:sz="12" w:space="0" w:color="auto"/>
              <w:right w:val="single" w:sz="6" w:space="0" w:color="auto"/>
            </w:tcBorders>
          </w:tcPr>
          <w:p w:rsidR="0089227D" w:rsidRPr="0013700D" w:rsidRDefault="0089227D" w:rsidP="0013700D">
            <w:pPr>
              <w:pStyle w:val="NoSpacing"/>
              <w:rPr>
                <w:sz w:val="18"/>
                <w:szCs w:val="18"/>
              </w:rPr>
            </w:pPr>
            <w:r w:rsidRPr="0013700D">
              <w:rPr>
                <w:sz w:val="18"/>
                <w:szCs w:val="18"/>
              </w:rPr>
              <w:t>Coeff. (B)</w:t>
            </w:r>
          </w:p>
        </w:tc>
        <w:tc>
          <w:tcPr>
            <w:tcW w:w="851" w:type="dxa"/>
            <w:tcBorders>
              <w:top w:val="single" w:sz="6" w:space="0" w:color="auto"/>
              <w:left w:val="single" w:sz="6" w:space="0" w:color="auto"/>
              <w:bottom w:val="single" w:sz="12" w:space="0" w:color="auto"/>
              <w:right w:val="single" w:sz="4" w:space="0" w:color="auto"/>
            </w:tcBorders>
          </w:tcPr>
          <w:p w:rsidR="0089227D" w:rsidRPr="0013700D" w:rsidRDefault="0089227D" w:rsidP="0013700D">
            <w:pPr>
              <w:pStyle w:val="NoSpacing"/>
              <w:rPr>
                <w:sz w:val="18"/>
                <w:szCs w:val="18"/>
              </w:rPr>
            </w:pPr>
            <w:r w:rsidRPr="0013700D">
              <w:rPr>
                <w:sz w:val="18"/>
                <w:szCs w:val="18"/>
              </w:rPr>
              <w:t>Sig. value</w:t>
            </w:r>
          </w:p>
        </w:tc>
        <w:tc>
          <w:tcPr>
            <w:tcW w:w="709" w:type="dxa"/>
            <w:tcBorders>
              <w:top w:val="single" w:sz="6" w:space="0" w:color="auto"/>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 xml:space="preserve">Odds ratio </w:t>
            </w:r>
          </w:p>
        </w:tc>
        <w:tc>
          <w:tcPr>
            <w:tcW w:w="991" w:type="dxa"/>
            <w:tcBorders>
              <w:top w:val="single" w:sz="6" w:space="0" w:color="auto"/>
              <w:left w:val="single" w:sz="12" w:space="0" w:color="auto"/>
              <w:bottom w:val="single" w:sz="12" w:space="0" w:color="auto"/>
              <w:right w:val="single" w:sz="6" w:space="0" w:color="auto"/>
            </w:tcBorders>
          </w:tcPr>
          <w:p w:rsidR="0089227D" w:rsidRPr="0013700D" w:rsidRDefault="0089227D" w:rsidP="0013700D">
            <w:pPr>
              <w:pStyle w:val="NoSpacing"/>
              <w:rPr>
                <w:sz w:val="18"/>
                <w:szCs w:val="18"/>
              </w:rPr>
            </w:pPr>
            <w:r w:rsidRPr="0013700D">
              <w:rPr>
                <w:sz w:val="18"/>
                <w:szCs w:val="18"/>
              </w:rPr>
              <w:t>Coeff.(B)</w:t>
            </w:r>
          </w:p>
        </w:tc>
        <w:tc>
          <w:tcPr>
            <w:tcW w:w="851" w:type="dxa"/>
            <w:tcBorders>
              <w:top w:val="single" w:sz="6" w:space="0" w:color="auto"/>
              <w:left w:val="single" w:sz="6" w:space="0" w:color="auto"/>
              <w:bottom w:val="single" w:sz="12" w:space="0" w:color="auto"/>
              <w:right w:val="single" w:sz="4" w:space="0" w:color="auto"/>
            </w:tcBorders>
          </w:tcPr>
          <w:p w:rsidR="0089227D" w:rsidRPr="0013700D" w:rsidRDefault="0089227D" w:rsidP="0013700D">
            <w:pPr>
              <w:pStyle w:val="NoSpacing"/>
              <w:rPr>
                <w:sz w:val="18"/>
                <w:szCs w:val="18"/>
              </w:rPr>
            </w:pPr>
            <w:r w:rsidRPr="0013700D">
              <w:rPr>
                <w:sz w:val="18"/>
                <w:szCs w:val="18"/>
              </w:rPr>
              <w:t>Sig. value</w:t>
            </w:r>
          </w:p>
        </w:tc>
        <w:tc>
          <w:tcPr>
            <w:tcW w:w="709" w:type="dxa"/>
            <w:tcBorders>
              <w:top w:val="single" w:sz="6" w:space="0" w:color="auto"/>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Odds ratio</w:t>
            </w:r>
          </w:p>
        </w:tc>
        <w:tc>
          <w:tcPr>
            <w:tcW w:w="992" w:type="dxa"/>
            <w:tcBorders>
              <w:top w:val="single" w:sz="6" w:space="0" w:color="auto"/>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Coeff. (B)</w:t>
            </w:r>
          </w:p>
        </w:tc>
        <w:tc>
          <w:tcPr>
            <w:tcW w:w="851" w:type="dxa"/>
            <w:tcBorders>
              <w:top w:val="single" w:sz="6" w:space="0" w:color="auto"/>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Sig. value</w:t>
            </w:r>
          </w:p>
        </w:tc>
        <w:tc>
          <w:tcPr>
            <w:tcW w:w="992" w:type="dxa"/>
            <w:tcBorders>
              <w:top w:val="single" w:sz="6" w:space="0" w:color="auto"/>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 xml:space="preserve">Odds ratio </w:t>
            </w:r>
          </w:p>
        </w:tc>
      </w:tr>
      <w:tr w:rsidR="0089227D" w:rsidRPr="0089227D" w:rsidTr="0013700D">
        <w:trPr>
          <w:trHeight w:val="20"/>
        </w:trPr>
        <w:tc>
          <w:tcPr>
            <w:tcW w:w="1419" w:type="dxa"/>
            <w:tcBorders>
              <w:top w:val="single" w:sz="12" w:space="0" w:color="auto"/>
              <w:left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 xml:space="preserve">INDFRAUD </w:t>
            </w:r>
          </w:p>
        </w:tc>
        <w:tc>
          <w:tcPr>
            <w:tcW w:w="992" w:type="dxa"/>
            <w:tcBorders>
              <w:top w:val="single" w:sz="12" w:space="0" w:color="auto"/>
              <w:left w:val="single" w:sz="12" w:space="0" w:color="auto"/>
              <w:right w:val="single" w:sz="4" w:space="0" w:color="auto"/>
            </w:tcBorders>
          </w:tcPr>
          <w:p w:rsidR="0089227D" w:rsidRPr="0013700D" w:rsidRDefault="00466282" w:rsidP="0013700D">
            <w:pPr>
              <w:pStyle w:val="NoSpacing"/>
              <w:rPr>
                <w:sz w:val="18"/>
                <w:szCs w:val="18"/>
              </w:rPr>
            </w:pPr>
            <w:r w:rsidRPr="0013700D">
              <w:rPr>
                <w:sz w:val="18"/>
                <w:szCs w:val="18"/>
              </w:rPr>
              <w:t>.293</w:t>
            </w:r>
          </w:p>
        </w:tc>
        <w:tc>
          <w:tcPr>
            <w:tcW w:w="851" w:type="dxa"/>
            <w:tcBorders>
              <w:top w:val="single" w:sz="12" w:space="0" w:color="auto"/>
              <w:left w:val="single" w:sz="4" w:space="0" w:color="auto"/>
              <w:right w:val="single" w:sz="4" w:space="0" w:color="auto"/>
            </w:tcBorders>
          </w:tcPr>
          <w:p w:rsidR="0089227D" w:rsidRPr="0013700D" w:rsidRDefault="00466282" w:rsidP="0013700D">
            <w:pPr>
              <w:pStyle w:val="NoSpacing"/>
              <w:rPr>
                <w:sz w:val="18"/>
                <w:szCs w:val="18"/>
              </w:rPr>
            </w:pPr>
            <w:r w:rsidRPr="0013700D">
              <w:rPr>
                <w:sz w:val="18"/>
                <w:szCs w:val="18"/>
              </w:rPr>
              <w:t>.001**</w:t>
            </w:r>
          </w:p>
        </w:tc>
        <w:tc>
          <w:tcPr>
            <w:tcW w:w="709" w:type="dxa"/>
            <w:tcBorders>
              <w:top w:val="single" w:sz="12" w:space="0" w:color="auto"/>
              <w:left w:val="single" w:sz="4" w:space="0" w:color="auto"/>
              <w:right w:val="single" w:sz="12" w:space="0" w:color="auto"/>
            </w:tcBorders>
          </w:tcPr>
          <w:p w:rsidR="0089227D" w:rsidRPr="0013700D" w:rsidRDefault="00466282" w:rsidP="0013700D">
            <w:pPr>
              <w:pStyle w:val="NoSpacing"/>
              <w:rPr>
                <w:sz w:val="18"/>
                <w:szCs w:val="18"/>
              </w:rPr>
            </w:pPr>
            <w:r w:rsidRPr="0013700D">
              <w:rPr>
                <w:sz w:val="18"/>
                <w:szCs w:val="18"/>
              </w:rPr>
              <w:t>1.341</w:t>
            </w:r>
          </w:p>
        </w:tc>
        <w:tc>
          <w:tcPr>
            <w:tcW w:w="991" w:type="dxa"/>
            <w:tcBorders>
              <w:top w:val="single" w:sz="12" w:space="0" w:color="auto"/>
              <w:left w:val="single" w:sz="12" w:space="0" w:color="auto"/>
              <w:right w:val="single" w:sz="4" w:space="0" w:color="auto"/>
            </w:tcBorders>
          </w:tcPr>
          <w:p w:rsidR="0089227D" w:rsidRPr="0013700D" w:rsidRDefault="00FD2D11" w:rsidP="0013700D">
            <w:pPr>
              <w:pStyle w:val="NoSpacing"/>
              <w:rPr>
                <w:sz w:val="18"/>
                <w:szCs w:val="18"/>
              </w:rPr>
            </w:pPr>
            <w:r w:rsidRPr="0013700D">
              <w:rPr>
                <w:sz w:val="18"/>
                <w:szCs w:val="18"/>
              </w:rPr>
              <w:t>.292</w:t>
            </w:r>
          </w:p>
        </w:tc>
        <w:tc>
          <w:tcPr>
            <w:tcW w:w="851" w:type="dxa"/>
            <w:tcBorders>
              <w:top w:val="single" w:sz="12" w:space="0" w:color="auto"/>
              <w:left w:val="single" w:sz="4" w:space="0" w:color="auto"/>
              <w:right w:val="single" w:sz="4" w:space="0" w:color="auto"/>
            </w:tcBorders>
          </w:tcPr>
          <w:p w:rsidR="0089227D" w:rsidRPr="0013700D" w:rsidRDefault="00FD2D11" w:rsidP="0013700D">
            <w:pPr>
              <w:pStyle w:val="NoSpacing"/>
              <w:rPr>
                <w:sz w:val="18"/>
                <w:szCs w:val="18"/>
              </w:rPr>
            </w:pPr>
            <w:r w:rsidRPr="0013700D">
              <w:rPr>
                <w:sz w:val="18"/>
                <w:szCs w:val="18"/>
              </w:rPr>
              <w:t>.001**</w:t>
            </w:r>
          </w:p>
        </w:tc>
        <w:tc>
          <w:tcPr>
            <w:tcW w:w="709" w:type="dxa"/>
            <w:tcBorders>
              <w:top w:val="single" w:sz="12" w:space="0" w:color="auto"/>
              <w:left w:val="single" w:sz="4" w:space="0" w:color="auto"/>
              <w:right w:val="single" w:sz="12" w:space="0" w:color="auto"/>
            </w:tcBorders>
          </w:tcPr>
          <w:p w:rsidR="0089227D" w:rsidRPr="0013700D" w:rsidRDefault="00FD2D11" w:rsidP="0013700D">
            <w:pPr>
              <w:pStyle w:val="NoSpacing"/>
              <w:rPr>
                <w:sz w:val="18"/>
                <w:szCs w:val="18"/>
              </w:rPr>
            </w:pPr>
            <w:r w:rsidRPr="0013700D">
              <w:rPr>
                <w:sz w:val="18"/>
                <w:szCs w:val="18"/>
              </w:rPr>
              <w:t>1.124</w:t>
            </w:r>
          </w:p>
        </w:tc>
        <w:tc>
          <w:tcPr>
            <w:tcW w:w="992" w:type="dxa"/>
            <w:tcBorders>
              <w:top w:val="single" w:sz="12" w:space="0" w:color="auto"/>
              <w:left w:val="single" w:sz="4" w:space="0" w:color="auto"/>
              <w:right w:val="single" w:sz="12" w:space="0" w:color="auto"/>
            </w:tcBorders>
          </w:tcPr>
          <w:p w:rsidR="0089227D" w:rsidRPr="0013700D" w:rsidRDefault="00FD2D11" w:rsidP="0013700D">
            <w:pPr>
              <w:pStyle w:val="NoSpacing"/>
              <w:rPr>
                <w:sz w:val="18"/>
                <w:szCs w:val="18"/>
              </w:rPr>
            </w:pPr>
            <w:r w:rsidRPr="0013700D">
              <w:rPr>
                <w:sz w:val="18"/>
                <w:szCs w:val="18"/>
              </w:rPr>
              <w:t>.286</w:t>
            </w:r>
          </w:p>
        </w:tc>
        <w:tc>
          <w:tcPr>
            <w:tcW w:w="851" w:type="dxa"/>
            <w:tcBorders>
              <w:top w:val="single" w:sz="12" w:space="0" w:color="auto"/>
              <w:left w:val="single" w:sz="4" w:space="0" w:color="auto"/>
              <w:right w:val="single" w:sz="12" w:space="0" w:color="auto"/>
            </w:tcBorders>
          </w:tcPr>
          <w:p w:rsidR="0089227D" w:rsidRPr="0013700D" w:rsidRDefault="00FD2D11" w:rsidP="0013700D">
            <w:pPr>
              <w:pStyle w:val="NoSpacing"/>
              <w:rPr>
                <w:sz w:val="18"/>
                <w:szCs w:val="18"/>
              </w:rPr>
            </w:pPr>
            <w:r w:rsidRPr="0013700D">
              <w:rPr>
                <w:sz w:val="18"/>
                <w:szCs w:val="18"/>
              </w:rPr>
              <w:t>.001**</w:t>
            </w:r>
          </w:p>
        </w:tc>
        <w:tc>
          <w:tcPr>
            <w:tcW w:w="992" w:type="dxa"/>
            <w:tcBorders>
              <w:top w:val="single" w:sz="12" w:space="0" w:color="auto"/>
              <w:left w:val="single" w:sz="4" w:space="0" w:color="auto"/>
              <w:right w:val="single" w:sz="12" w:space="0" w:color="auto"/>
            </w:tcBorders>
          </w:tcPr>
          <w:p w:rsidR="0089227D" w:rsidRPr="0013700D" w:rsidRDefault="00FD2D11" w:rsidP="0013700D">
            <w:pPr>
              <w:pStyle w:val="NoSpacing"/>
              <w:rPr>
                <w:sz w:val="18"/>
                <w:szCs w:val="18"/>
              </w:rPr>
            </w:pPr>
            <w:r w:rsidRPr="0013700D">
              <w:rPr>
                <w:sz w:val="18"/>
                <w:szCs w:val="18"/>
              </w:rPr>
              <w:t>1.331</w:t>
            </w:r>
          </w:p>
        </w:tc>
      </w:tr>
      <w:tr w:rsidR="0089227D" w:rsidRPr="0089227D" w:rsidTr="0013700D">
        <w:trPr>
          <w:trHeight w:val="20"/>
        </w:trPr>
        <w:tc>
          <w:tcPr>
            <w:tcW w:w="1419" w:type="dxa"/>
            <w:tcBorders>
              <w:left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 xml:space="preserve">INDCOMP </w:t>
            </w:r>
          </w:p>
        </w:tc>
        <w:tc>
          <w:tcPr>
            <w:tcW w:w="992" w:type="dxa"/>
            <w:tcBorders>
              <w:left w:val="single" w:sz="12" w:space="0" w:color="auto"/>
              <w:right w:val="single" w:sz="4" w:space="0" w:color="auto"/>
            </w:tcBorders>
          </w:tcPr>
          <w:p w:rsidR="0089227D" w:rsidRPr="0013700D" w:rsidRDefault="00466282" w:rsidP="0013700D">
            <w:pPr>
              <w:pStyle w:val="NoSpacing"/>
              <w:rPr>
                <w:sz w:val="18"/>
                <w:szCs w:val="18"/>
              </w:rPr>
            </w:pPr>
            <w:r w:rsidRPr="0013700D">
              <w:rPr>
                <w:sz w:val="18"/>
                <w:szCs w:val="18"/>
              </w:rPr>
              <w:t>.441</w:t>
            </w:r>
          </w:p>
        </w:tc>
        <w:tc>
          <w:tcPr>
            <w:tcW w:w="851" w:type="dxa"/>
            <w:tcBorders>
              <w:left w:val="single" w:sz="4" w:space="0" w:color="auto"/>
              <w:right w:val="single" w:sz="4" w:space="0" w:color="auto"/>
            </w:tcBorders>
          </w:tcPr>
          <w:p w:rsidR="0089227D" w:rsidRPr="0013700D" w:rsidRDefault="00466282" w:rsidP="0013700D">
            <w:pPr>
              <w:pStyle w:val="NoSpacing"/>
              <w:rPr>
                <w:sz w:val="18"/>
                <w:szCs w:val="18"/>
              </w:rPr>
            </w:pPr>
            <w:r w:rsidRPr="0013700D">
              <w:rPr>
                <w:sz w:val="18"/>
                <w:szCs w:val="18"/>
              </w:rPr>
              <w:t>.040**</w:t>
            </w:r>
          </w:p>
        </w:tc>
        <w:tc>
          <w:tcPr>
            <w:tcW w:w="709" w:type="dxa"/>
            <w:tcBorders>
              <w:left w:val="single" w:sz="4" w:space="0" w:color="auto"/>
              <w:right w:val="single" w:sz="12" w:space="0" w:color="auto"/>
            </w:tcBorders>
          </w:tcPr>
          <w:p w:rsidR="0089227D" w:rsidRPr="0013700D" w:rsidRDefault="00466282" w:rsidP="0013700D">
            <w:pPr>
              <w:pStyle w:val="NoSpacing"/>
              <w:rPr>
                <w:sz w:val="18"/>
                <w:szCs w:val="18"/>
              </w:rPr>
            </w:pPr>
            <w:r w:rsidRPr="0013700D">
              <w:rPr>
                <w:sz w:val="18"/>
                <w:szCs w:val="18"/>
              </w:rPr>
              <w:t>1.555</w:t>
            </w:r>
          </w:p>
        </w:tc>
        <w:tc>
          <w:tcPr>
            <w:tcW w:w="991" w:type="dxa"/>
            <w:tcBorders>
              <w:left w:val="single" w:sz="12" w:space="0" w:color="auto"/>
              <w:right w:val="single" w:sz="4" w:space="0" w:color="auto"/>
            </w:tcBorders>
          </w:tcPr>
          <w:p w:rsidR="0089227D" w:rsidRPr="0013700D" w:rsidRDefault="00FD2D11" w:rsidP="0013700D">
            <w:pPr>
              <w:pStyle w:val="NoSpacing"/>
              <w:rPr>
                <w:sz w:val="18"/>
                <w:szCs w:val="18"/>
              </w:rPr>
            </w:pPr>
            <w:r w:rsidRPr="0013700D">
              <w:rPr>
                <w:sz w:val="18"/>
                <w:szCs w:val="18"/>
              </w:rPr>
              <w:t>.439</w:t>
            </w:r>
          </w:p>
        </w:tc>
        <w:tc>
          <w:tcPr>
            <w:tcW w:w="851" w:type="dxa"/>
            <w:tcBorders>
              <w:left w:val="single" w:sz="4" w:space="0" w:color="auto"/>
              <w:right w:val="single" w:sz="4" w:space="0" w:color="auto"/>
            </w:tcBorders>
          </w:tcPr>
          <w:p w:rsidR="0089227D" w:rsidRPr="0013700D" w:rsidRDefault="00FD2D11" w:rsidP="0013700D">
            <w:pPr>
              <w:pStyle w:val="NoSpacing"/>
              <w:rPr>
                <w:sz w:val="18"/>
                <w:szCs w:val="18"/>
              </w:rPr>
            </w:pPr>
            <w:r w:rsidRPr="0013700D">
              <w:rPr>
                <w:sz w:val="18"/>
                <w:szCs w:val="18"/>
              </w:rPr>
              <w:t>.041**</w:t>
            </w:r>
          </w:p>
        </w:tc>
        <w:tc>
          <w:tcPr>
            <w:tcW w:w="709" w:type="dxa"/>
            <w:tcBorders>
              <w:left w:val="single" w:sz="4" w:space="0" w:color="auto"/>
              <w:right w:val="single" w:sz="12" w:space="0" w:color="auto"/>
            </w:tcBorders>
          </w:tcPr>
          <w:p w:rsidR="0089227D" w:rsidRPr="0013700D" w:rsidRDefault="00FD2D11" w:rsidP="0013700D">
            <w:pPr>
              <w:pStyle w:val="NoSpacing"/>
              <w:rPr>
                <w:sz w:val="18"/>
                <w:szCs w:val="18"/>
              </w:rPr>
            </w:pPr>
            <w:r w:rsidRPr="0013700D">
              <w:rPr>
                <w:sz w:val="18"/>
                <w:szCs w:val="18"/>
              </w:rPr>
              <w:t>1.019</w:t>
            </w:r>
          </w:p>
        </w:tc>
        <w:tc>
          <w:tcPr>
            <w:tcW w:w="992" w:type="dxa"/>
            <w:tcBorders>
              <w:left w:val="single" w:sz="4" w:space="0" w:color="auto"/>
              <w:right w:val="single" w:sz="12" w:space="0" w:color="auto"/>
            </w:tcBorders>
          </w:tcPr>
          <w:p w:rsidR="0089227D" w:rsidRPr="0013700D" w:rsidRDefault="00FD2D11" w:rsidP="0013700D">
            <w:pPr>
              <w:pStyle w:val="NoSpacing"/>
              <w:rPr>
                <w:sz w:val="18"/>
                <w:szCs w:val="18"/>
              </w:rPr>
            </w:pPr>
            <w:r w:rsidRPr="0013700D">
              <w:rPr>
                <w:sz w:val="18"/>
                <w:szCs w:val="18"/>
              </w:rPr>
              <w:t>.436</w:t>
            </w:r>
          </w:p>
        </w:tc>
        <w:tc>
          <w:tcPr>
            <w:tcW w:w="851" w:type="dxa"/>
            <w:tcBorders>
              <w:left w:val="single" w:sz="4" w:space="0" w:color="auto"/>
              <w:right w:val="single" w:sz="12" w:space="0" w:color="auto"/>
            </w:tcBorders>
          </w:tcPr>
          <w:p w:rsidR="0089227D" w:rsidRPr="0013700D" w:rsidRDefault="00FD2D11" w:rsidP="0013700D">
            <w:pPr>
              <w:pStyle w:val="NoSpacing"/>
              <w:rPr>
                <w:sz w:val="18"/>
                <w:szCs w:val="18"/>
              </w:rPr>
            </w:pPr>
            <w:r w:rsidRPr="0013700D">
              <w:rPr>
                <w:sz w:val="18"/>
                <w:szCs w:val="18"/>
              </w:rPr>
              <w:t>.042**</w:t>
            </w:r>
          </w:p>
        </w:tc>
        <w:tc>
          <w:tcPr>
            <w:tcW w:w="992" w:type="dxa"/>
            <w:tcBorders>
              <w:left w:val="single" w:sz="4" w:space="0" w:color="auto"/>
              <w:right w:val="single" w:sz="12" w:space="0" w:color="auto"/>
            </w:tcBorders>
          </w:tcPr>
          <w:p w:rsidR="0089227D" w:rsidRPr="0013700D" w:rsidRDefault="00FD2D11" w:rsidP="0013700D">
            <w:pPr>
              <w:pStyle w:val="NoSpacing"/>
              <w:rPr>
                <w:sz w:val="18"/>
                <w:szCs w:val="18"/>
              </w:rPr>
            </w:pPr>
            <w:r w:rsidRPr="0013700D">
              <w:rPr>
                <w:sz w:val="18"/>
                <w:szCs w:val="18"/>
              </w:rPr>
              <w:t>1.546</w:t>
            </w:r>
          </w:p>
        </w:tc>
      </w:tr>
      <w:tr w:rsidR="004D7360" w:rsidRPr="0089227D" w:rsidTr="0013700D">
        <w:trPr>
          <w:trHeight w:val="20"/>
        </w:trPr>
        <w:tc>
          <w:tcPr>
            <w:tcW w:w="1419" w:type="dxa"/>
            <w:tcBorders>
              <w:left w:val="single" w:sz="12" w:space="0" w:color="auto"/>
              <w:right w:val="single" w:sz="12" w:space="0" w:color="auto"/>
            </w:tcBorders>
          </w:tcPr>
          <w:p w:rsidR="004D7360" w:rsidRPr="0013700D" w:rsidRDefault="004D7360" w:rsidP="0013700D">
            <w:pPr>
              <w:pStyle w:val="NoSpacing"/>
              <w:rPr>
                <w:sz w:val="18"/>
                <w:szCs w:val="18"/>
              </w:rPr>
            </w:pPr>
            <w:r w:rsidRPr="0013700D">
              <w:rPr>
                <w:sz w:val="18"/>
                <w:szCs w:val="18"/>
              </w:rPr>
              <w:t xml:space="preserve">RESTRUCTD </w:t>
            </w:r>
          </w:p>
        </w:tc>
        <w:tc>
          <w:tcPr>
            <w:tcW w:w="992" w:type="dxa"/>
            <w:tcBorders>
              <w:left w:val="single" w:sz="12" w:space="0" w:color="auto"/>
              <w:right w:val="single" w:sz="4" w:space="0" w:color="auto"/>
            </w:tcBorders>
          </w:tcPr>
          <w:p w:rsidR="004D7360" w:rsidRPr="0013700D" w:rsidRDefault="00466282" w:rsidP="0013700D">
            <w:pPr>
              <w:pStyle w:val="NoSpacing"/>
              <w:rPr>
                <w:sz w:val="18"/>
                <w:szCs w:val="18"/>
              </w:rPr>
            </w:pPr>
            <w:r w:rsidRPr="0013700D">
              <w:rPr>
                <w:sz w:val="18"/>
                <w:szCs w:val="18"/>
              </w:rPr>
              <w:t>.122</w:t>
            </w:r>
          </w:p>
        </w:tc>
        <w:tc>
          <w:tcPr>
            <w:tcW w:w="851" w:type="dxa"/>
            <w:tcBorders>
              <w:left w:val="single" w:sz="4" w:space="0" w:color="auto"/>
              <w:right w:val="single" w:sz="4" w:space="0" w:color="auto"/>
            </w:tcBorders>
          </w:tcPr>
          <w:p w:rsidR="004D7360" w:rsidRPr="0013700D" w:rsidRDefault="00466282" w:rsidP="0013700D">
            <w:pPr>
              <w:pStyle w:val="NoSpacing"/>
              <w:rPr>
                <w:sz w:val="18"/>
                <w:szCs w:val="18"/>
              </w:rPr>
            </w:pPr>
            <w:r w:rsidRPr="0013700D">
              <w:rPr>
                <w:sz w:val="18"/>
                <w:szCs w:val="18"/>
              </w:rPr>
              <w:t>.265</w:t>
            </w:r>
          </w:p>
        </w:tc>
        <w:tc>
          <w:tcPr>
            <w:tcW w:w="709" w:type="dxa"/>
            <w:tcBorders>
              <w:left w:val="single" w:sz="4" w:space="0" w:color="auto"/>
              <w:right w:val="single" w:sz="12" w:space="0" w:color="auto"/>
            </w:tcBorders>
          </w:tcPr>
          <w:p w:rsidR="004D7360" w:rsidRPr="0013700D" w:rsidRDefault="00466282" w:rsidP="0013700D">
            <w:pPr>
              <w:pStyle w:val="NoSpacing"/>
              <w:rPr>
                <w:sz w:val="18"/>
                <w:szCs w:val="18"/>
              </w:rPr>
            </w:pPr>
            <w:r w:rsidRPr="0013700D">
              <w:rPr>
                <w:sz w:val="18"/>
                <w:szCs w:val="18"/>
              </w:rPr>
              <w:t>1.130</w:t>
            </w:r>
          </w:p>
        </w:tc>
        <w:tc>
          <w:tcPr>
            <w:tcW w:w="991" w:type="dxa"/>
            <w:tcBorders>
              <w:left w:val="single" w:sz="12"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851" w:type="dxa"/>
            <w:tcBorders>
              <w:left w:val="single" w:sz="4"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709"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992"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851"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992"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r>
      <w:tr w:rsidR="004D7360" w:rsidRPr="0089227D" w:rsidTr="0013700D">
        <w:trPr>
          <w:trHeight w:val="20"/>
        </w:trPr>
        <w:tc>
          <w:tcPr>
            <w:tcW w:w="1419" w:type="dxa"/>
            <w:tcBorders>
              <w:left w:val="single" w:sz="12" w:space="0" w:color="auto"/>
              <w:right w:val="single" w:sz="12" w:space="0" w:color="auto"/>
            </w:tcBorders>
          </w:tcPr>
          <w:p w:rsidR="004D7360" w:rsidRPr="0013700D" w:rsidRDefault="004D7360" w:rsidP="0013700D">
            <w:pPr>
              <w:pStyle w:val="NoSpacing"/>
              <w:rPr>
                <w:sz w:val="18"/>
                <w:szCs w:val="18"/>
              </w:rPr>
            </w:pPr>
            <w:r w:rsidRPr="0013700D">
              <w:rPr>
                <w:sz w:val="18"/>
                <w:szCs w:val="18"/>
              </w:rPr>
              <w:t xml:space="preserve">RESTRUCTP </w:t>
            </w:r>
          </w:p>
        </w:tc>
        <w:tc>
          <w:tcPr>
            <w:tcW w:w="992" w:type="dxa"/>
            <w:tcBorders>
              <w:left w:val="single" w:sz="12"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851" w:type="dxa"/>
            <w:tcBorders>
              <w:left w:val="single" w:sz="4"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709"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991" w:type="dxa"/>
            <w:tcBorders>
              <w:left w:val="single" w:sz="12"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851" w:type="dxa"/>
            <w:tcBorders>
              <w:left w:val="single" w:sz="4"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709"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992" w:type="dxa"/>
            <w:tcBorders>
              <w:left w:val="single" w:sz="4" w:space="0" w:color="auto"/>
              <w:right w:val="single" w:sz="12" w:space="0" w:color="auto"/>
            </w:tcBorders>
          </w:tcPr>
          <w:p w:rsidR="004D7360" w:rsidRPr="0013700D" w:rsidRDefault="00FD2D11" w:rsidP="0013700D">
            <w:pPr>
              <w:pStyle w:val="NoSpacing"/>
              <w:rPr>
                <w:sz w:val="18"/>
                <w:szCs w:val="18"/>
              </w:rPr>
            </w:pPr>
            <w:r w:rsidRPr="0013700D">
              <w:rPr>
                <w:sz w:val="18"/>
                <w:szCs w:val="18"/>
              </w:rPr>
              <w:t>.215</w:t>
            </w:r>
          </w:p>
        </w:tc>
        <w:tc>
          <w:tcPr>
            <w:tcW w:w="851" w:type="dxa"/>
            <w:tcBorders>
              <w:left w:val="single" w:sz="4" w:space="0" w:color="auto"/>
              <w:right w:val="single" w:sz="12" w:space="0" w:color="auto"/>
            </w:tcBorders>
          </w:tcPr>
          <w:p w:rsidR="004D7360" w:rsidRPr="0013700D" w:rsidRDefault="00FD2D11" w:rsidP="0013700D">
            <w:pPr>
              <w:pStyle w:val="NoSpacing"/>
              <w:rPr>
                <w:sz w:val="18"/>
                <w:szCs w:val="18"/>
              </w:rPr>
            </w:pPr>
            <w:r w:rsidRPr="0013700D">
              <w:rPr>
                <w:sz w:val="18"/>
                <w:szCs w:val="18"/>
              </w:rPr>
              <w:t>.019**</w:t>
            </w:r>
          </w:p>
        </w:tc>
        <w:tc>
          <w:tcPr>
            <w:tcW w:w="992" w:type="dxa"/>
            <w:tcBorders>
              <w:left w:val="single" w:sz="4" w:space="0" w:color="auto"/>
              <w:right w:val="single" w:sz="12" w:space="0" w:color="auto"/>
            </w:tcBorders>
          </w:tcPr>
          <w:p w:rsidR="004D7360" w:rsidRPr="0013700D" w:rsidRDefault="00FD2D11" w:rsidP="0013700D">
            <w:pPr>
              <w:pStyle w:val="NoSpacing"/>
              <w:rPr>
                <w:sz w:val="18"/>
                <w:szCs w:val="18"/>
              </w:rPr>
            </w:pPr>
            <w:r w:rsidRPr="0013700D">
              <w:rPr>
                <w:sz w:val="18"/>
                <w:szCs w:val="18"/>
              </w:rPr>
              <w:t>1.240</w:t>
            </w:r>
          </w:p>
        </w:tc>
      </w:tr>
      <w:tr w:rsidR="0089227D" w:rsidRPr="0089227D" w:rsidTr="0013700D">
        <w:trPr>
          <w:trHeight w:val="20"/>
        </w:trPr>
        <w:tc>
          <w:tcPr>
            <w:tcW w:w="1419" w:type="dxa"/>
            <w:tcBorders>
              <w:left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RESTRUCTC</w:t>
            </w:r>
          </w:p>
        </w:tc>
        <w:tc>
          <w:tcPr>
            <w:tcW w:w="992" w:type="dxa"/>
            <w:tcBorders>
              <w:left w:val="single" w:sz="12" w:space="0" w:color="auto"/>
              <w:right w:val="single" w:sz="4" w:space="0" w:color="auto"/>
            </w:tcBorders>
          </w:tcPr>
          <w:p w:rsidR="0089227D" w:rsidRPr="0013700D" w:rsidRDefault="0089227D" w:rsidP="0013700D">
            <w:pPr>
              <w:pStyle w:val="NoSpacing"/>
              <w:rPr>
                <w:sz w:val="18"/>
                <w:szCs w:val="18"/>
              </w:rPr>
            </w:pPr>
            <w:r w:rsidRPr="0013700D">
              <w:rPr>
                <w:sz w:val="18"/>
                <w:szCs w:val="18"/>
              </w:rPr>
              <w:t>Excl.</w:t>
            </w:r>
          </w:p>
        </w:tc>
        <w:tc>
          <w:tcPr>
            <w:tcW w:w="851" w:type="dxa"/>
            <w:tcBorders>
              <w:left w:val="single" w:sz="4" w:space="0" w:color="auto"/>
              <w:right w:val="single" w:sz="4" w:space="0" w:color="auto"/>
            </w:tcBorders>
          </w:tcPr>
          <w:p w:rsidR="0089227D" w:rsidRPr="0013700D" w:rsidRDefault="0089227D" w:rsidP="0013700D">
            <w:pPr>
              <w:pStyle w:val="NoSpacing"/>
              <w:rPr>
                <w:sz w:val="18"/>
                <w:szCs w:val="18"/>
              </w:rPr>
            </w:pPr>
            <w:r w:rsidRPr="0013700D">
              <w:rPr>
                <w:sz w:val="18"/>
                <w:szCs w:val="18"/>
              </w:rPr>
              <w:t>Excl.</w:t>
            </w:r>
          </w:p>
        </w:tc>
        <w:tc>
          <w:tcPr>
            <w:tcW w:w="709" w:type="dxa"/>
            <w:tcBorders>
              <w:left w:val="single" w:sz="4" w:space="0" w:color="auto"/>
              <w:right w:val="single" w:sz="12" w:space="0" w:color="auto"/>
            </w:tcBorders>
          </w:tcPr>
          <w:p w:rsidR="0089227D" w:rsidRPr="0013700D" w:rsidRDefault="0089227D" w:rsidP="0013700D">
            <w:pPr>
              <w:pStyle w:val="NoSpacing"/>
              <w:rPr>
                <w:sz w:val="18"/>
                <w:szCs w:val="18"/>
              </w:rPr>
            </w:pPr>
            <w:r w:rsidRPr="0013700D">
              <w:rPr>
                <w:sz w:val="18"/>
                <w:szCs w:val="18"/>
              </w:rPr>
              <w:t>Excl.</w:t>
            </w:r>
          </w:p>
        </w:tc>
        <w:tc>
          <w:tcPr>
            <w:tcW w:w="991" w:type="dxa"/>
            <w:tcBorders>
              <w:left w:val="single" w:sz="12" w:space="0" w:color="auto"/>
              <w:right w:val="single" w:sz="4" w:space="0" w:color="auto"/>
            </w:tcBorders>
          </w:tcPr>
          <w:p w:rsidR="0089227D" w:rsidRPr="0013700D" w:rsidRDefault="00FD2D11" w:rsidP="0013700D">
            <w:pPr>
              <w:pStyle w:val="NoSpacing"/>
              <w:rPr>
                <w:sz w:val="18"/>
                <w:szCs w:val="18"/>
              </w:rPr>
            </w:pPr>
            <w:r w:rsidRPr="0013700D">
              <w:rPr>
                <w:sz w:val="18"/>
                <w:szCs w:val="18"/>
              </w:rPr>
              <w:t>-.024</w:t>
            </w:r>
          </w:p>
        </w:tc>
        <w:tc>
          <w:tcPr>
            <w:tcW w:w="851" w:type="dxa"/>
            <w:tcBorders>
              <w:left w:val="single" w:sz="4" w:space="0" w:color="auto"/>
              <w:right w:val="single" w:sz="4" w:space="0" w:color="auto"/>
            </w:tcBorders>
          </w:tcPr>
          <w:p w:rsidR="0089227D" w:rsidRPr="0013700D" w:rsidRDefault="00FD2D11" w:rsidP="0013700D">
            <w:pPr>
              <w:pStyle w:val="NoSpacing"/>
              <w:rPr>
                <w:sz w:val="18"/>
                <w:szCs w:val="18"/>
              </w:rPr>
            </w:pPr>
            <w:r w:rsidRPr="0013700D">
              <w:rPr>
                <w:sz w:val="18"/>
                <w:szCs w:val="18"/>
              </w:rPr>
              <w:t>.140</w:t>
            </w:r>
          </w:p>
        </w:tc>
        <w:tc>
          <w:tcPr>
            <w:tcW w:w="709" w:type="dxa"/>
            <w:tcBorders>
              <w:left w:val="single" w:sz="4" w:space="0" w:color="auto"/>
              <w:right w:val="single" w:sz="12" w:space="0" w:color="auto"/>
            </w:tcBorders>
          </w:tcPr>
          <w:p w:rsidR="0089227D" w:rsidRPr="0013700D" w:rsidRDefault="00FD2D11" w:rsidP="0013700D">
            <w:pPr>
              <w:pStyle w:val="NoSpacing"/>
              <w:rPr>
                <w:sz w:val="18"/>
                <w:szCs w:val="18"/>
              </w:rPr>
            </w:pPr>
            <w:r w:rsidRPr="0013700D">
              <w:rPr>
                <w:sz w:val="18"/>
                <w:szCs w:val="18"/>
              </w:rPr>
              <w:t>.979</w:t>
            </w:r>
          </w:p>
        </w:tc>
        <w:tc>
          <w:tcPr>
            <w:tcW w:w="992" w:type="dxa"/>
            <w:tcBorders>
              <w:left w:val="single" w:sz="4" w:space="0" w:color="auto"/>
              <w:right w:val="single" w:sz="12" w:space="0" w:color="auto"/>
            </w:tcBorders>
          </w:tcPr>
          <w:p w:rsidR="0089227D" w:rsidRPr="0013700D" w:rsidRDefault="0089227D" w:rsidP="0013700D">
            <w:pPr>
              <w:pStyle w:val="NoSpacing"/>
              <w:rPr>
                <w:sz w:val="18"/>
                <w:szCs w:val="18"/>
              </w:rPr>
            </w:pPr>
            <w:r w:rsidRPr="0013700D">
              <w:rPr>
                <w:sz w:val="18"/>
                <w:szCs w:val="18"/>
              </w:rPr>
              <w:t>Excl.</w:t>
            </w:r>
          </w:p>
        </w:tc>
        <w:tc>
          <w:tcPr>
            <w:tcW w:w="851" w:type="dxa"/>
            <w:tcBorders>
              <w:left w:val="single" w:sz="4" w:space="0" w:color="auto"/>
              <w:right w:val="single" w:sz="12" w:space="0" w:color="auto"/>
            </w:tcBorders>
          </w:tcPr>
          <w:p w:rsidR="0089227D" w:rsidRPr="0013700D" w:rsidRDefault="0089227D" w:rsidP="0013700D">
            <w:pPr>
              <w:pStyle w:val="NoSpacing"/>
              <w:rPr>
                <w:sz w:val="18"/>
                <w:szCs w:val="18"/>
              </w:rPr>
            </w:pPr>
            <w:r w:rsidRPr="0013700D">
              <w:rPr>
                <w:sz w:val="18"/>
                <w:szCs w:val="18"/>
              </w:rPr>
              <w:t>Excl.</w:t>
            </w:r>
          </w:p>
        </w:tc>
        <w:tc>
          <w:tcPr>
            <w:tcW w:w="992" w:type="dxa"/>
            <w:tcBorders>
              <w:left w:val="single" w:sz="4" w:space="0" w:color="auto"/>
              <w:right w:val="single" w:sz="12" w:space="0" w:color="auto"/>
            </w:tcBorders>
          </w:tcPr>
          <w:p w:rsidR="0089227D" w:rsidRPr="0013700D" w:rsidRDefault="0089227D" w:rsidP="0013700D">
            <w:pPr>
              <w:pStyle w:val="NoSpacing"/>
              <w:rPr>
                <w:sz w:val="18"/>
                <w:szCs w:val="18"/>
              </w:rPr>
            </w:pPr>
            <w:r w:rsidRPr="0013700D">
              <w:rPr>
                <w:sz w:val="18"/>
                <w:szCs w:val="18"/>
              </w:rPr>
              <w:t>Excl.</w:t>
            </w:r>
          </w:p>
        </w:tc>
      </w:tr>
      <w:tr w:rsidR="00FD2D11" w:rsidRPr="0089227D" w:rsidTr="0013700D">
        <w:trPr>
          <w:trHeight w:val="20"/>
        </w:trPr>
        <w:tc>
          <w:tcPr>
            <w:tcW w:w="1419" w:type="dxa"/>
            <w:tcBorders>
              <w:left w:val="single" w:sz="12" w:space="0" w:color="auto"/>
              <w:right w:val="single" w:sz="12" w:space="0" w:color="auto"/>
            </w:tcBorders>
          </w:tcPr>
          <w:p w:rsidR="00FD2D11" w:rsidRPr="0013700D" w:rsidRDefault="00FD2D11" w:rsidP="0013700D">
            <w:pPr>
              <w:pStyle w:val="NoSpacing"/>
              <w:rPr>
                <w:sz w:val="18"/>
                <w:szCs w:val="18"/>
              </w:rPr>
            </w:pPr>
            <w:r w:rsidRPr="0013700D">
              <w:rPr>
                <w:sz w:val="18"/>
                <w:szCs w:val="18"/>
              </w:rPr>
              <w:t>SIZE</w:t>
            </w:r>
          </w:p>
        </w:tc>
        <w:tc>
          <w:tcPr>
            <w:tcW w:w="992"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.154</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.001**</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1.166</w:t>
            </w:r>
          </w:p>
        </w:tc>
        <w:tc>
          <w:tcPr>
            <w:tcW w:w="991"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.156</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1.169</w:t>
            </w:r>
          </w:p>
        </w:tc>
        <w:tc>
          <w:tcPr>
            <w:tcW w:w="992"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.159</w:t>
            </w:r>
          </w:p>
        </w:tc>
        <w:tc>
          <w:tcPr>
            <w:tcW w:w="851" w:type="dxa"/>
            <w:tcBorders>
              <w:left w:val="single" w:sz="4" w:space="0" w:color="auto"/>
              <w:right w:val="single" w:sz="12" w:space="0" w:color="auto"/>
            </w:tcBorders>
          </w:tcPr>
          <w:p w:rsidR="00FD2D11" w:rsidRPr="0013700D" w:rsidRDefault="00383C3A" w:rsidP="0013700D">
            <w:pPr>
              <w:pStyle w:val="NoSpacing"/>
              <w:rPr>
                <w:sz w:val="18"/>
                <w:szCs w:val="18"/>
              </w:rPr>
            </w:pPr>
            <w:r w:rsidRPr="0013700D">
              <w:rPr>
                <w:sz w:val="18"/>
                <w:szCs w:val="18"/>
              </w:rPr>
              <w:t>.000**</w:t>
            </w:r>
          </w:p>
        </w:tc>
        <w:tc>
          <w:tcPr>
            <w:tcW w:w="992" w:type="dxa"/>
            <w:tcBorders>
              <w:left w:val="single" w:sz="4" w:space="0" w:color="auto"/>
              <w:right w:val="single" w:sz="12" w:space="0" w:color="auto"/>
            </w:tcBorders>
          </w:tcPr>
          <w:p w:rsidR="00FD2D11" w:rsidRPr="0013700D" w:rsidRDefault="00383C3A" w:rsidP="0013700D">
            <w:pPr>
              <w:pStyle w:val="NoSpacing"/>
              <w:rPr>
                <w:sz w:val="18"/>
                <w:szCs w:val="18"/>
              </w:rPr>
            </w:pPr>
            <w:r w:rsidRPr="0013700D">
              <w:rPr>
                <w:sz w:val="18"/>
                <w:szCs w:val="18"/>
              </w:rPr>
              <w:t>1.172</w:t>
            </w:r>
          </w:p>
        </w:tc>
      </w:tr>
      <w:tr w:rsidR="00FD2D11" w:rsidRPr="0089227D" w:rsidTr="0013700D">
        <w:trPr>
          <w:trHeight w:val="20"/>
        </w:trPr>
        <w:tc>
          <w:tcPr>
            <w:tcW w:w="1419" w:type="dxa"/>
            <w:tcBorders>
              <w:left w:val="single" w:sz="12" w:space="0" w:color="auto"/>
              <w:right w:val="single" w:sz="12" w:space="0" w:color="auto"/>
            </w:tcBorders>
          </w:tcPr>
          <w:p w:rsidR="00FD2D11" w:rsidRPr="0013700D" w:rsidRDefault="00FD2D11" w:rsidP="0013700D">
            <w:pPr>
              <w:pStyle w:val="NoSpacing"/>
              <w:rPr>
                <w:sz w:val="18"/>
                <w:szCs w:val="18"/>
              </w:rPr>
            </w:pPr>
            <w:r w:rsidRPr="0013700D">
              <w:rPr>
                <w:sz w:val="18"/>
                <w:szCs w:val="18"/>
              </w:rPr>
              <w:t>AGE</w:t>
            </w:r>
          </w:p>
        </w:tc>
        <w:tc>
          <w:tcPr>
            <w:tcW w:w="992"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.503</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1.654</w:t>
            </w:r>
          </w:p>
        </w:tc>
        <w:tc>
          <w:tcPr>
            <w:tcW w:w="991"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.505</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1.657</w:t>
            </w:r>
          </w:p>
        </w:tc>
        <w:tc>
          <w:tcPr>
            <w:tcW w:w="992"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.523</w:t>
            </w:r>
          </w:p>
        </w:tc>
        <w:tc>
          <w:tcPr>
            <w:tcW w:w="851" w:type="dxa"/>
            <w:tcBorders>
              <w:left w:val="single" w:sz="4" w:space="0" w:color="auto"/>
              <w:right w:val="single" w:sz="12" w:space="0" w:color="auto"/>
            </w:tcBorders>
          </w:tcPr>
          <w:p w:rsidR="00FD2D11" w:rsidRPr="0013700D" w:rsidRDefault="00383C3A" w:rsidP="0013700D">
            <w:pPr>
              <w:pStyle w:val="NoSpacing"/>
              <w:rPr>
                <w:sz w:val="18"/>
                <w:szCs w:val="18"/>
              </w:rPr>
            </w:pPr>
            <w:r w:rsidRPr="0013700D">
              <w:rPr>
                <w:sz w:val="18"/>
                <w:szCs w:val="18"/>
              </w:rPr>
              <w:t>.000**</w:t>
            </w:r>
          </w:p>
        </w:tc>
        <w:tc>
          <w:tcPr>
            <w:tcW w:w="992" w:type="dxa"/>
            <w:tcBorders>
              <w:left w:val="single" w:sz="4" w:space="0" w:color="auto"/>
              <w:right w:val="single" w:sz="12" w:space="0" w:color="auto"/>
            </w:tcBorders>
          </w:tcPr>
          <w:p w:rsidR="00FD2D11" w:rsidRPr="0013700D" w:rsidRDefault="00383C3A" w:rsidP="0013700D">
            <w:pPr>
              <w:pStyle w:val="NoSpacing"/>
              <w:rPr>
                <w:sz w:val="18"/>
                <w:szCs w:val="18"/>
              </w:rPr>
            </w:pPr>
            <w:r w:rsidRPr="0013700D">
              <w:rPr>
                <w:sz w:val="18"/>
                <w:szCs w:val="18"/>
              </w:rPr>
              <w:t>1.686</w:t>
            </w:r>
          </w:p>
        </w:tc>
      </w:tr>
      <w:tr w:rsidR="00FD2D11" w:rsidRPr="0089227D" w:rsidTr="0013700D">
        <w:trPr>
          <w:trHeight w:val="20"/>
        </w:trPr>
        <w:tc>
          <w:tcPr>
            <w:tcW w:w="1419" w:type="dxa"/>
            <w:tcBorders>
              <w:left w:val="single" w:sz="12" w:space="0" w:color="auto"/>
              <w:right w:val="single" w:sz="12" w:space="0" w:color="auto"/>
            </w:tcBorders>
          </w:tcPr>
          <w:p w:rsidR="00FD2D11" w:rsidRPr="0013700D" w:rsidRDefault="00FD2D11" w:rsidP="0013700D">
            <w:pPr>
              <w:pStyle w:val="NoSpacing"/>
              <w:rPr>
                <w:sz w:val="18"/>
                <w:szCs w:val="18"/>
              </w:rPr>
            </w:pPr>
            <w:r w:rsidRPr="0013700D">
              <w:rPr>
                <w:sz w:val="18"/>
                <w:szCs w:val="18"/>
              </w:rPr>
              <w:t>LEV</w:t>
            </w:r>
          </w:p>
        </w:tc>
        <w:tc>
          <w:tcPr>
            <w:tcW w:w="992"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.001</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.390</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1.001</w:t>
            </w:r>
          </w:p>
        </w:tc>
        <w:tc>
          <w:tcPr>
            <w:tcW w:w="991"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.001</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.387</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1.001</w:t>
            </w:r>
          </w:p>
        </w:tc>
        <w:tc>
          <w:tcPr>
            <w:tcW w:w="992"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.001</w:t>
            </w:r>
          </w:p>
        </w:tc>
        <w:tc>
          <w:tcPr>
            <w:tcW w:w="851" w:type="dxa"/>
            <w:tcBorders>
              <w:left w:val="single" w:sz="4" w:space="0" w:color="auto"/>
              <w:right w:val="single" w:sz="12" w:space="0" w:color="auto"/>
            </w:tcBorders>
          </w:tcPr>
          <w:p w:rsidR="00FD2D11" w:rsidRPr="0013700D" w:rsidRDefault="00383C3A" w:rsidP="0013700D">
            <w:pPr>
              <w:pStyle w:val="NoSpacing"/>
              <w:rPr>
                <w:sz w:val="18"/>
                <w:szCs w:val="18"/>
              </w:rPr>
            </w:pPr>
            <w:r w:rsidRPr="0013700D">
              <w:rPr>
                <w:sz w:val="18"/>
                <w:szCs w:val="18"/>
              </w:rPr>
              <w:t>.386</w:t>
            </w:r>
          </w:p>
        </w:tc>
        <w:tc>
          <w:tcPr>
            <w:tcW w:w="992" w:type="dxa"/>
            <w:tcBorders>
              <w:left w:val="single" w:sz="4" w:space="0" w:color="auto"/>
              <w:right w:val="single" w:sz="12" w:space="0" w:color="auto"/>
            </w:tcBorders>
          </w:tcPr>
          <w:p w:rsidR="00FD2D11" w:rsidRPr="0013700D" w:rsidRDefault="00383C3A" w:rsidP="0013700D">
            <w:pPr>
              <w:pStyle w:val="NoSpacing"/>
              <w:rPr>
                <w:sz w:val="18"/>
                <w:szCs w:val="18"/>
              </w:rPr>
            </w:pPr>
            <w:r w:rsidRPr="0013700D">
              <w:rPr>
                <w:sz w:val="18"/>
                <w:szCs w:val="18"/>
              </w:rPr>
              <w:t>1.001</w:t>
            </w:r>
          </w:p>
        </w:tc>
      </w:tr>
      <w:tr w:rsidR="00FD2D11" w:rsidRPr="0089227D" w:rsidTr="0013700D">
        <w:trPr>
          <w:trHeight w:val="20"/>
        </w:trPr>
        <w:tc>
          <w:tcPr>
            <w:tcW w:w="1419" w:type="dxa"/>
            <w:tcBorders>
              <w:left w:val="single" w:sz="12" w:space="0" w:color="auto"/>
              <w:right w:val="single" w:sz="12" w:space="0" w:color="auto"/>
            </w:tcBorders>
          </w:tcPr>
          <w:p w:rsidR="00FD2D11" w:rsidRPr="0013700D" w:rsidRDefault="00FD2D11" w:rsidP="0013700D">
            <w:pPr>
              <w:pStyle w:val="NoSpacing"/>
              <w:rPr>
                <w:sz w:val="18"/>
                <w:szCs w:val="18"/>
              </w:rPr>
            </w:pPr>
            <w:r w:rsidRPr="0013700D">
              <w:rPr>
                <w:sz w:val="18"/>
                <w:szCs w:val="18"/>
              </w:rPr>
              <w:t>ROA</w:t>
            </w:r>
          </w:p>
        </w:tc>
        <w:tc>
          <w:tcPr>
            <w:tcW w:w="992"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.001</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.634</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1.001</w:t>
            </w:r>
          </w:p>
        </w:tc>
        <w:tc>
          <w:tcPr>
            <w:tcW w:w="991"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.001</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.639</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1.001</w:t>
            </w:r>
          </w:p>
        </w:tc>
        <w:tc>
          <w:tcPr>
            <w:tcW w:w="992"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.001</w:t>
            </w:r>
          </w:p>
        </w:tc>
        <w:tc>
          <w:tcPr>
            <w:tcW w:w="851"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.630</w:t>
            </w:r>
          </w:p>
        </w:tc>
        <w:tc>
          <w:tcPr>
            <w:tcW w:w="992" w:type="dxa"/>
            <w:tcBorders>
              <w:left w:val="single" w:sz="4" w:space="0" w:color="auto"/>
              <w:right w:val="single" w:sz="12" w:space="0" w:color="auto"/>
            </w:tcBorders>
          </w:tcPr>
          <w:p w:rsidR="00FD2D11" w:rsidRPr="0013700D" w:rsidRDefault="00383C3A" w:rsidP="0013700D">
            <w:pPr>
              <w:pStyle w:val="NoSpacing"/>
              <w:rPr>
                <w:sz w:val="18"/>
                <w:szCs w:val="18"/>
              </w:rPr>
            </w:pPr>
            <w:r w:rsidRPr="0013700D">
              <w:rPr>
                <w:sz w:val="18"/>
                <w:szCs w:val="18"/>
              </w:rPr>
              <w:t>1.001</w:t>
            </w:r>
          </w:p>
        </w:tc>
      </w:tr>
      <w:tr w:rsidR="00FD2D11" w:rsidRPr="0089227D" w:rsidTr="0013700D">
        <w:trPr>
          <w:trHeight w:val="20"/>
        </w:trPr>
        <w:tc>
          <w:tcPr>
            <w:tcW w:w="1419" w:type="dxa"/>
            <w:tcBorders>
              <w:left w:val="single" w:sz="12" w:space="0" w:color="auto"/>
              <w:right w:val="single" w:sz="12" w:space="0" w:color="auto"/>
            </w:tcBorders>
          </w:tcPr>
          <w:p w:rsidR="00FD2D11" w:rsidRPr="0013700D" w:rsidRDefault="00FD2D11" w:rsidP="0013700D">
            <w:pPr>
              <w:pStyle w:val="NoSpacing"/>
              <w:rPr>
                <w:sz w:val="18"/>
                <w:szCs w:val="18"/>
              </w:rPr>
            </w:pPr>
            <w:r w:rsidRPr="0013700D">
              <w:rPr>
                <w:sz w:val="18"/>
                <w:szCs w:val="18"/>
              </w:rPr>
              <w:t>SEGNUM</w:t>
            </w:r>
          </w:p>
        </w:tc>
        <w:tc>
          <w:tcPr>
            <w:tcW w:w="992"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-.033</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.003**</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.967</w:t>
            </w:r>
          </w:p>
        </w:tc>
        <w:tc>
          <w:tcPr>
            <w:tcW w:w="991"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-.032</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.004**</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.968</w:t>
            </w:r>
          </w:p>
        </w:tc>
        <w:tc>
          <w:tcPr>
            <w:tcW w:w="992"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-.030</w:t>
            </w:r>
          </w:p>
        </w:tc>
        <w:tc>
          <w:tcPr>
            <w:tcW w:w="851"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.008**</w:t>
            </w:r>
          </w:p>
        </w:tc>
        <w:tc>
          <w:tcPr>
            <w:tcW w:w="992" w:type="dxa"/>
            <w:tcBorders>
              <w:left w:val="single" w:sz="4" w:space="0" w:color="auto"/>
              <w:right w:val="single" w:sz="12" w:space="0" w:color="auto"/>
            </w:tcBorders>
          </w:tcPr>
          <w:p w:rsidR="00FD2D11" w:rsidRPr="0013700D" w:rsidRDefault="00383C3A" w:rsidP="0013700D">
            <w:pPr>
              <w:pStyle w:val="NoSpacing"/>
              <w:rPr>
                <w:sz w:val="18"/>
                <w:szCs w:val="18"/>
              </w:rPr>
            </w:pPr>
            <w:r w:rsidRPr="0013700D">
              <w:rPr>
                <w:sz w:val="18"/>
                <w:szCs w:val="18"/>
              </w:rPr>
              <w:t>.970</w:t>
            </w:r>
          </w:p>
        </w:tc>
      </w:tr>
      <w:tr w:rsidR="00FD2D11" w:rsidRPr="0089227D" w:rsidTr="0013700D">
        <w:trPr>
          <w:trHeight w:val="20"/>
        </w:trPr>
        <w:tc>
          <w:tcPr>
            <w:tcW w:w="1419" w:type="dxa"/>
            <w:tcBorders>
              <w:left w:val="single" w:sz="12" w:space="0" w:color="auto"/>
              <w:right w:val="single" w:sz="12" w:space="0" w:color="auto"/>
            </w:tcBorders>
          </w:tcPr>
          <w:p w:rsidR="00FD2D11" w:rsidRPr="0013700D" w:rsidRDefault="00FD2D11" w:rsidP="0013700D">
            <w:pPr>
              <w:pStyle w:val="NoSpacing"/>
              <w:rPr>
                <w:sz w:val="18"/>
                <w:szCs w:val="18"/>
              </w:rPr>
            </w:pPr>
            <w:r w:rsidRPr="0013700D">
              <w:rPr>
                <w:sz w:val="18"/>
                <w:szCs w:val="18"/>
              </w:rPr>
              <w:t xml:space="preserve">FORTRANS </w:t>
            </w:r>
          </w:p>
        </w:tc>
        <w:tc>
          <w:tcPr>
            <w:tcW w:w="992"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-.095</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.296</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.909</w:t>
            </w:r>
          </w:p>
        </w:tc>
        <w:tc>
          <w:tcPr>
            <w:tcW w:w="991"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-.094</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.303</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.911</w:t>
            </w:r>
          </w:p>
        </w:tc>
        <w:tc>
          <w:tcPr>
            <w:tcW w:w="992"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-.103</w:t>
            </w:r>
          </w:p>
        </w:tc>
        <w:tc>
          <w:tcPr>
            <w:tcW w:w="851"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.255</w:t>
            </w:r>
          </w:p>
        </w:tc>
        <w:tc>
          <w:tcPr>
            <w:tcW w:w="992" w:type="dxa"/>
            <w:tcBorders>
              <w:left w:val="single" w:sz="4" w:space="0" w:color="auto"/>
              <w:right w:val="single" w:sz="12" w:space="0" w:color="auto"/>
            </w:tcBorders>
          </w:tcPr>
          <w:p w:rsidR="00FD2D11" w:rsidRPr="0013700D" w:rsidRDefault="00383C3A" w:rsidP="0013700D">
            <w:pPr>
              <w:pStyle w:val="NoSpacing"/>
              <w:rPr>
                <w:sz w:val="18"/>
                <w:szCs w:val="18"/>
              </w:rPr>
            </w:pPr>
            <w:r w:rsidRPr="0013700D">
              <w:rPr>
                <w:sz w:val="18"/>
                <w:szCs w:val="18"/>
              </w:rPr>
              <w:t>.902</w:t>
            </w:r>
          </w:p>
        </w:tc>
      </w:tr>
      <w:tr w:rsidR="00FD2D11" w:rsidRPr="0089227D" w:rsidTr="0013700D">
        <w:trPr>
          <w:trHeight w:val="20"/>
        </w:trPr>
        <w:tc>
          <w:tcPr>
            <w:tcW w:w="1419" w:type="dxa"/>
            <w:tcBorders>
              <w:left w:val="single" w:sz="12" w:space="0" w:color="auto"/>
              <w:right w:val="single" w:sz="12" w:space="0" w:color="auto"/>
            </w:tcBorders>
          </w:tcPr>
          <w:p w:rsidR="00FD2D11" w:rsidRPr="0013700D" w:rsidRDefault="00FD2D11" w:rsidP="0013700D">
            <w:pPr>
              <w:pStyle w:val="NoSpacing"/>
              <w:rPr>
                <w:sz w:val="18"/>
                <w:szCs w:val="18"/>
              </w:rPr>
            </w:pPr>
            <w:r w:rsidRPr="0013700D">
              <w:rPr>
                <w:sz w:val="18"/>
                <w:szCs w:val="18"/>
              </w:rPr>
              <w:t xml:space="preserve">BIG 4 </w:t>
            </w:r>
          </w:p>
        </w:tc>
        <w:tc>
          <w:tcPr>
            <w:tcW w:w="992"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.697</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2.007</w:t>
            </w:r>
          </w:p>
        </w:tc>
        <w:tc>
          <w:tcPr>
            <w:tcW w:w="991" w:type="dxa"/>
            <w:tcBorders>
              <w:left w:val="single" w:sz="12" w:space="0" w:color="auto"/>
              <w:right w:val="single" w:sz="4" w:space="0" w:color="auto"/>
            </w:tcBorders>
          </w:tcPr>
          <w:p w:rsidR="00FD2D11" w:rsidRPr="0013700D" w:rsidRDefault="00FD2D11" w:rsidP="0013700D">
            <w:pPr>
              <w:pStyle w:val="NoSpacing"/>
              <w:rPr>
                <w:sz w:val="18"/>
                <w:szCs w:val="18"/>
              </w:rPr>
            </w:pPr>
            <w:r w:rsidRPr="0013700D">
              <w:rPr>
                <w:sz w:val="18"/>
                <w:szCs w:val="18"/>
              </w:rPr>
              <w:t>.702</w:t>
            </w:r>
          </w:p>
        </w:tc>
        <w:tc>
          <w:tcPr>
            <w:tcW w:w="851" w:type="dxa"/>
            <w:tcBorders>
              <w:left w:val="single" w:sz="4" w:space="0" w:color="auto"/>
              <w:right w:val="single" w:sz="4" w:space="0" w:color="auto"/>
            </w:tcBorders>
          </w:tcPr>
          <w:p w:rsidR="00FD2D11" w:rsidRPr="0013700D" w:rsidRDefault="00FD2D11"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1.169</w:t>
            </w:r>
          </w:p>
        </w:tc>
        <w:tc>
          <w:tcPr>
            <w:tcW w:w="992"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.726</w:t>
            </w:r>
          </w:p>
        </w:tc>
        <w:tc>
          <w:tcPr>
            <w:tcW w:w="851" w:type="dxa"/>
            <w:tcBorders>
              <w:left w:val="single" w:sz="4" w:space="0" w:color="auto"/>
              <w:right w:val="single" w:sz="12" w:space="0" w:color="auto"/>
            </w:tcBorders>
          </w:tcPr>
          <w:p w:rsidR="00FD2D11" w:rsidRPr="0013700D" w:rsidRDefault="00FD2D11" w:rsidP="0013700D">
            <w:pPr>
              <w:pStyle w:val="NoSpacing"/>
              <w:rPr>
                <w:sz w:val="18"/>
                <w:szCs w:val="18"/>
              </w:rPr>
            </w:pPr>
            <w:r w:rsidRPr="0013700D">
              <w:rPr>
                <w:sz w:val="18"/>
                <w:szCs w:val="18"/>
              </w:rPr>
              <w:t>.000**</w:t>
            </w:r>
          </w:p>
        </w:tc>
        <w:tc>
          <w:tcPr>
            <w:tcW w:w="992" w:type="dxa"/>
            <w:tcBorders>
              <w:left w:val="single" w:sz="4" w:space="0" w:color="auto"/>
              <w:right w:val="single" w:sz="12" w:space="0" w:color="auto"/>
            </w:tcBorders>
          </w:tcPr>
          <w:p w:rsidR="00FD2D11" w:rsidRPr="0013700D" w:rsidRDefault="00383C3A" w:rsidP="0013700D">
            <w:pPr>
              <w:pStyle w:val="NoSpacing"/>
              <w:rPr>
                <w:sz w:val="18"/>
                <w:szCs w:val="18"/>
              </w:rPr>
            </w:pPr>
            <w:r w:rsidRPr="0013700D">
              <w:rPr>
                <w:sz w:val="18"/>
                <w:szCs w:val="18"/>
              </w:rPr>
              <w:t>2.066</w:t>
            </w:r>
          </w:p>
        </w:tc>
      </w:tr>
      <w:tr w:rsidR="0089227D" w:rsidRPr="0089227D" w:rsidTr="0013700D">
        <w:trPr>
          <w:trHeight w:val="20"/>
        </w:trPr>
        <w:tc>
          <w:tcPr>
            <w:tcW w:w="1419" w:type="dxa"/>
            <w:tcBorders>
              <w:left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Intercept</w:t>
            </w:r>
          </w:p>
        </w:tc>
        <w:tc>
          <w:tcPr>
            <w:tcW w:w="992" w:type="dxa"/>
            <w:tcBorders>
              <w:left w:val="single" w:sz="12" w:space="0" w:color="auto"/>
              <w:right w:val="single" w:sz="4" w:space="0" w:color="auto"/>
            </w:tcBorders>
          </w:tcPr>
          <w:p w:rsidR="0089227D" w:rsidRPr="0013700D" w:rsidRDefault="00466282" w:rsidP="0013700D">
            <w:pPr>
              <w:pStyle w:val="NoSpacing"/>
              <w:rPr>
                <w:sz w:val="18"/>
                <w:szCs w:val="18"/>
              </w:rPr>
            </w:pPr>
            <w:r w:rsidRPr="0013700D">
              <w:rPr>
                <w:sz w:val="18"/>
                <w:szCs w:val="18"/>
              </w:rPr>
              <w:t>1.322</w:t>
            </w:r>
          </w:p>
        </w:tc>
        <w:tc>
          <w:tcPr>
            <w:tcW w:w="851" w:type="dxa"/>
            <w:tcBorders>
              <w:left w:val="single" w:sz="4" w:space="0" w:color="auto"/>
              <w:right w:val="single" w:sz="4" w:space="0" w:color="auto"/>
            </w:tcBorders>
          </w:tcPr>
          <w:p w:rsidR="0089227D" w:rsidRPr="0013700D" w:rsidRDefault="00FD2D11" w:rsidP="0013700D">
            <w:pPr>
              <w:pStyle w:val="NoSpacing"/>
              <w:rPr>
                <w:sz w:val="18"/>
                <w:szCs w:val="18"/>
              </w:rPr>
            </w:pPr>
            <w:r w:rsidRPr="0013700D">
              <w:rPr>
                <w:sz w:val="18"/>
                <w:szCs w:val="18"/>
              </w:rPr>
              <w:t>.001**</w:t>
            </w:r>
          </w:p>
        </w:tc>
        <w:tc>
          <w:tcPr>
            <w:tcW w:w="709" w:type="dxa"/>
            <w:tcBorders>
              <w:left w:val="single" w:sz="4" w:space="0" w:color="auto"/>
              <w:right w:val="single" w:sz="12" w:space="0" w:color="auto"/>
            </w:tcBorders>
          </w:tcPr>
          <w:p w:rsidR="0089227D" w:rsidRPr="0013700D" w:rsidRDefault="0089227D" w:rsidP="0013700D">
            <w:pPr>
              <w:pStyle w:val="NoSpacing"/>
              <w:rPr>
                <w:sz w:val="18"/>
                <w:szCs w:val="18"/>
              </w:rPr>
            </w:pPr>
          </w:p>
        </w:tc>
        <w:tc>
          <w:tcPr>
            <w:tcW w:w="991" w:type="dxa"/>
            <w:tcBorders>
              <w:left w:val="single" w:sz="12" w:space="0" w:color="auto"/>
              <w:right w:val="single" w:sz="4" w:space="0" w:color="auto"/>
            </w:tcBorders>
          </w:tcPr>
          <w:p w:rsidR="0089227D" w:rsidRPr="0013700D" w:rsidRDefault="00FD2D11" w:rsidP="0013700D">
            <w:pPr>
              <w:pStyle w:val="NoSpacing"/>
              <w:rPr>
                <w:sz w:val="18"/>
                <w:szCs w:val="18"/>
              </w:rPr>
            </w:pPr>
            <w:r w:rsidRPr="0013700D">
              <w:rPr>
                <w:sz w:val="18"/>
                <w:szCs w:val="18"/>
              </w:rPr>
              <w:t>1.429</w:t>
            </w:r>
          </w:p>
        </w:tc>
        <w:tc>
          <w:tcPr>
            <w:tcW w:w="851" w:type="dxa"/>
            <w:tcBorders>
              <w:left w:val="single" w:sz="4" w:space="0" w:color="auto"/>
              <w:right w:val="single" w:sz="4" w:space="0" w:color="auto"/>
            </w:tcBorders>
          </w:tcPr>
          <w:p w:rsidR="0089227D" w:rsidRPr="0013700D" w:rsidRDefault="00FD2D11"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89227D" w:rsidRPr="0013700D" w:rsidRDefault="0089227D" w:rsidP="0013700D">
            <w:pPr>
              <w:pStyle w:val="NoSpacing"/>
              <w:rPr>
                <w:sz w:val="18"/>
                <w:szCs w:val="18"/>
              </w:rPr>
            </w:pPr>
          </w:p>
        </w:tc>
        <w:tc>
          <w:tcPr>
            <w:tcW w:w="992" w:type="dxa"/>
            <w:tcBorders>
              <w:left w:val="single" w:sz="4" w:space="0" w:color="auto"/>
              <w:right w:val="single" w:sz="12" w:space="0" w:color="auto"/>
            </w:tcBorders>
          </w:tcPr>
          <w:p w:rsidR="0089227D" w:rsidRPr="0013700D" w:rsidRDefault="00FD2D11" w:rsidP="0013700D">
            <w:pPr>
              <w:pStyle w:val="NoSpacing"/>
              <w:rPr>
                <w:sz w:val="18"/>
                <w:szCs w:val="18"/>
              </w:rPr>
            </w:pPr>
            <w:r w:rsidRPr="0013700D">
              <w:rPr>
                <w:sz w:val="18"/>
                <w:szCs w:val="18"/>
              </w:rPr>
              <w:t>1.232</w:t>
            </w:r>
          </w:p>
        </w:tc>
        <w:tc>
          <w:tcPr>
            <w:tcW w:w="851" w:type="dxa"/>
            <w:tcBorders>
              <w:left w:val="single" w:sz="4" w:space="0" w:color="auto"/>
              <w:right w:val="single" w:sz="12" w:space="0" w:color="auto"/>
            </w:tcBorders>
          </w:tcPr>
          <w:p w:rsidR="0089227D" w:rsidRPr="0013700D" w:rsidRDefault="00FD2D11" w:rsidP="0013700D">
            <w:pPr>
              <w:pStyle w:val="NoSpacing"/>
              <w:rPr>
                <w:sz w:val="18"/>
                <w:szCs w:val="18"/>
              </w:rPr>
            </w:pPr>
            <w:r w:rsidRPr="0013700D">
              <w:rPr>
                <w:sz w:val="18"/>
                <w:szCs w:val="18"/>
              </w:rPr>
              <w:t>.002**</w:t>
            </w:r>
          </w:p>
        </w:tc>
        <w:tc>
          <w:tcPr>
            <w:tcW w:w="992" w:type="dxa"/>
            <w:tcBorders>
              <w:left w:val="single" w:sz="4" w:space="0" w:color="auto"/>
              <w:right w:val="single" w:sz="12" w:space="0" w:color="auto"/>
            </w:tcBorders>
          </w:tcPr>
          <w:p w:rsidR="0089227D" w:rsidRPr="0013700D" w:rsidRDefault="0089227D" w:rsidP="0013700D">
            <w:pPr>
              <w:pStyle w:val="NoSpacing"/>
              <w:rPr>
                <w:sz w:val="18"/>
                <w:szCs w:val="18"/>
              </w:rPr>
            </w:pPr>
          </w:p>
        </w:tc>
      </w:tr>
      <w:tr w:rsidR="0089227D" w:rsidRPr="0089227D" w:rsidTr="0013700D">
        <w:trPr>
          <w:trHeight w:val="20"/>
        </w:trPr>
        <w:tc>
          <w:tcPr>
            <w:tcW w:w="1419" w:type="dxa"/>
            <w:tcBorders>
              <w:left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Model Chi-</w:t>
            </w:r>
            <w:r w:rsidR="00FC7F62" w:rsidRPr="0013700D">
              <w:rPr>
                <w:sz w:val="18"/>
                <w:szCs w:val="18"/>
                <w:vertAlign w:val="superscript"/>
              </w:rPr>
              <w:t>2</w:t>
            </w:r>
          </w:p>
        </w:tc>
        <w:tc>
          <w:tcPr>
            <w:tcW w:w="992" w:type="dxa"/>
            <w:tcBorders>
              <w:left w:val="single" w:sz="12" w:space="0" w:color="auto"/>
              <w:right w:val="single" w:sz="4" w:space="0" w:color="auto"/>
            </w:tcBorders>
          </w:tcPr>
          <w:p w:rsidR="0089227D" w:rsidRPr="0013700D" w:rsidRDefault="00466282" w:rsidP="0013700D">
            <w:pPr>
              <w:pStyle w:val="NoSpacing"/>
              <w:rPr>
                <w:sz w:val="18"/>
                <w:szCs w:val="18"/>
              </w:rPr>
            </w:pPr>
            <w:r w:rsidRPr="0013700D">
              <w:rPr>
                <w:sz w:val="18"/>
                <w:szCs w:val="18"/>
              </w:rPr>
              <w:t>233.306</w:t>
            </w:r>
          </w:p>
        </w:tc>
        <w:tc>
          <w:tcPr>
            <w:tcW w:w="851" w:type="dxa"/>
            <w:tcBorders>
              <w:left w:val="single" w:sz="4" w:space="0" w:color="auto"/>
              <w:right w:val="single" w:sz="4" w:space="0" w:color="auto"/>
            </w:tcBorders>
          </w:tcPr>
          <w:p w:rsidR="0089227D" w:rsidRPr="0013700D" w:rsidRDefault="0089227D" w:rsidP="0013700D">
            <w:pPr>
              <w:pStyle w:val="NoSpacing"/>
              <w:rPr>
                <w:sz w:val="18"/>
                <w:szCs w:val="18"/>
              </w:rPr>
            </w:pPr>
          </w:p>
        </w:tc>
        <w:tc>
          <w:tcPr>
            <w:tcW w:w="709" w:type="dxa"/>
            <w:tcBorders>
              <w:left w:val="single" w:sz="4" w:space="0" w:color="auto"/>
              <w:right w:val="single" w:sz="12" w:space="0" w:color="auto"/>
            </w:tcBorders>
          </w:tcPr>
          <w:p w:rsidR="0089227D" w:rsidRPr="0013700D" w:rsidRDefault="0089227D" w:rsidP="0013700D">
            <w:pPr>
              <w:pStyle w:val="NoSpacing"/>
              <w:rPr>
                <w:sz w:val="18"/>
                <w:szCs w:val="18"/>
              </w:rPr>
            </w:pPr>
          </w:p>
        </w:tc>
        <w:tc>
          <w:tcPr>
            <w:tcW w:w="991" w:type="dxa"/>
            <w:tcBorders>
              <w:left w:val="single" w:sz="12" w:space="0" w:color="auto"/>
              <w:right w:val="single" w:sz="4" w:space="0" w:color="auto"/>
            </w:tcBorders>
          </w:tcPr>
          <w:p w:rsidR="0089227D" w:rsidRPr="0013700D" w:rsidRDefault="00FD2D11" w:rsidP="0013700D">
            <w:pPr>
              <w:pStyle w:val="NoSpacing"/>
              <w:rPr>
                <w:sz w:val="18"/>
                <w:szCs w:val="18"/>
              </w:rPr>
            </w:pPr>
            <w:r w:rsidRPr="0013700D">
              <w:rPr>
                <w:sz w:val="18"/>
                <w:szCs w:val="18"/>
              </w:rPr>
              <w:t>234.219</w:t>
            </w:r>
          </w:p>
        </w:tc>
        <w:tc>
          <w:tcPr>
            <w:tcW w:w="851" w:type="dxa"/>
            <w:tcBorders>
              <w:left w:val="single" w:sz="4" w:space="0" w:color="auto"/>
              <w:right w:val="single" w:sz="4" w:space="0" w:color="auto"/>
            </w:tcBorders>
          </w:tcPr>
          <w:p w:rsidR="0089227D" w:rsidRPr="0013700D" w:rsidRDefault="00FD2D11"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89227D" w:rsidRPr="0013700D" w:rsidRDefault="0089227D" w:rsidP="0013700D">
            <w:pPr>
              <w:pStyle w:val="NoSpacing"/>
              <w:rPr>
                <w:sz w:val="18"/>
                <w:szCs w:val="18"/>
              </w:rPr>
            </w:pPr>
          </w:p>
        </w:tc>
        <w:tc>
          <w:tcPr>
            <w:tcW w:w="992" w:type="dxa"/>
            <w:tcBorders>
              <w:left w:val="single" w:sz="4" w:space="0" w:color="auto"/>
              <w:right w:val="single" w:sz="12" w:space="0" w:color="auto"/>
            </w:tcBorders>
          </w:tcPr>
          <w:p w:rsidR="0089227D" w:rsidRPr="0013700D" w:rsidRDefault="00D22CE1" w:rsidP="0013700D">
            <w:pPr>
              <w:pStyle w:val="NoSpacing"/>
              <w:rPr>
                <w:sz w:val="18"/>
                <w:szCs w:val="18"/>
              </w:rPr>
            </w:pPr>
            <w:r w:rsidRPr="0013700D">
              <w:rPr>
                <w:sz w:val="18"/>
                <w:szCs w:val="18"/>
              </w:rPr>
              <w:t>237.555</w:t>
            </w:r>
          </w:p>
        </w:tc>
        <w:tc>
          <w:tcPr>
            <w:tcW w:w="851" w:type="dxa"/>
            <w:tcBorders>
              <w:left w:val="single" w:sz="4" w:space="0" w:color="auto"/>
              <w:right w:val="single" w:sz="12" w:space="0" w:color="auto"/>
            </w:tcBorders>
          </w:tcPr>
          <w:p w:rsidR="0089227D" w:rsidRPr="0013700D" w:rsidRDefault="0089227D" w:rsidP="0013700D">
            <w:pPr>
              <w:pStyle w:val="NoSpacing"/>
              <w:rPr>
                <w:sz w:val="18"/>
                <w:szCs w:val="18"/>
              </w:rPr>
            </w:pPr>
          </w:p>
        </w:tc>
        <w:tc>
          <w:tcPr>
            <w:tcW w:w="992" w:type="dxa"/>
            <w:tcBorders>
              <w:left w:val="single" w:sz="4" w:space="0" w:color="auto"/>
              <w:right w:val="single" w:sz="12" w:space="0" w:color="auto"/>
            </w:tcBorders>
          </w:tcPr>
          <w:p w:rsidR="0089227D" w:rsidRPr="0013700D" w:rsidRDefault="0089227D" w:rsidP="0013700D">
            <w:pPr>
              <w:pStyle w:val="NoSpacing"/>
              <w:rPr>
                <w:sz w:val="18"/>
                <w:szCs w:val="18"/>
              </w:rPr>
            </w:pPr>
          </w:p>
        </w:tc>
      </w:tr>
      <w:tr w:rsidR="0089227D" w:rsidRPr="0089227D" w:rsidTr="0013700D">
        <w:trPr>
          <w:trHeight w:val="20"/>
        </w:trPr>
        <w:tc>
          <w:tcPr>
            <w:tcW w:w="1419" w:type="dxa"/>
            <w:tcBorders>
              <w:left w:val="single" w:sz="12"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Pseudo R</w:t>
            </w:r>
            <w:r w:rsidR="00FC7F62" w:rsidRPr="0013700D">
              <w:rPr>
                <w:sz w:val="18"/>
                <w:szCs w:val="18"/>
                <w:vertAlign w:val="superscript"/>
              </w:rPr>
              <w:t>2</w:t>
            </w:r>
            <w:r w:rsidRPr="0013700D">
              <w:rPr>
                <w:sz w:val="18"/>
                <w:szCs w:val="18"/>
              </w:rPr>
              <w:t xml:space="preserve"> (N</w:t>
            </w:r>
            <w:r w:rsidR="0013700D" w:rsidRPr="0013700D">
              <w:rPr>
                <w:sz w:val="18"/>
                <w:szCs w:val="18"/>
              </w:rPr>
              <w:t>k</w:t>
            </w:r>
            <w:r w:rsidRPr="0013700D">
              <w:rPr>
                <w:sz w:val="18"/>
                <w:szCs w:val="18"/>
              </w:rPr>
              <w:t>)</w:t>
            </w:r>
          </w:p>
        </w:tc>
        <w:tc>
          <w:tcPr>
            <w:tcW w:w="992" w:type="dxa"/>
            <w:tcBorders>
              <w:left w:val="single" w:sz="12" w:space="0" w:color="auto"/>
              <w:bottom w:val="single" w:sz="12" w:space="0" w:color="auto"/>
              <w:right w:val="single" w:sz="4" w:space="0" w:color="auto"/>
            </w:tcBorders>
          </w:tcPr>
          <w:p w:rsidR="0089227D" w:rsidRPr="0013700D" w:rsidRDefault="00466282" w:rsidP="0013700D">
            <w:pPr>
              <w:pStyle w:val="NoSpacing"/>
              <w:rPr>
                <w:sz w:val="18"/>
                <w:szCs w:val="18"/>
              </w:rPr>
            </w:pPr>
            <w:r w:rsidRPr="0013700D">
              <w:rPr>
                <w:sz w:val="18"/>
                <w:szCs w:val="18"/>
              </w:rPr>
              <w:t>.040</w:t>
            </w:r>
          </w:p>
        </w:tc>
        <w:tc>
          <w:tcPr>
            <w:tcW w:w="851" w:type="dxa"/>
            <w:tcBorders>
              <w:left w:val="single" w:sz="4" w:space="0" w:color="auto"/>
              <w:bottom w:val="single" w:sz="12" w:space="0" w:color="auto"/>
              <w:right w:val="single" w:sz="4" w:space="0" w:color="auto"/>
            </w:tcBorders>
          </w:tcPr>
          <w:p w:rsidR="0089227D" w:rsidRPr="0013700D" w:rsidRDefault="0089227D" w:rsidP="0013700D">
            <w:pPr>
              <w:pStyle w:val="NoSpacing"/>
              <w:rPr>
                <w:sz w:val="18"/>
                <w:szCs w:val="18"/>
              </w:rPr>
            </w:pPr>
          </w:p>
        </w:tc>
        <w:tc>
          <w:tcPr>
            <w:tcW w:w="709" w:type="dxa"/>
            <w:tcBorders>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p>
        </w:tc>
        <w:tc>
          <w:tcPr>
            <w:tcW w:w="991" w:type="dxa"/>
            <w:tcBorders>
              <w:left w:val="single" w:sz="12" w:space="0" w:color="auto"/>
              <w:bottom w:val="single" w:sz="12" w:space="0" w:color="auto"/>
              <w:right w:val="single" w:sz="4" w:space="0" w:color="auto"/>
            </w:tcBorders>
          </w:tcPr>
          <w:p w:rsidR="0089227D" w:rsidRPr="0013700D" w:rsidRDefault="00FD2D11" w:rsidP="0013700D">
            <w:pPr>
              <w:pStyle w:val="NoSpacing"/>
              <w:rPr>
                <w:sz w:val="18"/>
                <w:szCs w:val="18"/>
              </w:rPr>
            </w:pPr>
            <w:r w:rsidRPr="0013700D">
              <w:rPr>
                <w:sz w:val="18"/>
                <w:szCs w:val="18"/>
              </w:rPr>
              <w:t>.040</w:t>
            </w:r>
          </w:p>
        </w:tc>
        <w:tc>
          <w:tcPr>
            <w:tcW w:w="851" w:type="dxa"/>
            <w:tcBorders>
              <w:left w:val="single" w:sz="4" w:space="0" w:color="auto"/>
              <w:bottom w:val="single" w:sz="12" w:space="0" w:color="auto"/>
              <w:right w:val="single" w:sz="4" w:space="0" w:color="auto"/>
            </w:tcBorders>
          </w:tcPr>
          <w:p w:rsidR="0089227D" w:rsidRPr="0013700D" w:rsidRDefault="0089227D" w:rsidP="0013700D">
            <w:pPr>
              <w:pStyle w:val="NoSpacing"/>
              <w:rPr>
                <w:sz w:val="18"/>
                <w:szCs w:val="18"/>
              </w:rPr>
            </w:pPr>
          </w:p>
        </w:tc>
        <w:tc>
          <w:tcPr>
            <w:tcW w:w="709" w:type="dxa"/>
            <w:tcBorders>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p>
        </w:tc>
        <w:tc>
          <w:tcPr>
            <w:tcW w:w="992" w:type="dxa"/>
            <w:tcBorders>
              <w:left w:val="single" w:sz="4" w:space="0" w:color="auto"/>
              <w:bottom w:val="single" w:sz="12" w:space="0" w:color="auto"/>
              <w:right w:val="single" w:sz="12" w:space="0" w:color="auto"/>
            </w:tcBorders>
          </w:tcPr>
          <w:p w:rsidR="0089227D" w:rsidRPr="0013700D" w:rsidRDefault="00D22CE1" w:rsidP="0013700D">
            <w:pPr>
              <w:pStyle w:val="NoSpacing"/>
              <w:rPr>
                <w:sz w:val="18"/>
                <w:szCs w:val="18"/>
              </w:rPr>
            </w:pPr>
            <w:r w:rsidRPr="0013700D">
              <w:rPr>
                <w:sz w:val="18"/>
                <w:szCs w:val="18"/>
              </w:rPr>
              <w:t>.041</w:t>
            </w:r>
          </w:p>
        </w:tc>
        <w:tc>
          <w:tcPr>
            <w:tcW w:w="851" w:type="dxa"/>
            <w:tcBorders>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p>
        </w:tc>
        <w:tc>
          <w:tcPr>
            <w:tcW w:w="992" w:type="dxa"/>
            <w:tcBorders>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p>
        </w:tc>
      </w:tr>
      <w:tr w:rsidR="0008232E" w:rsidRPr="0089227D" w:rsidTr="0013700D">
        <w:trPr>
          <w:trHeight w:val="20"/>
        </w:trPr>
        <w:tc>
          <w:tcPr>
            <w:tcW w:w="1419" w:type="dxa"/>
            <w:tcBorders>
              <w:top w:val="single" w:sz="6" w:space="0" w:color="auto"/>
              <w:left w:val="single" w:sz="12" w:space="0" w:color="auto"/>
              <w:bottom w:val="single" w:sz="6" w:space="0" w:color="auto"/>
              <w:right w:val="single" w:sz="12" w:space="0" w:color="auto"/>
            </w:tcBorders>
          </w:tcPr>
          <w:p w:rsidR="0008232E" w:rsidRPr="0013700D" w:rsidRDefault="0008232E" w:rsidP="0013700D">
            <w:pPr>
              <w:pStyle w:val="NoSpacing"/>
              <w:rPr>
                <w:sz w:val="18"/>
                <w:szCs w:val="18"/>
              </w:rPr>
            </w:pPr>
            <w:r w:rsidRPr="0013700D">
              <w:rPr>
                <w:sz w:val="18"/>
                <w:szCs w:val="18"/>
              </w:rPr>
              <w:t>Dependent var.</w:t>
            </w:r>
          </w:p>
        </w:tc>
        <w:tc>
          <w:tcPr>
            <w:tcW w:w="1843" w:type="dxa"/>
            <w:gridSpan w:val="2"/>
            <w:tcBorders>
              <w:top w:val="single" w:sz="12" w:space="0" w:color="auto"/>
              <w:left w:val="single" w:sz="12" w:space="0" w:color="auto"/>
              <w:bottom w:val="single" w:sz="6" w:space="0" w:color="auto"/>
            </w:tcBorders>
          </w:tcPr>
          <w:p w:rsidR="0008232E" w:rsidRPr="0013700D" w:rsidRDefault="0008232E" w:rsidP="0013700D">
            <w:pPr>
              <w:pStyle w:val="NoSpacing"/>
              <w:rPr>
                <w:sz w:val="18"/>
                <w:szCs w:val="18"/>
              </w:rPr>
            </w:pPr>
            <w:r w:rsidRPr="0013700D">
              <w:rPr>
                <w:sz w:val="18"/>
                <w:szCs w:val="18"/>
              </w:rPr>
              <w:t>NON-ITMW</w:t>
            </w:r>
            <w:r w:rsidR="00B77BD5" w:rsidRPr="0013700D">
              <w:rPr>
                <w:sz w:val="18"/>
                <w:szCs w:val="18"/>
              </w:rPr>
              <w:t xml:space="preserve"> (2)</w:t>
            </w:r>
          </w:p>
        </w:tc>
        <w:tc>
          <w:tcPr>
            <w:tcW w:w="709" w:type="dxa"/>
            <w:tcBorders>
              <w:top w:val="single" w:sz="12" w:space="0" w:color="auto"/>
              <w:bottom w:val="single" w:sz="6" w:space="0" w:color="auto"/>
              <w:right w:val="single" w:sz="12" w:space="0" w:color="auto"/>
            </w:tcBorders>
          </w:tcPr>
          <w:p w:rsidR="0008232E" w:rsidRPr="0013700D" w:rsidRDefault="0008232E" w:rsidP="0013700D">
            <w:pPr>
              <w:pStyle w:val="NoSpacing"/>
              <w:rPr>
                <w:sz w:val="18"/>
                <w:szCs w:val="18"/>
              </w:rPr>
            </w:pPr>
          </w:p>
        </w:tc>
        <w:tc>
          <w:tcPr>
            <w:tcW w:w="1842" w:type="dxa"/>
            <w:gridSpan w:val="2"/>
            <w:tcBorders>
              <w:top w:val="single" w:sz="12" w:space="0" w:color="auto"/>
              <w:left w:val="single" w:sz="12" w:space="0" w:color="auto"/>
              <w:bottom w:val="single" w:sz="6" w:space="0" w:color="auto"/>
            </w:tcBorders>
          </w:tcPr>
          <w:p w:rsidR="0008232E" w:rsidRPr="0013700D" w:rsidRDefault="0008232E" w:rsidP="0013700D">
            <w:pPr>
              <w:pStyle w:val="NoSpacing"/>
              <w:rPr>
                <w:sz w:val="18"/>
                <w:szCs w:val="18"/>
              </w:rPr>
            </w:pPr>
            <w:r w:rsidRPr="0013700D">
              <w:rPr>
                <w:sz w:val="18"/>
                <w:szCs w:val="18"/>
              </w:rPr>
              <w:t>NON- ITMW</w:t>
            </w:r>
            <w:r w:rsidR="00B77BD5" w:rsidRPr="0013700D">
              <w:rPr>
                <w:sz w:val="18"/>
                <w:szCs w:val="18"/>
              </w:rPr>
              <w:t xml:space="preserve"> (4)</w:t>
            </w:r>
          </w:p>
        </w:tc>
        <w:tc>
          <w:tcPr>
            <w:tcW w:w="709" w:type="dxa"/>
            <w:tcBorders>
              <w:top w:val="single" w:sz="12" w:space="0" w:color="auto"/>
              <w:bottom w:val="single" w:sz="6" w:space="0" w:color="auto"/>
              <w:right w:val="single" w:sz="12" w:space="0" w:color="auto"/>
            </w:tcBorders>
          </w:tcPr>
          <w:p w:rsidR="0008232E" w:rsidRPr="0013700D" w:rsidRDefault="0008232E" w:rsidP="0013700D">
            <w:pPr>
              <w:pStyle w:val="NoSpacing"/>
              <w:rPr>
                <w:sz w:val="18"/>
                <w:szCs w:val="18"/>
              </w:rPr>
            </w:pPr>
          </w:p>
        </w:tc>
        <w:tc>
          <w:tcPr>
            <w:tcW w:w="1843" w:type="dxa"/>
            <w:gridSpan w:val="2"/>
            <w:tcBorders>
              <w:top w:val="single" w:sz="12" w:space="0" w:color="auto"/>
              <w:bottom w:val="single" w:sz="6" w:space="0" w:color="auto"/>
            </w:tcBorders>
          </w:tcPr>
          <w:p w:rsidR="0008232E" w:rsidRPr="0013700D" w:rsidRDefault="0008232E" w:rsidP="0013700D">
            <w:pPr>
              <w:pStyle w:val="NoSpacing"/>
              <w:rPr>
                <w:sz w:val="18"/>
                <w:szCs w:val="18"/>
              </w:rPr>
            </w:pPr>
            <w:r w:rsidRPr="0013700D">
              <w:rPr>
                <w:sz w:val="18"/>
                <w:szCs w:val="18"/>
              </w:rPr>
              <w:t>NON-ITMW</w:t>
            </w:r>
            <w:r w:rsidR="00B77BD5" w:rsidRPr="0013700D">
              <w:rPr>
                <w:sz w:val="18"/>
                <w:szCs w:val="18"/>
              </w:rPr>
              <w:t xml:space="preserve"> (6)</w:t>
            </w:r>
          </w:p>
        </w:tc>
        <w:tc>
          <w:tcPr>
            <w:tcW w:w="992" w:type="dxa"/>
            <w:tcBorders>
              <w:top w:val="single" w:sz="12" w:space="0" w:color="auto"/>
              <w:bottom w:val="single" w:sz="6" w:space="0" w:color="auto"/>
              <w:right w:val="single" w:sz="12" w:space="0" w:color="auto"/>
            </w:tcBorders>
          </w:tcPr>
          <w:p w:rsidR="0008232E" w:rsidRPr="0013700D" w:rsidRDefault="0008232E" w:rsidP="0013700D">
            <w:pPr>
              <w:pStyle w:val="NoSpacing"/>
              <w:rPr>
                <w:sz w:val="18"/>
                <w:szCs w:val="18"/>
              </w:rPr>
            </w:pPr>
          </w:p>
        </w:tc>
      </w:tr>
      <w:tr w:rsidR="0089227D" w:rsidRPr="0089227D" w:rsidTr="0013700D">
        <w:trPr>
          <w:trHeight w:val="20"/>
        </w:trPr>
        <w:tc>
          <w:tcPr>
            <w:tcW w:w="1419" w:type="dxa"/>
            <w:tcBorders>
              <w:top w:val="single" w:sz="6" w:space="0" w:color="auto"/>
              <w:left w:val="single" w:sz="12" w:space="0" w:color="auto"/>
              <w:bottom w:val="single" w:sz="6" w:space="0" w:color="auto"/>
              <w:right w:val="single" w:sz="12" w:space="0" w:color="auto"/>
            </w:tcBorders>
          </w:tcPr>
          <w:p w:rsidR="0089227D" w:rsidRPr="0013700D" w:rsidRDefault="0089227D" w:rsidP="0013700D">
            <w:pPr>
              <w:pStyle w:val="NoSpacing"/>
              <w:rPr>
                <w:sz w:val="18"/>
                <w:szCs w:val="18"/>
              </w:rPr>
            </w:pPr>
            <w:r w:rsidRPr="0013700D">
              <w:rPr>
                <w:sz w:val="18"/>
                <w:szCs w:val="18"/>
              </w:rPr>
              <w:t>Observations(N)</w:t>
            </w:r>
          </w:p>
        </w:tc>
        <w:tc>
          <w:tcPr>
            <w:tcW w:w="992" w:type="dxa"/>
            <w:tcBorders>
              <w:top w:val="single" w:sz="6" w:space="0" w:color="auto"/>
              <w:left w:val="single" w:sz="12" w:space="0" w:color="auto"/>
              <w:bottom w:val="single" w:sz="6" w:space="0" w:color="auto"/>
              <w:right w:val="nil"/>
            </w:tcBorders>
          </w:tcPr>
          <w:p w:rsidR="0089227D" w:rsidRPr="0013700D" w:rsidRDefault="0089227D" w:rsidP="0013700D">
            <w:pPr>
              <w:pStyle w:val="NoSpacing"/>
              <w:rPr>
                <w:sz w:val="18"/>
                <w:szCs w:val="18"/>
              </w:rPr>
            </w:pPr>
            <w:r w:rsidRPr="0013700D">
              <w:rPr>
                <w:rFonts w:cs="Calibri"/>
                <w:sz w:val="18"/>
                <w:szCs w:val="18"/>
              </w:rPr>
              <w:t>2749</w:t>
            </w:r>
          </w:p>
        </w:tc>
        <w:tc>
          <w:tcPr>
            <w:tcW w:w="851" w:type="dxa"/>
            <w:tcBorders>
              <w:top w:val="single" w:sz="6" w:space="0" w:color="auto"/>
              <w:left w:val="nil"/>
              <w:bottom w:val="single" w:sz="6" w:space="0" w:color="auto"/>
            </w:tcBorders>
          </w:tcPr>
          <w:p w:rsidR="0089227D" w:rsidRPr="0013700D" w:rsidRDefault="0089227D" w:rsidP="0013700D">
            <w:pPr>
              <w:pStyle w:val="NoSpacing"/>
              <w:rPr>
                <w:sz w:val="18"/>
                <w:szCs w:val="18"/>
              </w:rPr>
            </w:pPr>
          </w:p>
        </w:tc>
        <w:tc>
          <w:tcPr>
            <w:tcW w:w="709" w:type="dxa"/>
            <w:tcBorders>
              <w:top w:val="single" w:sz="6" w:space="0" w:color="auto"/>
              <w:bottom w:val="single" w:sz="6" w:space="0" w:color="auto"/>
              <w:right w:val="single" w:sz="12" w:space="0" w:color="auto"/>
            </w:tcBorders>
          </w:tcPr>
          <w:p w:rsidR="0089227D" w:rsidRPr="0013700D" w:rsidRDefault="0089227D" w:rsidP="0013700D">
            <w:pPr>
              <w:pStyle w:val="NoSpacing"/>
              <w:rPr>
                <w:sz w:val="18"/>
                <w:szCs w:val="18"/>
              </w:rPr>
            </w:pPr>
          </w:p>
        </w:tc>
        <w:tc>
          <w:tcPr>
            <w:tcW w:w="991" w:type="dxa"/>
            <w:tcBorders>
              <w:top w:val="single" w:sz="6" w:space="0" w:color="auto"/>
              <w:left w:val="single" w:sz="12" w:space="0" w:color="auto"/>
              <w:bottom w:val="single" w:sz="6" w:space="0" w:color="auto"/>
              <w:right w:val="nil"/>
            </w:tcBorders>
          </w:tcPr>
          <w:p w:rsidR="0089227D" w:rsidRPr="0013700D" w:rsidRDefault="0089227D" w:rsidP="0013700D">
            <w:pPr>
              <w:pStyle w:val="NoSpacing"/>
              <w:rPr>
                <w:sz w:val="18"/>
                <w:szCs w:val="18"/>
              </w:rPr>
            </w:pPr>
            <w:r w:rsidRPr="0013700D">
              <w:rPr>
                <w:rFonts w:cs="Calibri"/>
                <w:sz w:val="18"/>
                <w:szCs w:val="18"/>
              </w:rPr>
              <w:t>2749</w:t>
            </w:r>
          </w:p>
        </w:tc>
        <w:tc>
          <w:tcPr>
            <w:tcW w:w="851" w:type="dxa"/>
            <w:tcBorders>
              <w:top w:val="single" w:sz="6" w:space="0" w:color="auto"/>
              <w:left w:val="nil"/>
              <w:bottom w:val="single" w:sz="6" w:space="0" w:color="auto"/>
            </w:tcBorders>
          </w:tcPr>
          <w:p w:rsidR="0089227D" w:rsidRPr="0013700D" w:rsidRDefault="0089227D" w:rsidP="0013700D">
            <w:pPr>
              <w:pStyle w:val="NoSpacing"/>
              <w:rPr>
                <w:sz w:val="18"/>
                <w:szCs w:val="18"/>
              </w:rPr>
            </w:pPr>
          </w:p>
        </w:tc>
        <w:tc>
          <w:tcPr>
            <w:tcW w:w="709" w:type="dxa"/>
            <w:tcBorders>
              <w:top w:val="single" w:sz="6" w:space="0" w:color="auto"/>
              <w:bottom w:val="single" w:sz="6" w:space="0" w:color="auto"/>
              <w:right w:val="single" w:sz="12" w:space="0" w:color="auto"/>
            </w:tcBorders>
          </w:tcPr>
          <w:p w:rsidR="0089227D" w:rsidRPr="0013700D" w:rsidRDefault="0089227D" w:rsidP="0013700D">
            <w:pPr>
              <w:pStyle w:val="NoSpacing"/>
              <w:rPr>
                <w:sz w:val="18"/>
                <w:szCs w:val="18"/>
              </w:rPr>
            </w:pPr>
          </w:p>
        </w:tc>
        <w:tc>
          <w:tcPr>
            <w:tcW w:w="992" w:type="dxa"/>
            <w:tcBorders>
              <w:top w:val="single" w:sz="6" w:space="0" w:color="auto"/>
              <w:bottom w:val="single" w:sz="6" w:space="0" w:color="auto"/>
            </w:tcBorders>
          </w:tcPr>
          <w:p w:rsidR="0089227D" w:rsidRPr="0013700D" w:rsidRDefault="0089227D" w:rsidP="0013700D">
            <w:pPr>
              <w:pStyle w:val="NoSpacing"/>
              <w:rPr>
                <w:sz w:val="18"/>
                <w:szCs w:val="18"/>
              </w:rPr>
            </w:pPr>
            <w:r w:rsidRPr="0013700D">
              <w:rPr>
                <w:rFonts w:cs="Calibri"/>
                <w:sz w:val="18"/>
                <w:szCs w:val="18"/>
              </w:rPr>
              <w:t>2749</w:t>
            </w:r>
          </w:p>
        </w:tc>
        <w:tc>
          <w:tcPr>
            <w:tcW w:w="851" w:type="dxa"/>
            <w:tcBorders>
              <w:top w:val="single" w:sz="6" w:space="0" w:color="auto"/>
              <w:bottom w:val="single" w:sz="6" w:space="0" w:color="auto"/>
            </w:tcBorders>
          </w:tcPr>
          <w:p w:rsidR="0089227D" w:rsidRPr="0013700D" w:rsidRDefault="0089227D" w:rsidP="0013700D">
            <w:pPr>
              <w:pStyle w:val="NoSpacing"/>
              <w:rPr>
                <w:sz w:val="18"/>
                <w:szCs w:val="18"/>
              </w:rPr>
            </w:pPr>
          </w:p>
        </w:tc>
        <w:tc>
          <w:tcPr>
            <w:tcW w:w="992" w:type="dxa"/>
            <w:tcBorders>
              <w:top w:val="single" w:sz="6" w:space="0" w:color="auto"/>
              <w:bottom w:val="single" w:sz="6" w:space="0" w:color="auto"/>
              <w:right w:val="single" w:sz="12" w:space="0" w:color="auto"/>
            </w:tcBorders>
          </w:tcPr>
          <w:p w:rsidR="0089227D" w:rsidRPr="0013700D" w:rsidRDefault="0089227D" w:rsidP="0013700D">
            <w:pPr>
              <w:pStyle w:val="NoSpacing"/>
              <w:rPr>
                <w:sz w:val="18"/>
                <w:szCs w:val="18"/>
              </w:rPr>
            </w:pPr>
          </w:p>
        </w:tc>
      </w:tr>
      <w:tr w:rsidR="0089227D" w:rsidRPr="0089227D" w:rsidTr="0013700D">
        <w:trPr>
          <w:trHeight w:val="20"/>
        </w:trPr>
        <w:tc>
          <w:tcPr>
            <w:tcW w:w="1419" w:type="dxa"/>
            <w:tcBorders>
              <w:top w:val="single" w:sz="6" w:space="0" w:color="auto"/>
              <w:left w:val="single" w:sz="12"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Independent variables</w:t>
            </w:r>
          </w:p>
        </w:tc>
        <w:tc>
          <w:tcPr>
            <w:tcW w:w="992" w:type="dxa"/>
            <w:tcBorders>
              <w:top w:val="single" w:sz="6" w:space="0" w:color="auto"/>
              <w:left w:val="single" w:sz="12" w:space="0" w:color="auto"/>
              <w:bottom w:val="single" w:sz="12" w:space="0" w:color="auto"/>
              <w:right w:val="single" w:sz="6" w:space="0" w:color="auto"/>
            </w:tcBorders>
          </w:tcPr>
          <w:p w:rsidR="0089227D" w:rsidRPr="0013700D" w:rsidRDefault="0089227D" w:rsidP="0013700D">
            <w:pPr>
              <w:pStyle w:val="NoSpacing"/>
              <w:rPr>
                <w:sz w:val="18"/>
                <w:szCs w:val="18"/>
              </w:rPr>
            </w:pPr>
            <w:r w:rsidRPr="0013700D">
              <w:rPr>
                <w:sz w:val="18"/>
                <w:szCs w:val="18"/>
              </w:rPr>
              <w:t>Coeff. (B)</w:t>
            </w:r>
          </w:p>
        </w:tc>
        <w:tc>
          <w:tcPr>
            <w:tcW w:w="851" w:type="dxa"/>
            <w:tcBorders>
              <w:top w:val="single" w:sz="6" w:space="0" w:color="auto"/>
              <w:left w:val="single" w:sz="6" w:space="0" w:color="auto"/>
              <w:bottom w:val="single" w:sz="12" w:space="0" w:color="auto"/>
              <w:right w:val="single" w:sz="4" w:space="0" w:color="auto"/>
            </w:tcBorders>
          </w:tcPr>
          <w:p w:rsidR="0089227D" w:rsidRPr="0013700D" w:rsidRDefault="0089227D" w:rsidP="0013700D">
            <w:pPr>
              <w:pStyle w:val="NoSpacing"/>
              <w:rPr>
                <w:sz w:val="18"/>
                <w:szCs w:val="18"/>
              </w:rPr>
            </w:pPr>
            <w:r w:rsidRPr="0013700D">
              <w:rPr>
                <w:sz w:val="18"/>
                <w:szCs w:val="18"/>
              </w:rPr>
              <w:t>Sig. value</w:t>
            </w:r>
          </w:p>
        </w:tc>
        <w:tc>
          <w:tcPr>
            <w:tcW w:w="709" w:type="dxa"/>
            <w:tcBorders>
              <w:top w:val="single" w:sz="6" w:space="0" w:color="auto"/>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 xml:space="preserve">Odds ratio </w:t>
            </w:r>
          </w:p>
        </w:tc>
        <w:tc>
          <w:tcPr>
            <w:tcW w:w="991" w:type="dxa"/>
            <w:tcBorders>
              <w:top w:val="single" w:sz="6" w:space="0" w:color="auto"/>
              <w:left w:val="single" w:sz="12" w:space="0" w:color="auto"/>
              <w:bottom w:val="single" w:sz="12" w:space="0" w:color="auto"/>
              <w:right w:val="single" w:sz="6" w:space="0" w:color="auto"/>
            </w:tcBorders>
          </w:tcPr>
          <w:p w:rsidR="0089227D" w:rsidRPr="0013700D" w:rsidRDefault="0089227D" w:rsidP="0013700D">
            <w:pPr>
              <w:pStyle w:val="NoSpacing"/>
              <w:rPr>
                <w:sz w:val="18"/>
                <w:szCs w:val="18"/>
              </w:rPr>
            </w:pPr>
            <w:r w:rsidRPr="0013700D">
              <w:rPr>
                <w:sz w:val="18"/>
                <w:szCs w:val="18"/>
              </w:rPr>
              <w:t>Coeff.(B)</w:t>
            </w:r>
          </w:p>
        </w:tc>
        <w:tc>
          <w:tcPr>
            <w:tcW w:w="851" w:type="dxa"/>
            <w:tcBorders>
              <w:top w:val="single" w:sz="6" w:space="0" w:color="auto"/>
              <w:left w:val="single" w:sz="6" w:space="0" w:color="auto"/>
              <w:bottom w:val="single" w:sz="12" w:space="0" w:color="auto"/>
              <w:right w:val="single" w:sz="4" w:space="0" w:color="auto"/>
            </w:tcBorders>
          </w:tcPr>
          <w:p w:rsidR="0089227D" w:rsidRPr="0013700D" w:rsidRDefault="0089227D" w:rsidP="0013700D">
            <w:pPr>
              <w:pStyle w:val="NoSpacing"/>
              <w:rPr>
                <w:sz w:val="18"/>
                <w:szCs w:val="18"/>
              </w:rPr>
            </w:pPr>
            <w:r w:rsidRPr="0013700D">
              <w:rPr>
                <w:sz w:val="18"/>
                <w:szCs w:val="18"/>
              </w:rPr>
              <w:t>Sig. value</w:t>
            </w:r>
          </w:p>
        </w:tc>
        <w:tc>
          <w:tcPr>
            <w:tcW w:w="709" w:type="dxa"/>
            <w:tcBorders>
              <w:top w:val="single" w:sz="6" w:space="0" w:color="auto"/>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Odds ratio</w:t>
            </w:r>
          </w:p>
        </w:tc>
        <w:tc>
          <w:tcPr>
            <w:tcW w:w="992" w:type="dxa"/>
            <w:tcBorders>
              <w:top w:val="single" w:sz="6" w:space="0" w:color="auto"/>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Coeff. (B)</w:t>
            </w:r>
          </w:p>
        </w:tc>
        <w:tc>
          <w:tcPr>
            <w:tcW w:w="851" w:type="dxa"/>
            <w:tcBorders>
              <w:top w:val="single" w:sz="6" w:space="0" w:color="auto"/>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Sig. value</w:t>
            </w:r>
          </w:p>
        </w:tc>
        <w:tc>
          <w:tcPr>
            <w:tcW w:w="992" w:type="dxa"/>
            <w:tcBorders>
              <w:top w:val="single" w:sz="6" w:space="0" w:color="auto"/>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 xml:space="preserve">Odds ratio </w:t>
            </w:r>
          </w:p>
        </w:tc>
      </w:tr>
      <w:tr w:rsidR="00D22CE1" w:rsidRPr="0089227D" w:rsidTr="0013700D">
        <w:trPr>
          <w:trHeight w:val="20"/>
        </w:trPr>
        <w:tc>
          <w:tcPr>
            <w:tcW w:w="1419" w:type="dxa"/>
            <w:tcBorders>
              <w:top w:val="single" w:sz="12" w:space="0" w:color="auto"/>
              <w:left w:val="single" w:sz="12" w:space="0" w:color="auto"/>
              <w:right w:val="single" w:sz="12" w:space="0" w:color="auto"/>
            </w:tcBorders>
          </w:tcPr>
          <w:p w:rsidR="00D22CE1" w:rsidRPr="0013700D" w:rsidRDefault="00D22CE1" w:rsidP="0013700D">
            <w:pPr>
              <w:pStyle w:val="NoSpacing"/>
              <w:rPr>
                <w:sz w:val="18"/>
                <w:szCs w:val="18"/>
              </w:rPr>
            </w:pPr>
            <w:r w:rsidRPr="0013700D">
              <w:rPr>
                <w:sz w:val="18"/>
                <w:szCs w:val="18"/>
              </w:rPr>
              <w:t xml:space="preserve">INDFRAUD </w:t>
            </w:r>
          </w:p>
        </w:tc>
        <w:tc>
          <w:tcPr>
            <w:tcW w:w="992" w:type="dxa"/>
            <w:tcBorders>
              <w:top w:val="single" w:sz="12" w:space="0" w:color="auto"/>
              <w:left w:val="single" w:sz="12" w:space="0" w:color="auto"/>
              <w:right w:val="single" w:sz="4" w:space="0" w:color="auto"/>
            </w:tcBorders>
          </w:tcPr>
          <w:p w:rsidR="00D22CE1" w:rsidRPr="0013700D" w:rsidRDefault="00D22CE1" w:rsidP="0013700D">
            <w:pPr>
              <w:pStyle w:val="NoSpacing"/>
              <w:rPr>
                <w:sz w:val="18"/>
                <w:szCs w:val="18"/>
              </w:rPr>
            </w:pPr>
            <w:r w:rsidRPr="0013700D">
              <w:rPr>
                <w:sz w:val="18"/>
                <w:szCs w:val="18"/>
              </w:rPr>
              <w:t>.006</w:t>
            </w:r>
          </w:p>
        </w:tc>
        <w:tc>
          <w:tcPr>
            <w:tcW w:w="851" w:type="dxa"/>
            <w:tcBorders>
              <w:top w:val="single" w:sz="12" w:space="0" w:color="auto"/>
              <w:left w:val="single" w:sz="4" w:space="0" w:color="auto"/>
              <w:right w:val="single" w:sz="4" w:space="0" w:color="auto"/>
            </w:tcBorders>
          </w:tcPr>
          <w:p w:rsidR="00D22CE1" w:rsidRPr="0013700D" w:rsidRDefault="00D22CE1" w:rsidP="0013700D">
            <w:pPr>
              <w:pStyle w:val="NoSpacing"/>
              <w:rPr>
                <w:sz w:val="18"/>
                <w:szCs w:val="18"/>
              </w:rPr>
            </w:pPr>
            <w:r w:rsidRPr="0013700D">
              <w:rPr>
                <w:sz w:val="18"/>
                <w:szCs w:val="18"/>
              </w:rPr>
              <w:t>.905</w:t>
            </w:r>
          </w:p>
        </w:tc>
        <w:tc>
          <w:tcPr>
            <w:tcW w:w="709" w:type="dxa"/>
            <w:tcBorders>
              <w:top w:val="single" w:sz="12" w:space="0" w:color="auto"/>
              <w:left w:val="single" w:sz="4" w:space="0" w:color="auto"/>
              <w:right w:val="single" w:sz="12" w:space="0" w:color="auto"/>
            </w:tcBorders>
          </w:tcPr>
          <w:p w:rsidR="00D22CE1" w:rsidRPr="0013700D" w:rsidRDefault="0008232E" w:rsidP="0013700D">
            <w:pPr>
              <w:pStyle w:val="NoSpacing"/>
              <w:rPr>
                <w:sz w:val="18"/>
                <w:szCs w:val="18"/>
              </w:rPr>
            </w:pPr>
            <w:r w:rsidRPr="0013700D">
              <w:rPr>
                <w:sz w:val="18"/>
                <w:szCs w:val="18"/>
              </w:rPr>
              <w:t>1.006</w:t>
            </w:r>
          </w:p>
        </w:tc>
        <w:tc>
          <w:tcPr>
            <w:tcW w:w="991" w:type="dxa"/>
            <w:tcBorders>
              <w:top w:val="single" w:sz="12" w:space="0" w:color="auto"/>
              <w:left w:val="single" w:sz="12" w:space="0" w:color="auto"/>
              <w:right w:val="single" w:sz="4" w:space="0" w:color="auto"/>
            </w:tcBorders>
          </w:tcPr>
          <w:p w:rsidR="00D22CE1" w:rsidRPr="0013700D" w:rsidRDefault="00D22CE1" w:rsidP="0013700D">
            <w:pPr>
              <w:pStyle w:val="NoSpacing"/>
              <w:rPr>
                <w:sz w:val="18"/>
                <w:szCs w:val="18"/>
              </w:rPr>
            </w:pPr>
            <w:r w:rsidRPr="0013700D">
              <w:rPr>
                <w:sz w:val="18"/>
                <w:szCs w:val="18"/>
              </w:rPr>
              <w:t>.006</w:t>
            </w:r>
          </w:p>
        </w:tc>
        <w:tc>
          <w:tcPr>
            <w:tcW w:w="851" w:type="dxa"/>
            <w:tcBorders>
              <w:top w:val="single" w:sz="12" w:space="0" w:color="auto"/>
              <w:left w:val="single" w:sz="4" w:space="0" w:color="auto"/>
              <w:right w:val="single" w:sz="4" w:space="0" w:color="auto"/>
            </w:tcBorders>
          </w:tcPr>
          <w:p w:rsidR="00D22CE1" w:rsidRPr="0013700D" w:rsidRDefault="00D22CE1" w:rsidP="0013700D">
            <w:pPr>
              <w:pStyle w:val="NoSpacing"/>
              <w:rPr>
                <w:sz w:val="18"/>
                <w:szCs w:val="18"/>
              </w:rPr>
            </w:pPr>
            <w:r w:rsidRPr="0013700D">
              <w:rPr>
                <w:sz w:val="18"/>
                <w:szCs w:val="18"/>
              </w:rPr>
              <w:t>.908</w:t>
            </w:r>
          </w:p>
        </w:tc>
        <w:tc>
          <w:tcPr>
            <w:tcW w:w="709" w:type="dxa"/>
            <w:tcBorders>
              <w:top w:val="single" w:sz="12" w:space="0" w:color="auto"/>
              <w:left w:val="single" w:sz="4" w:space="0" w:color="auto"/>
              <w:right w:val="single" w:sz="12" w:space="0" w:color="auto"/>
            </w:tcBorders>
          </w:tcPr>
          <w:p w:rsidR="00D22CE1" w:rsidRPr="0013700D" w:rsidRDefault="00D22CE1" w:rsidP="0013700D">
            <w:pPr>
              <w:pStyle w:val="NoSpacing"/>
              <w:rPr>
                <w:sz w:val="18"/>
                <w:szCs w:val="18"/>
              </w:rPr>
            </w:pPr>
            <w:r w:rsidRPr="0013700D">
              <w:rPr>
                <w:sz w:val="18"/>
                <w:szCs w:val="18"/>
              </w:rPr>
              <w:t>1.006</w:t>
            </w:r>
          </w:p>
        </w:tc>
        <w:tc>
          <w:tcPr>
            <w:tcW w:w="992" w:type="dxa"/>
            <w:tcBorders>
              <w:top w:val="single" w:sz="12" w:space="0" w:color="auto"/>
              <w:left w:val="single" w:sz="4" w:space="0" w:color="auto"/>
              <w:right w:val="single" w:sz="12" w:space="0" w:color="auto"/>
            </w:tcBorders>
          </w:tcPr>
          <w:p w:rsidR="00D22CE1" w:rsidRPr="0013700D" w:rsidRDefault="00D22CE1" w:rsidP="0013700D">
            <w:pPr>
              <w:pStyle w:val="NoSpacing"/>
              <w:rPr>
                <w:sz w:val="18"/>
                <w:szCs w:val="18"/>
              </w:rPr>
            </w:pPr>
            <w:r w:rsidRPr="0013700D">
              <w:rPr>
                <w:sz w:val="18"/>
                <w:szCs w:val="18"/>
              </w:rPr>
              <w:t>.005</w:t>
            </w:r>
          </w:p>
        </w:tc>
        <w:tc>
          <w:tcPr>
            <w:tcW w:w="851" w:type="dxa"/>
            <w:tcBorders>
              <w:top w:val="single" w:sz="12" w:space="0" w:color="auto"/>
              <w:left w:val="single" w:sz="4" w:space="0" w:color="auto"/>
              <w:right w:val="single" w:sz="12" w:space="0" w:color="auto"/>
            </w:tcBorders>
          </w:tcPr>
          <w:p w:rsidR="00D22CE1" w:rsidRPr="0013700D" w:rsidRDefault="00D22CE1" w:rsidP="0013700D">
            <w:pPr>
              <w:pStyle w:val="NoSpacing"/>
              <w:rPr>
                <w:sz w:val="18"/>
                <w:szCs w:val="18"/>
              </w:rPr>
            </w:pPr>
            <w:r w:rsidRPr="0013700D">
              <w:rPr>
                <w:sz w:val="18"/>
                <w:szCs w:val="18"/>
              </w:rPr>
              <w:t>.923</w:t>
            </w:r>
          </w:p>
        </w:tc>
        <w:tc>
          <w:tcPr>
            <w:tcW w:w="992" w:type="dxa"/>
            <w:tcBorders>
              <w:top w:val="single" w:sz="12" w:space="0" w:color="auto"/>
              <w:left w:val="single" w:sz="4" w:space="0" w:color="auto"/>
              <w:right w:val="single" w:sz="12" w:space="0" w:color="auto"/>
            </w:tcBorders>
          </w:tcPr>
          <w:p w:rsidR="00D22CE1" w:rsidRPr="0013700D" w:rsidRDefault="00D22CE1" w:rsidP="0013700D">
            <w:pPr>
              <w:pStyle w:val="NoSpacing"/>
              <w:rPr>
                <w:sz w:val="18"/>
                <w:szCs w:val="18"/>
              </w:rPr>
            </w:pPr>
            <w:r w:rsidRPr="0013700D">
              <w:rPr>
                <w:sz w:val="18"/>
                <w:szCs w:val="18"/>
              </w:rPr>
              <w:t>.915</w:t>
            </w:r>
          </w:p>
        </w:tc>
      </w:tr>
      <w:tr w:rsidR="00D22CE1" w:rsidRPr="0089227D" w:rsidTr="0013700D">
        <w:trPr>
          <w:trHeight w:val="20"/>
        </w:trPr>
        <w:tc>
          <w:tcPr>
            <w:tcW w:w="1419" w:type="dxa"/>
            <w:tcBorders>
              <w:left w:val="single" w:sz="12" w:space="0" w:color="auto"/>
              <w:right w:val="single" w:sz="12" w:space="0" w:color="auto"/>
            </w:tcBorders>
          </w:tcPr>
          <w:p w:rsidR="00D22CE1" w:rsidRPr="0013700D" w:rsidRDefault="00D22CE1" w:rsidP="0013700D">
            <w:pPr>
              <w:pStyle w:val="NoSpacing"/>
              <w:rPr>
                <w:sz w:val="18"/>
                <w:szCs w:val="18"/>
              </w:rPr>
            </w:pPr>
            <w:r w:rsidRPr="0013700D">
              <w:rPr>
                <w:sz w:val="18"/>
                <w:szCs w:val="18"/>
              </w:rPr>
              <w:t xml:space="preserve">INDCOMP </w:t>
            </w:r>
          </w:p>
        </w:tc>
        <w:tc>
          <w:tcPr>
            <w:tcW w:w="992" w:type="dxa"/>
            <w:tcBorders>
              <w:left w:val="single" w:sz="12" w:space="0" w:color="auto"/>
              <w:right w:val="single" w:sz="4" w:space="0" w:color="auto"/>
            </w:tcBorders>
          </w:tcPr>
          <w:p w:rsidR="00D22CE1" w:rsidRPr="0013700D" w:rsidRDefault="00D22CE1" w:rsidP="0013700D">
            <w:pPr>
              <w:pStyle w:val="NoSpacing"/>
              <w:rPr>
                <w:sz w:val="18"/>
                <w:szCs w:val="18"/>
              </w:rPr>
            </w:pPr>
            <w:r w:rsidRPr="0013700D">
              <w:rPr>
                <w:sz w:val="18"/>
                <w:szCs w:val="18"/>
              </w:rPr>
              <w:t>-.013</w:t>
            </w:r>
          </w:p>
        </w:tc>
        <w:tc>
          <w:tcPr>
            <w:tcW w:w="851" w:type="dxa"/>
            <w:tcBorders>
              <w:left w:val="single" w:sz="4" w:space="0" w:color="auto"/>
              <w:right w:val="single" w:sz="4" w:space="0" w:color="auto"/>
            </w:tcBorders>
          </w:tcPr>
          <w:p w:rsidR="00D22CE1" w:rsidRPr="0013700D" w:rsidRDefault="00D22CE1" w:rsidP="0013700D">
            <w:pPr>
              <w:pStyle w:val="NoSpacing"/>
              <w:rPr>
                <w:sz w:val="18"/>
                <w:szCs w:val="18"/>
              </w:rPr>
            </w:pPr>
            <w:r w:rsidRPr="0013700D">
              <w:rPr>
                <w:sz w:val="18"/>
                <w:szCs w:val="18"/>
              </w:rPr>
              <w:t>.918</w:t>
            </w:r>
          </w:p>
        </w:tc>
        <w:tc>
          <w:tcPr>
            <w:tcW w:w="709" w:type="dxa"/>
            <w:tcBorders>
              <w:left w:val="single" w:sz="4" w:space="0" w:color="auto"/>
              <w:right w:val="single" w:sz="12" w:space="0" w:color="auto"/>
            </w:tcBorders>
          </w:tcPr>
          <w:p w:rsidR="00D22CE1" w:rsidRPr="0013700D" w:rsidRDefault="0008232E" w:rsidP="0013700D">
            <w:pPr>
              <w:pStyle w:val="NoSpacing"/>
              <w:rPr>
                <w:sz w:val="18"/>
                <w:szCs w:val="18"/>
              </w:rPr>
            </w:pPr>
            <w:r w:rsidRPr="0013700D">
              <w:rPr>
                <w:sz w:val="18"/>
                <w:szCs w:val="18"/>
              </w:rPr>
              <w:t>.987</w:t>
            </w:r>
          </w:p>
        </w:tc>
        <w:tc>
          <w:tcPr>
            <w:tcW w:w="991" w:type="dxa"/>
            <w:tcBorders>
              <w:left w:val="single" w:sz="12" w:space="0" w:color="auto"/>
              <w:right w:val="single" w:sz="4" w:space="0" w:color="auto"/>
            </w:tcBorders>
          </w:tcPr>
          <w:p w:rsidR="00D22CE1" w:rsidRPr="0013700D" w:rsidRDefault="00D22CE1" w:rsidP="0013700D">
            <w:pPr>
              <w:pStyle w:val="NoSpacing"/>
              <w:rPr>
                <w:sz w:val="18"/>
                <w:szCs w:val="18"/>
              </w:rPr>
            </w:pPr>
            <w:r w:rsidRPr="0013700D">
              <w:rPr>
                <w:sz w:val="18"/>
                <w:szCs w:val="18"/>
              </w:rPr>
              <w:t>-.014</w:t>
            </w:r>
          </w:p>
        </w:tc>
        <w:tc>
          <w:tcPr>
            <w:tcW w:w="851" w:type="dxa"/>
            <w:tcBorders>
              <w:left w:val="single" w:sz="4" w:space="0" w:color="auto"/>
              <w:right w:val="single" w:sz="4" w:space="0" w:color="auto"/>
            </w:tcBorders>
          </w:tcPr>
          <w:p w:rsidR="00D22CE1" w:rsidRPr="0013700D" w:rsidRDefault="00D22CE1" w:rsidP="0013700D">
            <w:pPr>
              <w:pStyle w:val="NoSpacing"/>
              <w:rPr>
                <w:sz w:val="18"/>
                <w:szCs w:val="18"/>
              </w:rPr>
            </w:pPr>
            <w:r w:rsidRPr="0013700D">
              <w:rPr>
                <w:sz w:val="18"/>
                <w:szCs w:val="18"/>
              </w:rPr>
              <w:t>.911</w:t>
            </w:r>
          </w:p>
        </w:tc>
        <w:tc>
          <w:tcPr>
            <w:tcW w:w="709" w:type="dxa"/>
            <w:tcBorders>
              <w:left w:val="single" w:sz="4" w:space="0" w:color="auto"/>
              <w:right w:val="single" w:sz="12" w:space="0" w:color="auto"/>
            </w:tcBorders>
          </w:tcPr>
          <w:p w:rsidR="00D22CE1" w:rsidRPr="0013700D" w:rsidRDefault="00D22CE1" w:rsidP="0013700D">
            <w:pPr>
              <w:pStyle w:val="NoSpacing"/>
              <w:rPr>
                <w:sz w:val="18"/>
                <w:szCs w:val="18"/>
              </w:rPr>
            </w:pPr>
            <w:r w:rsidRPr="0013700D">
              <w:rPr>
                <w:sz w:val="18"/>
                <w:szCs w:val="18"/>
              </w:rPr>
              <w:t>.986</w:t>
            </w:r>
          </w:p>
        </w:tc>
        <w:tc>
          <w:tcPr>
            <w:tcW w:w="992" w:type="dxa"/>
            <w:tcBorders>
              <w:left w:val="single" w:sz="4" w:space="0" w:color="auto"/>
              <w:right w:val="single" w:sz="12" w:space="0" w:color="auto"/>
            </w:tcBorders>
          </w:tcPr>
          <w:p w:rsidR="00D22CE1" w:rsidRPr="0013700D" w:rsidRDefault="00D22CE1" w:rsidP="0013700D">
            <w:pPr>
              <w:pStyle w:val="NoSpacing"/>
              <w:rPr>
                <w:sz w:val="18"/>
                <w:szCs w:val="18"/>
              </w:rPr>
            </w:pPr>
            <w:r w:rsidRPr="0013700D">
              <w:rPr>
                <w:sz w:val="18"/>
                <w:szCs w:val="18"/>
              </w:rPr>
              <w:t>-.013</w:t>
            </w:r>
          </w:p>
        </w:tc>
        <w:tc>
          <w:tcPr>
            <w:tcW w:w="851" w:type="dxa"/>
            <w:tcBorders>
              <w:left w:val="single" w:sz="4" w:space="0" w:color="auto"/>
              <w:right w:val="single" w:sz="12" w:space="0" w:color="auto"/>
            </w:tcBorders>
          </w:tcPr>
          <w:p w:rsidR="00D22CE1" w:rsidRPr="0013700D" w:rsidRDefault="00D22CE1" w:rsidP="0013700D">
            <w:pPr>
              <w:pStyle w:val="NoSpacing"/>
              <w:rPr>
                <w:sz w:val="18"/>
                <w:szCs w:val="18"/>
              </w:rPr>
            </w:pPr>
            <w:r w:rsidRPr="0013700D">
              <w:rPr>
                <w:sz w:val="18"/>
                <w:szCs w:val="18"/>
              </w:rPr>
              <w:t>.918</w:t>
            </w:r>
          </w:p>
        </w:tc>
        <w:tc>
          <w:tcPr>
            <w:tcW w:w="992" w:type="dxa"/>
            <w:tcBorders>
              <w:left w:val="single" w:sz="4" w:space="0" w:color="auto"/>
              <w:right w:val="single" w:sz="12" w:space="0" w:color="auto"/>
            </w:tcBorders>
          </w:tcPr>
          <w:p w:rsidR="00D22CE1" w:rsidRPr="0013700D" w:rsidRDefault="00D22CE1" w:rsidP="0013700D">
            <w:pPr>
              <w:pStyle w:val="NoSpacing"/>
              <w:rPr>
                <w:sz w:val="18"/>
                <w:szCs w:val="18"/>
              </w:rPr>
            </w:pPr>
            <w:r w:rsidRPr="0013700D">
              <w:rPr>
                <w:sz w:val="18"/>
                <w:szCs w:val="18"/>
              </w:rPr>
              <w:t>.767</w:t>
            </w:r>
          </w:p>
        </w:tc>
      </w:tr>
      <w:tr w:rsidR="004D7360" w:rsidRPr="0089227D" w:rsidTr="0013700D">
        <w:trPr>
          <w:trHeight w:val="20"/>
        </w:trPr>
        <w:tc>
          <w:tcPr>
            <w:tcW w:w="1419" w:type="dxa"/>
            <w:tcBorders>
              <w:left w:val="single" w:sz="12" w:space="0" w:color="auto"/>
              <w:right w:val="single" w:sz="12" w:space="0" w:color="auto"/>
            </w:tcBorders>
          </w:tcPr>
          <w:p w:rsidR="004D7360" w:rsidRPr="0013700D" w:rsidRDefault="004D7360" w:rsidP="0013700D">
            <w:pPr>
              <w:pStyle w:val="NoSpacing"/>
              <w:rPr>
                <w:sz w:val="18"/>
                <w:szCs w:val="18"/>
              </w:rPr>
            </w:pPr>
            <w:r w:rsidRPr="0013700D">
              <w:rPr>
                <w:sz w:val="18"/>
                <w:szCs w:val="18"/>
              </w:rPr>
              <w:t xml:space="preserve">RESTRUCTD </w:t>
            </w:r>
          </w:p>
        </w:tc>
        <w:tc>
          <w:tcPr>
            <w:tcW w:w="992" w:type="dxa"/>
            <w:tcBorders>
              <w:left w:val="single" w:sz="12" w:space="0" w:color="auto"/>
              <w:right w:val="single" w:sz="4" w:space="0" w:color="auto"/>
            </w:tcBorders>
          </w:tcPr>
          <w:p w:rsidR="004D7360" w:rsidRPr="0013700D" w:rsidRDefault="0008232E" w:rsidP="0013700D">
            <w:pPr>
              <w:pStyle w:val="NoSpacing"/>
              <w:rPr>
                <w:sz w:val="18"/>
                <w:szCs w:val="18"/>
              </w:rPr>
            </w:pPr>
            <w:r w:rsidRPr="0013700D">
              <w:rPr>
                <w:sz w:val="18"/>
                <w:szCs w:val="18"/>
              </w:rPr>
              <w:t>.098</w:t>
            </w:r>
          </w:p>
        </w:tc>
        <w:tc>
          <w:tcPr>
            <w:tcW w:w="851" w:type="dxa"/>
            <w:tcBorders>
              <w:left w:val="single" w:sz="4" w:space="0" w:color="auto"/>
              <w:right w:val="single" w:sz="4" w:space="0" w:color="auto"/>
            </w:tcBorders>
          </w:tcPr>
          <w:p w:rsidR="004D7360" w:rsidRPr="0013700D" w:rsidRDefault="0008232E" w:rsidP="0013700D">
            <w:pPr>
              <w:pStyle w:val="NoSpacing"/>
              <w:rPr>
                <w:sz w:val="18"/>
                <w:szCs w:val="18"/>
              </w:rPr>
            </w:pPr>
            <w:r w:rsidRPr="0013700D">
              <w:rPr>
                <w:sz w:val="18"/>
                <w:szCs w:val="18"/>
              </w:rPr>
              <w:t>.092*</w:t>
            </w:r>
          </w:p>
        </w:tc>
        <w:tc>
          <w:tcPr>
            <w:tcW w:w="709" w:type="dxa"/>
            <w:tcBorders>
              <w:left w:val="single" w:sz="4" w:space="0" w:color="auto"/>
              <w:right w:val="single" w:sz="12" w:space="0" w:color="auto"/>
            </w:tcBorders>
          </w:tcPr>
          <w:p w:rsidR="004D7360" w:rsidRPr="0013700D" w:rsidRDefault="0008232E" w:rsidP="0013700D">
            <w:pPr>
              <w:pStyle w:val="NoSpacing"/>
              <w:rPr>
                <w:sz w:val="18"/>
                <w:szCs w:val="18"/>
              </w:rPr>
            </w:pPr>
            <w:r w:rsidRPr="0013700D">
              <w:rPr>
                <w:sz w:val="18"/>
                <w:szCs w:val="18"/>
              </w:rPr>
              <w:t>.984</w:t>
            </w:r>
          </w:p>
        </w:tc>
        <w:tc>
          <w:tcPr>
            <w:tcW w:w="991" w:type="dxa"/>
            <w:tcBorders>
              <w:left w:val="single" w:sz="12"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851" w:type="dxa"/>
            <w:tcBorders>
              <w:left w:val="single" w:sz="4"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709"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992"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851"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992"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r>
      <w:tr w:rsidR="004D7360" w:rsidRPr="0089227D" w:rsidTr="0013700D">
        <w:trPr>
          <w:trHeight w:val="20"/>
        </w:trPr>
        <w:tc>
          <w:tcPr>
            <w:tcW w:w="1419" w:type="dxa"/>
            <w:tcBorders>
              <w:left w:val="single" w:sz="12" w:space="0" w:color="auto"/>
              <w:right w:val="single" w:sz="12" w:space="0" w:color="auto"/>
            </w:tcBorders>
          </w:tcPr>
          <w:p w:rsidR="004D7360" w:rsidRPr="0013700D" w:rsidRDefault="004D7360" w:rsidP="0013700D">
            <w:pPr>
              <w:pStyle w:val="NoSpacing"/>
              <w:rPr>
                <w:sz w:val="18"/>
                <w:szCs w:val="18"/>
              </w:rPr>
            </w:pPr>
            <w:r w:rsidRPr="0013700D">
              <w:rPr>
                <w:sz w:val="18"/>
                <w:szCs w:val="18"/>
              </w:rPr>
              <w:t xml:space="preserve">RESTRUCTP </w:t>
            </w:r>
          </w:p>
        </w:tc>
        <w:tc>
          <w:tcPr>
            <w:tcW w:w="992" w:type="dxa"/>
            <w:tcBorders>
              <w:left w:val="single" w:sz="12"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851" w:type="dxa"/>
            <w:tcBorders>
              <w:left w:val="single" w:sz="4"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709"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991" w:type="dxa"/>
            <w:tcBorders>
              <w:left w:val="single" w:sz="12"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851" w:type="dxa"/>
            <w:tcBorders>
              <w:left w:val="single" w:sz="4"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709"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992" w:type="dxa"/>
            <w:tcBorders>
              <w:left w:val="single" w:sz="4" w:space="0" w:color="auto"/>
              <w:right w:val="single" w:sz="12" w:space="0" w:color="auto"/>
            </w:tcBorders>
          </w:tcPr>
          <w:p w:rsidR="004D7360" w:rsidRPr="0013700D" w:rsidRDefault="00D22CE1" w:rsidP="0013700D">
            <w:pPr>
              <w:pStyle w:val="NoSpacing"/>
              <w:rPr>
                <w:sz w:val="18"/>
                <w:szCs w:val="18"/>
              </w:rPr>
            </w:pPr>
            <w:r w:rsidRPr="0013700D">
              <w:rPr>
                <w:sz w:val="18"/>
                <w:szCs w:val="18"/>
              </w:rPr>
              <w:t>.098</w:t>
            </w:r>
          </w:p>
        </w:tc>
        <w:tc>
          <w:tcPr>
            <w:tcW w:w="851" w:type="dxa"/>
            <w:tcBorders>
              <w:left w:val="single" w:sz="4" w:space="0" w:color="auto"/>
              <w:right w:val="single" w:sz="12" w:space="0" w:color="auto"/>
            </w:tcBorders>
          </w:tcPr>
          <w:p w:rsidR="004D7360" w:rsidRPr="0013700D" w:rsidRDefault="00D22CE1" w:rsidP="0013700D">
            <w:pPr>
              <w:pStyle w:val="NoSpacing"/>
              <w:rPr>
                <w:sz w:val="18"/>
                <w:szCs w:val="18"/>
              </w:rPr>
            </w:pPr>
            <w:r w:rsidRPr="0013700D">
              <w:rPr>
                <w:sz w:val="18"/>
                <w:szCs w:val="18"/>
              </w:rPr>
              <w:t>.042**</w:t>
            </w:r>
          </w:p>
        </w:tc>
        <w:tc>
          <w:tcPr>
            <w:tcW w:w="992" w:type="dxa"/>
            <w:tcBorders>
              <w:left w:val="single" w:sz="4" w:space="0" w:color="auto"/>
              <w:right w:val="single" w:sz="12" w:space="0" w:color="auto"/>
            </w:tcBorders>
          </w:tcPr>
          <w:p w:rsidR="004D7360" w:rsidRPr="0013700D" w:rsidRDefault="00D22CE1" w:rsidP="0013700D">
            <w:pPr>
              <w:pStyle w:val="NoSpacing"/>
              <w:rPr>
                <w:sz w:val="18"/>
                <w:szCs w:val="18"/>
              </w:rPr>
            </w:pPr>
            <w:r w:rsidRPr="0013700D">
              <w:rPr>
                <w:sz w:val="18"/>
                <w:szCs w:val="18"/>
              </w:rPr>
              <w:t>1.103</w:t>
            </w:r>
          </w:p>
        </w:tc>
      </w:tr>
      <w:tr w:rsidR="004D7360" w:rsidRPr="0089227D" w:rsidTr="0013700D">
        <w:trPr>
          <w:trHeight w:val="20"/>
        </w:trPr>
        <w:tc>
          <w:tcPr>
            <w:tcW w:w="1419" w:type="dxa"/>
            <w:tcBorders>
              <w:left w:val="single" w:sz="12" w:space="0" w:color="auto"/>
              <w:right w:val="single" w:sz="12" w:space="0" w:color="auto"/>
            </w:tcBorders>
          </w:tcPr>
          <w:p w:rsidR="004D7360" w:rsidRPr="0013700D" w:rsidRDefault="004D7360" w:rsidP="0013700D">
            <w:pPr>
              <w:pStyle w:val="NoSpacing"/>
              <w:rPr>
                <w:sz w:val="18"/>
                <w:szCs w:val="18"/>
              </w:rPr>
            </w:pPr>
            <w:r w:rsidRPr="0013700D">
              <w:rPr>
                <w:sz w:val="18"/>
                <w:szCs w:val="18"/>
              </w:rPr>
              <w:t>RESTRUCTC</w:t>
            </w:r>
          </w:p>
        </w:tc>
        <w:tc>
          <w:tcPr>
            <w:tcW w:w="992" w:type="dxa"/>
            <w:tcBorders>
              <w:left w:val="single" w:sz="12"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851" w:type="dxa"/>
            <w:tcBorders>
              <w:left w:val="single" w:sz="4" w:space="0" w:color="auto"/>
              <w:right w:val="single" w:sz="4" w:space="0" w:color="auto"/>
            </w:tcBorders>
          </w:tcPr>
          <w:p w:rsidR="004D7360" w:rsidRPr="0013700D" w:rsidRDefault="004D7360" w:rsidP="0013700D">
            <w:pPr>
              <w:pStyle w:val="NoSpacing"/>
              <w:rPr>
                <w:sz w:val="18"/>
                <w:szCs w:val="18"/>
              </w:rPr>
            </w:pPr>
            <w:r w:rsidRPr="0013700D">
              <w:rPr>
                <w:sz w:val="18"/>
                <w:szCs w:val="18"/>
              </w:rPr>
              <w:t>Excl.</w:t>
            </w:r>
          </w:p>
        </w:tc>
        <w:tc>
          <w:tcPr>
            <w:tcW w:w="709"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991" w:type="dxa"/>
            <w:tcBorders>
              <w:left w:val="single" w:sz="12" w:space="0" w:color="auto"/>
              <w:right w:val="single" w:sz="4" w:space="0" w:color="auto"/>
            </w:tcBorders>
          </w:tcPr>
          <w:p w:rsidR="004D7360" w:rsidRPr="0013700D" w:rsidRDefault="00D22CE1" w:rsidP="0013700D">
            <w:pPr>
              <w:pStyle w:val="NoSpacing"/>
              <w:rPr>
                <w:sz w:val="18"/>
                <w:szCs w:val="18"/>
              </w:rPr>
            </w:pPr>
            <w:r w:rsidRPr="0013700D">
              <w:rPr>
                <w:sz w:val="18"/>
                <w:szCs w:val="18"/>
              </w:rPr>
              <w:t>-.016</w:t>
            </w:r>
          </w:p>
        </w:tc>
        <w:tc>
          <w:tcPr>
            <w:tcW w:w="851" w:type="dxa"/>
            <w:tcBorders>
              <w:left w:val="single" w:sz="4" w:space="0" w:color="auto"/>
              <w:right w:val="single" w:sz="4" w:space="0" w:color="auto"/>
            </w:tcBorders>
          </w:tcPr>
          <w:p w:rsidR="004D7360" w:rsidRPr="0013700D" w:rsidRDefault="00D22CE1" w:rsidP="0013700D">
            <w:pPr>
              <w:pStyle w:val="NoSpacing"/>
              <w:rPr>
                <w:sz w:val="18"/>
                <w:szCs w:val="18"/>
              </w:rPr>
            </w:pPr>
            <w:r w:rsidRPr="0013700D">
              <w:rPr>
                <w:sz w:val="18"/>
                <w:szCs w:val="18"/>
              </w:rPr>
              <w:t>.063*</w:t>
            </w:r>
          </w:p>
        </w:tc>
        <w:tc>
          <w:tcPr>
            <w:tcW w:w="709" w:type="dxa"/>
            <w:tcBorders>
              <w:left w:val="single" w:sz="4" w:space="0" w:color="auto"/>
              <w:right w:val="single" w:sz="12" w:space="0" w:color="auto"/>
            </w:tcBorders>
          </w:tcPr>
          <w:p w:rsidR="004D7360" w:rsidRPr="0013700D" w:rsidRDefault="00D22CE1" w:rsidP="0013700D">
            <w:pPr>
              <w:pStyle w:val="NoSpacing"/>
              <w:rPr>
                <w:sz w:val="18"/>
                <w:szCs w:val="18"/>
              </w:rPr>
            </w:pPr>
            <w:r w:rsidRPr="0013700D">
              <w:rPr>
                <w:sz w:val="18"/>
                <w:szCs w:val="18"/>
              </w:rPr>
              <w:t>.967</w:t>
            </w:r>
          </w:p>
        </w:tc>
        <w:tc>
          <w:tcPr>
            <w:tcW w:w="992"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851"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c>
          <w:tcPr>
            <w:tcW w:w="992" w:type="dxa"/>
            <w:tcBorders>
              <w:left w:val="single" w:sz="4" w:space="0" w:color="auto"/>
              <w:right w:val="single" w:sz="12" w:space="0" w:color="auto"/>
            </w:tcBorders>
          </w:tcPr>
          <w:p w:rsidR="004D7360" w:rsidRPr="0013700D" w:rsidRDefault="004D7360" w:rsidP="0013700D">
            <w:pPr>
              <w:pStyle w:val="NoSpacing"/>
              <w:rPr>
                <w:sz w:val="18"/>
                <w:szCs w:val="18"/>
              </w:rPr>
            </w:pPr>
            <w:r w:rsidRPr="0013700D">
              <w:rPr>
                <w:sz w:val="18"/>
                <w:szCs w:val="18"/>
              </w:rPr>
              <w:t>Excl.</w:t>
            </w:r>
          </w:p>
        </w:tc>
      </w:tr>
      <w:tr w:rsidR="0008232E" w:rsidRPr="0089227D" w:rsidTr="0013700D">
        <w:trPr>
          <w:trHeight w:val="20"/>
        </w:trPr>
        <w:tc>
          <w:tcPr>
            <w:tcW w:w="1419" w:type="dxa"/>
            <w:tcBorders>
              <w:left w:val="single" w:sz="12" w:space="0" w:color="auto"/>
              <w:right w:val="single" w:sz="12" w:space="0" w:color="auto"/>
            </w:tcBorders>
          </w:tcPr>
          <w:p w:rsidR="0008232E" w:rsidRPr="0013700D" w:rsidRDefault="0008232E" w:rsidP="0013700D">
            <w:pPr>
              <w:pStyle w:val="NoSpacing"/>
              <w:rPr>
                <w:sz w:val="18"/>
                <w:szCs w:val="18"/>
              </w:rPr>
            </w:pPr>
            <w:r w:rsidRPr="0013700D">
              <w:rPr>
                <w:sz w:val="18"/>
                <w:szCs w:val="18"/>
              </w:rPr>
              <w:t>SIZE</w:t>
            </w:r>
          </w:p>
        </w:tc>
        <w:tc>
          <w:tcPr>
            <w:tcW w:w="992"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.437</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1.548</w:t>
            </w:r>
          </w:p>
        </w:tc>
        <w:tc>
          <w:tcPr>
            <w:tcW w:w="991"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.438</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1.550</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.439</w:t>
            </w:r>
          </w:p>
        </w:tc>
        <w:tc>
          <w:tcPr>
            <w:tcW w:w="851"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.000**</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1.550</w:t>
            </w:r>
          </w:p>
        </w:tc>
      </w:tr>
      <w:tr w:rsidR="0008232E" w:rsidRPr="0089227D" w:rsidTr="0013700D">
        <w:trPr>
          <w:trHeight w:val="20"/>
        </w:trPr>
        <w:tc>
          <w:tcPr>
            <w:tcW w:w="1419" w:type="dxa"/>
            <w:tcBorders>
              <w:left w:val="single" w:sz="12" w:space="0" w:color="auto"/>
              <w:right w:val="single" w:sz="12" w:space="0" w:color="auto"/>
            </w:tcBorders>
          </w:tcPr>
          <w:p w:rsidR="0008232E" w:rsidRPr="0013700D" w:rsidRDefault="0008232E" w:rsidP="0013700D">
            <w:pPr>
              <w:pStyle w:val="NoSpacing"/>
              <w:rPr>
                <w:sz w:val="18"/>
                <w:szCs w:val="18"/>
              </w:rPr>
            </w:pPr>
            <w:r w:rsidRPr="0013700D">
              <w:rPr>
                <w:sz w:val="18"/>
                <w:szCs w:val="18"/>
              </w:rPr>
              <w:t>AGE</w:t>
            </w:r>
          </w:p>
        </w:tc>
        <w:tc>
          <w:tcPr>
            <w:tcW w:w="992"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.547</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1.728</w:t>
            </w:r>
          </w:p>
        </w:tc>
        <w:tc>
          <w:tcPr>
            <w:tcW w:w="991"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.547</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1.728</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.553</w:t>
            </w:r>
          </w:p>
        </w:tc>
        <w:tc>
          <w:tcPr>
            <w:tcW w:w="851"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.000**</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1.739</w:t>
            </w:r>
          </w:p>
        </w:tc>
      </w:tr>
      <w:tr w:rsidR="0008232E" w:rsidRPr="0089227D" w:rsidTr="0013700D">
        <w:trPr>
          <w:trHeight w:val="20"/>
        </w:trPr>
        <w:tc>
          <w:tcPr>
            <w:tcW w:w="1419" w:type="dxa"/>
            <w:tcBorders>
              <w:left w:val="single" w:sz="12" w:space="0" w:color="auto"/>
              <w:right w:val="single" w:sz="12" w:space="0" w:color="auto"/>
            </w:tcBorders>
          </w:tcPr>
          <w:p w:rsidR="0008232E" w:rsidRPr="0013700D" w:rsidRDefault="0008232E" w:rsidP="0013700D">
            <w:pPr>
              <w:pStyle w:val="NoSpacing"/>
              <w:rPr>
                <w:sz w:val="18"/>
                <w:szCs w:val="18"/>
              </w:rPr>
            </w:pPr>
            <w:r w:rsidRPr="0013700D">
              <w:rPr>
                <w:sz w:val="18"/>
                <w:szCs w:val="18"/>
              </w:rPr>
              <w:t>LEV</w:t>
            </w:r>
          </w:p>
        </w:tc>
        <w:tc>
          <w:tcPr>
            <w:tcW w:w="992"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.000</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.278</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1.000</w:t>
            </w:r>
          </w:p>
        </w:tc>
        <w:tc>
          <w:tcPr>
            <w:tcW w:w="991"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.000</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.275</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1.000</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.000</w:t>
            </w:r>
          </w:p>
        </w:tc>
        <w:tc>
          <w:tcPr>
            <w:tcW w:w="851"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.273</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1.000</w:t>
            </w:r>
          </w:p>
        </w:tc>
      </w:tr>
      <w:tr w:rsidR="0008232E" w:rsidRPr="0089227D" w:rsidTr="0013700D">
        <w:trPr>
          <w:trHeight w:val="20"/>
        </w:trPr>
        <w:tc>
          <w:tcPr>
            <w:tcW w:w="1419" w:type="dxa"/>
            <w:tcBorders>
              <w:left w:val="single" w:sz="12" w:space="0" w:color="auto"/>
              <w:right w:val="single" w:sz="12" w:space="0" w:color="auto"/>
            </w:tcBorders>
          </w:tcPr>
          <w:p w:rsidR="0008232E" w:rsidRPr="0013700D" w:rsidRDefault="0008232E" w:rsidP="0013700D">
            <w:pPr>
              <w:pStyle w:val="NoSpacing"/>
              <w:rPr>
                <w:sz w:val="18"/>
                <w:szCs w:val="18"/>
              </w:rPr>
            </w:pPr>
            <w:r w:rsidRPr="0013700D">
              <w:rPr>
                <w:sz w:val="18"/>
                <w:szCs w:val="18"/>
              </w:rPr>
              <w:t>ROA</w:t>
            </w:r>
          </w:p>
        </w:tc>
        <w:tc>
          <w:tcPr>
            <w:tcW w:w="992"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.006</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.007**</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1.006</w:t>
            </w:r>
          </w:p>
        </w:tc>
        <w:tc>
          <w:tcPr>
            <w:tcW w:w="991"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.006</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.008**</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1.006</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.006</w:t>
            </w:r>
          </w:p>
        </w:tc>
        <w:tc>
          <w:tcPr>
            <w:tcW w:w="851"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.007**</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1.006</w:t>
            </w:r>
          </w:p>
        </w:tc>
      </w:tr>
      <w:tr w:rsidR="0008232E" w:rsidRPr="0089227D" w:rsidTr="0013700D">
        <w:trPr>
          <w:trHeight w:val="20"/>
        </w:trPr>
        <w:tc>
          <w:tcPr>
            <w:tcW w:w="1419" w:type="dxa"/>
            <w:tcBorders>
              <w:left w:val="single" w:sz="12" w:space="0" w:color="auto"/>
              <w:right w:val="single" w:sz="12" w:space="0" w:color="auto"/>
            </w:tcBorders>
          </w:tcPr>
          <w:p w:rsidR="0008232E" w:rsidRPr="0013700D" w:rsidRDefault="0008232E" w:rsidP="0013700D">
            <w:pPr>
              <w:pStyle w:val="NoSpacing"/>
              <w:rPr>
                <w:sz w:val="18"/>
                <w:szCs w:val="18"/>
              </w:rPr>
            </w:pPr>
            <w:r w:rsidRPr="0013700D">
              <w:rPr>
                <w:sz w:val="18"/>
                <w:szCs w:val="18"/>
              </w:rPr>
              <w:t>SEGNUM</w:t>
            </w:r>
          </w:p>
        </w:tc>
        <w:tc>
          <w:tcPr>
            <w:tcW w:w="992"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-.049</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.952</w:t>
            </w:r>
          </w:p>
        </w:tc>
        <w:tc>
          <w:tcPr>
            <w:tcW w:w="991"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-.049</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.952</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-.049</w:t>
            </w:r>
          </w:p>
        </w:tc>
        <w:tc>
          <w:tcPr>
            <w:tcW w:w="851"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.000**</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.952</w:t>
            </w:r>
          </w:p>
        </w:tc>
      </w:tr>
      <w:tr w:rsidR="0008232E" w:rsidRPr="0089227D" w:rsidTr="0013700D">
        <w:trPr>
          <w:trHeight w:val="20"/>
        </w:trPr>
        <w:tc>
          <w:tcPr>
            <w:tcW w:w="1419" w:type="dxa"/>
            <w:tcBorders>
              <w:left w:val="single" w:sz="12" w:space="0" w:color="auto"/>
              <w:right w:val="single" w:sz="12" w:space="0" w:color="auto"/>
            </w:tcBorders>
          </w:tcPr>
          <w:p w:rsidR="0008232E" w:rsidRPr="0013700D" w:rsidRDefault="0008232E" w:rsidP="0013700D">
            <w:pPr>
              <w:pStyle w:val="NoSpacing"/>
              <w:rPr>
                <w:sz w:val="18"/>
                <w:szCs w:val="18"/>
              </w:rPr>
            </w:pPr>
            <w:r w:rsidRPr="0013700D">
              <w:rPr>
                <w:sz w:val="18"/>
                <w:szCs w:val="18"/>
              </w:rPr>
              <w:t xml:space="preserve">FORTRANS </w:t>
            </w:r>
          </w:p>
        </w:tc>
        <w:tc>
          <w:tcPr>
            <w:tcW w:w="992"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.043</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.380</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1.043</w:t>
            </w:r>
          </w:p>
        </w:tc>
        <w:tc>
          <w:tcPr>
            <w:tcW w:w="991"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.043</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.376</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1.044</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.038</w:t>
            </w:r>
          </w:p>
        </w:tc>
        <w:tc>
          <w:tcPr>
            <w:tcW w:w="851"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.434</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1.039</w:t>
            </w:r>
          </w:p>
        </w:tc>
      </w:tr>
      <w:tr w:rsidR="0008232E" w:rsidRPr="0089227D" w:rsidTr="0013700D">
        <w:trPr>
          <w:trHeight w:val="20"/>
        </w:trPr>
        <w:tc>
          <w:tcPr>
            <w:tcW w:w="1419" w:type="dxa"/>
            <w:tcBorders>
              <w:left w:val="single" w:sz="12" w:space="0" w:color="auto"/>
              <w:right w:val="single" w:sz="12" w:space="0" w:color="auto"/>
            </w:tcBorders>
          </w:tcPr>
          <w:p w:rsidR="0008232E" w:rsidRPr="0013700D" w:rsidRDefault="0008232E" w:rsidP="0013700D">
            <w:pPr>
              <w:pStyle w:val="NoSpacing"/>
              <w:rPr>
                <w:sz w:val="18"/>
                <w:szCs w:val="18"/>
              </w:rPr>
            </w:pPr>
            <w:r w:rsidRPr="0013700D">
              <w:rPr>
                <w:sz w:val="18"/>
                <w:szCs w:val="18"/>
              </w:rPr>
              <w:t xml:space="preserve">BIG 4 </w:t>
            </w:r>
          </w:p>
        </w:tc>
        <w:tc>
          <w:tcPr>
            <w:tcW w:w="992"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.448</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1.566</w:t>
            </w:r>
          </w:p>
        </w:tc>
        <w:tc>
          <w:tcPr>
            <w:tcW w:w="991" w:type="dxa"/>
            <w:tcBorders>
              <w:left w:val="single" w:sz="12" w:space="0" w:color="auto"/>
              <w:right w:val="single" w:sz="4" w:space="0" w:color="auto"/>
            </w:tcBorders>
          </w:tcPr>
          <w:p w:rsidR="0008232E" w:rsidRPr="0013700D" w:rsidRDefault="0008232E" w:rsidP="0013700D">
            <w:pPr>
              <w:pStyle w:val="NoSpacing"/>
              <w:rPr>
                <w:sz w:val="18"/>
                <w:szCs w:val="18"/>
              </w:rPr>
            </w:pPr>
            <w:r w:rsidRPr="0013700D">
              <w:rPr>
                <w:sz w:val="18"/>
                <w:szCs w:val="18"/>
              </w:rPr>
              <w:t>.450</w:t>
            </w:r>
          </w:p>
        </w:tc>
        <w:tc>
          <w:tcPr>
            <w:tcW w:w="851" w:type="dxa"/>
            <w:tcBorders>
              <w:left w:val="single" w:sz="4" w:space="0" w:color="auto"/>
              <w:right w:val="single" w:sz="4" w:space="0" w:color="auto"/>
            </w:tcBorders>
          </w:tcPr>
          <w:p w:rsidR="0008232E" w:rsidRPr="0013700D" w:rsidRDefault="0008232E"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1.568</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.457</w:t>
            </w:r>
          </w:p>
        </w:tc>
        <w:tc>
          <w:tcPr>
            <w:tcW w:w="851"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.000**</w:t>
            </w:r>
          </w:p>
        </w:tc>
        <w:tc>
          <w:tcPr>
            <w:tcW w:w="992" w:type="dxa"/>
            <w:tcBorders>
              <w:left w:val="single" w:sz="4" w:space="0" w:color="auto"/>
              <w:right w:val="single" w:sz="12" w:space="0" w:color="auto"/>
            </w:tcBorders>
          </w:tcPr>
          <w:p w:rsidR="0008232E" w:rsidRPr="0013700D" w:rsidRDefault="0008232E" w:rsidP="0013700D">
            <w:pPr>
              <w:pStyle w:val="NoSpacing"/>
              <w:rPr>
                <w:sz w:val="18"/>
                <w:szCs w:val="18"/>
              </w:rPr>
            </w:pPr>
            <w:r w:rsidRPr="0013700D">
              <w:rPr>
                <w:sz w:val="18"/>
                <w:szCs w:val="18"/>
              </w:rPr>
              <w:t>1.579</w:t>
            </w:r>
          </w:p>
        </w:tc>
      </w:tr>
      <w:tr w:rsidR="0089227D" w:rsidRPr="0089227D" w:rsidTr="0013700D">
        <w:trPr>
          <w:trHeight w:val="20"/>
        </w:trPr>
        <w:tc>
          <w:tcPr>
            <w:tcW w:w="1419" w:type="dxa"/>
            <w:tcBorders>
              <w:left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Intercept</w:t>
            </w:r>
          </w:p>
        </w:tc>
        <w:tc>
          <w:tcPr>
            <w:tcW w:w="992" w:type="dxa"/>
            <w:tcBorders>
              <w:left w:val="single" w:sz="12" w:space="0" w:color="auto"/>
              <w:right w:val="single" w:sz="4" w:space="0" w:color="auto"/>
            </w:tcBorders>
          </w:tcPr>
          <w:p w:rsidR="0089227D" w:rsidRPr="0013700D" w:rsidRDefault="0008232E" w:rsidP="0013700D">
            <w:pPr>
              <w:pStyle w:val="NoSpacing"/>
              <w:rPr>
                <w:sz w:val="18"/>
                <w:szCs w:val="18"/>
              </w:rPr>
            </w:pPr>
            <w:r w:rsidRPr="0013700D">
              <w:rPr>
                <w:sz w:val="18"/>
                <w:szCs w:val="18"/>
              </w:rPr>
              <w:t>-1.766</w:t>
            </w:r>
          </w:p>
        </w:tc>
        <w:tc>
          <w:tcPr>
            <w:tcW w:w="851" w:type="dxa"/>
            <w:tcBorders>
              <w:left w:val="single" w:sz="4" w:space="0" w:color="auto"/>
              <w:right w:val="single" w:sz="4" w:space="0" w:color="auto"/>
            </w:tcBorders>
          </w:tcPr>
          <w:p w:rsidR="0089227D" w:rsidRPr="0013700D" w:rsidRDefault="0008232E"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89227D" w:rsidRPr="0013700D" w:rsidRDefault="0089227D" w:rsidP="0013700D">
            <w:pPr>
              <w:pStyle w:val="NoSpacing"/>
              <w:rPr>
                <w:sz w:val="18"/>
                <w:szCs w:val="18"/>
              </w:rPr>
            </w:pPr>
          </w:p>
        </w:tc>
        <w:tc>
          <w:tcPr>
            <w:tcW w:w="991" w:type="dxa"/>
            <w:tcBorders>
              <w:left w:val="single" w:sz="12" w:space="0" w:color="auto"/>
              <w:right w:val="single" w:sz="4" w:space="0" w:color="auto"/>
            </w:tcBorders>
          </w:tcPr>
          <w:p w:rsidR="0089227D" w:rsidRPr="0013700D" w:rsidRDefault="00D22CE1" w:rsidP="0013700D">
            <w:pPr>
              <w:pStyle w:val="NoSpacing"/>
              <w:rPr>
                <w:sz w:val="18"/>
                <w:szCs w:val="18"/>
              </w:rPr>
            </w:pPr>
            <w:r w:rsidRPr="0013700D">
              <w:rPr>
                <w:sz w:val="18"/>
                <w:szCs w:val="18"/>
              </w:rPr>
              <w:t>-1.676</w:t>
            </w:r>
          </w:p>
        </w:tc>
        <w:tc>
          <w:tcPr>
            <w:tcW w:w="851" w:type="dxa"/>
            <w:tcBorders>
              <w:left w:val="single" w:sz="4" w:space="0" w:color="auto"/>
              <w:right w:val="single" w:sz="4" w:space="0" w:color="auto"/>
            </w:tcBorders>
          </w:tcPr>
          <w:p w:rsidR="0089227D" w:rsidRPr="0013700D" w:rsidRDefault="00D22CE1"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89227D" w:rsidRPr="0013700D" w:rsidRDefault="0089227D" w:rsidP="0013700D">
            <w:pPr>
              <w:pStyle w:val="NoSpacing"/>
              <w:rPr>
                <w:sz w:val="18"/>
                <w:szCs w:val="18"/>
              </w:rPr>
            </w:pPr>
          </w:p>
        </w:tc>
        <w:tc>
          <w:tcPr>
            <w:tcW w:w="992" w:type="dxa"/>
            <w:tcBorders>
              <w:left w:val="single" w:sz="4" w:space="0" w:color="auto"/>
              <w:right w:val="single" w:sz="12" w:space="0" w:color="auto"/>
            </w:tcBorders>
          </w:tcPr>
          <w:p w:rsidR="0089227D" w:rsidRPr="0013700D" w:rsidRDefault="00D22CE1" w:rsidP="0013700D">
            <w:pPr>
              <w:pStyle w:val="NoSpacing"/>
              <w:rPr>
                <w:sz w:val="18"/>
                <w:szCs w:val="18"/>
              </w:rPr>
            </w:pPr>
            <w:r w:rsidRPr="0013700D">
              <w:rPr>
                <w:sz w:val="18"/>
                <w:szCs w:val="18"/>
              </w:rPr>
              <w:t>-1.767</w:t>
            </w:r>
          </w:p>
        </w:tc>
        <w:tc>
          <w:tcPr>
            <w:tcW w:w="851" w:type="dxa"/>
            <w:tcBorders>
              <w:left w:val="single" w:sz="4" w:space="0" w:color="auto"/>
              <w:right w:val="single" w:sz="12" w:space="0" w:color="auto"/>
            </w:tcBorders>
          </w:tcPr>
          <w:p w:rsidR="0089227D" w:rsidRPr="0013700D" w:rsidRDefault="00D22CE1" w:rsidP="0013700D">
            <w:pPr>
              <w:pStyle w:val="NoSpacing"/>
              <w:rPr>
                <w:sz w:val="18"/>
                <w:szCs w:val="18"/>
              </w:rPr>
            </w:pPr>
            <w:r w:rsidRPr="0013700D">
              <w:rPr>
                <w:sz w:val="18"/>
                <w:szCs w:val="18"/>
              </w:rPr>
              <w:t>.000**</w:t>
            </w:r>
          </w:p>
        </w:tc>
        <w:tc>
          <w:tcPr>
            <w:tcW w:w="992" w:type="dxa"/>
            <w:tcBorders>
              <w:left w:val="single" w:sz="4" w:space="0" w:color="auto"/>
              <w:right w:val="single" w:sz="12" w:space="0" w:color="auto"/>
            </w:tcBorders>
          </w:tcPr>
          <w:p w:rsidR="0089227D" w:rsidRPr="0013700D" w:rsidRDefault="0089227D" w:rsidP="0013700D">
            <w:pPr>
              <w:pStyle w:val="NoSpacing"/>
              <w:rPr>
                <w:sz w:val="18"/>
                <w:szCs w:val="18"/>
              </w:rPr>
            </w:pPr>
          </w:p>
        </w:tc>
      </w:tr>
      <w:tr w:rsidR="0089227D" w:rsidRPr="0089227D" w:rsidTr="0013700D">
        <w:trPr>
          <w:trHeight w:val="20"/>
        </w:trPr>
        <w:tc>
          <w:tcPr>
            <w:tcW w:w="1419" w:type="dxa"/>
            <w:tcBorders>
              <w:left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Model Chi-</w:t>
            </w:r>
            <w:r w:rsidR="00FC7F62" w:rsidRPr="0013700D">
              <w:rPr>
                <w:sz w:val="18"/>
                <w:szCs w:val="18"/>
                <w:vertAlign w:val="superscript"/>
              </w:rPr>
              <w:t>2</w:t>
            </w:r>
          </w:p>
        </w:tc>
        <w:tc>
          <w:tcPr>
            <w:tcW w:w="992" w:type="dxa"/>
            <w:tcBorders>
              <w:left w:val="single" w:sz="12" w:space="0" w:color="auto"/>
              <w:right w:val="single" w:sz="4" w:space="0" w:color="auto"/>
            </w:tcBorders>
          </w:tcPr>
          <w:p w:rsidR="0089227D" w:rsidRPr="0013700D" w:rsidRDefault="0008232E" w:rsidP="0013700D">
            <w:pPr>
              <w:pStyle w:val="NoSpacing"/>
              <w:rPr>
                <w:sz w:val="18"/>
                <w:szCs w:val="18"/>
              </w:rPr>
            </w:pPr>
            <w:r w:rsidRPr="0013700D">
              <w:rPr>
                <w:sz w:val="18"/>
                <w:szCs w:val="18"/>
              </w:rPr>
              <w:t>1701.216</w:t>
            </w:r>
          </w:p>
        </w:tc>
        <w:tc>
          <w:tcPr>
            <w:tcW w:w="851" w:type="dxa"/>
            <w:tcBorders>
              <w:left w:val="single" w:sz="4" w:space="0" w:color="auto"/>
              <w:right w:val="single" w:sz="4" w:space="0" w:color="auto"/>
            </w:tcBorders>
          </w:tcPr>
          <w:p w:rsidR="0089227D" w:rsidRPr="0013700D" w:rsidRDefault="0008232E"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89227D" w:rsidRPr="0013700D" w:rsidRDefault="0089227D" w:rsidP="0013700D">
            <w:pPr>
              <w:pStyle w:val="NoSpacing"/>
              <w:rPr>
                <w:sz w:val="18"/>
                <w:szCs w:val="18"/>
              </w:rPr>
            </w:pPr>
          </w:p>
        </w:tc>
        <w:tc>
          <w:tcPr>
            <w:tcW w:w="991" w:type="dxa"/>
            <w:tcBorders>
              <w:left w:val="single" w:sz="12" w:space="0" w:color="auto"/>
              <w:right w:val="single" w:sz="4" w:space="0" w:color="auto"/>
            </w:tcBorders>
          </w:tcPr>
          <w:p w:rsidR="0089227D" w:rsidRPr="0013700D" w:rsidRDefault="00D22CE1" w:rsidP="0013700D">
            <w:pPr>
              <w:pStyle w:val="NoSpacing"/>
              <w:rPr>
                <w:sz w:val="18"/>
                <w:szCs w:val="18"/>
              </w:rPr>
            </w:pPr>
            <w:r w:rsidRPr="0013700D">
              <w:rPr>
                <w:sz w:val="18"/>
                <w:szCs w:val="18"/>
              </w:rPr>
              <w:t>1701.832</w:t>
            </w:r>
          </w:p>
        </w:tc>
        <w:tc>
          <w:tcPr>
            <w:tcW w:w="851" w:type="dxa"/>
            <w:tcBorders>
              <w:left w:val="single" w:sz="4" w:space="0" w:color="auto"/>
              <w:right w:val="single" w:sz="4" w:space="0" w:color="auto"/>
            </w:tcBorders>
          </w:tcPr>
          <w:p w:rsidR="0089227D" w:rsidRPr="0013700D" w:rsidRDefault="00D22CE1" w:rsidP="0013700D">
            <w:pPr>
              <w:pStyle w:val="NoSpacing"/>
              <w:rPr>
                <w:sz w:val="18"/>
                <w:szCs w:val="18"/>
              </w:rPr>
            </w:pPr>
            <w:r w:rsidRPr="0013700D">
              <w:rPr>
                <w:sz w:val="18"/>
                <w:szCs w:val="18"/>
              </w:rPr>
              <w:t>.000**</w:t>
            </w:r>
          </w:p>
        </w:tc>
        <w:tc>
          <w:tcPr>
            <w:tcW w:w="709" w:type="dxa"/>
            <w:tcBorders>
              <w:left w:val="single" w:sz="4" w:space="0" w:color="auto"/>
              <w:right w:val="single" w:sz="12" w:space="0" w:color="auto"/>
            </w:tcBorders>
          </w:tcPr>
          <w:p w:rsidR="0089227D" w:rsidRPr="0013700D" w:rsidRDefault="0089227D" w:rsidP="0013700D">
            <w:pPr>
              <w:pStyle w:val="NoSpacing"/>
              <w:rPr>
                <w:sz w:val="18"/>
                <w:szCs w:val="18"/>
              </w:rPr>
            </w:pPr>
          </w:p>
        </w:tc>
        <w:tc>
          <w:tcPr>
            <w:tcW w:w="992" w:type="dxa"/>
            <w:tcBorders>
              <w:left w:val="single" w:sz="4" w:space="0" w:color="auto"/>
              <w:right w:val="single" w:sz="12" w:space="0" w:color="auto"/>
            </w:tcBorders>
          </w:tcPr>
          <w:p w:rsidR="0089227D" w:rsidRPr="0013700D" w:rsidRDefault="00D22CE1" w:rsidP="0013700D">
            <w:pPr>
              <w:pStyle w:val="NoSpacing"/>
              <w:rPr>
                <w:sz w:val="18"/>
                <w:szCs w:val="18"/>
              </w:rPr>
            </w:pPr>
            <w:r w:rsidRPr="0013700D">
              <w:rPr>
                <w:sz w:val="18"/>
                <w:szCs w:val="18"/>
              </w:rPr>
              <w:t>1702.527</w:t>
            </w:r>
          </w:p>
        </w:tc>
        <w:tc>
          <w:tcPr>
            <w:tcW w:w="851" w:type="dxa"/>
            <w:tcBorders>
              <w:left w:val="single" w:sz="4" w:space="0" w:color="auto"/>
              <w:right w:val="single" w:sz="12" w:space="0" w:color="auto"/>
            </w:tcBorders>
          </w:tcPr>
          <w:p w:rsidR="0089227D" w:rsidRPr="0013700D" w:rsidRDefault="00D22CE1" w:rsidP="0013700D">
            <w:pPr>
              <w:pStyle w:val="NoSpacing"/>
              <w:rPr>
                <w:sz w:val="18"/>
                <w:szCs w:val="18"/>
              </w:rPr>
            </w:pPr>
            <w:r w:rsidRPr="0013700D">
              <w:rPr>
                <w:sz w:val="18"/>
                <w:szCs w:val="18"/>
              </w:rPr>
              <w:t>.000**</w:t>
            </w:r>
          </w:p>
        </w:tc>
        <w:tc>
          <w:tcPr>
            <w:tcW w:w="992" w:type="dxa"/>
            <w:tcBorders>
              <w:left w:val="single" w:sz="4" w:space="0" w:color="auto"/>
              <w:right w:val="single" w:sz="12" w:space="0" w:color="auto"/>
            </w:tcBorders>
          </w:tcPr>
          <w:p w:rsidR="0089227D" w:rsidRPr="0013700D" w:rsidRDefault="0089227D" w:rsidP="0013700D">
            <w:pPr>
              <w:pStyle w:val="NoSpacing"/>
              <w:rPr>
                <w:sz w:val="18"/>
                <w:szCs w:val="18"/>
              </w:rPr>
            </w:pPr>
          </w:p>
        </w:tc>
      </w:tr>
      <w:tr w:rsidR="0089227D" w:rsidRPr="0089227D" w:rsidTr="0013700D">
        <w:trPr>
          <w:trHeight w:val="20"/>
        </w:trPr>
        <w:tc>
          <w:tcPr>
            <w:tcW w:w="1419" w:type="dxa"/>
            <w:tcBorders>
              <w:left w:val="single" w:sz="12" w:space="0" w:color="auto"/>
              <w:bottom w:val="single" w:sz="12" w:space="0" w:color="auto"/>
              <w:right w:val="single" w:sz="12" w:space="0" w:color="auto"/>
            </w:tcBorders>
          </w:tcPr>
          <w:p w:rsidR="0089227D" w:rsidRPr="0013700D" w:rsidRDefault="0089227D" w:rsidP="0013700D">
            <w:pPr>
              <w:pStyle w:val="NoSpacing"/>
              <w:rPr>
                <w:sz w:val="18"/>
                <w:szCs w:val="18"/>
              </w:rPr>
            </w:pPr>
            <w:r w:rsidRPr="0013700D">
              <w:rPr>
                <w:sz w:val="18"/>
                <w:szCs w:val="18"/>
              </w:rPr>
              <w:t>Pseudo R</w:t>
            </w:r>
            <w:r w:rsidR="00FC7F62" w:rsidRPr="0013700D">
              <w:rPr>
                <w:sz w:val="18"/>
                <w:szCs w:val="18"/>
                <w:vertAlign w:val="superscript"/>
              </w:rPr>
              <w:t>2</w:t>
            </w:r>
            <w:r w:rsidRPr="0013700D">
              <w:rPr>
                <w:sz w:val="18"/>
                <w:szCs w:val="18"/>
              </w:rPr>
              <w:t xml:space="preserve"> </w:t>
            </w:r>
            <w:r w:rsidR="0013700D" w:rsidRPr="0013700D">
              <w:rPr>
                <w:sz w:val="18"/>
                <w:szCs w:val="18"/>
              </w:rPr>
              <w:t>(Nk</w:t>
            </w:r>
            <w:r w:rsidRPr="0013700D">
              <w:rPr>
                <w:sz w:val="18"/>
                <w:szCs w:val="18"/>
              </w:rPr>
              <w:t>)</w:t>
            </w:r>
          </w:p>
        </w:tc>
        <w:tc>
          <w:tcPr>
            <w:tcW w:w="992" w:type="dxa"/>
            <w:tcBorders>
              <w:left w:val="single" w:sz="12" w:space="0" w:color="auto"/>
              <w:bottom w:val="single" w:sz="12" w:space="0" w:color="auto"/>
              <w:right w:val="single" w:sz="4" w:space="0" w:color="auto"/>
            </w:tcBorders>
          </w:tcPr>
          <w:p w:rsidR="0089227D" w:rsidRPr="0013700D" w:rsidRDefault="0008232E" w:rsidP="0013700D">
            <w:pPr>
              <w:pStyle w:val="NoSpacing"/>
              <w:rPr>
                <w:sz w:val="18"/>
                <w:szCs w:val="18"/>
              </w:rPr>
            </w:pPr>
            <w:r w:rsidRPr="0013700D">
              <w:rPr>
                <w:sz w:val="18"/>
                <w:szCs w:val="18"/>
              </w:rPr>
              <w:t>.113</w:t>
            </w:r>
          </w:p>
        </w:tc>
        <w:tc>
          <w:tcPr>
            <w:tcW w:w="851" w:type="dxa"/>
            <w:tcBorders>
              <w:left w:val="single" w:sz="4" w:space="0" w:color="auto"/>
              <w:bottom w:val="single" w:sz="12" w:space="0" w:color="auto"/>
              <w:right w:val="single" w:sz="4" w:space="0" w:color="auto"/>
            </w:tcBorders>
          </w:tcPr>
          <w:p w:rsidR="0089227D" w:rsidRPr="0013700D" w:rsidRDefault="0089227D" w:rsidP="0013700D">
            <w:pPr>
              <w:pStyle w:val="NoSpacing"/>
              <w:rPr>
                <w:sz w:val="18"/>
                <w:szCs w:val="18"/>
              </w:rPr>
            </w:pPr>
          </w:p>
        </w:tc>
        <w:tc>
          <w:tcPr>
            <w:tcW w:w="709" w:type="dxa"/>
            <w:tcBorders>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p>
        </w:tc>
        <w:tc>
          <w:tcPr>
            <w:tcW w:w="991" w:type="dxa"/>
            <w:tcBorders>
              <w:left w:val="single" w:sz="12" w:space="0" w:color="auto"/>
              <w:bottom w:val="single" w:sz="12" w:space="0" w:color="auto"/>
              <w:right w:val="single" w:sz="4" w:space="0" w:color="auto"/>
            </w:tcBorders>
          </w:tcPr>
          <w:p w:rsidR="0089227D" w:rsidRPr="0013700D" w:rsidRDefault="00D22CE1" w:rsidP="0013700D">
            <w:pPr>
              <w:pStyle w:val="NoSpacing"/>
              <w:rPr>
                <w:sz w:val="18"/>
                <w:szCs w:val="18"/>
              </w:rPr>
            </w:pPr>
            <w:r w:rsidRPr="0013700D">
              <w:rPr>
                <w:sz w:val="18"/>
                <w:szCs w:val="18"/>
              </w:rPr>
              <w:t>.114</w:t>
            </w:r>
          </w:p>
        </w:tc>
        <w:tc>
          <w:tcPr>
            <w:tcW w:w="851" w:type="dxa"/>
            <w:tcBorders>
              <w:left w:val="single" w:sz="4" w:space="0" w:color="auto"/>
              <w:bottom w:val="single" w:sz="12" w:space="0" w:color="auto"/>
              <w:right w:val="single" w:sz="4" w:space="0" w:color="auto"/>
            </w:tcBorders>
          </w:tcPr>
          <w:p w:rsidR="0089227D" w:rsidRPr="0013700D" w:rsidRDefault="0089227D" w:rsidP="0013700D">
            <w:pPr>
              <w:pStyle w:val="NoSpacing"/>
              <w:rPr>
                <w:sz w:val="18"/>
                <w:szCs w:val="18"/>
              </w:rPr>
            </w:pPr>
          </w:p>
        </w:tc>
        <w:tc>
          <w:tcPr>
            <w:tcW w:w="709" w:type="dxa"/>
            <w:tcBorders>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p>
        </w:tc>
        <w:tc>
          <w:tcPr>
            <w:tcW w:w="992" w:type="dxa"/>
            <w:tcBorders>
              <w:left w:val="single" w:sz="4" w:space="0" w:color="auto"/>
              <w:bottom w:val="single" w:sz="12" w:space="0" w:color="auto"/>
              <w:right w:val="single" w:sz="12" w:space="0" w:color="auto"/>
            </w:tcBorders>
          </w:tcPr>
          <w:p w:rsidR="0089227D" w:rsidRPr="0013700D" w:rsidRDefault="00D22CE1" w:rsidP="0013700D">
            <w:pPr>
              <w:pStyle w:val="NoSpacing"/>
              <w:rPr>
                <w:sz w:val="18"/>
                <w:szCs w:val="18"/>
              </w:rPr>
            </w:pPr>
            <w:r w:rsidRPr="0013700D">
              <w:rPr>
                <w:sz w:val="18"/>
                <w:szCs w:val="18"/>
              </w:rPr>
              <w:t>.114</w:t>
            </w:r>
          </w:p>
        </w:tc>
        <w:tc>
          <w:tcPr>
            <w:tcW w:w="851" w:type="dxa"/>
            <w:tcBorders>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p>
        </w:tc>
        <w:tc>
          <w:tcPr>
            <w:tcW w:w="992" w:type="dxa"/>
            <w:tcBorders>
              <w:left w:val="single" w:sz="4" w:space="0" w:color="auto"/>
              <w:bottom w:val="single" w:sz="12" w:space="0" w:color="auto"/>
              <w:right w:val="single" w:sz="12" w:space="0" w:color="auto"/>
            </w:tcBorders>
          </w:tcPr>
          <w:p w:rsidR="0089227D" w:rsidRPr="0013700D" w:rsidRDefault="0089227D" w:rsidP="0013700D">
            <w:pPr>
              <w:pStyle w:val="NoSpacing"/>
              <w:rPr>
                <w:sz w:val="18"/>
                <w:szCs w:val="18"/>
              </w:rPr>
            </w:pPr>
          </w:p>
        </w:tc>
      </w:tr>
      <w:tr w:rsidR="00CE590B" w:rsidRPr="0089227D" w:rsidTr="0013700D">
        <w:trPr>
          <w:trHeight w:val="305"/>
        </w:trPr>
        <w:tc>
          <w:tcPr>
            <w:tcW w:w="9357" w:type="dxa"/>
            <w:gridSpan w:val="10"/>
            <w:tcBorders>
              <w:top w:val="single" w:sz="12" w:space="0" w:color="auto"/>
              <w:left w:val="single" w:sz="12" w:space="0" w:color="auto"/>
              <w:bottom w:val="single" w:sz="4" w:space="0" w:color="auto"/>
              <w:right w:val="single" w:sz="12" w:space="0" w:color="auto"/>
            </w:tcBorders>
          </w:tcPr>
          <w:p w:rsidR="00CE590B" w:rsidRPr="0013700D" w:rsidRDefault="00CE590B" w:rsidP="0013700D">
            <w:pPr>
              <w:pStyle w:val="NoSpacing"/>
              <w:rPr>
                <w:sz w:val="18"/>
                <w:szCs w:val="18"/>
                <w:lang w:val="nl-NL"/>
              </w:rPr>
            </w:pPr>
            <w:r w:rsidRPr="0013700D">
              <w:rPr>
                <w:sz w:val="18"/>
                <w:szCs w:val="18"/>
                <w:lang w:val="nl-NL"/>
              </w:rPr>
              <w:t xml:space="preserve">1) ITMW = </w:t>
            </w:r>
            <w:r w:rsidRPr="0013700D">
              <w:rPr>
                <w:sz w:val="18"/>
                <w:szCs w:val="18"/>
              </w:rPr>
              <w:t>α</w:t>
            </w:r>
            <w:r w:rsidRPr="0013700D">
              <w:rPr>
                <w:sz w:val="18"/>
                <w:szCs w:val="18"/>
                <w:lang w:val="nl-NL"/>
              </w:rPr>
              <w:t xml:space="preserve">0 + </w:t>
            </w:r>
            <w:r w:rsidRPr="0013700D">
              <w:rPr>
                <w:sz w:val="18"/>
                <w:szCs w:val="18"/>
              </w:rPr>
              <w:t>α</w:t>
            </w:r>
            <w:r w:rsidRPr="0013700D">
              <w:rPr>
                <w:sz w:val="18"/>
                <w:szCs w:val="18"/>
                <w:lang w:val="nl-NL"/>
              </w:rPr>
              <w:t xml:space="preserve">1 INDFRAUD + </w:t>
            </w:r>
            <w:r w:rsidRPr="0013700D">
              <w:rPr>
                <w:sz w:val="18"/>
                <w:szCs w:val="18"/>
              </w:rPr>
              <w:t>α</w:t>
            </w:r>
            <w:r w:rsidRPr="0013700D">
              <w:rPr>
                <w:sz w:val="18"/>
                <w:szCs w:val="18"/>
                <w:lang w:val="nl-NL"/>
              </w:rPr>
              <w:t xml:space="preserve">2 INDCOMP + </w:t>
            </w:r>
            <w:r w:rsidRPr="0013700D">
              <w:rPr>
                <w:sz w:val="18"/>
                <w:szCs w:val="18"/>
              </w:rPr>
              <w:t>α</w:t>
            </w:r>
            <w:r w:rsidRPr="0013700D">
              <w:rPr>
                <w:sz w:val="18"/>
                <w:szCs w:val="18"/>
                <w:lang w:val="nl-NL"/>
              </w:rPr>
              <w:t xml:space="preserve">3 RESTRUCTD + </w:t>
            </w:r>
            <w:r w:rsidRPr="0013700D">
              <w:rPr>
                <w:sz w:val="18"/>
                <w:szCs w:val="18"/>
              </w:rPr>
              <w:t>α</w:t>
            </w:r>
            <w:r w:rsidRPr="0013700D">
              <w:rPr>
                <w:sz w:val="18"/>
                <w:szCs w:val="18"/>
                <w:lang w:val="nl-NL"/>
              </w:rPr>
              <w:t xml:space="preserve">4 SIZE + </w:t>
            </w:r>
            <w:r w:rsidRPr="0013700D">
              <w:rPr>
                <w:sz w:val="18"/>
                <w:szCs w:val="18"/>
              </w:rPr>
              <w:t>α</w:t>
            </w:r>
            <w:r w:rsidRPr="0013700D">
              <w:rPr>
                <w:sz w:val="18"/>
                <w:szCs w:val="18"/>
                <w:lang w:val="nl-NL"/>
              </w:rPr>
              <w:t xml:space="preserve">5 AGE + </w:t>
            </w:r>
            <w:r w:rsidRPr="0013700D">
              <w:rPr>
                <w:sz w:val="18"/>
                <w:szCs w:val="18"/>
              </w:rPr>
              <w:t>α</w:t>
            </w:r>
            <w:r w:rsidRPr="0013700D">
              <w:rPr>
                <w:sz w:val="18"/>
                <w:szCs w:val="18"/>
                <w:lang w:val="nl-NL"/>
              </w:rPr>
              <w:t xml:space="preserve">6 LEV + </w:t>
            </w:r>
            <w:r w:rsidRPr="0013700D">
              <w:rPr>
                <w:sz w:val="18"/>
                <w:szCs w:val="18"/>
              </w:rPr>
              <w:t>α</w:t>
            </w:r>
            <w:r w:rsidRPr="0013700D">
              <w:rPr>
                <w:sz w:val="18"/>
                <w:szCs w:val="18"/>
                <w:lang w:val="nl-NL"/>
              </w:rPr>
              <w:t xml:space="preserve">7 ROA + </w:t>
            </w:r>
            <w:r w:rsidRPr="0013700D">
              <w:rPr>
                <w:sz w:val="18"/>
                <w:szCs w:val="18"/>
              </w:rPr>
              <w:t>α</w:t>
            </w:r>
            <w:r w:rsidRPr="0013700D">
              <w:rPr>
                <w:sz w:val="18"/>
                <w:szCs w:val="18"/>
                <w:lang w:val="nl-NL"/>
              </w:rPr>
              <w:t xml:space="preserve">8 SEGNUM + </w:t>
            </w:r>
            <w:r w:rsidRPr="0013700D">
              <w:rPr>
                <w:sz w:val="18"/>
                <w:szCs w:val="18"/>
              </w:rPr>
              <w:t>α</w:t>
            </w:r>
            <w:r w:rsidRPr="0013700D">
              <w:rPr>
                <w:sz w:val="18"/>
                <w:szCs w:val="18"/>
                <w:lang w:val="nl-NL"/>
              </w:rPr>
              <w:t xml:space="preserve">9 FORTRANS + </w:t>
            </w:r>
            <w:r w:rsidRPr="0013700D">
              <w:rPr>
                <w:sz w:val="18"/>
                <w:szCs w:val="18"/>
              </w:rPr>
              <w:t>α</w:t>
            </w:r>
            <w:r w:rsidRPr="0013700D">
              <w:rPr>
                <w:sz w:val="18"/>
                <w:szCs w:val="18"/>
                <w:lang w:val="nl-NL"/>
              </w:rPr>
              <w:t xml:space="preserve">10 BIG4 + </w:t>
            </w:r>
            <w:r w:rsidRPr="0013700D">
              <w:rPr>
                <w:sz w:val="18"/>
                <w:szCs w:val="18"/>
              </w:rPr>
              <w:t>ԑ</w:t>
            </w:r>
            <w:r w:rsidRPr="0013700D">
              <w:rPr>
                <w:sz w:val="18"/>
                <w:szCs w:val="18"/>
                <w:lang w:val="nl-NL"/>
              </w:rPr>
              <w:t xml:space="preserve"> </w:t>
            </w:r>
          </w:p>
        </w:tc>
      </w:tr>
      <w:tr w:rsidR="0013700D" w:rsidRPr="0089227D" w:rsidTr="0013700D">
        <w:trPr>
          <w:trHeight w:val="305"/>
        </w:trPr>
        <w:tc>
          <w:tcPr>
            <w:tcW w:w="9357" w:type="dxa"/>
            <w:gridSpan w:val="10"/>
            <w:tcBorders>
              <w:top w:val="single" w:sz="4" w:space="0" w:color="auto"/>
              <w:left w:val="single" w:sz="12" w:space="0" w:color="auto"/>
              <w:bottom w:val="single" w:sz="4" w:space="0" w:color="auto"/>
              <w:right w:val="single" w:sz="12" w:space="0" w:color="auto"/>
            </w:tcBorders>
          </w:tcPr>
          <w:p w:rsidR="0013700D" w:rsidRPr="0013700D" w:rsidRDefault="0013700D" w:rsidP="0013700D">
            <w:pPr>
              <w:pStyle w:val="NoSpacing"/>
              <w:rPr>
                <w:sz w:val="18"/>
                <w:szCs w:val="18"/>
                <w:lang w:val="nl-NL"/>
              </w:rPr>
            </w:pPr>
            <w:r w:rsidRPr="0013700D">
              <w:rPr>
                <w:sz w:val="18"/>
                <w:szCs w:val="18"/>
                <w:lang w:val="nl-NL"/>
              </w:rPr>
              <w:t xml:space="preserve">2) NON-ITMW = </w:t>
            </w:r>
            <w:r w:rsidRPr="0013700D">
              <w:rPr>
                <w:sz w:val="18"/>
                <w:szCs w:val="18"/>
              </w:rPr>
              <w:t>α</w:t>
            </w:r>
            <w:r w:rsidRPr="0013700D">
              <w:rPr>
                <w:sz w:val="18"/>
                <w:szCs w:val="18"/>
                <w:lang w:val="nl-NL"/>
              </w:rPr>
              <w:t xml:space="preserve">0 + </w:t>
            </w:r>
            <w:r w:rsidRPr="0013700D">
              <w:rPr>
                <w:sz w:val="18"/>
                <w:szCs w:val="18"/>
              </w:rPr>
              <w:t>α</w:t>
            </w:r>
            <w:r w:rsidRPr="0013700D">
              <w:rPr>
                <w:sz w:val="18"/>
                <w:szCs w:val="18"/>
                <w:lang w:val="nl-NL"/>
              </w:rPr>
              <w:t xml:space="preserve">1 INDFRAUD + </w:t>
            </w:r>
            <w:r w:rsidRPr="0013700D">
              <w:rPr>
                <w:sz w:val="18"/>
                <w:szCs w:val="18"/>
              </w:rPr>
              <w:t>α</w:t>
            </w:r>
            <w:r w:rsidRPr="0013700D">
              <w:rPr>
                <w:sz w:val="18"/>
                <w:szCs w:val="18"/>
                <w:lang w:val="nl-NL"/>
              </w:rPr>
              <w:t xml:space="preserve">2 INDCOMP + </w:t>
            </w:r>
            <w:r w:rsidRPr="0013700D">
              <w:rPr>
                <w:sz w:val="18"/>
                <w:szCs w:val="18"/>
              </w:rPr>
              <w:t>α</w:t>
            </w:r>
            <w:r w:rsidRPr="0013700D">
              <w:rPr>
                <w:sz w:val="18"/>
                <w:szCs w:val="18"/>
                <w:lang w:val="nl-NL"/>
              </w:rPr>
              <w:t xml:space="preserve">3 RESTRUCTD + </w:t>
            </w:r>
            <w:r w:rsidRPr="0013700D">
              <w:rPr>
                <w:sz w:val="18"/>
                <w:szCs w:val="18"/>
              </w:rPr>
              <w:t>α</w:t>
            </w:r>
            <w:r w:rsidRPr="0013700D">
              <w:rPr>
                <w:sz w:val="18"/>
                <w:szCs w:val="18"/>
                <w:lang w:val="nl-NL"/>
              </w:rPr>
              <w:t xml:space="preserve">4 SIZE + </w:t>
            </w:r>
            <w:r w:rsidRPr="0013700D">
              <w:rPr>
                <w:sz w:val="18"/>
                <w:szCs w:val="18"/>
              </w:rPr>
              <w:t>α</w:t>
            </w:r>
            <w:r w:rsidRPr="0013700D">
              <w:rPr>
                <w:sz w:val="18"/>
                <w:szCs w:val="18"/>
                <w:lang w:val="nl-NL"/>
              </w:rPr>
              <w:t xml:space="preserve">5 AGE + </w:t>
            </w:r>
            <w:r w:rsidRPr="0013700D">
              <w:rPr>
                <w:sz w:val="18"/>
                <w:szCs w:val="18"/>
              </w:rPr>
              <w:t>α</w:t>
            </w:r>
            <w:r w:rsidRPr="0013700D">
              <w:rPr>
                <w:sz w:val="18"/>
                <w:szCs w:val="18"/>
                <w:lang w:val="nl-NL"/>
              </w:rPr>
              <w:t xml:space="preserve">6 LEV + </w:t>
            </w:r>
            <w:r w:rsidRPr="0013700D">
              <w:rPr>
                <w:sz w:val="18"/>
                <w:szCs w:val="18"/>
              </w:rPr>
              <w:t>α</w:t>
            </w:r>
            <w:r w:rsidRPr="0013700D">
              <w:rPr>
                <w:sz w:val="18"/>
                <w:szCs w:val="18"/>
                <w:lang w:val="nl-NL"/>
              </w:rPr>
              <w:t xml:space="preserve">7 ROA + </w:t>
            </w:r>
            <w:r w:rsidRPr="0013700D">
              <w:rPr>
                <w:sz w:val="18"/>
                <w:szCs w:val="18"/>
              </w:rPr>
              <w:t>α</w:t>
            </w:r>
            <w:r w:rsidRPr="0013700D">
              <w:rPr>
                <w:sz w:val="18"/>
                <w:szCs w:val="18"/>
                <w:lang w:val="nl-NL"/>
              </w:rPr>
              <w:t xml:space="preserve">8 SEGNUM + </w:t>
            </w:r>
            <w:r w:rsidRPr="0013700D">
              <w:rPr>
                <w:sz w:val="18"/>
                <w:szCs w:val="18"/>
              </w:rPr>
              <w:t>α</w:t>
            </w:r>
            <w:r w:rsidRPr="0013700D">
              <w:rPr>
                <w:sz w:val="18"/>
                <w:szCs w:val="18"/>
                <w:lang w:val="nl-NL"/>
              </w:rPr>
              <w:t xml:space="preserve">9 FORTRANS + </w:t>
            </w:r>
            <w:r w:rsidRPr="0013700D">
              <w:rPr>
                <w:sz w:val="18"/>
                <w:szCs w:val="18"/>
              </w:rPr>
              <w:t>α</w:t>
            </w:r>
            <w:r w:rsidRPr="0013700D">
              <w:rPr>
                <w:sz w:val="18"/>
                <w:szCs w:val="18"/>
                <w:lang w:val="nl-NL"/>
              </w:rPr>
              <w:t xml:space="preserve">10 BIG4 + </w:t>
            </w:r>
            <w:r w:rsidRPr="0013700D">
              <w:rPr>
                <w:sz w:val="18"/>
                <w:szCs w:val="18"/>
              </w:rPr>
              <w:t>ԑ</w:t>
            </w:r>
          </w:p>
        </w:tc>
      </w:tr>
      <w:tr w:rsidR="0013700D" w:rsidRPr="0089227D" w:rsidTr="0013700D">
        <w:trPr>
          <w:trHeight w:val="305"/>
        </w:trPr>
        <w:tc>
          <w:tcPr>
            <w:tcW w:w="9357" w:type="dxa"/>
            <w:gridSpan w:val="10"/>
            <w:tcBorders>
              <w:top w:val="single" w:sz="4" w:space="0" w:color="auto"/>
              <w:left w:val="single" w:sz="12" w:space="0" w:color="auto"/>
              <w:bottom w:val="single" w:sz="4" w:space="0" w:color="auto"/>
              <w:right w:val="single" w:sz="12" w:space="0" w:color="auto"/>
            </w:tcBorders>
          </w:tcPr>
          <w:p w:rsidR="0013700D" w:rsidRPr="0013700D" w:rsidRDefault="0013700D" w:rsidP="0013700D">
            <w:pPr>
              <w:pStyle w:val="NoSpacing"/>
              <w:rPr>
                <w:sz w:val="18"/>
                <w:szCs w:val="18"/>
                <w:lang w:val="nl-NL"/>
              </w:rPr>
            </w:pPr>
            <w:r w:rsidRPr="0013700D">
              <w:rPr>
                <w:sz w:val="18"/>
                <w:szCs w:val="18"/>
                <w:lang w:val="nl-NL"/>
              </w:rPr>
              <w:t xml:space="preserve">3) ITMW = </w:t>
            </w:r>
            <w:r w:rsidRPr="0013700D">
              <w:rPr>
                <w:sz w:val="18"/>
                <w:szCs w:val="18"/>
              </w:rPr>
              <w:t>α</w:t>
            </w:r>
            <w:r w:rsidRPr="0013700D">
              <w:rPr>
                <w:sz w:val="18"/>
                <w:szCs w:val="18"/>
                <w:lang w:val="nl-NL"/>
              </w:rPr>
              <w:t xml:space="preserve">0 + </w:t>
            </w:r>
            <w:r w:rsidRPr="0013700D">
              <w:rPr>
                <w:sz w:val="18"/>
                <w:szCs w:val="18"/>
              </w:rPr>
              <w:t>α</w:t>
            </w:r>
            <w:r w:rsidRPr="0013700D">
              <w:rPr>
                <w:sz w:val="18"/>
                <w:szCs w:val="18"/>
                <w:lang w:val="nl-NL"/>
              </w:rPr>
              <w:t xml:space="preserve">1 INDFRAUD + </w:t>
            </w:r>
            <w:r w:rsidRPr="0013700D">
              <w:rPr>
                <w:sz w:val="18"/>
                <w:szCs w:val="18"/>
              </w:rPr>
              <w:t>α</w:t>
            </w:r>
            <w:r w:rsidRPr="0013700D">
              <w:rPr>
                <w:sz w:val="18"/>
                <w:szCs w:val="18"/>
                <w:lang w:val="nl-NL"/>
              </w:rPr>
              <w:t xml:space="preserve">2 INDCOMP + </w:t>
            </w:r>
            <w:r w:rsidRPr="0013700D">
              <w:rPr>
                <w:sz w:val="18"/>
                <w:szCs w:val="18"/>
              </w:rPr>
              <w:t>α</w:t>
            </w:r>
            <w:r w:rsidRPr="0013700D">
              <w:rPr>
                <w:sz w:val="18"/>
                <w:szCs w:val="18"/>
                <w:lang w:val="nl-NL"/>
              </w:rPr>
              <w:t xml:space="preserve">3 RESTRUCTC + </w:t>
            </w:r>
            <w:r w:rsidRPr="0013700D">
              <w:rPr>
                <w:sz w:val="18"/>
                <w:szCs w:val="18"/>
              </w:rPr>
              <w:t>α</w:t>
            </w:r>
            <w:r w:rsidRPr="0013700D">
              <w:rPr>
                <w:sz w:val="18"/>
                <w:szCs w:val="18"/>
                <w:lang w:val="nl-NL"/>
              </w:rPr>
              <w:t xml:space="preserve">4 SIZE + </w:t>
            </w:r>
            <w:r w:rsidRPr="0013700D">
              <w:rPr>
                <w:sz w:val="18"/>
                <w:szCs w:val="18"/>
              </w:rPr>
              <w:t>α</w:t>
            </w:r>
            <w:r w:rsidRPr="0013700D">
              <w:rPr>
                <w:sz w:val="18"/>
                <w:szCs w:val="18"/>
                <w:lang w:val="nl-NL"/>
              </w:rPr>
              <w:t xml:space="preserve">5 AGE + </w:t>
            </w:r>
            <w:r w:rsidRPr="0013700D">
              <w:rPr>
                <w:sz w:val="18"/>
                <w:szCs w:val="18"/>
              </w:rPr>
              <w:t>α</w:t>
            </w:r>
            <w:r w:rsidRPr="0013700D">
              <w:rPr>
                <w:sz w:val="18"/>
                <w:szCs w:val="18"/>
                <w:lang w:val="nl-NL"/>
              </w:rPr>
              <w:t xml:space="preserve">6 LEV + </w:t>
            </w:r>
            <w:r w:rsidRPr="0013700D">
              <w:rPr>
                <w:sz w:val="18"/>
                <w:szCs w:val="18"/>
              </w:rPr>
              <w:t>α</w:t>
            </w:r>
            <w:r w:rsidRPr="0013700D">
              <w:rPr>
                <w:sz w:val="18"/>
                <w:szCs w:val="18"/>
                <w:lang w:val="nl-NL"/>
              </w:rPr>
              <w:t xml:space="preserve">7 ROA + </w:t>
            </w:r>
            <w:r w:rsidRPr="0013700D">
              <w:rPr>
                <w:sz w:val="18"/>
                <w:szCs w:val="18"/>
              </w:rPr>
              <w:t>α</w:t>
            </w:r>
            <w:r w:rsidRPr="0013700D">
              <w:rPr>
                <w:sz w:val="18"/>
                <w:szCs w:val="18"/>
                <w:lang w:val="nl-NL"/>
              </w:rPr>
              <w:t xml:space="preserve">8 SEGNUM + </w:t>
            </w:r>
            <w:r w:rsidRPr="0013700D">
              <w:rPr>
                <w:sz w:val="18"/>
                <w:szCs w:val="18"/>
              </w:rPr>
              <w:t>α</w:t>
            </w:r>
            <w:r w:rsidRPr="0013700D">
              <w:rPr>
                <w:sz w:val="18"/>
                <w:szCs w:val="18"/>
                <w:lang w:val="nl-NL"/>
              </w:rPr>
              <w:t xml:space="preserve">9 FORTRANS + </w:t>
            </w:r>
            <w:r w:rsidRPr="0013700D">
              <w:rPr>
                <w:sz w:val="18"/>
                <w:szCs w:val="18"/>
              </w:rPr>
              <w:t>α</w:t>
            </w:r>
            <w:r w:rsidRPr="0013700D">
              <w:rPr>
                <w:sz w:val="18"/>
                <w:szCs w:val="18"/>
                <w:lang w:val="nl-NL"/>
              </w:rPr>
              <w:t xml:space="preserve">10 BIG4 + </w:t>
            </w:r>
            <w:r w:rsidRPr="0013700D">
              <w:rPr>
                <w:sz w:val="18"/>
                <w:szCs w:val="18"/>
              </w:rPr>
              <w:t>ԑ</w:t>
            </w:r>
          </w:p>
        </w:tc>
      </w:tr>
      <w:tr w:rsidR="0013700D" w:rsidRPr="0089227D" w:rsidTr="0013700D">
        <w:trPr>
          <w:trHeight w:val="305"/>
        </w:trPr>
        <w:tc>
          <w:tcPr>
            <w:tcW w:w="9357" w:type="dxa"/>
            <w:gridSpan w:val="10"/>
            <w:tcBorders>
              <w:top w:val="single" w:sz="4" w:space="0" w:color="auto"/>
              <w:left w:val="single" w:sz="12" w:space="0" w:color="auto"/>
              <w:bottom w:val="single" w:sz="4" w:space="0" w:color="auto"/>
              <w:right w:val="single" w:sz="12" w:space="0" w:color="auto"/>
            </w:tcBorders>
          </w:tcPr>
          <w:p w:rsidR="0013700D" w:rsidRPr="0013700D" w:rsidRDefault="0013700D" w:rsidP="0013700D">
            <w:pPr>
              <w:pStyle w:val="NoSpacing"/>
              <w:rPr>
                <w:sz w:val="18"/>
                <w:szCs w:val="18"/>
                <w:lang w:val="nl-NL"/>
              </w:rPr>
            </w:pPr>
            <w:r w:rsidRPr="0013700D">
              <w:rPr>
                <w:sz w:val="18"/>
                <w:szCs w:val="18"/>
                <w:lang w:val="nl-NL"/>
              </w:rPr>
              <w:t xml:space="preserve">4) NON-ITMW = </w:t>
            </w:r>
            <w:r w:rsidRPr="0013700D">
              <w:rPr>
                <w:sz w:val="18"/>
                <w:szCs w:val="18"/>
              </w:rPr>
              <w:t>α</w:t>
            </w:r>
            <w:r w:rsidRPr="0013700D">
              <w:rPr>
                <w:sz w:val="18"/>
                <w:szCs w:val="18"/>
                <w:lang w:val="nl-NL"/>
              </w:rPr>
              <w:t xml:space="preserve">0 + </w:t>
            </w:r>
            <w:r w:rsidRPr="0013700D">
              <w:rPr>
                <w:sz w:val="18"/>
                <w:szCs w:val="18"/>
              </w:rPr>
              <w:t>α</w:t>
            </w:r>
            <w:r w:rsidRPr="0013700D">
              <w:rPr>
                <w:sz w:val="18"/>
                <w:szCs w:val="18"/>
                <w:lang w:val="nl-NL"/>
              </w:rPr>
              <w:t xml:space="preserve">1 INDFRAUD + </w:t>
            </w:r>
            <w:r w:rsidRPr="0013700D">
              <w:rPr>
                <w:sz w:val="18"/>
                <w:szCs w:val="18"/>
              </w:rPr>
              <w:t>α</w:t>
            </w:r>
            <w:r w:rsidRPr="0013700D">
              <w:rPr>
                <w:sz w:val="18"/>
                <w:szCs w:val="18"/>
                <w:lang w:val="nl-NL"/>
              </w:rPr>
              <w:t xml:space="preserve">2 INDCOMP + </w:t>
            </w:r>
            <w:r w:rsidRPr="0013700D">
              <w:rPr>
                <w:sz w:val="18"/>
                <w:szCs w:val="18"/>
              </w:rPr>
              <w:t>α</w:t>
            </w:r>
            <w:r w:rsidRPr="0013700D">
              <w:rPr>
                <w:sz w:val="18"/>
                <w:szCs w:val="18"/>
                <w:lang w:val="nl-NL"/>
              </w:rPr>
              <w:t xml:space="preserve">3 RESTRUCTC + </w:t>
            </w:r>
            <w:r w:rsidRPr="0013700D">
              <w:rPr>
                <w:sz w:val="18"/>
                <w:szCs w:val="18"/>
              </w:rPr>
              <w:t>α</w:t>
            </w:r>
            <w:r w:rsidRPr="0013700D">
              <w:rPr>
                <w:sz w:val="18"/>
                <w:szCs w:val="18"/>
                <w:lang w:val="nl-NL"/>
              </w:rPr>
              <w:t xml:space="preserve">4 SIZE + </w:t>
            </w:r>
            <w:r w:rsidRPr="0013700D">
              <w:rPr>
                <w:sz w:val="18"/>
                <w:szCs w:val="18"/>
              </w:rPr>
              <w:t>α</w:t>
            </w:r>
            <w:r w:rsidRPr="0013700D">
              <w:rPr>
                <w:sz w:val="18"/>
                <w:szCs w:val="18"/>
                <w:lang w:val="nl-NL"/>
              </w:rPr>
              <w:t xml:space="preserve">5 AGE + </w:t>
            </w:r>
            <w:r w:rsidRPr="0013700D">
              <w:rPr>
                <w:sz w:val="18"/>
                <w:szCs w:val="18"/>
              </w:rPr>
              <w:t>α</w:t>
            </w:r>
            <w:r w:rsidRPr="0013700D">
              <w:rPr>
                <w:sz w:val="18"/>
                <w:szCs w:val="18"/>
                <w:lang w:val="nl-NL"/>
              </w:rPr>
              <w:t xml:space="preserve">6 LEV + </w:t>
            </w:r>
            <w:r w:rsidRPr="0013700D">
              <w:rPr>
                <w:sz w:val="18"/>
                <w:szCs w:val="18"/>
              </w:rPr>
              <w:t>α</w:t>
            </w:r>
            <w:r w:rsidRPr="0013700D">
              <w:rPr>
                <w:sz w:val="18"/>
                <w:szCs w:val="18"/>
                <w:lang w:val="nl-NL"/>
              </w:rPr>
              <w:t xml:space="preserve">7 ROA + </w:t>
            </w:r>
            <w:r w:rsidRPr="0013700D">
              <w:rPr>
                <w:sz w:val="18"/>
                <w:szCs w:val="18"/>
              </w:rPr>
              <w:t>α</w:t>
            </w:r>
            <w:r w:rsidRPr="0013700D">
              <w:rPr>
                <w:sz w:val="18"/>
                <w:szCs w:val="18"/>
                <w:lang w:val="nl-NL"/>
              </w:rPr>
              <w:t xml:space="preserve">8 SEGNUM + </w:t>
            </w:r>
            <w:r w:rsidRPr="0013700D">
              <w:rPr>
                <w:sz w:val="18"/>
                <w:szCs w:val="18"/>
              </w:rPr>
              <w:t>α</w:t>
            </w:r>
            <w:r w:rsidRPr="0013700D">
              <w:rPr>
                <w:sz w:val="18"/>
                <w:szCs w:val="18"/>
                <w:lang w:val="nl-NL"/>
              </w:rPr>
              <w:t xml:space="preserve">9 FORTRANS + </w:t>
            </w:r>
            <w:r w:rsidRPr="0013700D">
              <w:rPr>
                <w:sz w:val="18"/>
                <w:szCs w:val="18"/>
              </w:rPr>
              <w:t>α</w:t>
            </w:r>
            <w:r w:rsidRPr="0013700D">
              <w:rPr>
                <w:sz w:val="18"/>
                <w:szCs w:val="18"/>
                <w:lang w:val="nl-NL"/>
              </w:rPr>
              <w:t xml:space="preserve">10 BIG4 + </w:t>
            </w:r>
            <w:r w:rsidRPr="0013700D">
              <w:rPr>
                <w:sz w:val="18"/>
                <w:szCs w:val="18"/>
              </w:rPr>
              <w:t>ԑ</w:t>
            </w:r>
          </w:p>
        </w:tc>
      </w:tr>
      <w:tr w:rsidR="0013700D" w:rsidRPr="0089227D" w:rsidTr="0013700D">
        <w:trPr>
          <w:trHeight w:val="305"/>
        </w:trPr>
        <w:tc>
          <w:tcPr>
            <w:tcW w:w="9357" w:type="dxa"/>
            <w:gridSpan w:val="10"/>
            <w:tcBorders>
              <w:top w:val="single" w:sz="4" w:space="0" w:color="auto"/>
              <w:left w:val="single" w:sz="12" w:space="0" w:color="auto"/>
              <w:bottom w:val="single" w:sz="4" w:space="0" w:color="auto"/>
              <w:right w:val="single" w:sz="12" w:space="0" w:color="auto"/>
            </w:tcBorders>
          </w:tcPr>
          <w:p w:rsidR="0013700D" w:rsidRPr="0013700D" w:rsidRDefault="0013700D" w:rsidP="0013700D">
            <w:pPr>
              <w:pStyle w:val="NoSpacing"/>
              <w:rPr>
                <w:sz w:val="18"/>
                <w:szCs w:val="18"/>
                <w:lang w:val="nl-NL"/>
              </w:rPr>
            </w:pPr>
            <w:r w:rsidRPr="0013700D">
              <w:rPr>
                <w:sz w:val="18"/>
                <w:szCs w:val="18"/>
                <w:lang w:val="nl-NL"/>
              </w:rPr>
              <w:t xml:space="preserve">5) ITMW = </w:t>
            </w:r>
            <w:r w:rsidRPr="0013700D">
              <w:rPr>
                <w:sz w:val="18"/>
                <w:szCs w:val="18"/>
              </w:rPr>
              <w:t>α</w:t>
            </w:r>
            <w:r w:rsidRPr="0013700D">
              <w:rPr>
                <w:sz w:val="18"/>
                <w:szCs w:val="18"/>
                <w:lang w:val="nl-NL"/>
              </w:rPr>
              <w:t xml:space="preserve">0 + </w:t>
            </w:r>
            <w:r w:rsidRPr="0013700D">
              <w:rPr>
                <w:sz w:val="18"/>
                <w:szCs w:val="18"/>
              </w:rPr>
              <w:t>α</w:t>
            </w:r>
            <w:r w:rsidRPr="0013700D">
              <w:rPr>
                <w:sz w:val="18"/>
                <w:szCs w:val="18"/>
                <w:lang w:val="nl-NL"/>
              </w:rPr>
              <w:t xml:space="preserve">1 INDFRAUD + </w:t>
            </w:r>
            <w:r w:rsidRPr="0013700D">
              <w:rPr>
                <w:sz w:val="18"/>
                <w:szCs w:val="18"/>
              </w:rPr>
              <w:t>α</w:t>
            </w:r>
            <w:r w:rsidRPr="0013700D">
              <w:rPr>
                <w:sz w:val="18"/>
                <w:szCs w:val="18"/>
                <w:lang w:val="nl-NL"/>
              </w:rPr>
              <w:t xml:space="preserve">2 INDCOMP + </w:t>
            </w:r>
            <w:r w:rsidRPr="0013700D">
              <w:rPr>
                <w:sz w:val="18"/>
                <w:szCs w:val="18"/>
              </w:rPr>
              <w:t>α</w:t>
            </w:r>
            <w:r w:rsidRPr="0013700D">
              <w:rPr>
                <w:sz w:val="18"/>
                <w:szCs w:val="18"/>
                <w:lang w:val="nl-NL"/>
              </w:rPr>
              <w:t xml:space="preserve">3 RESTRUCTP + </w:t>
            </w:r>
            <w:r w:rsidRPr="0013700D">
              <w:rPr>
                <w:sz w:val="18"/>
                <w:szCs w:val="18"/>
              </w:rPr>
              <w:t>α</w:t>
            </w:r>
            <w:r w:rsidRPr="0013700D">
              <w:rPr>
                <w:sz w:val="18"/>
                <w:szCs w:val="18"/>
                <w:lang w:val="nl-NL"/>
              </w:rPr>
              <w:t xml:space="preserve">4 SIZE + </w:t>
            </w:r>
            <w:r w:rsidRPr="0013700D">
              <w:rPr>
                <w:sz w:val="18"/>
                <w:szCs w:val="18"/>
              </w:rPr>
              <w:t>α</w:t>
            </w:r>
            <w:r w:rsidRPr="0013700D">
              <w:rPr>
                <w:sz w:val="18"/>
                <w:szCs w:val="18"/>
                <w:lang w:val="nl-NL"/>
              </w:rPr>
              <w:t xml:space="preserve">5 AGE + </w:t>
            </w:r>
            <w:r w:rsidRPr="0013700D">
              <w:rPr>
                <w:sz w:val="18"/>
                <w:szCs w:val="18"/>
              </w:rPr>
              <w:t>α</w:t>
            </w:r>
            <w:r w:rsidRPr="0013700D">
              <w:rPr>
                <w:sz w:val="18"/>
                <w:szCs w:val="18"/>
                <w:lang w:val="nl-NL"/>
              </w:rPr>
              <w:t xml:space="preserve">6 LEV + </w:t>
            </w:r>
            <w:r w:rsidRPr="0013700D">
              <w:rPr>
                <w:sz w:val="18"/>
                <w:szCs w:val="18"/>
              </w:rPr>
              <w:t>α</w:t>
            </w:r>
            <w:r w:rsidRPr="0013700D">
              <w:rPr>
                <w:sz w:val="18"/>
                <w:szCs w:val="18"/>
                <w:lang w:val="nl-NL"/>
              </w:rPr>
              <w:t xml:space="preserve">7 ROA + </w:t>
            </w:r>
            <w:r w:rsidRPr="0013700D">
              <w:rPr>
                <w:sz w:val="18"/>
                <w:szCs w:val="18"/>
              </w:rPr>
              <w:t>α</w:t>
            </w:r>
            <w:r w:rsidRPr="0013700D">
              <w:rPr>
                <w:sz w:val="18"/>
                <w:szCs w:val="18"/>
                <w:lang w:val="nl-NL"/>
              </w:rPr>
              <w:t xml:space="preserve">8 SEGNUM + </w:t>
            </w:r>
            <w:r w:rsidRPr="0013700D">
              <w:rPr>
                <w:sz w:val="18"/>
                <w:szCs w:val="18"/>
              </w:rPr>
              <w:t>α</w:t>
            </w:r>
            <w:r w:rsidRPr="0013700D">
              <w:rPr>
                <w:sz w:val="18"/>
                <w:szCs w:val="18"/>
                <w:lang w:val="nl-NL"/>
              </w:rPr>
              <w:t xml:space="preserve">9 FORTRANS + </w:t>
            </w:r>
            <w:r w:rsidRPr="0013700D">
              <w:rPr>
                <w:sz w:val="18"/>
                <w:szCs w:val="18"/>
              </w:rPr>
              <w:t>α</w:t>
            </w:r>
            <w:r w:rsidRPr="0013700D">
              <w:rPr>
                <w:sz w:val="18"/>
                <w:szCs w:val="18"/>
                <w:lang w:val="nl-NL"/>
              </w:rPr>
              <w:t xml:space="preserve">10 BIG4 + </w:t>
            </w:r>
            <w:r w:rsidRPr="0013700D">
              <w:rPr>
                <w:sz w:val="18"/>
                <w:szCs w:val="18"/>
              </w:rPr>
              <w:t>ԑ</w:t>
            </w:r>
          </w:p>
        </w:tc>
      </w:tr>
      <w:tr w:rsidR="0013700D" w:rsidRPr="0089227D" w:rsidTr="0013700D">
        <w:trPr>
          <w:trHeight w:val="305"/>
        </w:trPr>
        <w:tc>
          <w:tcPr>
            <w:tcW w:w="9357" w:type="dxa"/>
            <w:gridSpan w:val="10"/>
            <w:tcBorders>
              <w:top w:val="single" w:sz="4" w:space="0" w:color="auto"/>
              <w:left w:val="single" w:sz="12" w:space="0" w:color="auto"/>
              <w:bottom w:val="single" w:sz="12" w:space="0" w:color="auto"/>
              <w:right w:val="single" w:sz="12" w:space="0" w:color="auto"/>
            </w:tcBorders>
          </w:tcPr>
          <w:p w:rsidR="0013700D" w:rsidRPr="0013700D" w:rsidRDefault="0013700D" w:rsidP="0013700D">
            <w:pPr>
              <w:pStyle w:val="NoSpacing"/>
              <w:rPr>
                <w:sz w:val="18"/>
                <w:szCs w:val="18"/>
                <w:lang w:val="nl-NL"/>
              </w:rPr>
            </w:pPr>
            <w:r w:rsidRPr="0013700D">
              <w:rPr>
                <w:sz w:val="18"/>
                <w:szCs w:val="18"/>
                <w:lang w:val="nl-NL"/>
              </w:rPr>
              <w:t xml:space="preserve">6) NON-ITMW = </w:t>
            </w:r>
            <w:r w:rsidRPr="0013700D">
              <w:rPr>
                <w:sz w:val="18"/>
                <w:szCs w:val="18"/>
              </w:rPr>
              <w:t>α</w:t>
            </w:r>
            <w:r w:rsidRPr="0013700D">
              <w:rPr>
                <w:sz w:val="18"/>
                <w:szCs w:val="18"/>
                <w:lang w:val="nl-NL"/>
              </w:rPr>
              <w:t xml:space="preserve">0 + </w:t>
            </w:r>
            <w:r w:rsidRPr="0013700D">
              <w:rPr>
                <w:sz w:val="18"/>
                <w:szCs w:val="18"/>
              </w:rPr>
              <w:t>α</w:t>
            </w:r>
            <w:r w:rsidRPr="0013700D">
              <w:rPr>
                <w:sz w:val="18"/>
                <w:szCs w:val="18"/>
                <w:lang w:val="nl-NL"/>
              </w:rPr>
              <w:t xml:space="preserve">1 INDFRAUD + </w:t>
            </w:r>
            <w:r w:rsidRPr="0013700D">
              <w:rPr>
                <w:sz w:val="18"/>
                <w:szCs w:val="18"/>
              </w:rPr>
              <w:t>α</w:t>
            </w:r>
            <w:r w:rsidRPr="0013700D">
              <w:rPr>
                <w:sz w:val="18"/>
                <w:szCs w:val="18"/>
                <w:lang w:val="nl-NL"/>
              </w:rPr>
              <w:t xml:space="preserve">2 INDCOMP + </w:t>
            </w:r>
            <w:r w:rsidRPr="0013700D">
              <w:rPr>
                <w:sz w:val="18"/>
                <w:szCs w:val="18"/>
              </w:rPr>
              <w:t>α</w:t>
            </w:r>
            <w:r w:rsidRPr="0013700D">
              <w:rPr>
                <w:sz w:val="18"/>
                <w:szCs w:val="18"/>
                <w:lang w:val="nl-NL"/>
              </w:rPr>
              <w:t xml:space="preserve">3 RESTRUCTP + </w:t>
            </w:r>
            <w:r w:rsidRPr="0013700D">
              <w:rPr>
                <w:sz w:val="18"/>
                <w:szCs w:val="18"/>
              </w:rPr>
              <w:t>α</w:t>
            </w:r>
            <w:r w:rsidRPr="0013700D">
              <w:rPr>
                <w:sz w:val="18"/>
                <w:szCs w:val="18"/>
                <w:lang w:val="nl-NL"/>
              </w:rPr>
              <w:t xml:space="preserve">4 SIZE + </w:t>
            </w:r>
            <w:r w:rsidRPr="0013700D">
              <w:rPr>
                <w:sz w:val="18"/>
                <w:szCs w:val="18"/>
              </w:rPr>
              <w:t>α</w:t>
            </w:r>
            <w:r w:rsidRPr="0013700D">
              <w:rPr>
                <w:sz w:val="18"/>
                <w:szCs w:val="18"/>
                <w:lang w:val="nl-NL"/>
              </w:rPr>
              <w:t xml:space="preserve">5 AGE + </w:t>
            </w:r>
            <w:r w:rsidRPr="0013700D">
              <w:rPr>
                <w:sz w:val="18"/>
                <w:szCs w:val="18"/>
              </w:rPr>
              <w:t>α</w:t>
            </w:r>
            <w:r w:rsidRPr="0013700D">
              <w:rPr>
                <w:sz w:val="18"/>
                <w:szCs w:val="18"/>
                <w:lang w:val="nl-NL"/>
              </w:rPr>
              <w:t xml:space="preserve">6 LEV + </w:t>
            </w:r>
            <w:r w:rsidRPr="0013700D">
              <w:rPr>
                <w:sz w:val="18"/>
                <w:szCs w:val="18"/>
              </w:rPr>
              <w:t>α</w:t>
            </w:r>
            <w:r w:rsidRPr="0013700D">
              <w:rPr>
                <w:sz w:val="18"/>
                <w:szCs w:val="18"/>
                <w:lang w:val="nl-NL"/>
              </w:rPr>
              <w:t xml:space="preserve">7 ROA + </w:t>
            </w:r>
            <w:r w:rsidRPr="0013700D">
              <w:rPr>
                <w:sz w:val="18"/>
                <w:szCs w:val="18"/>
              </w:rPr>
              <w:t>α</w:t>
            </w:r>
            <w:r w:rsidRPr="0013700D">
              <w:rPr>
                <w:sz w:val="18"/>
                <w:szCs w:val="18"/>
                <w:lang w:val="nl-NL"/>
              </w:rPr>
              <w:t xml:space="preserve">8 SEGNUM + </w:t>
            </w:r>
            <w:r w:rsidRPr="0013700D">
              <w:rPr>
                <w:sz w:val="18"/>
                <w:szCs w:val="18"/>
              </w:rPr>
              <w:t>α</w:t>
            </w:r>
            <w:r w:rsidRPr="0013700D">
              <w:rPr>
                <w:sz w:val="18"/>
                <w:szCs w:val="18"/>
                <w:lang w:val="nl-NL"/>
              </w:rPr>
              <w:t xml:space="preserve">9 FORTRANS + </w:t>
            </w:r>
            <w:r w:rsidRPr="0013700D">
              <w:rPr>
                <w:sz w:val="18"/>
                <w:szCs w:val="18"/>
              </w:rPr>
              <w:t>α</w:t>
            </w:r>
            <w:r w:rsidRPr="0013700D">
              <w:rPr>
                <w:sz w:val="18"/>
                <w:szCs w:val="18"/>
                <w:lang w:val="nl-NL"/>
              </w:rPr>
              <w:t xml:space="preserve">10 BIG4 + </w:t>
            </w:r>
            <w:r w:rsidRPr="0013700D">
              <w:rPr>
                <w:sz w:val="18"/>
                <w:szCs w:val="18"/>
              </w:rPr>
              <w:t>ԑ</w:t>
            </w:r>
          </w:p>
        </w:tc>
      </w:tr>
    </w:tbl>
    <w:p w:rsidR="005F53DE" w:rsidRDefault="00487FD6" w:rsidP="0013700D">
      <w:pPr>
        <w:pStyle w:val="NoSpacing"/>
        <w:rPr>
          <w:b/>
          <w:i/>
          <w:sz w:val="20"/>
          <w:szCs w:val="20"/>
        </w:rPr>
      </w:pPr>
      <w:r w:rsidRPr="0013700D">
        <w:rPr>
          <w:b/>
          <w:i/>
          <w:sz w:val="20"/>
          <w:szCs w:val="20"/>
        </w:rPr>
        <w:t>p &lt; 0.05 = **</w:t>
      </w:r>
      <w:r w:rsidR="0013700D">
        <w:rPr>
          <w:b/>
          <w:i/>
          <w:sz w:val="20"/>
          <w:szCs w:val="20"/>
        </w:rPr>
        <w:br/>
        <w:t xml:space="preserve"> </w:t>
      </w:r>
      <w:r w:rsidRPr="0013700D">
        <w:rPr>
          <w:b/>
          <w:i/>
          <w:sz w:val="20"/>
          <w:szCs w:val="20"/>
        </w:rPr>
        <w:t>p &lt; 0.10 = *</w:t>
      </w:r>
    </w:p>
    <w:p w:rsidR="0013700D" w:rsidRPr="0013700D" w:rsidRDefault="0013700D" w:rsidP="0013700D">
      <w:pPr>
        <w:pStyle w:val="NoSpacing"/>
        <w:rPr>
          <w:b/>
          <w:i/>
          <w:sz w:val="20"/>
          <w:szCs w:val="20"/>
        </w:rPr>
      </w:pPr>
    </w:p>
    <w:p w:rsidR="00C42140" w:rsidRDefault="004606D8" w:rsidP="002A1847">
      <w:pPr>
        <w:rPr>
          <w:i/>
          <w:lang w:val="en-GB"/>
        </w:rPr>
      </w:pPr>
      <w:r w:rsidRPr="00F15A55">
        <w:rPr>
          <w:lang w:val="en-GB"/>
        </w:rPr>
        <w:t>T</w:t>
      </w:r>
      <w:r w:rsidR="00FC369C" w:rsidRPr="00F15A55">
        <w:rPr>
          <w:lang w:val="en-GB"/>
        </w:rPr>
        <w:t>he new multinomial logistic regression results</w:t>
      </w:r>
      <w:r w:rsidRPr="00F15A55">
        <w:rPr>
          <w:lang w:val="en-GB"/>
        </w:rPr>
        <w:t xml:space="preserve"> (after the correction based on the collinearity test) </w:t>
      </w:r>
      <w:r w:rsidR="00F15A55" w:rsidRPr="00F15A55">
        <w:rPr>
          <w:lang w:val="en-GB"/>
        </w:rPr>
        <w:t>are presented in table 14. These</w:t>
      </w:r>
      <w:r w:rsidR="00FC369C" w:rsidRPr="00F15A55">
        <w:rPr>
          <w:lang w:val="en-GB"/>
        </w:rPr>
        <w:t xml:space="preserve"> regression model</w:t>
      </w:r>
      <w:r w:rsidR="00F15A55" w:rsidRPr="00F15A55">
        <w:rPr>
          <w:lang w:val="en-GB"/>
        </w:rPr>
        <w:t>s are</w:t>
      </w:r>
      <w:r w:rsidR="00FC369C" w:rsidRPr="00F15A55">
        <w:rPr>
          <w:lang w:val="en-GB"/>
        </w:rPr>
        <w:t xml:space="preserve"> different because the highly inter-correlated variable RESTRUCTC</w:t>
      </w:r>
      <w:r w:rsidR="00F275BD">
        <w:rPr>
          <w:lang w:val="en-GB"/>
        </w:rPr>
        <w:t>,</w:t>
      </w:r>
      <w:r w:rsidR="00F15A55" w:rsidRPr="00F15A55">
        <w:rPr>
          <w:lang w:val="en-GB"/>
        </w:rPr>
        <w:t xml:space="preserve"> RESTRUCTD and RESTRUCTP are separated into new regression equations</w:t>
      </w:r>
      <w:r w:rsidR="00FC369C" w:rsidRPr="00F15A55">
        <w:rPr>
          <w:lang w:val="en-GB"/>
        </w:rPr>
        <w:t xml:space="preserve">. </w:t>
      </w:r>
      <w:r w:rsidR="00456E9C" w:rsidRPr="00F15A55">
        <w:rPr>
          <w:lang w:val="en-GB"/>
        </w:rPr>
        <w:t xml:space="preserve"> </w:t>
      </w:r>
      <w:r w:rsidR="0017083C" w:rsidRPr="00F15A55">
        <w:rPr>
          <w:lang w:val="en-GB"/>
        </w:rPr>
        <w:t>As expected the results of the</w:t>
      </w:r>
      <w:r w:rsidR="00497139">
        <w:rPr>
          <w:lang w:val="en-GB"/>
        </w:rPr>
        <w:t xml:space="preserve"> ITMW</w:t>
      </w:r>
      <w:r w:rsidR="0017083C" w:rsidRPr="00F15A55">
        <w:rPr>
          <w:lang w:val="en-GB"/>
        </w:rPr>
        <w:t xml:space="preserve"> regression </w:t>
      </w:r>
      <w:r w:rsidR="0026413D" w:rsidRPr="00F15A55">
        <w:rPr>
          <w:lang w:val="en-GB"/>
        </w:rPr>
        <w:t>have</w:t>
      </w:r>
      <w:r w:rsidR="0017083C" w:rsidRPr="00F15A55">
        <w:rPr>
          <w:lang w:val="en-GB"/>
        </w:rPr>
        <w:t xml:space="preserve"> changed and the </w:t>
      </w:r>
      <w:r w:rsidR="0026413D" w:rsidRPr="00F15A55">
        <w:rPr>
          <w:lang w:val="en-GB"/>
        </w:rPr>
        <w:t xml:space="preserve">most relevant </w:t>
      </w:r>
      <w:r w:rsidR="0017083C" w:rsidRPr="00F15A55">
        <w:rPr>
          <w:lang w:val="en-GB"/>
        </w:rPr>
        <w:t xml:space="preserve">difference is that RESTRUCTD </w:t>
      </w:r>
      <w:r w:rsidR="00F15A55" w:rsidRPr="00F15A55">
        <w:rPr>
          <w:lang w:val="en-GB"/>
        </w:rPr>
        <w:t>(b=0.112, p=0.265) and RESTRUCTC (b=-0.024, p=0.140) have</w:t>
      </w:r>
      <w:r w:rsidR="0017083C" w:rsidRPr="00F15A55">
        <w:rPr>
          <w:lang w:val="en-GB"/>
        </w:rPr>
        <w:t xml:space="preserve"> become insignificant, while the result</w:t>
      </w:r>
      <w:r w:rsidR="00F15A55" w:rsidRPr="00F15A55">
        <w:rPr>
          <w:lang w:val="en-GB"/>
        </w:rPr>
        <w:t>s</w:t>
      </w:r>
      <w:r w:rsidR="0017083C" w:rsidRPr="00F15A55">
        <w:rPr>
          <w:lang w:val="en-GB"/>
        </w:rPr>
        <w:t xml:space="preserve"> in table 12 indicate significant </w:t>
      </w:r>
      <w:r w:rsidR="001515E9">
        <w:rPr>
          <w:lang w:val="en-GB"/>
        </w:rPr>
        <w:t>correlat</w:t>
      </w:r>
      <w:r w:rsidR="0017083C" w:rsidRPr="00F15A55">
        <w:rPr>
          <w:lang w:val="en-GB"/>
        </w:rPr>
        <w:t>ion</w:t>
      </w:r>
      <w:r w:rsidR="00F15A55" w:rsidRPr="00F15A55">
        <w:rPr>
          <w:lang w:val="en-GB"/>
        </w:rPr>
        <w:t>s</w:t>
      </w:r>
      <w:r w:rsidR="0017083C" w:rsidRPr="00F15A55">
        <w:rPr>
          <w:lang w:val="en-GB"/>
        </w:rPr>
        <w:t xml:space="preserve">. </w:t>
      </w:r>
      <w:r w:rsidR="0017083C" w:rsidRPr="00C42140">
        <w:rPr>
          <w:lang w:val="en-GB"/>
        </w:rPr>
        <w:t>The only explanation for this difference is that the multicollinearity between RESTRUCTD and RESTRUCTC cause</w:t>
      </w:r>
      <w:r w:rsidR="0026413D" w:rsidRPr="00C42140">
        <w:rPr>
          <w:lang w:val="en-GB"/>
        </w:rPr>
        <w:t>s</w:t>
      </w:r>
      <w:r w:rsidR="0017083C" w:rsidRPr="00C42140">
        <w:rPr>
          <w:lang w:val="en-GB"/>
        </w:rPr>
        <w:t xml:space="preserve"> a bias in the result</w:t>
      </w:r>
      <w:r w:rsidR="00497139">
        <w:rPr>
          <w:lang w:val="en-GB"/>
        </w:rPr>
        <w:t xml:space="preserve">s. </w:t>
      </w:r>
      <w:r w:rsidR="0017083C" w:rsidRPr="00C42140">
        <w:rPr>
          <w:lang w:val="en-GB"/>
        </w:rPr>
        <w:t>The only significant restructuring variable is RESTRUCTP with a positive coefficient (b=0.</w:t>
      </w:r>
      <w:r w:rsidR="00C42140" w:rsidRPr="00C42140">
        <w:rPr>
          <w:lang w:val="en-GB"/>
        </w:rPr>
        <w:t>098</w:t>
      </w:r>
      <w:r w:rsidR="0017083C" w:rsidRPr="00C42140">
        <w:rPr>
          <w:lang w:val="en-GB"/>
        </w:rPr>
        <w:t>, p&lt;0.05) and a relatively l</w:t>
      </w:r>
      <w:r w:rsidR="00C42140" w:rsidRPr="00C42140">
        <w:rPr>
          <w:lang w:val="en-GB"/>
        </w:rPr>
        <w:t>arge effect size (odds ratio=1.103</w:t>
      </w:r>
      <w:r w:rsidR="0017083C" w:rsidRPr="00C42140">
        <w:rPr>
          <w:lang w:val="en-GB"/>
        </w:rPr>
        <w:t xml:space="preserve">). Thereby RESTRUCTP </w:t>
      </w:r>
      <w:r w:rsidR="0026413D" w:rsidRPr="00C42140">
        <w:rPr>
          <w:lang w:val="en-GB"/>
        </w:rPr>
        <w:t xml:space="preserve">is </w:t>
      </w:r>
      <w:r w:rsidR="0017083C" w:rsidRPr="00C42140">
        <w:rPr>
          <w:lang w:val="en-GB"/>
        </w:rPr>
        <w:t>the only restructuring variable support</w:t>
      </w:r>
      <w:r w:rsidR="0026413D" w:rsidRPr="00C42140">
        <w:rPr>
          <w:lang w:val="en-GB"/>
        </w:rPr>
        <w:t>ing</w:t>
      </w:r>
      <w:r w:rsidR="0017083C" w:rsidRPr="00C42140">
        <w:rPr>
          <w:lang w:val="en-GB"/>
        </w:rPr>
        <w:t xml:space="preserve"> hypothesis 2, which </w:t>
      </w:r>
      <w:r w:rsidR="0026413D" w:rsidRPr="00C42140">
        <w:rPr>
          <w:lang w:val="en-GB"/>
        </w:rPr>
        <w:t xml:space="preserve">is based on </w:t>
      </w:r>
      <w:r w:rsidR="0017083C" w:rsidRPr="00C42140">
        <w:rPr>
          <w:lang w:val="en-GB"/>
        </w:rPr>
        <w:t xml:space="preserve">the assumption that restructuring a company leads to more </w:t>
      </w:r>
      <w:r w:rsidR="000B3301" w:rsidRPr="00C42140">
        <w:rPr>
          <w:lang w:val="en-GB"/>
        </w:rPr>
        <w:t>material IT control weaknesses</w:t>
      </w:r>
      <w:r w:rsidR="0017083C" w:rsidRPr="00C42140">
        <w:rPr>
          <w:lang w:val="en-GB"/>
        </w:rPr>
        <w:t xml:space="preserve">. </w:t>
      </w:r>
      <w:r w:rsidR="00C42140">
        <w:rPr>
          <w:lang w:val="en-GB"/>
        </w:rPr>
        <w:t>This result is also consistent with the findings of Stoel and Muhanna (20</w:t>
      </w:r>
      <w:r w:rsidR="00BF494C">
        <w:rPr>
          <w:lang w:val="en-GB"/>
        </w:rPr>
        <w:t>11</w:t>
      </w:r>
      <w:r w:rsidR="00C42140">
        <w:rPr>
          <w:lang w:val="en-GB"/>
        </w:rPr>
        <w:t xml:space="preserve">) </w:t>
      </w:r>
      <w:r w:rsidR="001515E9">
        <w:rPr>
          <w:lang w:val="en-GB"/>
        </w:rPr>
        <w:t>using</w:t>
      </w:r>
      <w:r w:rsidR="00C42140">
        <w:rPr>
          <w:lang w:val="en-GB"/>
        </w:rPr>
        <w:t xml:space="preserve"> a similar proxy for restructuring</w:t>
      </w:r>
      <w:r w:rsidR="001515E9">
        <w:rPr>
          <w:lang w:val="en-GB"/>
        </w:rPr>
        <w:t>. T</w:t>
      </w:r>
      <w:r w:rsidR="00C42140">
        <w:rPr>
          <w:lang w:val="en-GB"/>
        </w:rPr>
        <w:t xml:space="preserve">hey also find a positive relation between the existence of restructuring in the sample period and the occurrence of material IT control weaknesses. </w:t>
      </w:r>
      <w:r w:rsidR="00497139">
        <w:rPr>
          <w:lang w:val="en-GB"/>
        </w:rPr>
        <w:t xml:space="preserve"> </w:t>
      </w:r>
      <w:r w:rsidR="0017083C" w:rsidRPr="00497139">
        <w:rPr>
          <w:lang w:val="en-GB"/>
        </w:rPr>
        <w:t>The other significant associations found in table 12 have remained sign</w:t>
      </w:r>
      <w:r w:rsidR="00771557" w:rsidRPr="00497139">
        <w:rPr>
          <w:lang w:val="en-GB"/>
        </w:rPr>
        <w:t>ificant and have the same sign.</w:t>
      </w:r>
      <w:r w:rsidR="00C42140" w:rsidRPr="00497139">
        <w:rPr>
          <w:lang w:val="en-GB"/>
        </w:rPr>
        <w:t xml:space="preserve"> </w:t>
      </w:r>
      <w:r w:rsidR="00771557" w:rsidRPr="00497139">
        <w:rPr>
          <w:lang w:val="en-GB"/>
        </w:rPr>
        <w:t xml:space="preserve">For the ITMW group the INDFRAUD variable still has a significant positive coefficient with a large effect size. INCOMP still is significant </w:t>
      </w:r>
      <w:r w:rsidR="000C1DA3" w:rsidRPr="00497139">
        <w:rPr>
          <w:lang w:val="en-GB"/>
        </w:rPr>
        <w:t>and</w:t>
      </w:r>
      <w:r w:rsidR="00771557" w:rsidRPr="00497139">
        <w:rPr>
          <w:lang w:val="en-GB"/>
        </w:rPr>
        <w:t xml:space="preserve"> still support</w:t>
      </w:r>
      <w:r w:rsidR="0026413D" w:rsidRPr="00497139">
        <w:rPr>
          <w:lang w:val="en-GB"/>
        </w:rPr>
        <w:t>s</w:t>
      </w:r>
      <w:r w:rsidR="00771557" w:rsidRPr="00497139">
        <w:rPr>
          <w:lang w:val="en-GB"/>
        </w:rPr>
        <w:t xml:space="preserve"> hypothesis 1b. Also there are no changes </w:t>
      </w:r>
      <w:r w:rsidR="0026413D" w:rsidRPr="00497139">
        <w:rPr>
          <w:lang w:val="en-GB"/>
        </w:rPr>
        <w:t xml:space="preserve">in </w:t>
      </w:r>
      <w:r w:rsidR="00771557" w:rsidRPr="00497139">
        <w:rPr>
          <w:lang w:val="en-GB"/>
        </w:rPr>
        <w:t>the significance or sign for the control variable associations</w:t>
      </w:r>
      <w:r w:rsidR="0026413D" w:rsidRPr="00497139">
        <w:rPr>
          <w:lang w:val="en-GB"/>
        </w:rPr>
        <w:t>;</w:t>
      </w:r>
      <w:r w:rsidR="00771557" w:rsidRPr="00497139">
        <w:rPr>
          <w:lang w:val="en-GB"/>
        </w:rPr>
        <w:t xml:space="preserve"> only the coefficient values are slightly differ</w:t>
      </w:r>
      <w:r w:rsidR="000B3301" w:rsidRPr="00497139">
        <w:rPr>
          <w:lang w:val="en-GB"/>
        </w:rPr>
        <w:t xml:space="preserve">ent. So firm size, firm age, </w:t>
      </w:r>
      <w:r w:rsidR="00771557" w:rsidRPr="00497139">
        <w:rPr>
          <w:lang w:val="en-GB"/>
        </w:rPr>
        <w:t>number</w:t>
      </w:r>
      <w:r w:rsidR="000B3301" w:rsidRPr="00497139">
        <w:rPr>
          <w:lang w:val="en-GB"/>
        </w:rPr>
        <w:t xml:space="preserve"> of segments</w:t>
      </w:r>
      <w:r w:rsidR="00771557" w:rsidRPr="00497139">
        <w:rPr>
          <w:lang w:val="en-GB"/>
        </w:rPr>
        <w:t xml:space="preserve"> and big 4 audits are </w:t>
      </w:r>
      <w:r w:rsidR="0026413D" w:rsidRPr="00497139">
        <w:rPr>
          <w:lang w:val="en-GB"/>
        </w:rPr>
        <w:t xml:space="preserve">still </w:t>
      </w:r>
      <w:r w:rsidR="00771557" w:rsidRPr="00497139">
        <w:rPr>
          <w:lang w:val="en-GB"/>
        </w:rPr>
        <w:t>significant</w:t>
      </w:r>
      <w:r w:rsidR="0026413D" w:rsidRPr="00497139">
        <w:rPr>
          <w:lang w:val="en-GB"/>
        </w:rPr>
        <w:t>ly</w:t>
      </w:r>
      <w:r w:rsidR="00771557" w:rsidRPr="00497139">
        <w:rPr>
          <w:lang w:val="en-GB"/>
        </w:rPr>
        <w:t xml:space="preserve"> associat</w:t>
      </w:r>
      <w:r w:rsidR="0026413D" w:rsidRPr="00497139">
        <w:rPr>
          <w:lang w:val="en-GB"/>
        </w:rPr>
        <w:t>ed</w:t>
      </w:r>
      <w:r w:rsidR="00771557" w:rsidRPr="00497139">
        <w:rPr>
          <w:lang w:val="en-GB"/>
        </w:rPr>
        <w:t xml:space="preserve"> with ITMW.</w:t>
      </w:r>
      <w:r w:rsidR="00771557" w:rsidRPr="001928AB">
        <w:rPr>
          <w:i/>
          <w:lang w:val="en-GB"/>
        </w:rPr>
        <w:t xml:space="preserve"> </w:t>
      </w:r>
    </w:p>
    <w:p w:rsidR="0009185D" w:rsidRDefault="00771557">
      <w:pPr>
        <w:rPr>
          <w:lang w:val="en-GB"/>
        </w:rPr>
      </w:pPr>
      <w:r w:rsidRPr="000B7458">
        <w:rPr>
          <w:lang w:val="en-GB"/>
        </w:rPr>
        <w:t xml:space="preserve">The results for the NON-ITMW </w:t>
      </w:r>
      <w:r w:rsidR="001515E9">
        <w:rPr>
          <w:lang w:val="en-GB"/>
        </w:rPr>
        <w:t>in table 14 have also changed in comparison with table 12</w:t>
      </w:r>
      <w:r w:rsidR="000F43A4">
        <w:rPr>
          <w:lang w:val="en-GB"/>
        </w:rPr>
        <w:t>. T</w:t>
      </w:r>
      <w:r w:rsidR="00C42140" w:rsidRPr="000B7458">
        <w:rPr>
          <w:lang w:val="en-GB"/>
        </w:rPr>
        <w:t>he</w:t>
      </w:r>
      <w:r w:rsidRPr="000B7458">
        <w:rPr>
          <w:lang w:val="en-GB"/>
        </w:rPr>
        <w:t xml:space="preserve"> association </w:t>
      </w:r>
      <w:r w:rsidR="0026413D" w:rsidRPr="000B7458">
        <w:rPr>
          <w:lang w:val="en-GB"/>
        </w:rPr>
        <w:t xml:space="preserve">with </w:t>
      </w:r>
      <w:r w:rsidRPr="000B7458">
        <w:rPr>
          <w:lang w:val="en-GB"/>
        </w:rPr>
        <w:t>restructuring</w:t>
      </w:r>
      <w:r w:rsidR="00C42140" w:rsidRPr="000B7458">
        <w:rPr>
          <w:lang w:val="en-GB"/>
        </w:rPr>
        <w:t xml:space="preserve"> has become significant </w:t>
      </w:r>
      <w:r w:rsidR="000F43A4" w:rsidRPr="000B7458">
        <w:rPr>
          <w:lang w:val="en-GB"/>
        </w:rPr>
        <w:t>(p&lt;0.10)</w:t>
      </w:r>
      <w:r w:rsidR="000F43A4">
        <w:rPr>
          <w:lang w:val="en-GB"/>
        </w:rPr>
        <w:t xml:space="preserve"> </w:t>
      </w:r>
      <w:r w:rsidR="00C42140" w:rsidRPr="000B7458">
        <w:rPr>
          <w:lang w:val="en-GB"/>
        </w:rPr>
        <w:t>for all restructuring proxies</w:t>
      </w:r>
      <w:r w:rsidRPr="000B7458">
        <w:rPr>
          <w:lang w:val="en-GB"/>
        </w:rPr>
        <w:t xml:space="preserve">. </w:t>
      </w:r>
      <w:r w:rsidR="00497139" w:rsidRPr="000B7458">
        <w:rPr>
          <w:lang w:val="en-GB"/>
        </w:rPr>
        <w:t>RESTRUCTD has now a significant positive coefficient (b=0.098, p&lt;0.10)</w:t>
      </w:r>
      <w:r w:rsidR="000F43A4">
        <w:rPr>
          <w:lang w:val="en-GB"/>
        </w:rPr>
        <w:t>,</w:t>
      </w:r>
      <w:r w:rsidR="00497139" w:rsidRPr="000B7458">
        <w:rPr>
          <w:lang w:val="en-GB"/>
        </w:rPr>
        <w:t xml:space="preserve"> which is consistent with the findings of Doyle et al. (2007)</w:t>
      </w:r>
      <w:r w:rsidR="000F43A4">
        <w:rPr>
          <w:lang w:val="en-GB"/>
        </w:rPr>
        <w:t>,</w:t>
      </w:r>
      <w:r w:rsidR="000B7458" w:rsidRPr="000B7458">
        <w:rPr>
          <w:lang w:val="en-GB"/>
        </w:rPr>
        <w:t xml:space="preserve"> showing that restructuring is associated with the existence of internal control weaknesses.</w:t>
      </w:r>
      <w:r w:rsidR="00497139" w:rsidRPr="000B7458">
        <w:rPr>
          <w:lang w:val="en-GB"/>
        </w:rPr>
        <w:t xml:space="preserve"> RESTRUCTC is also significant, but it ha</w:t>
      </w:r>
      <w:r w:rsidR="000B7458" w:rsidRPr="000B7458">
        <w:rPr>
          <w:lang w:val="en-GB"/>
        </w:rPr>
        <w:t>s a negative association (b=-0.016. p&lt;0.10)</w:t>
      </w:r>
      <w:r w:rsidR="000F43A4">
        <w:rPr>
          <w:lang w:val="en-GB"/>
        </w:rPr>
        <w:t>. T</w:t>
      </w:r>
      <w:r w:rsidR="000B7458" w:rsidRPr="000B7458">
        <w:rPr>
          <w:lang w:val="en-GB"/>
        </w:rPr>
        <w:t>his is not consistent with the RESTRUCTD results. The separate model of RESTRUCTP show</w:t>
      </w:r>
      <w:r w:rsidR="000F43A4">
        <w:rPr>
          <w:lang w:val="en-GB"/>
        </w:rPr>
        <w:t>s</w:t>
      </w:r>
      <w:r w:rsidR="000B7458" w:rsidRPr="000B7458">
        <w:rPr>
          <w:lang w:val="en-GB"/>
        </w:rPr>
        <w:t xml:space="preserve"> an even more significant positive relation (b=0.098, p&lt;0.05) than the other restructuring proxies. </w:t>
      </w:r>
      <w:r w:rsidR="000F43A4">
        <w:rPr>
          <w:lang w:val="en-GB"/>
        </w:rPr>
        <w:t>This</w:t>
      </w:r>
      <w:r w:rsidR="000B7458" w:rsidRPr="000B7458">
        <w:rPr>
          <w:lang w:val="en-GB"/>
        </w:rPr>
        <w:t xml:space="preserve"> supports the assumption of Doyle et al. (2007) and</w:t>
      </w:r>
      <w:r w:rsidR="000B7458" w:rsidRPr="000B7458">
        <w:rPr>
          <w:rFonts w:cs="AdvTimes"/>
          <w:lang w:val="en-US"/>
        </w:rPr>
        <w:t xml:space="preserve"> Chaney et al. (1999) that the existence of restructurings is correlated with the occurrence of material control weaknesses.</w:t>
      </w:r>
      <w:r w:rsidR="000B7458">
        <w:rPr>
          <w:rFonts w:cs="AdvTimes"/>
          <w:lang w:val="en-US"/>
        </w:rPr>
        <w:t xml:space="preserve"> </w:t>
      </w:r>
      <w:r w:rsidRPr="000B7458">
        <w:rPr>
          <w:lang w:val="en-GB"/>
        </w:rPr>
        <w:t xml:space="preserve">The </w:t>
      </w:r>
      <w:r w:rsidR="000B7458" w:rsidRPr="000B7458">
        <w:rPr>
          <w:lang w:val="en-GB"/>
        </w:rPr>
        <w:t>results of</w:t>
      </w:r>
      <w:r w:rsidRPr="000B7458">
        <w:rPr>
          <w:lang w:val="en-GB"/>
        </w:rPr>
        <w:t xml:space="preserve"> the control variables</w:t>
      </w:r>
      <w:r w:rsidR="000F43A4">
        <w:rPr>
          <w:lang w:val="en-GB"/>
        </w:rPr>
        <w:t xml:space="preserve"> (</w:t>
      </w:r>
      <w:r w:rsidRPr="000B7458">
        <w:rPr>
          <w:lang w:val="en-GB"/>
        </w:rPr>
        <w:t xml:space="preserve">firm size, firm age, return on assets, number </w:t>
      </w:r>
      <w:r w:rsidR="000B3301" w:rsidRPr="000B7458">
        <w:rPr>
          <w:lang w:val="en-GB"/>
        </w:rPr>
        <w:t xml:space="preserve">of segments </w:t>
      </w:r>
      <w:r w:rsidRPr="000B7458">
        <w:rPr>
          <w:lang w:val="en-GB"/>
        </w:rPr>
        <w:t>and big 4 audits</w:t>
      </w:r>
      <w:r w:rsidR="000F43A4">
        <w:rPr>
          <w:lang w:val="en-GB"/>
        </w:rPr>
        <w:t>)</w:t>
      </w:r>
      <w:r w:rsidRPr="000B7458">
        <w:rPr>
          <w:lang w:val="en-GB"/>
        </w:rPr>
        <w:t xml:space="preserve"> are still significant and have the same sign. Just like the ITMW group</w:t>
      </w:r>
      <w:r w:rsidR="000F43A4">
        <w:rPr>
          <w:lang w:val="en-GB"/>
        </w:rPr>
        <w:t>,</w:t>
      </w:r>
      <w:r w:rsidRPr="000B7458">
        <w:rPr>
          <w:lang w:val="en-GB"/>
        </w:rPr>
        <w:t xml:space="preserve"> only the values of the statistics have </w:t>
      </w:r>
      <w:r w:rsidR="00084F96" w:rsidRPr="000B7458">
        <w:rPr>
          <w:lang w:val="en-GB"/>
        </w:rPr>
        <w:t xml:space="preserve">slightly </w:t>
      </w:r>
      <w:r w:rsidRPr="000B7458">
        <w:rPr>
          <w:lang w:val="en-GB"/>
        </w:rPr>
        <w:t>changed</w:t>
      </w:r>
      <w:r w:rsidR="00084F96" w:rsidRPr="000B7458">
        <w:rPr>
          <w:lang w:val="en-GB"/>
        </w:rPr>
        <w:t>, but that d</w:t>
      </w:r>
      <w:r w:rsidR="000F43A4">
        <w:rPr>
          <w:lang w:val="en-GB"/>
        </w:rPr>
        <w:t>oes</w:t>
      </w:r>
      <w:r w:rsidR="0026413D" w:rsidRPr="000B7458">
        <w:rPr>
          <w:lang w:val="en-GB"/>
        </w:rPr>
        <w:t xml:space="preserve"> </w:t>
      </w:r>
      <w:r w:rsidR="00084F96" w:rsidRPr="000B7458">
        <w:rPr>
          <w:lang w:val="en-GB"/>
        </w:rPr>
        <w:t>n</w:t>
      </w:r>
      <w:r w:rsidR="0026413D" w:rsidRPr="000B7458">
        <w:rPr>
          <w:lang w:val="en-GB"/>
        </w:rPr>
        <w:t>o</w:t>
      </w:r>
      <w:r w:rsidR="00084F96" w:rsidRPr="000B7458">
        <w:rPr>
          <w:lang w:val="en-GB"/>
        </w:rPr>
        <w:t>t lead to any different finding</w:t>
      </w:r>
      <w:r w:rsidR="000B7458" w:rsidRPr="000B7458">
        <w:rPr>
          <w:lang w:val="en-GB"/>
        </w:rPr>
        <w:t>s</w:t>
      </w:r>
      <w:r w:rsidR="00084F96" w:rsidRPr="000B7458">
        <w:rPr>
          <w:lang w:val="en-GB"/>
        </w:rPr>
        <w:t>.</w:t>
      </w:r>
      <w:r w:rsidRPr="000B7458">
        <w:rPr>
          <w:lang w:val="en-GB"/>
        </w:rPr>
        <w:t xml:space="preserve"> </w:t>
      </w:r>
      <w:r w:rsidR="001928AB">
        <w:rPr>
          <w:i/>
          <w:lang w:val="en-GB"/>
        </w:rPr>
        <w:br/>
      </w:r>
    </w:p>
    <w:p w:rsidR="00947A93" w:rsidRDefault="00947A93">
      <w:pPr>
        <w:rPr>
          <w:b/>
          <w:sz w:val="32"/>
          <w:szCs w:val="44"/>
          <w:lang w:val="en-GB"/>
        </w:rPr>
      </w:pPr>
      <w:bookmarkStart w:id="104" w:name="_Toc363840782"/>
      <w:r>
        <w:br w:type="page"/>
      </w:r>
    </w:p>
    <w:p w:rsidR="001E3445" w:rsidRDefault="001E3445" w:rsidP="001E3445">
      <w:pPr>
        <w:pStyle w:val="Heading1"/>
      </w:pPr>
      <w:r>
        <w:t>Chapter 7 Conclusion</w:t>
      </w:r>
      <w:r w:rsidR="00E81705" w:rsidRPr="00E81705">
        <w:t xml:space="preserve"> </w:t>
      </w:r>
      <w:r w:rsidR="00E81705">
        <w:t>and Discussion</w:t>
      </w:r>
      <w:bookmarkEnd w:id="104"/>
    </w:p>
    <w:p w:rsidR="000C6151" w:rsidRPr="000C6151" w:rsidRDefault="000C6151" w:rsidP="000C6151">
      <w:pPr>
        <w:pStyle w:val="ListParagraph"/>
        <w:numPr>
          <w:ilvl w:val="0"/>
          <w:numId w:val="21"/>
        </w:numPr>
        <w:outlineLvl w:val="1"/>
        <w:rPr>
          <w:b/>
          <w:vanish/>
          <w:sz w:val="24"/>
          <w:szCs w:val="24"/>
          <w:lang w:val="en-GB"/>
        </w:rPr>
      </w:pPr>
      <w:bookmarkStart w:id="105" w:name="_Toc363840783"/>
      <w:bookmarkEnd w:id="105"/>
    </w:p>
    <w:p w:rsidR="00EA7A09" w:rsidRPr="00553440" w:rsidRDefault="00CA183F" w:rsidP="000C6151">
      <w:pPr>
        <w:pStyle w:val="Heading2"/>
        <w:rPr>
          <w:lang w:val="en-US"/>
        </w:rPr>
      </w:pPr>
      <w:bookmarkStart w:id="106" w:name="_Toc363840784"/>
      <w:r w:rsidRPr="00CA183F">
        <w:t>Conclusions</w:t>
      </w:r>
      <w:bookmarkEnd w:id="106"/>
    </w:p>
    <w:p w:rsidR="008D58FF" w:rsidRDefault="00A827AC" w:rsidP="001C6F56">
      <w:pPr>
        <w:rPr>
          <w:lang w:val="en-US"/>
        </w:rPr>
      </w:pPr>
      <w:r>
        <w:rPr>
          <w:lang w:val="en-US"/>
        </w:rPr>
        <w:t>T</w:t>
      </w:r>
      <w:r w:rsidR="00E81705">
        <w:rPr>
          <w:lang w:val="en-US"/>
        </w:rPr>
        <w:t>his research study show</w:t>
      </w:r>
      <w:r>
        <w:rPr>
          <w:lang w:val="en-US"/>
        </w:rPr>
        <w:t>s th</w:t>
      </w:r>
      <w:r w:rsidR="009970FC">
        <w:rPr>
          <w:lang w:val="en-US"/>
        </w:rPr>
        <w:t>e</w:t>
      </w:r>
      <w:r w:rsidR="00E81705">
        <w:rPr>
          <w:lang w:val="en-US"/>
        </w:rPr>
        <w:t xml:space="preserve"> IT control quality has a profound effect on the business operations and performance. The literature review in chapter 2 and 3 presented the relevance, theories and empirical research </w:t>
      </w:r>
      <w:r>
        <w:rPr>
          <w:lang w:val="en-US"/>
        </w:rPr>
        <w:t xml:space="preserve">of </w:t>
      </w:r>
      <w:r w:rsidR="00E81705">
        <w:rPr>
          <w:lang w:val="en-US"/>
        </w:rPr>
        <w:t xml:space="preserve">IT and internal control quality. </w:t>
      </w:r>
      <w:r>
        <w:rPr>
          <w:lang w:val="en-US"/>
        </w:rPr>
        <w:t>I</w:t>
      </w:r>
      <w:r w:rsidR="00D02ECD">
        <w:rPr>
          <w:lang w:val="en-US"/>
        </w:rPr>
        <w:t xml:space="preserve">nternal control quality research </w:t>
      </w:r>
      <w:r>
        <w:rPr>
          <w:lang w:val="en-US"/>
        </w:rPr>
        <w:t>has</w:t>
      </w:r>
      <w:r w:rsidR="00D02ECD">
        <w:rPr>
          <w:lang w:val="en-US"/>
        </w:rPr>
        <w:t xml:space="preserve"> </w:t>
      </w:r>
      <w:r>
        <w:rPr>
          <w:lang w:val="en-US"/>
        </w:rPr>
        <w:t xml:space="preserve">a </w:t>
      </w:r>
      <w:r w:rsidR="00D02ECD">
        <w:rPr>
          <w:lang w:val="en-US"/>
        </w:rPr>
        <w:t xml:space="preserve">broad </w:t>
      </w:r>
      <w:r>
        <w:rPr>
          <w:lang w:val="en-US"/>
        </w:rPr>
        <w:t xml:space="preserve">scope </w:t>
      </w:r>
      <w:r w:rsidR="00D02ECD">
        <w:rPr>
          <w:lang w:val="en-US"/>
        </w:rPr>
        <w:t>and is recognized as one of the most important parts of good governance</w:t>
      </w:r>
      <w:r>
        <w:rPr>
          <w:lang w:val="en-US"/>
        </w:rPr>
        <w:t>. This</w:t>
      </w:r>
      <w:r w:rsidR="00D02ECD">
        <w:rPr>
          <w:lang w:val="en-US"/>
        </w:rPr>
        <w:t xml:space="preserve"> is also reflected in regulations </w:t>
      </w:r>
      <w:r>
        <w:rPr>
          <w:lang w:val="en-US"/>
        </w:rPr>
        <w:t xml:space="preserve">like </w:t>
      </w:r>
      <w:r w:rsidR="00D02ECD">
        <w:rPr>
          <w:lang w:val="en-US"/>
        </w:rPr>
        <w:t xml:space="preserve">SOX section 404. </w:t>
      </w:r>
      <w:r>
        <w:rPr>
          <w:lang w:val="en-US"/>
        </w:rPr>
        <w:t>S</w:t>
      </w:r>
      <w:r w:rsidR="00D02ECD">
        <w:rPr>
          <w:lang w:val="en-US"/>
        </w:rPr>
        <w:t>ince the implementation of ERP systems and the mandatory in-control statements of SOX section 404</w:t>
      </w:r>
      <w:r w:rsidR="009970FC">
        <w:rPr>
          <w:lang w:val="en-US"/>
        </w:rPr>
        <w:t>, IT</w:t>
      </w:r>
      <w:r w:rsidR="00D02ECD">
        <w:rPr>
          <w:lang w:val="en-US"/>
        </w:rPr>
        <w:t xml:space="preserve"> controls ha</w:t>
      </w:r>
      <w:r>
        <w:rPr>
          <w:lang w:val="en-US"/>
        </w:rPr>
        <w:t>ve</w:t>
      </w:r>
      <w:r w:rsidR="00D02ECD">
        <w:rPr>
          <w:lang w:val="en-US"/>
        </w:rPr>
        <w:t xml:space="preserve"> become more important in the internal control systems. This is also reflected in the control framework for IT controls COBIT, which is </w:t>
      </w:r>
      <w:r w:rsidR="00C17FDD">
        <w:rPr>
          <w:lang w:val="en-US"/>
        </w:rPr>
        <w:t>significant</w:t>
      </w:r>
      <w:r w:rsidR="005B25C7">
        <w:rPr>
          <w:lang w:val="en-US"/>
        </w:rPr>
        <w:t>ly</w:t>
      </w:r>
      <w:r w:rsidR="00D02ECD">
        <w:rPr>
          <w:lang w:val="en-US"/>
        </w:rPr>
        <w:t xml:space="preserve"> expanded since 2007 with the introduction of COBIT 4.1 and more recently in 2013 with COBIT 5.0. </w:t>
      </w:r>
      <w:r w:rsidR="005B25C7">
        <w:rPr>
          <w:lang w:val="en-US"/>
        </w:rPr>
        <w:t xml:space="preserve">The introduction of SOX section 404 also made it possible to study the relations between material weaknesses in the internal control system and all kinds of firm characteristics. By using the SOX section 404 reports this study </w:t>
      </w:r>
      <w:r>
        <w:rPr>
          <w:lang w:val="en-US"/>
        </w:rPr>
        <w:t>establishes</w:t>
      </w:r>
      <w:r w:rsidR="005B25C7">
        <w:rPr>
          <w:lang w:val="en-US"/>
        </w:rPr>
        <w:t xml:space="preserve"> the influence of industry differences and restructuring on </w:t>
      </w:r>
      <w:r w:rsidR="000B3301">
        <w:rPr>
          <w:lang w:val="en-US"/>
        </w:rPr>
        <w:t>material IT control weaknesses</w:t>
      </w:r>
      <w:r w:rsidR="005B25C7">
        <w:rPr>
          <w:lang w:val="en-US"/>
        </w:rPr>
        <w:t xml:space="preserve">. </w:t>
      </w:r>
    </w:p>
    <w:p w:rsidR="00994A79" w:rsidRDefault="005B25C7" w:rsidP="001C6F56">
      <w:pPr>
        <w:rPr>
          <w:lang w:val="en-US"/>
        </w:rPr>
      </w:pPr>
      <w:r>
        <w:rPr>
          <w:lang w:val="en-US"/>
        </w:rPr>
        <w:t>To test the influence of industry difference</w:t>
      </w:r>
      <w:r w:rsidR="00A827AC">
        <w:rPr>
          <w:lang w:val="en-US"/>
        </w:rPr>
        <w:t>,</w:t>
      </w:r>
      <w:r>
        <w:rPr>
          <w:lang w:val="en-US"/>
        </w:rPr>
        <w:t xml:space="preserve"> </w:t>
      </w:r>
      <w:r w:rsidR="004328CD">
        <w:rPr>
          <w:lang w:val="en-US"/>
        </w:rPr>
        <w:t xml:space="preserve">this study </w:t>
      </w:r>
      <w:r w:rsidR="009970FC">
        <w:rPr>
          <w:lang w:val="en-US"/>
        </w:rPr>
        <w:t xml:space="preserve">focuses </w:t>
      </w:r>
      <w:r w:rsidR="004328CD">
        <w:rPr>
          <w:lang w:val="en-US"/>
        </w:rPr>
        <w:t xml:space="preserve">on </w:t>
      </w:r>
      <w:r>
        <w:rPr>
          <w:lang w:val="en-US"/>
        </w:rPr>
        <w:t>the following research question:</w:t>
      </w:r>
      <w:r>
        <w:rPr>
          <w:lang w:val="en-US"/>
        </w:rPr>
        <w:br/>
      </w:r>
      <w:r w:rsidR="00786E88" w:rsidRPr="001C6F56">
        <w:rPr>
          <w:i/>
          <w:lang w:val="en-US"/>
        </w:rPr>
        <w:t>1) What is the impact of industry differences (like complex financial reporting and competiveness level) on the disclosed IT control weaknesses under SOX section 404 in the reporting years 2004-2011?</w:t>
      </w:r>
      <w:r>
        <w:rPr>
          <w:i/>
          <w:lang w:val="en-US"/>
        </w:rPr>
        <w:br/>
      </w:r>
      <w:r>
        <w:rPr>
          <w:lang w:val="en-US"/>
        </w:rPr>
        <w:t>The industry differences are separated into two proxies</w:t>
      </w:r>
      <w:r w:rsidR="00A827AC">
        <w:rPr>
          <w:lang w:val="en-US"/>
        </w:rPr>
        <w:t>:</w:t>
      </w:r>
      <w:r>
        <w:rPr>
          <w:lang w:val="en-US"/>
        </w:rPr>
        <w:t xml:space="preserve"> industry differences based on fraud opportunities and industry differences based on the competitiveness level. The results </w:t>
      </w:r>
      <w:r w:rsidR="0049302C">
        <w:rPr>
          <w:lang w:val="en-US"/>
        </w:rPr>
        <w:t xml:space="preserve">show significant evidence that industry differences based on </w:t>
      </w:r>
      <w:r w:rsidR="00994A79">
        <w:rPr>
          <w:lang w:val="en-US"/>
        </w:rPr>
        <w:t>complex financial reporting</w:t>
      </w:r>
      <w:r w:rsidR="0049302C">
        <w:rPr>
          <w:lang w:val="en-US"/>
        </w:rPr>
        <w:t xml:space="preserve"> </w:t>
      </w:r>
      <w:r w:rsidR="004328CD">
        <w:rPr>
          <w:lang w:val="en-US"/>
        </w:rPr>
        <w:t xml:space="preserve">are </w:t>
      </w:r>
      <w:r w:rsidR="0049302C">
        <w:rPr>
          <w:lang w:val="en-US"/>
        </w:rPr>
        <w:t>positive</w:t>
      </w:r>
      <w:r w:rsidR="004328CD">
        <w:rPr>
          <w:lang w:val="en-US"/>
        </w:rPr>
        <w:t>ly</w:t>
      </w:r>
      <w:r w:rsidR="0049302C">
        <w:rPr>
          <w:lang w:val="en-US"/>
        </w:rPr>
        <w:t xml:space="preserve"> associat</w:t>
      </w:r>
      <w:r w:rsidR="004328CD">
        <w:rPr>
          <w:lang w:val="en-US"/>
        </w:rPr>
        <w:t>ed</w:t>
      </w:r>
      <w:r w:rsidR="0049302C">
        <w:rPr>
          <w:lang w:val="en-US"/>
        </w:rPr>
        <w:t xml:space="preserve"> with the existence of </w:t>
      </w:r>
      <w:r w:rsidR="000B3301">
        <w:rPr>
          <w:lang w:val="en-US"/>
        </w:rPr>
        <w:t>material IT control weaknesses</w:t>
      </w:r>
      <w:r w:rsidR="0049302C">
        <w:rPr>
          <w:lang w:val="en-US"/>
        </w:rPr>
        <w:t>. Therefore the assumption</w:t>
      </w:r>
      <w:r w:rsidR="00994A79">
        <w:rPr>
          <w:lang w:val="en-US"/>
        </w:rPr>
        <w:t xml:space="preserve"> in hypothesis 1a is supported, mean</w:t>
      </w:r>
      <w:r w:rsidR="004328CD">
        <w:rPr>
          <w:lang w:val="en-US"/>
        </w:rPr>
        <w:t>ing</w:t>
      </w:r>
      <w:r w:rsidR="00994A79">
        <w:rPr>
          <w:lang w:val="en-US"/>
        </w:rPr>
        <w:t xml:space="preserve"> that the technology, health care and financial services industries are more likely to report </w:t>
      </w:r>
      <w:r w:rsidR="000B3301">
        <w:rPr>
          <w:lang w:val="en-US"/>
        </w:rPr>
        <w:t>material IT control weaknesses</w:t>
      </w:r>
      <w:r w:rsidR="00994A79">
        <w:rPr>
          <w:lang w:val="en-US"/>
        </w:rPr>
        <w:t>.</w:t>
      </w:r>
      <w:r w:rsidR="00994A79">
        <w:rPr>
          <w:lang w:val="en-US"/>
        </w:rPr>
        <w:br/>
      </w:r>
      <w:r w:rsidR="0049302C">
        <w:rPr>
          <w:lang w:val="en-US"/>
        </w:rPr>
        <w:t xml:space="preserve">The proxy for the industry differences based on competitiveness level </w:t>
      </w:r>
      <w:r w:rsidR="004328CD">
        <w:rPr>
          <w:lang w:val="en-US"/>
        </w:rPr>
        <w:t xml:space="preserve">is </w:t>
      </w:r>
      <w:r w:rsidR="00313D03">
        <w:rPr>
          <w:lang w:val="en-US"/>
        </w:rPr>
        <w:t>also significant</w:t>
      </w:r>
      <w:r w:rsidR="004328CD">
        <w:rPr>
          <w:lang w:val="en-US"/>
        </w:rPr>
        <w:t>ly</w:t>
      </w:r>
      <w:r w:rsidR="00313D03">
        <w:rPr>
          <w:lang w:val="en-US"/>
        </w:rPr>
        <w:t xml:space="preserve"> </w:t>
      </w:r>
      <w:r w:rsidR="004328CD">
        <w:rPr>
          <w:lang w:val="en-US"/>
        </w:rPr>
        <w:t xml:space="preserve">and positively </w:t>
      </w:r>
      <w:r w:rsidR="00313D03">
        <w:rPr>
          <w:lang w:val="en-US"/>
        </w:rPr>
        <w:t>associat</w:t>
      </w:r>
      <w:r w:rsidR="004328CD">
        <w:rPr>
          <w:lang w:val="en-US"/>
        </w:rPr>
        <w:t>ed</w:t>
      </w:r>
      <w:r w:rsidR="00313D03">
        <w:rPr>
          <w:lang w:val="en-US"/>
        </w:rPr>
        <w:t xml:space="preserve"> </w:t>
      </w:r>
      <w:r w:rsidR="0049302C">
        <w:rPr>
          <w:lang w:val="en-US"/>
        </w:rPr>
        <w:t xml:space="preserve">with the existence of </w:t>
      </w:r>
      <w:r w:rsidR="000B3301">
        <w:rPr>
          <w:lang w:val="en-US"/>
        </w:rPr>
        <w:t>material IT control weaknesses</w:t>
      </w:r>
      <w:r w:rsidR="004328CD">
        <w:rPr>
          <w:lang w:val="en-US"/>
        </w:rPr>
        <w:t>.</w:t>
      </w:r>
      <w:r w:rsidR="0049302C">
        <w:rPr>
          <w:lang w:val="en-US"/>
        </w:rPr>
        <w:t xml:space="preserve"> </w:t>
      </w:r>
      <w:r w:rsidR="004328CD">
        <w:rPr>
          <w:lang w:val="en-US"/>
        </w:rPr>
        <w:t>T</w:t>
      </w:r>
      <w:r w:rsidR="0049302C">
        <w:rPr>
          <w:lang w:val="en-US"/>
        </w:rPr>
        <w:t xml:space="preserve">his means </w:t>
      </w:r>
      <w:r w:rsidR="004328CD">
        <w:rPr>
          <w:lang w:val="en-US"/>
        </w:rPr>
        <w:t xml:space="preserve">that </w:t>
      </w:r>
      <w:r w:rsidR="0049302C">
        <w:rPr>
          <w:lang w:val="en-US"/>
        </w:rPr>
        <w:t>hypothesis 1b, assum</w:t>
      </w:r>
      <w:r w:rsidR="004328CD">
        <w:rPr>
          <w:lang w:val="en-US"/>
        </w:rPr>
        <w:t>ing</w:t>
      </w:r>
      <w:r w:rsidR="0049302C">
        <w:rPr>
          <w:lang w:val="en-US"/>
        </w:rPr>
        <w:t xml:space="preserve"> that non-competitive fir</w:t>
      </w:r>
      <w:r w:rsidR="001E7FFB">
        <w:rPr>
          <w:lang w:val="en-US"/>
        </w:rPr>
        <w:t>ms have more IT weaknesses, is</w:t>
      </w:r>
      <w:r w:rsidR="0049302C">
        <w:rPr>
          <w:lang w:val="en-US"/>
        </w:rPr>
        <w:t xml:space="preserve"> supported.  The coefficient indicates that</w:t>
      </w:r>
      <w:r w:rsidR="001E7FFB">
        <w:rPr>
          <w:lang w:val="en-US"/>
        </w:rPr>
        <w:t xml:space="preserve"> non-</w:t>
      </w:r>
      <w:r w:rsidR="0049302C">
        <w:rPr>
          <w:lang w:val="en-US"/>
        </w:rPr>
        <w:t xml:space="preserve">competitive firms are more likely to have </w:t>
      </w:r>
      <w:r w:rsidR="000B3301">
        <w:rPr>
          <w:lang w:val="en-US"/>
        </w:rPr>
        <w:t>material IT control weaknesses</w:t>
      </w:r>
      <w:r w:rsidR="0049302C">
        <w:rPr>
          <w:lang w:val="en-US"/>
        </w:rPr>
        <w:t xml:space="preserve"> than competitive</w:t>
      </w:r>
      <w:r w:rsidR="004328CD">
        <w:rPr>
          <w:lang w:val="en-US"/>
        </w:rPr>
        <w:t>. T</w:t>
      </w:r>
      <w:r w:rsidR="0049302C">
        <w:rPr>
          <w:lang w:val="en-US"/>
        </w:rPr>
        <w:t>his is consistent with the theor</w:t>
      </w:r>
      <w:r w:rsidR="00B724D7">
        <w:rPr>
          <w:lang w:val="en-US"/>
        </w:rPr>
        <w:t>ies</w:t>
      </w:r>
      <w:r w:rsidR="0049302C">
        <w:rPr>
          <w:lang w:val="en-US"/>
        </w:rPr>
        <w:t xml:space="preserve"> in chapter 2.</w:t>
      </w:r>
      <w:r w:rsidR="00994A79">
        <w:rPr>
          <w:lang w:val="en-US"/>
        </w:rPr>
        <w:t>5 stat</w:t>
      </w:r>
      <w:r w:rsidR="004328CD">
        <w:rPr>
          <w:lang w:val="en-US"/>
        </w:rPr>
        <w:t>ing</w:t>
      </w:r>
      <w:r w:rsidR="0049302C">
        <w:rPr>
          <w:lang w:val="en-US"/>
        </w:rPr>
        <w:t xml:space="preserve"> that management slack and agency problems</w:t>
      </w:r>
      <w:r w:rsidR="00994A79">
        <w:rPr>
          <w:lang w:val="en-US"/>
        </w:rPr>
        <w:t xml:space="preserve"> cause more governance problems in non-competitive industries. </w:t>
      </w:r>
      <w:r w:rsidR="00994A79">
        <w:rPr>
          <w:lang w:val="en-US"/>
        </w:rPr>
        <w:br/>
        <w:t>The answer to the first research question is that</w:t>
      </w:r>
      <w:r w:rsidR="001E7FFB">
        <w:rPr>
          <w:lang w:val="en-US"/>
        </w:rPr>
        <w:t xml:space="preserve"> both</w:t>
      </w:r>
      <w:r w:rsidR="00994A79">
        <w:rPr>
          <w:lang w:val="en-US"/>
        </w:rPr>
        <w:t xml:space="preserve"> industry differences</w:t>
      </w:r>
      <w:r w:rsidR="004328CD">
        <w:rPr>
          <w:lang w:val="en-US"/>
        </w:rPr>
        <w:t xml:space="preserve"> variables</w:t>
      </w:r>
      <w:r w:rsidR="001E7FFB">
        <w:rPr>
          <w:lang w:val="en-US"/>
        </w:rPr>
        <w:t>,</w:t>
      </w:r>
      <w:r w:rsidR="00994A79">
        <w:rPr>
          <w:lang w:val="en-US"/>
        </w:rPr>
        <w:t xml:space="preserve"> based on complex financial reporting</w:t>
      </w:r>
      <w:r w:rsidR="001E7FFB">
        <w:rPr>
          <w:lang w:val="en-US"/>
        </w:rPr>
        <w:t xml:space="preserve"> and the competitiveness level,</w:t>
      </w:r>
      <w:r w:rsidR="00994A79">
        <w:rPr>
          <w:lang w:val="en-US"/>
        </w:rPr>
        <w:t xml:space="preserve"> have a significant impact on the disclosed IT control weaknesses under SOX section 404.</w:t>
      </w:r>
    </w:p>
    <w:p w:rsidR="001C6F56" w:rsidRDefault="00994A79" w:rsidP="001C6F56">
      <w:pPr>
        <w:rPr>
          <w:lang w:val="en-US"/>
        </w:rPr>
      </w:pPr>
      <w:r>
        <w:rPr>
          <w:lang w:val="en-US"/>
        </w:rPr>
        <w:t xml:space="preserve">The second explanatory variable is the effect of restructuring on </w:t>
      </w:r>
      <w:r w:rsidR="000B3301">
        <w:rPr>
          <w:lang w:val="en-US"/>
        </w:rPr>
        <w:t>material IT control weaknesses</w:t>
      </w:r>
      <w:r>
        <w:rPr>
          <w:lang w:val="en-US"/>
        </w:rPr>
        <w:t xml:space="preserve">. </w:t>
      </w:r>
      <w:r w:rsidR="004328CD">
        <w:rPr>
          <w:lang w:val="en-US"/>
        </w:rPr>
        <w:t xml:space="preserve">This is focusing on </w:t>
      </w:r>
      <w:r>
        <w:rPr>
          <w:lang w:val="en-US"/>
        </w:rPr>
        <w:t xml:space="preserve">the following research question: </w:t>
      </w:r>
      <w:r>
        <w:rPr>
          <w:lang w:val="en-US"/>
        </w:rPr>
        <w:br/>
      </w:r>
      <w:r w:rsidR="00786E88" w:rsidRPr="001C6F56">
        <w:rPr>
          <w:i/>
          <w:lang w:val="en-US"/>
        </w:rPr>
        <w:t>2) What is the influence of restructuring on the disclosed IT controls under SOX section 404 in the years 2004-2011?</w:t>
      </w:r>
      <w:r>
        <w:rPr>
          <w:i/>
          <w:lang w:val="en-US"/>
        </w:rPr>
        <w:br/>
      </w:r>
      <w:r>
        <w:rPr>
          <w:lang w:val="en-US"/>
        </w:rPr>
        <w:t xml:space="preserve">To measure the influence of restructuring three proxies </w:t>
      </w:r>
      <w:r w:rsidR="004328CD">
        <w:rPr>
          <w:lang w:val="en-US"/>
        </w:rPr>
        <w:t xml:space="preserve">are </w:t>
      </w:r>
      <w:r>
        <w:rPr>
          <w:lang w:val="en-US"/>
        </w:rPr>
        <w:t xml:space="preserve">chosen: the existence of a restructuring in the same year, the </w:t>
      </w:r>
      <w:r w:rsidR="004328CD">
        <w:rPr>
          <w:lang w:val="en-US"/>
        </w:rPr>
        <w:t>amount</w:t>
      </w:r>
      <w:r>
        <w:rPr>
          <w:lang w:val="en-US"/>
        </w:rPr>
        <w:t xml:space="preserve"> of the restructuring costs and the existence of a restructuring in the sample period 2004-2011.</w:t>
      </w:r>
      <w:r w:rsidR="00B724D7">
        <w:rPr>
          <w:lang w:val="en-US"/>
        </w:rPr>
        <w:t xml:space="preserve"> </w:t>
      </w:r>
      <w:r w:rsidR="004328CD">
        <w:rPr>
          <w:lang w:val="en-US"/>
        </w:rPr>
        <w:t>T</w:t>
      </w:r>
      <w:r w:rsidR="00134038">
        <w:rPr>
          <w:lang w:val="en-US"/>
        </w:rPr>
        <w:t xml:space="preserve">he </w:t>
      </w:r>
      <w:r w:rsidR="004328CD">
        <w:rPr>
          <w:lang w:val="en-US"/>
        </w:rPr>
        <w:t>(</w:t>
      </w:r>
      <w:r w:rsidR="00134038">
        <w:rPr>
          <w:lang w:val="en-US"/>
        </w:rPr>
        <w:t>adjusted</w:t>
      </w:r>
      <w:r w:rsidR="004328CD">
        <w:rPr>
          <w:lang w:val="en-US"/>
        </w:rPr>
        <w:t>)</w:t>
      </w:r>
      <w:r w:rsidR="00134038">
        <w:rPr>
          <w:lang w:val="en-US"/>
        </w:rPr>
        <w:t xml:space="preserve"> results of the multinomial logistic regression </w:t>
      </w:r>
      <w:r w:rsidR="00481E07">
        <w:rPr>
          <w:lang w:val="en-US"/>
        </w:rPr>
        <w:t>show</w:t>
      </w:r>
      <w:r w:rsidR="00134038">
        <w:rPr>
          <w:lang w:val="en-US"/>
        </w:rPr>
        <w:t xml:space="preserve"> that only the existence of a restructuring in the sample period </w:t>
      </w:r>
      <w:r w:rsidR="00481E07">
        <w:rPr>
          <w:lang w:val="en-US"/>
        </w:rPr>
        <w:t>is</w:t>
      </w:r>
      <w:r w:rsidR="00134038">
        <w:rPr>
          <w:lang w:val="en-US"/>
        </w:rPr>
        <w:t xml:space="preserve"> </w:t>
      </w:r>
      <w:r w:rsidR="00481E07">
        <w:rPr>
          <w:lang w:val="en-US"/>
        </w:rPr>
        <w:t xml:space="preserve">significantly </w:t>
      </w:r>
      <w:r w:rsidR="00134038">
        <w:rPr>
          <w:lang w:val="en-US"/>
        </w:rPr>
        <w:t>positive</w:t>
      </w:r>
      <w:r w:rsidR="00481E07">
        <w:rPr>
          <w:lang w:val="en-US"/>
        </w:rPr>
        <w:t>ly</w:t>
      </w:r>
      <w:r w:rsidR="00134038">
        <w:rPr>
          <w:lang w:val="en-US"/>
        </w:rPr>
        <w:t xml:space="preserve"> associat</w:t>
      </w:r>
      <w:r w:rsidR="00481E07">
        <w:rPr>
          <w:lang w:val="en-US"/>
        </w:rPr>
        <w:t>ed</w:t>
      </w:r>
      <w:r w:rsidR="00134038">
        <w:rPr>
          <w:lang w:val="en-US"/>
        </w:rPr>
        <w:t xml:space="preserve"> with disclosed </w:t>
      </w:r>
      <w:r w:rsidR="000B3301">
        <w:rPr>
          <w:lang w:val="en-US"/>
        </w:rPr>
        <w:t>material IT control weaknesses</w:t>
      </w:r>
      <w:r w:rsidR="00134038">
        <w:rPr>
          <w:lang w:val="en-US"/>
        </w:rPr>
        <w:t>.</w:t>
      </w:r>
      <w:r>
        <w:rPr>
          <w:lang w:val="en-US"/>
        </w:rPr>
        <w:t xml:space="preserve"> </w:t>
      </w:r>
      <w:r w:rsidR="00134038">
        <w:rPr>
          <w:lang w:val="en-US"/>
        </w:rPr>
        <w:t>Therefore hypothesis 2c</w:t>
      </w:r>
      <w:r w:rsidR="006D4F45">
        <w:rPr>
          <w:lang w:val="en-US"/>
        </w:rPr>
        <w:t xml:space="preserve"> (RESTRUCTP)</w:t>
      </w:r>
      <w:r w:rsidR="00134038">
        <w:rPr>
          <w:lang w:val="en-US"/>
        </w:rPr>
        <w:t xml:space="preserve"> is supported</w:t>
      </w:r>
      <w:r w:rsidR="00481E07">
        <w:rPr>
          <w:lang w:val="en-US"/>
        </w:rPr>
        <w:t xml:space="preserve">, stating </w:t>
      </w:r>
      <w:r w:rsidR="00134038">
        <w:rPr>
          <w:lang w:val="en-US"/>
        </w:rPr>
        <w:t xml:space="preserve">that firms with a restructuring in the sample period are more likely to have </w:t>
      </w:r>
      <w:r w:rsidR="000B3301">
        <w:rPr>
          <w:lang w:val="en-US"/>
        </w:rPr>
        <w:t>material IT control weaknesses</w:t>
      </w:r>
      <w:r w:rsidR="00134038">
        <w:rPr>
          <w:lang w:val="en-US"/>
        </w:rPr>
        <w:t xml:space="preserve"> than other firms. </w:t>
      </w:r>
      <w:r w:rsidR="00481E07">
        <w:rPr>
          <w:lang w:val="en-US"/>
        </w:rPr>
        <w:t xml:space="preserve">Depending on the model used (only restructuring variables or a full model with control variables) the </w:t>
      </w:r>
      <w:r w:rsidR="00134038">
        <w:rPr>
          <w:lang w:val="en-US"/>
        </w:rPr>
        <w:t xml:space="preserve">existence of a restructuring and the </w:t>
      </w:r>
      <w:r w:rsidR="00481E07">
        <w:rPr>
          <w:lang w:val="en-US"/>
        </w:rPr>
        <w:t xml:space="preserve">amount </w:t>
      </w:r>
      <w:r w:rsidR="00134038">
        <w:rPr>
          <w:lang w:val="en-US"/>
        </w:rPr>
        <w:t xml:space="preserve">of restructuring costs </w:t>
      </w:r>
      <w:r w:rsidR="00481E07">
        <w:rPr>
          <w:lang w:val="en-US"/>
        </w:rPr>
        <w:t xml:space="preserve">show different </w:t>
      </w:r>
      <w:r w:rsidR="002A3B05">
        <w:rPr>
          <w:lang w:val="en-US"/>
        </w:rPr>
        <w:t xml:space="preserve">and inconsistent </w:t>
      </w:r>
      <w:r w:rsidR="00481E07">
        <w:rPr>
          <w:lang w:val="en-US"/>
        </w:rPr>
        <w:t>results</w:t>
      </w:r>
      <w:r w:rsidR="002A3B05">
        <w:rPr>
          <w:lang w:val="en-US"/>
        </w:rPr>
        <w:t xml:space="preserve">. In some </w:t>
      </w:r>
      <w:r w:rsidR="00263727">
        <w:rPr>
          <w:lang w:val="en-US"/>
        </w:rPr>
        <w:t>cases negative</w:t>
      </w:r>
      <w:r w:rsidR="00B724D7">
        <w:rPr>
          <w:lang w:val="en-US"/>
        </w:rPr>
        <w:t xml:space="preserve"> coefficient</w:t>
      </w:r>
      <w:r w:rsidR="002A3B05">
        <w:rPr>
          <w:lang w:val="en-US"/>
        </w:rPr>
        <w:t>s</w:t>
      </w:r>
      <w:r w:rsidR="00B724D7">
        <w:rPr>
          <w:lang w:val="en-US"/>
        </w:rPr>
        <w:t xml:space="preserve"> </w:t>
      </w:r>
      <w:r w:rsidR="002A3B05">
        <w:rPr>
          <w:lang w:val="en-US"/>
        </w:rPr>
        <w:t xml:space="preserve">appear that are </w:t>
      </w:r>
      <w:r w:rsidR="00B724D7">
        <w:rPr>
          <w:lang w:val="en-US"/>
        </w:rPr>
        <w:t xml:space="preserve">not consistent with the hypothesis that a restructuring in the same year causes more </w:t>
      </w:r>
      <w:r w:rsidR="000B3301">
        <w:rPr>
          <w:lang w:val="en-US"/>
        </w:rPr>
        <w:t>material IT control weaknesses</w:t>
      </w:r>
      <w:r w:rsidR="00B724D7">
        <w:rPr>
          <w:lang w:val="en-US"/>
        </w:rPr>
        <w:t>. Also t</w:t>
      </w:r>
      <w:r w:rsidR="00F93260">
        <w:rPr>
          <w:lang w:val="en-US"/>
        </w:rPr>
        <w:t>he test for collinearity reveal</w:t>
      </w:r>
      <w:r w:rsidR="000F43A4">
        <w:rPr>
          <w:lang w:val="en-US"/>
        </w:rPr>
        <w:t>s</w:t>
      </w:r>
      <w:r w:rsidR="00B724D7">
        <w:rPr>
          <w:lang w:val="en-US"/>
        </w:rPr>
        <w:t xml:space="preserve"> that the restructuring variables could contain a bias. </w:t>
      </w:r>
      <w:r w:rsidR="002A3B05">
        <w:rPr>
          <w:lang w:val="en-US"/>
        </w:rPr>
        <w:t xml:space="preserve">The conclusion is therefore </w:t>
      </w:r>
      <w:r w:rsidR="00B724D7">
        <w:rPr>
          <w:lang w:val="en-US"/>
        </w:rPr>
        <w:t>that hypothesis 2a</w:t>
      </w:r>
      <w:r w:rsidR="006D4F45">
        <w:rPr>
          <w:lang w:val="en-US"/>
        </w:rPr>
        <w:t xml:space="preserve"> (RESTRUCTD)</w:t>
      </w:r>
      <w:r w:rsidR="00B724D7">
        <w:rPr>
          <w:lang w:val="en-US"/>
        </w:rPr>
        <w:t xml:space="preserve"> and 2b</w:t>
      </w:r>
      <w:r w:rsidR="006D4F45">
        <w:rPr>
          <w:lang w:val="en-US"/>
        </w:rPr>
        <w:t xml:space="preserve"> (RESTRUCTC)</w:t>
      </w:r>
      <w:r w:rsidR="00B724D7">
        <w:rPr>
          <w:lang w:val="en-US"/>
        </w:rPr>
        <w:t xml:space="preserve"> are not supported. The answer on the second research question is that a restructuring </w:t>
      </w:r>
      <w:r w:rsidR="00857660">
        <w:rPr>
          <w:lang w:val="en-US"/>
        </w:rPr>
        <w:t xml:space="preserve">has only </w:t>
      </w:r>
      <w:r w:rsidR="00772E57">
        <w:rPr>
          <w:lang w:val="en-US"/>
        </w:rPr>
        <w:t>an</w:t>
      </w:r>
      <w:r w:rsidR="00857660">
        <w:rPr>
          <w:lang w:val="en-US"/>
        </w:rPr>
        <w:t xml:space="preserve"> influence on the disclosed </w:t>
      </w:r>
      <w:r w:rsidR="000B3301">
        <w:rPr>
          <w:lang w:val="en-US"/>
        </w:rPr>
        <w:t>IT control weaknesses</w:t>
      </w:r>
      <w:r w:rsidR="00857660">
        <w:rPr>
          <w:lang w:val="en-US"/>
        </w:rPr>
        <w:t xml:space="preserve"> when the </w:t>
      </w:r>
      <w:r w:rsidR="00772E57">
        <w:rPr>
          <w:lang w:val="en-US"/>
        </w:rPr>
        <w:t>company has</w:t>
      </w:r>
      <w:r w:rsidR="00857660">
        <w:rPr>
          <w:lang w:val="en-US"/>
        </w:rPr>
        <w:t xml:space="preserve"> had a restructuring in the period of 2004-2011.</w:t>
      </w:r>
      <w:r w:rsidR="006D4F45">
        <w:rPr>
          <w:lang w:val="en-US"/>
        </w:rPr>
        <w:t xml:space="preserve"> An explanation for </w:t>
      </w:r>
      <w:r w:rsidR="008E27EF">
        <w:rPr>
          <w:lang w:val="en-US"/>
        </w:rPr>
        <w:t>the difference i</w:t>
      </w:r>
      <w:r w:rsidR="000F43A4">
        <w:rPr>
          <w:lang w:val="en-US"/>
        </w:rPr>
        <w:t>n</w:t>
      </w:r>
      <w:r w:rsidR="008E27EF">
        <w:rPr>
          <w:lang w:val="en-US"/>
        </w:rPr>
        <w:t xml:space="preserve"> significance between the restructuring proxies </w:t>
      </w:r>
      <w:r w:rsidR="000F43A4">
        <w:rPr>
          <w:lang w:val="en-US"/>
        </w:rPr>
        <w:t>may</w:t>
      </w:r>
      <w:r w:rsidR="008E27EF">
        <w:rPr>
          <w:lang w:val="en-US"/>
        </w:rPr>
        <w:t xml:space="preserve"> be that the possible negative effects of restructuring occur later and not at the same time as the restructuring costs are reported. The RESTRUCTP variable does include the </w:t>
      </w:r>
      <w:r w:rsidR="00B26895">
        <w:rPr>
          <w:lang w:val="en-US"/>
        </w:rPr>
        <w:t xml:space="preserve">occurrence </w:t>
      </w:r>
      <w:r w:rsidR="008E27EF">
        <w:rPr>
          <w:lang w:val="en-US"/>
        </w:rPr>
        <w:t xml:space="preserve">of restructuring </w:t>
      </w:r>
      <w:r w:rsidR="00B26895">
        <w:rPr>
          <w:lang w:val="en-US"/>
        </w:rPr>
        <w:t xml:space="preserve">in one or more years of </w:t>
      </w:r>
      <w:r w:rsidR="008E27EF">
        <w:rPr>
          <w:lang w:val="en-US"/>
        </w:rPr>
        <w:t>the period</w:t>
      </w:r>
      <w:r w:rsidR="00B26895">
        <w:rPr>
          <w:lang w:val="en-US"/>
        </w:rPr>
        <w:t xml:space="preserve"> 2004-2011</w:t>
      </w:r>
      <w:r w:rsidR="008E27EF">
        <w:rPr>
          <w:lang w:val="en-US"/>
        </w:rPr>
        <w:t>, while RESTRUCTD and RESTRUCT only look at the same year.</w:t>
      </w:r>
    </w:p>
    <w:p w:rsidR="00B724D7" w:rsidRPr="00994A79" w:rsidRDefault="00B724D7" w:rsidP="001C6F56">
      <w:pPr>
        <w:rPr>
          <w:lang w:val="en-US"/>
        </w:rPr>
      </w:pPr>
      <w:r>
        <w:rPr>
          <w:lang w:val="en-US"/>
        </w:rPr>
        <w:t xml:space="preserve">The regression results do not only contain the tested explanatory variables, but also the </w:t>
      </w:r>
      <w:r w:rsidR="002A3B05">
        <w:rPr>
          <w:lang w:val="en-US"/>
        </w:rPr>
        <w:t xml:space="preserve">correlations </w:t>
      </w:r>
      <w:r w:rsidR="00857660">
        <w:rPr>
          <w:lang w:val="en-US"/>
        </w:rPr>
        <w:t xml:space="preserve">with the included control variables. For the group of firms with </w:t>
      </w:r>
      <w:r w:rsidR="000B3301">
        <w:rPr>
          <w:lang w:val="en-US"/>
        </w:rPr>
        <w:t>material IT control weaknesses</w:t>
      </w:r>
      <w:r w:rsidR="00857660">
        <w:rPr>
          <w:lang w:val="en-US"/>
        </w:rPr>
        <w:t xml:space="preserve"> the following significant </w:t>
      </w:r>
      <w:r w:rsidR="002A3B05">
        <w:rPr>
          <w:lang w:val="en-US"/>
        </w:rPr>
        <w:t>variables</w:t>
      </w:r>
      <w:r w:rsidR="00857660">
        <w:rPr>
          <w:lang w:val="en-US"/>
        </w:rPr>
        <w:t xml:space="preserve"> are found: the firm size, firm age, number of segments and big 4 audits. This means that older and larger firms with a low number of segments and a non-big 4 auditor are more likely to have </w:t>
      </w:r>
      <w:r w:rsidR="000B3301">
        <w:rPr>
          <w:lang w:val="en-US"/>
        </w:rPr>
        <w:t>material IT control weaknesses</w:t>
      </w:r>
      <w:r w:rsidR="00857660">
        <w:rPr>
          <w:lang w:val="en-US"/>
        </w:rPr>
        <w:t xml:space="preserve">. </w:t>
      </w:r>
      <w:r w:rsidR="0084083E">
        <w:rPr>
          <w:lang w:val="en-US"/>
        </w:rPr>
        <w:t xml:space="preserve">The same significant relations </w:t>
      </w:r>
      <w:r w:rsidR="002A3B05">
        <w:rPr>
          <w:lang w:val="en-US"/>
        </w:rPr>
        <w:t>(</w:t>
      </w:r>
      <w:r w:rsidR="0084083E">
        <w:rPr>
          <w:lang w:val="en-US"/>
        </w:rPr>
        <w:t>with the same sign</w:t>
      </w:r>
      <w:r w:rsidR="002A3B05">
        <w:rPr>
          <w:lang w:val="en-US"/>
        </w:rPr>
        <w:t>)</w:t>
      </w:r>
      <w:r w:rsidR="0084083E">
        <w:rPr>
          <w:lang w:val="en-US"/>
        </w:rPr>
        <w:t xml:space="preserve"> are found for the non-IT material weakness group. </w:t>
      </w:r>
      <w:r w:rsidR="00B26895">
        <w:rPr>
          <w:lang w:val="en-US"/>
        </w:rPr>
        <w:t xml:space="preserve">This is consistent with the results of Stoel and Muhanna (2011), because they present a positive coefficient for age and size; so larger and older firms have more weaknesses. </w:t>
      </w:r>
      <w:r w:rsidR="00857660">
        <w:rPr>
          <w:lang w:val="en-US"/>
        </w:rPr>
        <w:t xml:space="preserve">These results are surprising because </w:t>
      </w:r>
      <w:r w:rsidR="008E27EF">
        <w:rPr>
          <w:lang w:val="en-US"/>
        </w:rPr>
        <w:t>Li et al. (2012)</w:t>
      </w:r>
      <w:r w:rsidR="00857660">
        <w:rPr>
          <w:lang w:val="en-US"/>
        </w:rPr>
        <w:t xml:space="preserve"> </w:t>
      </w:r>
      <w:r w:rsidR="0084083E">
        <w:rPr>
          <w:lang w:val="en-US"/>
        </w:rPr>
        <w:t>and Doyle et al. (2007) have found opposite re</w:t>
      </w:r>
      <w:r w:rsidR="00B26895">
        <w:rPr>
          <w:lang w:val="en-US"/>
        </w:rPr>
        <w:t>sults</w:t>
      </w:r>
      <w:r w:rsidR="0084083E">
        <w:rPr>
          <w:lang w:val="en-US"/>
        </w:rPr>
        <w:t xml:space="preserve">. They find that smaller, younger </w:t>
      </w:r>
      <w:r w:rsidR="00361CC7">
        <w:rPr>
          <w:lang w:val="en-US"/>
        </w:rPr>
        <w:t xml:space="preserve">firms </w:t>
      </w:r>
      <w:r w:rsidR="0084083E">
        <w:rPr>
          <w:lang w:val="en-US"/>
        </w:rPr>
        <w:t xml:space="preserve">with more segments have more (IT) material weaknesses, only the big 4 control variable has the expected sign. </w:t>
      </w:r>
      <w:r w:rsidR="008E27EF">
        <w:rPr>
          <w:lang w:val="en-US"/>
        </w:rPr>
        <w:t>A possible explanation for this difference is that the regression models of Li et al. (2012) and Doyle et al. (2007)</w:t>
      </w:r>
      <w:r w:rsidR="00B1601F">
        <w:rPr>
          <w:lang w:val="en-US"/>
        </w:rPr>
        <w:t xml:space="preserve"> have other dependent variables. Li et al. (2012) has management forecast error as dependent variable and Doyle et al. (2007) only looks at internal control weaknesses. </w:t>
      </w:r>
      <w:r w:rsidR="00B26895">
        <w:rPr>
          <w:lang w:val="en-US"/>
        </w:rPr>
        <w:t>Furthermore</w:t>
      </w:r>
      <w:r w:rsidR="00B1601F">
        <w:rPr>
          <w:lang w:val="en-US"/>
        </w:rPr>
        <w:t xml:space="preserve"> </w:t>
      </w:r>
      <w:r w:rsidR="00F93260">
        <w:rPr>
          <w:lang w:val="en-US"/>
        </w:rPr>
        <w:t>t</w:t>
      </w:r>
      <w:r w:rsidR="0084083E">
        <w:rPr>
          <w:lang w:val="en-US"/>
        </w:rPr>
        <w:t>he variables measur</w:t>
      </w:r>
      <w:r w:rsidR="00361CC7">
        <w:rPr>
          <w:lang w:val="en-US"/>
        </w:rPr>
        <w:t>ing</w:t>
      </w:r>
      <w:r w:rsidR="0084083E">
        <w:rPr>
          <w:lang w:val="en-US"/>
        </w:rPr>
        <w:t xml:space="preserve"> financial performance (leverage and return on assets) and the existence of foreign transactions </w:t>
      </w:r>
      <w:r w:rsidR="00361CC7">
        <w:rPr>
          <w:lang w:val="en-US"/>
        </w:rPr>
        <w:t>are</w:t>
      </w:r>
      <w:r w:rsidR="0084083E">
        <w:rPr>
          <w:lang w:val="en-US"/>
        </w:rPr>
        <w:t xml:space="preserve"> not significant</w:t>
      </w:r>
      <w:r w:rsidR="00361CC7">
        <w:rPr>
          <w:lang w:val="en-US"/>
        </w:rPr>
        <w:t>ly</w:t>
      </w:r>
      <w:r w:rsidR="0084083E">
        <w:rPr>
          <w:lang w:val="en-US"/>
        </w:rPr>
        <w:t xml:space="preserve"> associat</w:t>
      </w:r>
      <w:r w:rsidR="00361CC7">
        <w:rPr>
          <w:lang w:val="en-US"/>
        </w:rPr>
        <w:t>ed</w:t>
      </w:r>
      <w:r w:rsidR="0084083E">
        <w:rPr>
          <w:lang w:val="en-US"/>
        </w:rPr>
        <w:t xml:space="preserve"> with the existence of </w:t>
      </w:r>
      <w:r w:rsidR="000B3301">
        <w:rPr>
          <w:lang w:val="en-US"/>
        </w:rPr>
        <w:t>material IT control weaknesses</w:t>
      </w:r>
      <w:r w:rsidR="0084083E">
        <w:rPr>
          <w:lang w:val="en-US"/>
        </w:rPr>
        <w:t xml:space="preserve">. </w:t>
      </w:r>
      <w:r w:rsidR="006C6EB1">
        <w:rPr>
          <w:lang w:val="en-US"/>
        </w:rPr>
        <w:t>These results are consistent with Li et al. (2012)</w:t>
      </w:r>
      <w:r w:rsidR="00B26895">
        <w:rPr>
          <w:lang w:val="en-US"/>
        </w:rPr>
        <w:t>, since</w:t>
      </w:r>
      <w:r w:rsidR="006C6EB1">
        <w:rPr>
          <w:lang w:val="en-US"/>
        </w:rPr>
        <w:t xml:space="preserve"> their results of comparable proxies of leverage, profitability and foreign transactions </w:t>
      </w:r>
      <w:r w:rsidR="00B26895">
        <w:rPr>
          <w:lang w:val="en-US"/>
        </w:rPr>
        <w:t>a</w:t>
      </w:r>
      <w:r w:rsidR="006C6EB1">
        <w:rPr>
          <w:lang w:val="en-US"/>
        </w:rPr>
        <w:t>re also not significant</w:t>
      </w:r>
      <w:r w:rsidR="00B26895">
        <w:rPr>
          <w:lang w:val="en-US"/>
        </w:rPr>
        <w:t>. A</w:t>
      </w:r>
      <w:r w:rsidR="006C6EB1">
        <w:rPr>
          <w:lang w:val="en-US"/>
        </w:rPr>
        <w:t xml:space="preserve">pparently these variables do not explain the existence of material IT control weaknesses. </w:t>
      </w:r>
    </w:p>
    <w:p w:rsidR="001C6F56" w:rsidRDefault="0084083E" w:rsidP="001C6F56">
      <w:pPr>
        <w:rPr>
          <w:lang w:val="en-US"/>
        </w:rPr>
      </w:pPr>
      <w:r>
        <w:rPr>
          <w:lang w:val="en-US"/>
        </w:rPr>
        <w:t xml:space="preserve">Besides the results </w:t>
      </w:r>
      <w:r w:rsidR="00361CC7">
        <w:rPr>
          <w:lang w:val="en-US"/>
        </w:rPr>
        <w:t>of</w:t>
      </w:r>
      <w:r>
        <w:rPr>
          <w:lang w:val="en-US"/>
        </w:rPr>
        <w:t xml:space="preserve"> the regression this study also investigate</w:t>
      </w:r>
      <w:r w:rsidR="00361CC7">
        <w:rPr>
          <w:lang w:val="en-US"/>
        </w:rPr>
        <w:t>s</w:t>
      </w:r>
      <w:r>
        <w:rPr>
          <w:lang w:val="en-US"/>
        </w:rPr>
        <w:t xml:space="preserve"> the trend of </w:t>
      </w:r>
      <w:r w:rsidR="001C6F56">
        <w:rPr>
          <w:lang w:val="en-US"/>
        </w:rPr>
        <w:t xml:space="preserve">the </w:t>
      </w:r>
      <w:r w:rsidR="000B3301">
        <w:rPr>
          <w:lang w:val="en-US"/>
        </w:rPr>
        <w:t>material IT control weaknesses</w:t>
      </w:r>
      <w:r w:rsidR="001C6F56">
        <w:rPr>
          <w:lang w:val="en-US"/>
        </w:rPr>
        <w:t xml:space="preserve"> </w:t>
      </w:r>
      <w:r>
        <w:rPr>
          <w:lang w:val="en-US"/>
        </w:rPr>
        <w:t xml:space="preserve">in </w:t>
      </w:r>
      <w:r w:rsidR="00361CC7">
        <w:rPr>
          <w:lang w:val="en-US"/>
        </w:rPr>
        <w:t xml:space="preserve">the </w:t>
      </w:r>
      <w:r>
        <w:rPr>
          <w:lang w:val="en-US"/>
        </w:rPr>
        <w:t>period 2004</w:t>
      </w:r>
      <w:r w:rsidR="00361CC7">
        <w:rPr>
          <w:lang w:val="en-US"/>
        </w:rPr>
        <w:t>-</w:t>
      </w:r>
      <w:r>
        <w:rPr>
          <w:lang w:val="en-US"/>
        </w:rPr>
        <w:t>2011</w:t>
      </w:r>
      <w:r w:rsidR="001C6F56">
        <w:rPr>
          <w:lang w:val="en-US"/>
        </w:rPr>
        <w:t>.</w:t>
      </w:r>
      <w:r>
        <w:rPr>
          <w:lang w:val="en-US"/>
        </w:rPr>
        <w:t xml:space="preserve"> </w:t>
      </w:r>
      <w:r w:rsidR="00361CC7">
        <w:rPr>
          <w:lang w:val="en-US"/>
        </w:rPr>
        <w:t>The</w:t>
      </w:r>
      <w:r>
        <w:rPr>
          <w:lang w:val="en-US"/>
        </w:rPr>
        <w:t xml:space="preserve"> descriptive statistics indicate that there is a downward trend in the disclosed </w:t>
      </w:r>
      <w:r w:rsidR="000B3301">
        <w:rPr>
          <w:lang w:val="en-US"/>
        </w:rPr>
        <w:t>material IT control weaknesses</w:t>
      </w:r>
      <w:r>
        <w:rPr>
          <w:lang w:val="en-US"/>
        </w:rPr>
        <w:t xml:space="preserve"> since 2007. </w:t>
      </w:r>
      <w:r w:rsidR="00361CC7">
        <w:rPr>
          <w:lang w:val="en-US"/>
        </w:rPr>
        <w:t>A</w:t>
      </w:r>
      <w:r>
        <w:rPr>
          <w:lang w:val="en-US"/>
        </w:rPr>
        <w:t xml:space="preserve"> remarkable finding is the peak of </w:t>
      </w:r>
      <w:r w:rsidR="000B3301">
        <w:rPr>
          <w:lang w:val="en-US"/>
        </w:rPr>
        <w:t>material IT control weaknesses</w:t>
      </w:r>
      <w:r>
        <w:rPr>
          <w:lang w:val="en-US"/>
        </w:rPr>
        <w:t xml:space="preserve"> in the year 2007. This peak is found in the absolute numbers but also </w:t>
      </w:r>
      <w:r w:rsidR="00361CC7">
        <w:rPr>
          <w:lang w:val="en-US"/>
        </w:rPr>
        <w:t xml:space="preserve">in </w:t>
      </w:r>
      <w:r>
        <w:rPr>
          <w:lang w:val="en-US"/>
        </w:rPr>
        <w:t>the relative measures</w:t>
      </w:r>
      <w:r w:rsidR="00361CC7">
        <w:rPr>
          <w:lang w:val="en-US"/>
        </w:rPr>
        <w:t>,</w:t>
      </w:r>
      <w:r>
        <w:rPr>
          <w:lang w:val="en-US"/>
        </w:rPr>
        <w:t xml:space="preserve"> scaled to the number of observations and total </w:t>
      </w:r>
      <w:r w:rsidR="00772E57">
        <w:rPr>
          <w:lang w:val="en-US"/>
        </w:rPr>
        <w:t xml:space="preserve">number </w:t>
      </w:r>
      <w:r w:rsidR="00361CC7">
        <w:rPr>
          <w:lang w:val="en-US"/>
        </w:rPr>
        <w:t xml:space="preserve">of </w:t>
      </w:r>
      <w:r>
        <w:rPr>
          <w:lang w:val="en-US"/>
        </w:rPr>
        <w:t xml:space="preserve">material weaknesses. </w:t>
      </w:r>
      <w:r w:rsidR="00772E57">
        <w:rPr>
          <w:lang w:val="en-US"/>
        </w:rPr>
        <w:t xml:space="preserve">A possible explanation </w:t>
      </w:r>
      <w:r w:rsidR="00361CC7">
        <w:rPr>
          <w:lang w:val="en-US"/>
        </w:rPr>
        <w:t>may</w:t>
      </w:r>
      <w:r w:rsidR="00772E57">
        <w:rPr>
          <w:lang w:val="en-US"/>
        </w:rPr>
        <w:t xml:space="preserve"> be the introduction of a new IT control framework (COBIT 4.0), since the total non-IT material weakness does not show a peak in 2007. </w:t>
      </w:r>
    </w:p>
    <w:p w:rsidR="00361CC7" w:rsidRPr="00361CC7" w:rsidRDefault="00CA183F" w:rsidP="000C6151">
      <w:pPr>
        <w:pStyle w:val="Heading2"/>
      </w:pPr>
      <w:bookmarkStart w:id="107" w:name="_Toc363840785"/>
      <w:r w:rsidRPr="00CA183F">
        <w:t>Discussion</w:t>
      </w:r>
      <w:bookmarkEnd w:id="107"/>
    </w:p>
    <w:p w:rsidR="007F77D6" w:rsidRDefault="00772E57" w:rsidP="001C6F56">
      <w:pPr>
        <w:rPr>
          <w:lang w:val="en-US"/>
        </w:rPr>
      </w:pPr>
      <w:r>
        <w:rPr>
          <w:lang w:val="en-US"/>
        </w:rPr>
        <w:t>This research study has multiple</w:t>
      </w:r>
      <w:r w:rsidR="008D58FF">
        <w:rPr>
          <w:lang w:val="en-US"/>
        </w:rPr>
        <w:t xml:space="preserve"> limitations.</w:t>
      </w:r>
      <w:r w:rsidR="00361CC7">
        <w:rPr>
          <w:lang w:val="en-US"/>
        </w:rPr>
        <w:t xml:space="preserve"> </w:t>
      </w:r>
      <w:r>
        <w:rPr>
          <w:lang w:val="en-US"/>
        </w:rPr>
        <w:t>First</w:t>
      </w:r>
      <w:r w:rsidR="00361CC7">
        <w:rPr>
          <w:lang w:val="en-US"/>
        </w:rPr>
        <w:t>ly</w:t>
      </w:r>
      <w:r>
        <w:rPr>
          <w:lang w:val="en-US"/>
        </w:rPr>
        <w:t xml:space="preserve">, the proxy for the existence of </w:t>
      </w:r>
      <w:r w:rsidR="000B3301">
        <w:rPr>
          <w:lang w:val="en-US"/>
        </w:rPr>
        <w:t>material IT control weaknesses</w:t>
      </w:r>
      <w:r>
        <w:rPr>
          <w:lang w:val="en-US"/>
        </w:rPr>
        <w:t xml:space="preserve"> is based on the coding of Audit Analytics.</w:t>
      </w:r>
      <w:r w:rsidR="00361CC7">
        <w:rPr>
          <w:lang w:val="en-US"/>
        </w:rPr>
        <w:t xml:space="preserve"> </w:t>
      </w:r>
      <w:r w:rsidR="00DD3416">
        <w:rPr>
          <w:lang w:val="en-US"/>
        </w:rPr>
        <w:t xml:space="preserve">This means that the material weaknesses disclosed </w:t>
      </w:r>
      <w:r w:rsidR="00361CC7">
        <w:rPr>
          <w:lang w:val="en-US"/>
        </w:rPr>
        <w:t>in</w:t>
      </w:r>
      <w:r w:rsidR="00DD3416">
        <w:rPr>
          <w:lang w:val="en-US"/>
        </w:rPr>
        <w:t xml:space="preserve"> SOX section 404 reports are coded and categorized by Audit Analytics</w:t>
      </w:r>
      <w:r w:rsidR="00F47874">
        <w:rPr>
          <w:lang w:val="en-US"/>
        </w:rPr>
        <w:t>.</w:t>
      </w:r>
      <w:r w:rsidR="00DD3416">
        <w:rPr>
          <w:lang w:val="en-US"/>
        </w:rPr>
        <w:t xml:space="preserve"> </w:t>
      </w:r>
      <w:r w:rsidR="00F47874">
        <w:rPr>
          <w:lang w:val="en-US"/>
        </w:rPr>
        <w:t>It is possible</w:t>
      </w:r>
      <w:r w:rsidR="00DD3416">
        <w:rPr>
          <w:lang w:val="en-US"/>
        </w:rPr>
        <w:t xml:space="preserve"> that not all weaknesses have the same severity or may</w:t>
      </w:r>
      <w:r w:rsidR="00361CC7">
        <w:rPr>
          <w:lang w:val="en-US"/>
        </w:rPr>
        <w:t xml:space="preserve"> </w:t>
      </w:r>
      <w:r w:rsidR="00DD3416">
        <w:rPr>
          <w:lang w:val="en-US"/>
        </w:rPr>
        <w:t xml:space="preserve">be put in the wrong category (Boritz et al., 2010). Coding and interpreting a SOX section 404 reports is always based on certain assumptions and it can sometimes be a subjective </w:t>
      </w:r>
      <w:r w:rsidR="009970FC">
        <w:rPr>
          <w:lang w:val="en-US"/>
        </w:rPr>
        <w:t>judgment</w:t>
      </w:r>
      <w:r w:rsidR="00391719">
        <w:rPr>
          <w:lang w:val="en-US"/>
        </w:rPr>
        <w:t xml:space="preserve"> on what </w:t>
      </w:r>
      <w:r w:rsidR="00F47874">
        <w:rPr>
          <w:lang w:val="en-US"/>
        </w:rPr>
        <w:t xml:space="preserve">establishes </w:t>
      </w:r>
      <w:r w:rsidR="00391719">
        <w:rPr>
          <w:lang w:val="en-US"/>
        </w:rPr>
        <w:t xml:space="preserve">a weakness </w:t>
      </w:r>
      <w:r w:rsidR="00F47874">
        <w:rPr>
          <w:lang w:val="en-US"/>
        </w:rPr>
        <w:t>or</w:t>
      </w:r>
      <w:r w:rsidR="00391719">
        <w:rPr>
          <w:lang w:val="en-US"/>
        </w:rPr>
        <w:t xml:space="preserve"> not. </w:t>
      </w:r>
      <w:r>
        <w:rPr>
          <w:lang w:val="en-US"/>
        </w:rPr>
        <w:br/>
        <w:t xml:space="preserve">Secondly, the results of the regression </w:t>
      </w:r>
      <w:r w:rsidR="00391719">
        <w:rPr>
          <w:lang w:val="en-US"/>
        </w:rPr>
        <w:t xml:space="preserve">analysis </w:t>
      </w:r>
      <w:r>
        <w:rPr>
          <w:lang w:val="en-US"/>
        </w:rPr>
        <w:t xml:space="preserve">show that </w:t>
      </w:r>
      <w:r w:rsidR="00391719">
        <w:rPr>
          <w:lang w:val="en-US"/>
        </w:rPr>
        <w:t xml:space="preserve">the </w:t>
      </w:r>
      <w:r>
        <w:rPr>
          <w:lang w:val="en-US"/>
        </w:rPr>
        <w:t>selected measures of industry differences and restructuring could contain biases. This is clear</w:t>
      </w:r>
      <w:r w:rsidR="00F47874">
        <w:rPr>
          <w:lang w:val="en-US"/>
        </w:rPr>
        <w:t>ly shown by</w:t>
      </w:r>
      <w:r w:rsidR="00391719">
        <w:rPr>
          <w:lang w:val="en-US"/>
        </w:rPr>
        <w:t xml:space="preserve"> the multicollinearity analysis, which </w:t>
      </w:r>
      <w:r w:rsidR="00F47874">
        <w:rPr>
          <w:lang w:val="en-US"/>
        </w:rPr>
        <w:t xml:space="preserve">indicated </w:t>
      </w:r>
      <w:r w:rsidR="00391719">
        <w:rPr>
          <w:lang w:val="en-US"/>
        </w:rPr>
        <w:t>that the dummy variable of restructuring is highly correlated with the restructuring costs. Even though the selection of a certain proxy is based on prior literature</w:t>
      </w:r>
      <w:r w:rsidR="00F47874">
        <w:rPr>
          <w:lang w:val="en-US"/>
        </w:rPr>
        <w:t>,</w:t>
      </w:r>
      <w:r w:rsidR="00391719">
        <w:rPr>
          <w:lang w:val="en-US"/>
        </w:rPr>
        <w:t xml:space="preserve"> it is </w:t>
      </w:r>
      <w:r w:rsidR="00F47874">
        <w:rPr>
          <w:lang w:val="en-US"/>
        </w:rPr>
        <w:t xml:space="preserve">still </w:t>
      </w:r>
      <w:r w:rsidR="00391719">
        <w:rPr>
          <w:lang w:val="en-US"/>
        </w:rPr>
        <w:t>possible that the proxy only partly measures the real effect of restructuring or industry differences.</w:t>
      </w:r>
      <w:r w:rsidR="007F77D6">
        <w:rPr>
          <w:lang w:val="en-US"/>
        </w:rPr>
        <w:t xml:space="preserve"> The limitation of the proxies in really measuring the real effect is also a problem for all variables used in this research and with more information or other proxies the results can differ just like the restructuring variables.</w:t>
      </w:r>
      <w:r>
        <w:rPr>
          <w:lang w:val="en-US"/>
        </w:rPr>
        <w:br/>
        <w:t>The third limitation is that the restructuring measure based on the existence of a restructuring in the sample period could contain a causality problem.</w:t>
      </w:r>
      <w:r w:rsidR="00391719">
        <w:rPr>
          <w:lang w:val="en-US"/>
        </w:rPr>
        <w:t xml:space="preserve"> </w:t>
      </w:r>
      <w:r w:rsidR="00F47874">
        <w:rPr>
          <w:lang w:val="en-US"/>
        </w:rPr>
        <w:t>H</w:t>
      </w:r>
      <w:r w:rsidR="00391719">
        <w:rPr>
          <w:lang w:val="en-US"/>
        </w:rPr>
        <w:t xml:space="preserve">ypothesis 1c is formulated </w:t>
      </w:r>
      <w:r w:rsidR="00F47874">
        <w:rPr>
          <w:lang w:val="en-US"/>
        </w:rPr>
        <w:t xml:space="preserve">in such a way </w:t>
      </w:r>
      <w:r w:rsidR="00391719">
        <w:rPr>
          <w:lang w:val="en-US"/>
        </w:rPr>
        <w:t xml:space="preserve">that </w:t>
      </w:r>
      <w:r w:rsidR="00F47874">
        <w:rPr>
          <w:lang w:val="en-US"/>
        </w:rPr>
        <w:t>a</w:t>
      </w:r>
      <w:r w:rsidR="00391719">
        <w:rPr>
          <w:lang w:val="en-US"/>
        </w:rPr>
        <w:t xml:space="preserve"> restructuring in </w:t>
      </w:r>
      <w:r w:rsidR="00F47874">
        <w:rPr>
          <w:lang w:val="en-US"/>
        </w:rPr>
        <w:t xml:space="preserve">the </w:t>
      </w:r>
      <w:r w:rsidR="00391719">
        <w:rPr>
          <w:lang w:val="en-US"/>
        </w:rPr>
        <w:t xml:space="preserve">period 2004-2011 causes more </w:t>
      </w:r>
      <w:r w:rsidR="000B3301">
        <w:rPr>
          <w:lang w:val="en-US"/>
        </w:rPr>
        <w:t>material IT control weaknesses</w:t>
      </w:r>
      <w:r w:rsidR="00391719">
        <w:rPr>
          <w:lang w:val="en-US"/>
        </w:rPr>
        <w:t xml:space="preserve">.  </w:t>
      </w:r>
      <w:r w:rsidR="00F47874">
        <w:rPr>
          <w:lang w:val="en-US"/>
        </w:rPr>
        <w:t xml:space="preserve">However, </w:t>
      </w:r>
      <w:r w:rsidR="00391719">
        <w:rPr>
          <w:lang w:val="en-US"/>
        </w:rPr>
        <w:t xml:space="preserve">this assumes that </w:t>
      </w:r>
      <w:r w:rsidR="00F47874">
        <w:rPr>
          <w:lang w:val="en-US"/>
        </w:rPr>
        <w:t xml:space="preserve">the </w:t>
      </w:r>
      <w:r w:rsidR="00391719">
        <w:rPr>
          <w:lang w:val="en-US"/>
        </w:rPr>
        <w:t>restructuring has a</w:t>
      </w:r>
      <w:r w:rsidR="00FB4500">
        <w:rPr>
          <w:lang w:val="en-US"/>
        </w:rPr>
        <w:t>n</w:t>
      </w:r>
      <w:r w:rsidR="00391719">
        <w:rPr>
          <w:lang w:val="en-US"/>
        </w:rPr>
        <w:t xml:space="preserve"> effect o</w:t>
      </w:r>
      <w:r w:rsidR="00F47874">
        <w:rPr>
          <w:lang w:val="en-US"/>
        </w:rPr>
        <w:t>n</w:t>
      </w:r>
      <w:r w:rsidR="00391719">
        <w:rPr>
          <w:lang w:val="en-US"/>
        </w:rPr>
        <w:t xml:space="preserve"> </w:t>
      </w:r>
      <w:r w:rsidR="000B3301">
        <w:rPr>
          <w:lang w:val="en-US"/>
        </w:rPr>
        <w:t>material IT control weaknesses</w:t>
      </w:r>
      <w:r w:rsidR="00391719">
        <w:rPr>
          <w:lang w:val="en-US"/>
        </w:rPr>
        <w:t xml:space="preserve">, but it </w:t>
      </w:r>
      <w:r w:rsidR="00F47874">
        <w:rPr>
          <w:lang w:val="en-US"/>
        </w:rPr>
        <w:t xml:space="preserve">may also be </w:t>
      </w:r>
      <w:r w:rsidR="00391719">
        <w:rPr>
          <w:lang w:val="en-US"/>
        </w:rPr>
        <w:t xml:space="preserve">the case that </w:t>
      </w:r>
      <w:r w:rsidR="00F47874">
        <w:rPr>
          <w:lang w:val="en-US"/>
        </w:rPr>
        <w:t>an</w:t>
      </w:r>
      <w:r w:rsidR="00391719">
        <w:rPr>
          <w:lang w:val="en-US"/>
        </w:rPr>
        <w:t xml:space="preserve"> IT material weakness is </w:t>
      </w:r>
      <w:r w:rsidR="00F47874">
        <w:rPr>
          <w:lang w:val="en-US"/>
        </w:rPr>
        <w:t xml:space="preserve">already </w:t>
      </w:r>
      <w:r w:rsidR="00391719">
        <w:rPr>
          <w:lang w:val="en-US"/>
        </w:rPr>
        <w:t>disclosed before the restructuring</w:t>
      </w:r>
      <w:r w:rsidR="00FB4500">
        <w:rPr>
          <w:lang w:val="en-US"/>
        </w:rPr>
        <w:t xml:space="preserve">. </w:t>
      </w:r>
      <w:r w:rsidR="00F47874">
        <w:rPr>
          <w:lang w:val="en-US"/>
        </w:rPr>
        <w:t>It may be</w:t>
      </w:r>
      <w:r w:rsidR="00FB4500">
        <w:rPr>
          <w:lang w:val="en-US"/>
        </w:rPr>
        <w:t xml:space="preserve"> that IT control weaknesses </w:t>
      </w:r>
      <w:r w:rsidR="00263727">
        <w:rPr>
          <w:lang w:val="en-US"/>
        </w:rPr>
        <w:t>cause a</w:t>
      </w:r>
      <w:r w:rsidR="00FB4500">
        <w:rPr>
          <w:lang w:val="en-US"/>
        </w:rPr>
        <w:t xml:space="preserve"> firm to restructure, which is opposite </w:t>
      </w:r>
      <w:r w:rsidR="00F47874">
        <w:rPr>
          <w:lang w:val="en-US"/>
        </w:rPr>
        <w:t xml:space="preserve">to the </w:t>
      </w:r>
      <w:r w:rsidR="00FB4500">
        <w:rPr>
          <w:lang w:val="en-US"/>
        </w:rPr>
        <w:t xml:space="preserve">causality </w:t>
      </w:r>
      <w:r w:rsidR="00F47874">
        <w:rPr>
          <w:lang w:val="en-US"/>
        </w:rPr>
        <w:t>in</w:t>
      </w:r>
      <w:r w:rsidR="00FB4500">
        <w:rPr>
          <w:lang w:val="en-US"/>
        </w:rPr>
        <w:t xml:space="preserve"> the hypothesis. </w:t>
      </w:r>
      <w:r w:rsidR="000153C5">
        <w:rPr>
          <w:lang w:val="en-US"/>
        </w:rPr>
        <w:br/>
        <w:t xml:space="preserve">A fourth limitation is that the existence of material IT control weaknesses could be explained by other variables that were not included. </w:t>
      </w:r>
      <w:r w:rsidR="00EC30CF">
        <w:rPr>
          <w:lang w:val="en-US"/>
        </w:rPr>
        <w:t>This study</w:t>
      </w:r>
      <w:r w:rsidR="000153C5">
        <w:rPr>
          <w:lang w:val="en-US"/>
        </w:rPr>
        <w:t xml:space="preserve"> trie</w:t>
      </w:r>
      <w:r w:rsidR="00EC30CF">
        <w:rPr>
          <w:lang w:val="en-US"/>
        </w:rPr>
        <w:t>s</w:t>
      </w:r>
      <w:r w:rsidR="000153C5">
        <w:rPr>
          <w:lang w:val="en-US"/>
        </w:rPr>
        <w:t xml:space="preserve"> to eliminate this problem by selecting multiple control variables, but still </w:t>
      </w:r>
      <w:r w:rsidR="007F77D6">
        <w:rPr>
          <w:lang w:val="en-US"/>
        </w:rPr>
        <w:t xml:space="preserve">there are </w:t>
      </w:r>
      <w:r w:rsidR="000153C5">
        <w:rPr>
          <w:lang w:val="en-US"/>
        </w:rPr>
        <w:t xml:space="preserve">omitted variables </w:t>
      </w:r>
      <w:r w:rsidR="007F77D6">
        <w:rPr>
          <w:lang w:val="en-US"/>
        </w:rPr>
        <w:t xml:space="preserve">that could explain the occurrence of IT control weaknesses. </w:t>
      </w:r>
    </w:p>
    <w:p w:rsidR="001E3445" w:rsidRDefault="00FB4500" w:rsidP="001C6F56">
      <w:pPr>
        <w:rPr>
          <w:b/>
          <w:sz w:val="32"/>
          <w:szCs w:val="44"/>
          <w:lang w:val="en-GB"/>
        </w:rPr>
      </w:pPr>
      <w:r>
        <w:rPr>
          <w:lang w:val="en-US"/>
        </w:rPr>
        <w:t>For future research in the field of IT control quality</w:t>
      </w:r>
      <w:r w:rsidR="00F47874">
        <w:rPr>
          <w:lang w:val="en-US"/>
        </w:rPr>
        <w:t>,</w:t>
      </w:r>
      <w:r>
        <w:rPr>
          <w:lang w:val="en-US"/>
        </w:rPr>
        <w:t xml:space="preserve"> not only the existence of </w:t>
      </w:r>
      <w:r w:rsidR="00C57989">
        <w:rPr>
          <w:lang w:val="en-US"/>
        </w:rPr>
        <w:t xml:space="preserve">material </w:t>
      </w:r>
      <w:r>
        <w:rPr>
          <w:lang w:val="en-US"/>
        </w:rPr>
        <w:t xml:space="preserve">IT </w:t>
      </w:r>
      <w:r w:rsidR="00C57989">
        <w:rPr>
          <w:lang w:val="en-US"/>
        </w:rPr>
        <w:t xml:space="preserve">control </w:t>
      </w:r>
      <w:r>
        <w:rPr>
          <w:lang w:val="en-US"/>
        </w:rPr>
        <w:t>weaknesses should be studied, but also the more specific IT control areas and how th</w:t>
      </w:r>
      <w:r w:rsidR="00C57989">
        <w:rPr>
          <w:lang w:val="en-US"/>
        </w:rPr>
        <w:t>ese</w:t>
      </w:r>
      <w:r>
        <w:rPr>
          <w:lang w:val="en-US"/>
        </w:rPr>
        <w:t xml:space="preserve"> areas relate to certain characteristics of the firms. The research </w:t>
      </w:r>
      <w:r w:rsidR="00C57989">
        <w:rPr>
          <w:lang w:val="en-US"/>
        </w:rPr>
        <w:t xml:space="preserve">on </w:t>
      </w:r>
      <w:r>
        <w:rPr>
          <w:lang w:val="en-US"/>
        </w:rPr>
        <w:t xml:space="preserve">the effects </w:t>
      </w:r>
      <w:r w:rsidR="00C57989">
        <w:rPr>
          <w:lang w:val="en-US"/>
        </w:rPr>
        <w:t xml:space="preserve">of </w:t>
      </w:r>
      <w:r>
        <w:rPr>
          <w:lang w:val="en-US"/>
        </w:rPr>
        <w:t xml:space="preserve">restructuring </w:t>
      </w:r>
      <w:r w:rsidR="00C57989">
        <w:rPr>
          <w:lang w:val="en-US"/>
        </w:rPr>
        <w:t xml:space="preserve">on material IT control weaknesses </w:t>
      </w:r>
      <w:r>
        <w:rPr>
          <w:lang w:val="en-US"/>
        </w:rPr>
        <w:t>can also be expanded and more differentiated to see wh</w:t>
      </w:r>
      <w:r w:rsidR="00C57989">
        <w:rPr>
          <w:lang w:val="en-US"/>
        </w:rPr>
        <w:t xml:space="preserve">at kind of </w:t>
      </w:r>
      <w:r>
        <w:rPr>
          <w:lang w:val="en-US"/>
        </w:rPr>
        <w:t xml:space="preserve">restructuring </w:t>
      </w:r>
      <w:r w:rsidR="00C57989">
        <w:rPr>
          <w:lang w:val="en-US"/>
        </w:rPr>
        <w:t xml:space="preserve">may </w:t>
      </w:r>
      <w:r>
        <w:rPr>
          <w:lang w:val="en-US"/>
        </w:rPr>
        <w:t xml:space="preserve">cause more </w:t>
      </w:r>
      <w:r w:rsidR="000B3301">
        <w:rPr>
          <w:lang w:val="en-US"/>
        </w:rPr>
        <w:t>material IT control weaknesses</w:t>
      </w:r>
      <w:r>
        <w:rPr>
          <w:lang w:val="en-US"/>
        </w:rPr>
        <w:t xml:space="preserve">. </w:t>
      </w:r>
      <w:r w:rsidR="00C57989">
        <w:rPr>
          <w:lang w:val="en-US"/>
        </w:rPr>
        <w:t>T</w:t>
      </w:r>
      <w:r w:rsidR="008754FD">
        <w:rPr>
          <w:lang w:val="en-US"/>
        </w:rPr>
        <w:t xml:space="preserve">o avoid causality problems a case study </w:t>
      </w:r>
      <w:r w:rsidR="00C57989">
        <w:rPr>
          <w:lang w:val="en-US"/>
        </w:rPr>
        <w:t xml:space="preserve">might </w:t>
      </w:r>
      <w:r w:rsidR="008754FD">
        <w:rPr>
          <w:lang w:val="en-US"/>
        </w:rPr>
        <w:t>give more insight on how restructuring influence</w:t>
      </w:r>
      <w:r w:rsidR="00C57989">
        <w:rPr>
          <w:lang w:val="en-US"/>
        </w:rPr>
        <w:t>s</w:t>
      </w:r>
      <w:r w:rsidR="008754FD">
        <w:rPr>
          <w:lang w:val="en-US"/>
        </w:rPr>
        <w:t xml:space="preserve"> the IT controls. Based on the findings on the industry differences</w:t>
      </w:r>
      <w:r w:rsidR="00C57989">
        <w:rPr>
          <w:lang w:val="en-US"/>
        </w:rPr>
        <w:t>,</w:t>
      </w:r>
      <w:r w:rsidR="008754FD">
        <w:rPr>
          <w:lang w:val="en-US"/>
        </w:rPr>
        <w:t xml:space="preserve"> i</w:t>
      </w:r>
      <w:r w:rsidR="00C57989">
        <w:rPr>
          <w:lang w:val="en-US"/>
        </w:rPr>
        <w:t>t</w:t>
      </w:r>
      <w:r w:rsidR="008754FD">
        <w:rPr>
          <w:lang w:val="en-US"/>
        </w:rPr>
        <w:t xml:space="preserve"> can also be interesting to test other theories explain</w:t>
      </w:r>
      <w:r w:rsidR="00C57989">
        <w:rPr>
          <w:lang w:val="en-US"/>
        </w:rPr>
        <w:t>ing</w:t>
      </w:r>
      <w:r w:rsidR="008754FD">
        <w:rPr>
          <w:lang w:val="en-US"/>
        </w:rPr>
        <w:t xml:space="preserve"> why chemical and oil industries have relatively more </w:t>
      </w:r>
      <w:r w:rsidR="000B3301">
        <w:rPr>
          <w:lang w:val="en-US"/>
        </w:rPr>
        <w:t>material IT control weaknesses</w:t>
      </w:r>
      <w:r w:rsidR="008754FD">
        <w:rPr>
          <w:lang w:val="en-US"/>
        </w:rPr>
        <w:t xml:space="preserve">. </w:t>
      </w:r>
      <w:r w:rsidR="007F77D6">
        <w:rPr>
          <w:lang w:val="en-US"/>
        </w:rPr>
        <w:t>Another idea is looking at the IT control quality of companies outside the U.S.A.</w:t>
      </w:r>
      <w:r w:rsidR="00EC30CF">
        <w:rPr>
          <w:lang w:val="en-US"/>
        </w:rPr>
        <w:t>;</w:t>
      </w:r>
      <w:r w:rsidR="007F77D6">
        <w:rPr>
          <w:lang w:val="en-US"/>
        </w:rPr>
        <w:t xml:space="preserve"> differen</w:t>
      </w:r>
      <w:r w:rsidR="00EC30CF">
        <w:rPr>
          <w:lang w:val="en-US"/>
        </w:rPr>
        <w:t>ces in</w:t>
      </w:r>
      <w:r w:rsidR="007F77D6">
        <w:rPr>
          <w:lang w:val="en-US"/>
        </w:rPr>
        <w:t xml:space="preserve"> culture or reporting standards </w:t>
      </w:r>
      <w:r w:rsidR="00EC30CF">
        <w:rPr>
          <w:lang w:val="en-US"/>
        </w:rPr>
        <w:t>may result in different conclusions</w:t>
      </w:r>
      <w:r w:rsidR="007F77D6">
        <w:rPr>
          <w:lang w:val="en-US"/>
        </w:rPr>
        <w:t xml:space="preserve"> on </w:t>
      </w:r>
      <w:r w:rsidR="00EC30CF">
        <w:rPr>
          <w:lang w:val="en-US"/>
        </w:rPr>
        <w:t xml:space="preserve">the occurrence of </w:t>
      </w:r>
      <w:r w:rsidR="007F77D6">
        <w:rPr>
          <w:lang w:val="en-US"/>
        </w:rPr>
        <w:t>material IT control weaknesses. Important to note is that currently this type of research is only possible for firms reporting under SOX section 404, because</w:t>
      </w:r>
      <w:r w:rsidR="00F93260">
        <w:rPr>
          <w:lang w:val="en-US"/>
        </w:rPr>
        <w:t xml:space="preserve"> (</w:t>
      </w:r>
      <w:r w:rsidR="00EC30CF">
        <w:rPr>
          <w:lang w:val="en-US"/>
        </w:rPr>
        <w:t>apart from the U.S.A.</w:t>
      </w:r>
      <w:r w:rsidR="00F93260">
        <w:rPr>
          <w:lang w:val="en-US"/>
        </w:rPr>
        <w:t>)</w:t>
      </w:r>
      <w:r w:rsidR="00EC30CF">
        <w:rPr>
          <w:lang w:val="en-US"/>
        </w:rPr>
        <w:t xml:space="preserve"> </w:t>
      </w:r>
      <w:r w:rsidR="007F77D6">
        <w:rPr>
          <w:lang w:val="en-US"/>
        </w:rPr>
        <w:t xml:space="preserve">there </w:t>
      </w:r>
      <w:r w:rsidR="00EC30CF">
        <w:rPr>
          <w:lang w:val="en-US"/>
        </w:rPr>
        <w:t xml:space="preserve">are </w:t>
      </w:r>
      <w:r w:rsidR="007F77D6">
        <w:rPr>
          <w:lang w:val="en-US"/>
        </w:rPr>
        <w:t xml:space="preserve">no other </w:t>
      </w:r>
      <w:r w:rsidR="00EC30CF">
        <w:rPr>
          <w:lang w:val="en-US"/>
        </w:rPr>
        <w:t xml:space="preserve">countries </w:t>
      </w:r>
      <w:r w:rsidR="007F77D6">
        <w:rPr>
          <w:lang w:val="en-US"/>
        </w:rPr>
        <w:t>requir</w:t>
      </w:r>
      <w:r w:rsidR="00EC30CF">
        <w:rPr>
          <w:lang w:val="en-US"/>
        </w:rPr>
        <w:t>ing</w:t>
      </w:r>
      <w:r w:rsidR="007F77D6">
        <w:rPr>
          <w:lang w:val="en-US"/>
        </w:rPr>
        <w:t xml:space="preserve"> companies to </w:t>
      </w:r>
      <w:r w:rsidR="00EC30CF">
        <w:rPr>
          <w:lang w:val="en-US"/>
        </w:rPr>
        <w:t>report</w:t>
      </w:r>
      <w:r w:rsidR="007F77D6">
        <w:rPr>
          <w:lang w:val="en-US"/>
        </w:rPr>
        <w:t xml:space="preserve"> material weaknesses in the internal control system.</w:t>
      </w:r>
      <w:r w:rsidR="007F77D6">
        <w:rPr>
          <w:lang w:val="en-US"/>
        </w:rPr>
        <w:br/>
      </w:r>
      <w:r w:rsidR="008754FD">
        <w:rPr>
          <w:lang w:val="en-US"/>
        </w:rPr>
        <w:t xml:space="preserve">A final recommendation </w:t>
      </w:r>
      <w:r w:rsidR="00C57989">
        <w:rPr>
          <w:lang w:val="en-US"/>
        </w:rPr>
        <w:t>for</w:t>
      </w:r>
      <w:r w:rsidR="008754FD">
        <w:rPr>
          <w:lang w:val="en-US"/>
        </w:rPr>
        <w:t xml:space="preserve"> future research </w:t>
      </w:r>
      <w:r w:rsidR="00C57989">
        <w:rPr>
          <w:lang w:val="en-US"/>
        </w:rPr>
        <w:t xml:space="preserve">is to </w:t>
      </w:r>
      <w:r w:rsidR="008754FD">
        <w:rPr>
          <w:lang w:val="en-US"/>
        </w:rPr>
        <w:t xml:space="preserve">look </w:t>
      </w:r>
      <w:r w:rsidR="00C57989">
        <w:rPr>
          <w:lang w:val="en-US"/>
        </w:rPr>
        <w:t xml:space="preserve">also </w:t>
      </w:r>
      <w:r w:rsidR="008754FD">
        <w:rPr>
          <w:lang w:val="en-US"/>
        </w:rPr>
        <w:t xml:space="preserve">at the fluctuations between the years. </w:t>
      </w:r>
      <w:r w:rsidR="00C57989">
        <w:rPr>
          <w:lang w:val="en-US"/>
        </w:rPr>
        <w:t>T</w:t>
      </w:r>
      <w:r w:rsidR="008754FD">
        <w:rPr>
          <w:lang w:val="en-US"/>
        </w:rPr>
        <w:t xml:space="preserve">he year 2007 </w:t>
      </w:r>
      <w:r w:rsidR="00C57989">
        <w:rPr>
          <w:lang w:val="en-US"/>
        </w:rPr>
        <w:t xml:space="preserve">for example </w:t>
      </w:r>
      <w:r w:rsidR="008754FD">
        <w:rPr>
          <w:lang w:val="en-US"/>
        </w:rPr>
        <w:t>show</w:t>
      </w:r>
      <w:r w:rsidR="00EC30CF">
        <w:rPr>
          <w:lang w:val="en-US"/>
        </w:rPr>
        <w:t>s</w:t>
      </w:r>
      <w:r w:rsidR="008754FD">
        <w:rPr>
          <w:lang w:val="en-US"/>
        </w:rPr>
        <w:t xml:space="preserve"> a peak in </w:t>
      </w:r>
      <w:r w:rsidR="000B3301">
        <w:rPr>
          <w:lang w:val="en-US"/>
        </w:rPr>
        <w:t>material IT control weaknesses</w:t>
      </w:r>
      <w:r w:rsidR="008754FD">
        <w:rPr>
          <w:lang w:val="en-US"/>
        </w:rPr>
        <w:t xml:space="preserve"> </w:t>
      </w:r>
      <w:r w:rsidR="00C57989">
        <w:rPr>
          <w:lang w:val="en-US"/>
        </w:rPr>
        <w:t xml:space="preserve">and </w:t>
      </w:r>
      <w:r w:rsidR="008754FD">
        <w:rPr>
          <w:lang w:val="en-US"/>
        </w:rPr>
        <w:t xml:space="preserve">it is interesting to know what </w:t>
      </w:r>
      <w:r w:rsidR="00EC30CF">
        <w:rPr>
          <w:lang w:val="en-US"/>
        </w:rPr>
        <w:t>may</w:t>
      </w:r>
      <w:r w:rsidR="008754FD">
        <w:rPr>
          <w:lang w:val="en-US"/>
        </w:rPr>
        <w:t xml:space="preserve"> explain this sudden rise in weaknesses.  </w:t>
      </w:r>
      <w:r w:rsidR="008D58FF">
        <w:rPr>
          <w:lang w:val="en-US"/>
        </w:rPr>
        <w:br/>
      </w:r>
      <w:r w:rsidR="001E3445" w:rsidRPr="00040C89">
        <w:rPr>
          <w:lang w:val="en-US"/>
        </w:rPr>
        <w:br w:type="page"/>
      </w:r>
    </w:p>
    <w:p w:rsidR="00FD08F1" w:rsidRDefault="00FD08F1" w:rsidP="00C514CA">
      <w:pPr>
        <w:pStyle w:val="Heading1"/>
      </w:pPr>
      <w:bookmarkStart w:id="108" w:name="_Toc363840786"/>
      <w:r>
        <w:t>References</w:t>
      </w:r>
      <w:bookmarkEnd w:id="108"/>
    </w:p>
    <w:p w:rsidR="009F1508" w:rsidRDefault="009F1508" w:rsidP="0037593C">
      <w:pPr>
        <w:autoSpaceDE w:val="0"/>
        <w:autoSpaceDN w:val="0"/>
        <w:adjustRightInd w:val="0"/>
        <w:spacing w:after="0"/>
        <w:rPr>
          <w:rFonts w:cs="AdvTimes"/>
          <w:lang w:val="en-US"/>
        </w:rPr>
      </w:pPr>
      <w:r>
        <w:rPr>
          <w:rFonts w:cs="AdvTimes"/>
          <w:lang w:val="en-US"/>
        </w:rPr>
        <w:t xml:space="preserve">Arens, A.A., Elder, R.J., </w:t>
      </w:r>
      <w:r w:rsidR="001365A6">
        <w:rPr>
          <w:rFonts w:cs="AdvTimes"/>
          <w:lang w:val="en-US"/>
        </w:rPr>
        <w:t xml:space="preserve">&amp; </w:t>
      </w:r>
      <w:r>
        <w:rPr>
          <w:rFonts w:cs="AdvTimes"/>
          <w:lang w:val="en-US"/>
        </w:rPr>
        <w:t>Beasley, M.S. (2012)</w:t>
      </w:r>
      <w:r w:rsidR="001365A6">
        <w:rPr>
          <w:rFonts w:cs="AdvTimes"/>
          <w:lang w:val="en-US"/>
        </w:rPr>
        <w:t xml:space="preserve">. </w:t>
      </w:r>
      <w:r w:rsidRPr="001365A6">
        <w:rPr>
          <w:rFonts w:cs="AdvTimes"/>
          <w:i/>
          <w:lang w:val="en-US"/>
        </w:rPr>
        <w:t>Auditing and Assurance S</w:t>
      </w:r>
      <w:r w:rsidR="001365A6" w:rsidRPr="001365A6">
        <w:rPr>
          <w:rFonts w:cs="AdvTimes"/>
          <w:i/>
          <w:lang w:val="en-US"/>
        </w:rPr>
        <w:t>ervices, An Integrated Approach</w:t>
      </w:r>
      <w:r w:rsidR="001365A6">
        <w:rPr>
          <w:rFonts w:cs="AdvTimes"/>
          <w:i/>
          <w:lang w:val="en-US"/>
        </w:rPr>
        <w:t xml:space="preserve"> </w:t>
      </w:r>
      <w:r w:rsidR="001365A6" w:rsidRPr="001365A6">
        <w:rPr>
          <w:rFonts w:cs="AdvTimes"/>
          <w:lang w:val="en-US"/>
        </w:rPr>
        <w:t>(14</w:t>
      </w:r>
      <w:r w:rsidR="001365A6" w:rsidRPr="001365A6">
        <w:rPr>
          <w:rFonts w:cs="AdvTimes"/>
          <w:vertAlign w:val="superscript"/>
          <w:lang w:val="en-US"/>
        </w:rPr>
        <w:t>th</w:t>
      </w:r>
      <w:r w:rsidR="001365A6">
        <w:rPr>
          <w:rFonts w:cs="AdvTimes"/>
          <w:lang w:val="en-US"/>
        </w:rPr>
        <w:t xml:space="preserve"> global edition).</w:t>
      </w:r>
      <w:r>
        <w:rPr>
          <w:rFonts w:cs="AdvTimes"/>
          <w:lang w:val="en-US"/>
        </w:rPr>
        <w:t xml:space="preserve"> </w:t>
      </w:r>
      <w:r w:rsidR="001365A6">
        <w:rPr>
          <w:rFonts w:cs="AdvTimes"/>
          <w:lang w:val="en-US"/>
        </w:rPr>
        <w:t xml:space="preserve">Harlow, England: </w:t>
      </w:r>
      <w:r>
        <w:rPr>
          <w:rFonts w:cs="AdvTimes"/>
          <w:lang w:val="en-US"/>
        </w:rPr>
        <w:t xml:space="preserve">Pearson Education Limited,. </w:t>
      </w:r>
    </w:p>
    <w:p w:rsidR="009F1508" w:rsidRDefault="009F1508" w:rsidP="0037593C">
      <w:pPr>
        <w:autoSpaceDE w:val="0"/>
        <w:autoSpaceDN w:val="0"/>
        <w:adjustRightInd w:val="0"/>
        <w:spacing w:after="0"/>
        <w:rPr>
          <w:rFonts w:cs="AdvTimes"/>
          <w:lang w:val="en-US"/>
        </w:rPr>
      </w:pPr>
    </w:p>
    <w:p w:rsidR="00BF4BB4" w:rsidRDefault="00BF4BB4" w:rsidP="00BF4BB4">
      <w:pPr>
        <w:autoSpaceDE w:val="0"/>
        <w:autoSpaceDN w:val="0"/>
        <w:adjustRightInd w:val="0"/>
        <w:spacing w:after="0"/>
        <w:rPr>
          <w:rFonts w:cs="AdvTimes"/>
          <w:lang w:val="en-US"/>
        </w:rPr>
      </w:pPr>
      <w:r w:rsidRPr="00BF4BB4">
        <w:rPr>
          <w:rFonts w:cs="AdvTimes"/>
          <w:lang w:val="en-US"/>
        </w:rPr>
        <w:t>Beasley, M</w:t>
      </w:r>
      <w:r>
        <w:rPr>
          <w:rFonts w:cs="AdvTimes"/>
          <w:lang w:val="en-US"/>
        </w:rPr>
        <w:t>.</w:t>
      </w:r>
      <w:r w:rsidRPr="00BF4BB4">
        <w:rPr>
          <w:rFonts w:cs="AdvTimes"/>
          <w:lang w:val="en-US"/>
        </w:rPr>
        <w:t>S</w:t>
      </w:r>
      <w:r>
        <w:rPr>
          <w:rFonts w:cs="AdvTimes"/>
          <w:lang w:val="en-US"/>
        </w:rPr>
        <w:t>.,</w:t>
      </w:r>
      <w:r w:rsidRPr="00BF4BB4">
        <w:rPr>
          <w:rFonts w:cs="AdvTimes"/>
          <w:lang w:val="en-US"/>
        </w:rPr>
        <w:t>Carcello, J</w:t>
      </w:r>
      <w:r>
        <w:rPr>
          <w:rFonts w:cs="AdvTimes"/>
          <w:lang w:val="en-US"/>
        </w:rPr>
        <w:t>.</w:t>
      </w:r>
      <w:r w:rsidRPr="00BF4BB4">
        <w:rPr>
          <w:rFonts w:cs="AdvTimes"/>
          <w:lang w:val="en-US"/>
        </w:rPr>
        <w:t>V</w:t>
      </w:r>
      <w:r>
        <w:rPr>
          <w:rFonts w:cs="AdvTimes"/>
          <w:lang w:val="en-US"/>
        </w:rPr>
        <w:t>.,</w:t>
      </w:r>
      <w:r w:rsidRPr="00BF4BB4">
        <w:rPr>
          <w:rFonts w:cs="AdvTimes"/>
          <w:lang w:val="en-US"/>
        </w:rPr>
        <w:t>Hermanson, D</w:t>
      </w:r>
      <w:r>
        <w:rPr>
          <w:rFonts w:cs="AdvTimes"/>
          <w:lang w:val="en-US"/>
        </w:rPr>
        <w:t>.</w:t>
      </w:r>
      <w:r w:rsidRPr="00BF4BB4">
        <w:rPr>
          <w:rFonts w:cs="AdvTimes"/>
          <w:lang w:val="en-US"/>
        </w:rPr>
        <w:t>R</w:t>
      </w:r>
      <w:r>
        <w:rPr>
          <w:rFonts w:cs="AdvTimes"/>
          <w:lang w:val="en-US"/>
        </w:rPr>
        <w:t>.,</w:t>
      </w:r>
      <w:r w:rsidR="001365A6">
        <w:rPr>
          <w:rFonts w:cs="AdvTimes"/>
          <w:lang w:val="en-US"/>
        </w:rPr>
        <w:t xml:space="preserve"> &amp; </w:t>
      </w:r>
      <w:r w:rsidRPr="00BF4BB4">
        <w:rPr>
          <w:rFonts w:cs="AdvTimes"/>
          <w:lang w:val="en-US"/>
        </w:rPr>
        <w:t>Lapides, P</w:t>
      </w:r>
      <w:r>
        <w:rPr>
          <w:rFonts w:cs="AdvTimes"/>
          <w:lang w:val="en-US"/>
        </w:rPr>
        <w:t>.</w:t>
      </w:r>
      <w:r w:rsidRPr="00BF4BB4">
        <w:rPr>
          <w:rFonts w:cs="AdvTimes"/>
          <w:lang w:val="en-US"/>
        </w:rPr>
        <w:t>D</w:t>
      </w:r>
      <w:r>
        <w:rPr>
          <w:rFonts w:cs="AdvTimes"/>
          <w:lang w:val="en-US"/>
        </w:rPr>
        <w:t>. (2000)</w:t>
      </w:r>
      <w:r w:rsidR="001365A6">
        <w:rPr>
          <w:rFonts w:cs="AdvTimes"/>
          <w:lang w:val="en-US"/>
        </w:rPr>
        <w:t>.</w:t>
      </w:r>
      <w:r>
        <w:rPr>
          <w:rFonts w:cs="AdvTimes"/>
          <w:lang w:val="en-US"/>
        </w:rPr>
        <w:t xml:space="preserve"> </w:t>
      </w:r>
      <w:r w:rsidRPr="00BF4BB4">
        <w:rPr>
          <w:rFonts w:cs="AdvTimes"/>
          <w:lang w:val="en-US"/>
        </w:rPr>
        <w:t>Fraudulent financial reporting: Consideration of industry traits and corporate governance mechanisms</w:t>
      </w:r>
      <w:r w:rsidR="001365A6">
        <w:rPr>
          <w:rFonts w:cs="AdvTimes"/>
          <w:lang w:val="en-US"/>
        </w:rPr>
        <w:t>.</w:t>
      </w:r>
      <w:r>
        <w:rPr>
          <w:rFonts w:cs="AdvTimes"/>
          <w:lang w:val="en-US"/>
        </w:rPr>
        <w:t xml:space="preserve"> </w:t>
      </w:r>
      <w:r w:rsidRPr="001365A6">
        <w:rPr>
          <w:rFonts w:cs="AdvTimes"/>
          <w:i/>
          <w:lang w:val="en-US"/>
        </w:rPr>
        <w:t>Accounting Horizons, 14</w:t>
      </w:r>
      <w:r w:rsidR="001365A6">
        <w:rPr>
          <w:rFonts w:cs="AdvTimes"/>
          <w:lang w:val="en-US"/>
        </w:rPr>
        <w:t xml:space="preserve"> (</w:t>
      </w:r>
      <w:r w:rsidRPr="00BF4BB4">
        <w:rPr>
          <w:rFonts w:cs="AdvTimes"/>
          <w:lang w:val="en-US"/>
        </w:rPr>
        <w:t>4</w:t>
      </w:r>
      <w:r w:rsidR="001365A6">
        <w:rPr>
          <w:rFonts w:cs="AdvTimes"/>
          <w:lang w:val="en-US"/>
        </w:rPr>
        <w:t>),</w:t>
      </w:r>
      <w:r w:rsidRPr="00BF4BB4">
        <w:rPr>
          <w:rFonts w:cs="AdvTimes"/>
          <w:lang w:val="en-US"/>
        </w:rPr>
        <w:t xml:space="preserve"> 441</w:t>
      </w:r>
      <w:r>
        <w:rPr>
          <w:rFonts w:cs="AdvTimes"/>
          <w:lang w:val="en-US"/>
        </w:rPr>
        <w:t>-454</w:t>
      </w:r>
      <w:r w:rsidR="00E150A6">
        <w:rPr>
          <w:rFonts w:cs="AdvTimes"/>
          <w:lang w:val="en-US"/>
        </w:rPr>
        <w:t>.</w:t>
      </w:r>
    </w:p>
    <w:p w:rsidR="00BF4BB4" w:rsidRDefault="00BF4BB4" w:rsidP="0037593C">
      <w:pPr>
        <w:autoSpaceDE w:val="0"/>
        <w:autoSpaceDN w:val="0"/>
        <w:adjustRightInd w:val="0"/>
        <w:spacing w:after="0"/>
        <w:rPr>
          <w:rFonts w:cs="AdvTimes"/>
          <w:lang w:val="en-US"/>
        </w:rPr>
      </w:pPr>
    </w:p>
    <w:p w:rsidR="0037593C" w:rsidRDefault="0037593C" w:rsidP="0037593C">
      <w:pPr>
        <w:autoSpaceDE w:val="0"/>
        <w:autoSpaceDN w:val="0"/>
        <w:adjustRightInd w:val="0"/>
        <w:spacing w:after="0"/>
        <w:rPr>
          <w:rFonts w:cs="AdvTimes"/>
          <w:lang w:val="en-US"/>
        </w:rPr>
      </w:pPr>
      <w:r>
        <w:rPr>
          <w:rFonts w:cs="AdvTimes"/>
          <w:lang w:val="en-US"/>
        </w:rPr>
        <w:t xml:space="preserve">Bell, T.B., </w:t>
      </w:r>
      <w:r w:rsidRPr="0037593C">
        <w:rPr>
          <w:rFonts w:cs="AdvTimes"/>
          <w:lang w:val="en-US"/>
        </w:rPr>
        <w:t>Carcello, J.V.</w:t>
      </w:r>
      <w:r w:rsidR="001365A6">
        <w:rPr>
          <w:rFonts w:cs="AdvTimes"/>
          <w:lang w:val="en-US"/>
        </w:rPr>
        <w:t xml:space="preserve"> (2000). </w:t>
      </w:r>
      <w:r>
        <w:rPr>
          <w:rFonts w:cs="AdvTimes"/>
          <w:lang w:val="en-US"/>
        </w:rPr>
        <w:t>A decision aid for assessing the likelihood of fraudulent financial reporting</w:t>
      </w:r>
      <w:r w:rsidR="001365A6">
        <w:rPr>
          <w:rFonts w:cs="AdvTimes"/>
          <w:lang w:val="en-US"/>
        </w:rPr>
        <w:t xml:space="preserve">. </w:t>
      </w:r>
      <w:r w:rsidRPr="001365A6">
        <w:rPr>
          <w:rFonts w:cs="AdvTimes"/>
          <w:i/>
          <w:lang w:val="en-US"/>
        </w:rPr>
        <w:t>Auditing: A journal of Practice and Theory, 2</w:t>
      </w:r>
      <w:r w:rsidR="001365A6">
        <w:rPr>
          <w:rFonts w:cs="AdvTimes"/>
          <w:lang w:val="en-US"/>
        </w:rPr>
        <w:t>(1)</w:t>
      </w:r>
      <w:r>
        <w:rPr>
          <w:rFonts w:cs="AdvTimes"/>
          <w:lang w:val="en-US"/>
        </w:rPr>
        <w:t>, 169-184</w:t>
      </w:r>
      <w:r w:rsidR="00E150A6">
        <w:rPr>
          <w:rFonts w:cs="AdvTimes"/>
          <w:lang w:val="en-US"/>
        </w:rPr>
        <w:t>.</w:t>
      </w:r>
    </w:p>
    <w:p w:rsidR="0037593C" w:rsidRDefault="0037593C" w:rsidP="0037593C">
      <w:pPr>
        <w:autoSpaceDE w:val="0"/>
        <w:autoSpaceDN w:val="0"/>
        <w:adjustRightInd w:val="0"/>
        <w:spacing w:after="0"/>
        <w:rPr>
          <w:rFonts w:cs="AdvTimes"/>
          <w:lang w:val="en-US"/>
        </w:rPr>
      </w:pPr>
    </w:p>
    <w:p w:rsidR="004D6831" w:rsidRDefault="004D6831" w:rsidP="004D6831">
      <w:pPr>
        <w:rPr>
          <w:lang w:val="en-US"/>
        </w:rPr>
      </w:pPr>
      <w:r>
        <w:rPr>
          <w:lang w:val="en-GB"/>
        </w:rPr>
        <w:t>Bens, Daniel</w:t>
      </w:r>
      <w:r w:rsidRPr="004D6831">
        <w:rPr>
          <w:lang w:val="en-US"/>
        </w:rPr>
        <w:t xml:space="preserve"> </w:t>
      </w:r>
      <w:r>
        <w:rPr>
          <w:lang w:val="en-US"/>
        </w:rPr>
        <w:t>(</w:t>
      </w:r>
      <w:r w:rsidRPr="004D6831">
        <w:rPr>
          <w:lang w:val="en-US"/>
        </w:rPr>
        <w:t>2002</w:t>
      </w:r>
      <w:r>
        <w:rPr>
          <w:lang w:val="en-US"/>
        </w:rPr>
        <w:t>)</w:t>
      </w:r>
      <w:r w:rsidR="001365A6">
        <w:rPr>
          <w:lang w:val="en-US"/>
        </w:rPr>
        <w:t xml:space="preserve">. </w:t>
      </w:r>
      <w:r w:rsidRPr="004D6831">
        <w:rPr>
          <w:lang w:val="en-US"/>
        </w:rPr>
        <w:t>The Determinants of the Amount</w:t>
      </w:r>
      <w:r>
        <w:rPr>
          <w:lang w:val="en-US"/>
        </w:rPr>
        <w:t xml:space="preserve"> </w:t>
      </w:r>
      <w:r w:rsidRPr="004D6831">
        <w:rPr>
          <w:lang w:val="en-US"/>
        </w:rPr>
        <w:t>of Information Disclosed about</w:t>
      </w:r>
      <w:r>
        <w:rPr>
          <w:lang w:val="en-US"/>
        </w:rPr>
        <w:t xml:space="preserve"> </w:t>
      </w:r>
      <w:r w:rsidRPr="004D6831">
        <w:rPr>
          <w:lang w:val="en-US"/>
        </w:rPr>
        <w:t>Corporate Restructurings</w:t>
      </w:r>
      <w:r w:rsidR="001365A6">
        <w:rPr>
          <w:lang w:val="en-US"/>
        </w:rPr>
        <w:t>.</w:t>
      </w:r>
      <w:r>
        <w:rPr>
          <w:lang w:val="en-US"/>
        </w:rPr>
        <w:t xml:space="preserve"> </w:t>
      </w:r>
      <w:r w:rsidRPr="001365A6">
        <w:rPr>
          <w:i/>
          <w:lang w:val="en-US"/>
        </w:rPr>
        <w:t>Journal of Accounting Research</w:t>
      </w:r>
      <w:r w:rsidR="001365A6" w:rsidRPr="001365A6">
        <w:rPr>
          <w:i/>
          <w:lang w:val="en-US"/>
        </w:rPr>
        <w:t>, 40</w:t>
      </w:r>
      <w:r w:rsidR="001365A6">
        <w:rPr>
          <w:lang w:val="en-US"/>
        </w:rPr>
        <w:t>(1)</w:t>
      </w:r>
      <w:r w:rsidR="004A2B92" w:rsidRPr="007B1C53">
        <w:rPr>
          <w:lang w:val="en-US"/>
        </w:rPr>
        <w:t xml:space="preserve">, </w:t>
      </w:r>
      <w:r w:rsidR="007B1C53" w:rsidRPr="007B1C53">
        <w:rPr>
          <w:lang w:val="en-US"/>
        </w:rPr>
        <w:t>1-20</w:t>
      </w:r>
      <w:r w:rsidR="00E150A6">
        <w:rPr>
          <w:lang w:val="en-US"/>
        </w:rPr>
        <w:t>.</w:t>
      </w:r>
    </w:p>
    <w:p w:rsidR="007A3630" w:rsidRDefault="007A3630" w:rsidP="007A3630">
      <w:pPr>
        <w:rPr>
          <w:lang w:val="en-US"/>
        </w:rPr>
      </w:pPr>
      <w:r w:rsidRPr="00FA5EC4">
        <w:rPr>
          <w:lang w:val="en-US"/>
        </w:rPr>
        <w:t>Bingi, P</w:t>
      </w:r>
      <w:r>
        <w:rPr>
          <w:lang w:val="en-US"/>
        </w:rPr>
        <w:t>.</w:t>
      </w:r>
      <w:r w:rsidR="006D309E">
        <w:rPr>
          <w:lang w:val="en-US"/>
        </w:rPr>
        <w:t>,</w:t>
      </w:r>
      <w:r w:rsidRPr="00FA5EC4">
        <w:rPr>
          <w:lang w:val="en-US"/>
        </w:rPr>
        <w:t xml:space="preserve"> Sharma, M</w:t>
      </w:r>
      <w:r>
        <w:rPr>
          <w:lang w:val="en-US"/>
        </w:rPr>
        <w:t>.</w:t>
      </w:r>
      <w:r w:rsidRPr="00FA5EC4">
        <w:rPr>
          <w:lang w:val="en-US"/>
        </w:rPr>
        <w:t>K.</w:t>
      </w:r>
      <w:r w:rsidR="001365A6">
        <w:rPr>
          <w:lang w:val="en-US"/>
        </w:rPr>
        <w:t>, &amp;</w:t>
      </w:r>
      <w:r w:rsidRPr="00FA5EC4">
        <w:rPr>
          <w:lang w:val="en-US"/>
        </w:rPr>
        <w:t xml:space="preserve"> Godla</w:t>
      </w:r>
      <w:r>
        <w:rPr>
          <w:lang w:val="en-US"/>
        </w:rPr>
        <w:t>,</w:t>
      </w:r>
      <w:r w:rsidRPr="00FA5EC4">
        <w:rPr>
          <w:lang w:val="en-US"/>
        </w:rPr>
        <w:t xml:space="preserve"> J</w:t>
      </w:r>
      <w:r>
        <w:rPr>
          <w:lang w:val="en-US"/>
        </w:rPr>
        <w:t>.</w:t>
      </w:r>
      <w:r w:rsidRPr="00FA5EC4">
        <w:rPr>
          <w:lang w:val="en-US"/>
        </w:rPr>
        <w:t>K</w:t>
      </w:r>
      <w:r>
        <w:rPr>
          <w:lang w:val="en-US"/>
        </w:rPr>
        <w:t>. (</w:t>
      </w:r>
      <w:r w:rsidRPr="00FA5EC4">
        <w:rPr>
          <w:lang w:val="en-US"/>
        </w:rPr>
        <w:t>1999</w:t>
      </w:r>
      <w:r w:rsidR="001365A6">
        <w:rPr>
          <w:lang w:val="en-US"/>
        </w:rPr>
        <w:t xml:space="preserve">). </w:t>
      </w:r>
      <w:r w:rsidRPr="00FA5EC4">
        <w:rPr>
          <w:lang w:val="en-US"/>
        </w:rPr>
        <w:t>Critical Issues Affecting an ERP Implementation</w:t>
      </w:r>
      <w:r w:rsidR="001365A6">
        <w:rPr>
          <w:lang w:val="en-US"/>
        </w:rPr>
        <w:t>.</w:t>
      </w:r>
      <w:r>
        <w:rPr>
          <w:lang w:val="en-US"/>
        </w:rPr>
        <w:t xml:space="preserve"> </w:t>
      </w:r>
      <w:r w:rsidRPr="001365A6">
        <w:rPr>
          <w:i/>
          <w:lang w:val="en-US"/>
        </w:rPr>
        <w:t>Information Systems Management</w:t>
      </w:r>
      <w:r w:rsidR="001365A6">
        <w:rPr>
          <w:i/>
          <w:lang w:val="en-US"/>
        </w:rPr>
        <w:t>,</w:t>
      </w:r>
      <w:r w:rsidRPr="001365A6">
        <w:rPr>
          <w:i/>
          <w:lang w:val="en-US"/>
        </w:rPr>
        <w:t xml:space="preserve"> 16</w:t>
      </w:r>
      <w:r w:rsidR="001365A6">
        <w:rPr>
          <w:lang w:val="en-US"/>
        </w:rPr>
        <w:t>(3)</w:t>
      </w:r>
      <w:r w:rsidRPr="007B1C53">
        <w:rPr>
          <w:lang w:val="en-US"/>
        </w:rPr>
        <w:t>,</w:t>
      </w:r>
      <w:r w:rsidR="007B1C53" w:rsidRPr="007B1C53">
        <w:rPr>
          <w:lang w:val="en-US"/>
        </w:rPr>
        <w:t xml:space="preserve"> 7-14</w:t>
      </w:r>
      <w:r w:rsidR="00E150A6">
        <w:rPr>
          <w:lang w:val="en-US"/>
        </w:rPr>
        <w:t>.</w:t>
      </w:r>
    </w:p>
    <w:p w:rsidR="00AA526C" w:rsidRDefault="00AA526C" w:rsidP="00AA526C">
      <w:pPr>
        <w:rPr>
          <w:lang w:val="en-US"/>
        </w:rPr>
      </w:pPr>
      <w:r w:rsidRPr="00AA526C">
        <w:rPr>
          <w:lang w:val="en-US"/>
        </w:rPr>
        <w:t>Bryan, S</w:t>
      </w:r>
      <w:r w:rsidR="006D309E">
        <w:rPr>
          <w:lang w:val="en-US"/>
        </w:rPr>
        <w:t>.</w:t>
      </w:r>
      <w:r w:rsidRPr="00AA526C">
        <w:rPr>
          <w:lang w:val="en-US"/>
        </w:rPr>
        <w:t>H.</w:t>
      </w:r>
      <w:r w:rsidR="003077AE">
        <w:rPr>
          <w:lang w:val="en-US"/>
        </w:rPr>
        <w:t xml:space="preserve">, &amp; </w:t>
      </w:r>
      <w:r w:rsidRPr="00AA526C">
        <w:rPr>
          <w:lang w:val="en-US"/>
        </w:rPr>
        <w:t>Lilien, S</w:t>
      </w:r>
      <w:r w:rsidR="006D309E">
        <w:rPr>
          <w:lang w:val="en-US"/>
        </w:rPr>
        <w:t>.</w:t>
      </w:r>
      <w:r w:rsidRPr="00AA526C">
        <w:rPr>
          <w:lang w:val="en-US"/>
        </w:rPr>
        <w:t>B.</w:t>
      </w:r>
      <w:r>
        <w:rPr>
          <w:lang w:val="en-US"/>
        </w:rPr>
        <w:t>(2005)</w:t>
      </w:r>
      <w:r w:rsidR="003077AE">
        <w:rPr>
          <w:lang w:val="en-US"/>
        </w:rPr>
        <w:t xml:space="preserve">. </w:t>
      </w:r>
      <w:r w:rsidRPr="00AA526C">
        <w:rPr>
          <w:lang w:val="en-US"/>
        </w:rPr>
        <w:t>Characteristics of Firms with Material Weaknesses in Internal Control: An Assessment of Section 404 of Sarbanes Oxley</w:t>
      </w:r>
      <w:r w:rsidR="003077AE">
        <w:rPr>
          <w:lang w:val="en-US"/>
        </w:rPr>
        <w:t>.</w:t>
      </w:r>
      <w:r>
        <w:rPr>
          <w:lang w:val="en-US"/>
        </w:rPr>
        <w:t xml:space="preserve"> </w:t>
      </w:r>
      <w:r w:rsidRPr="007B1C53">
        <w:rPr>
          <w:lang w:val="en-US"/>
        </w:rPr>
        <w:t xml:space="preserve">Working paper </w:t>
      </w:r>
      <w:r w:rsidR="007B1C53" w:rsidRPr="007B1C53">
        <w:rPr>
          <w:lang w:val="en-US"/>
        </w:rPr>
        <w:t>Available at SSRN: http://ssrn.com/abstract=682363</w:t>
      </w:r>
      <w:r w:rsidR="004A2B92">
        <w:rPr>
          <w:lang w:val="en-US"/>
        </w:rPr>
        <w:t xml:space="preserve">, </w:t>
      </w:r>
      <w:r w:rsidR="007B1C53">
        <w:rPr>
          <w:lang w:val="en-US"/>
        </w:rPr>
        <w:t>1-31</w:t>
      </w:r>
      <w:r w:rsidR="00E150A6">
        <w:rPr>
          <w:lang w:val="en-US"/>
        </w:rPr>
        <w:t>.</w:t>
      </w:r>
    </w:p>
    <w:p w:rsidR="000A0E25" w:rsidRDefault="000A0E25" w:rsidP="00AA526C">
      <w:pPr>
        <w:rPr>
          <w:lang w:val="en-US"/>
        </w:rPr>
      </w:pPr>
      <w:r>
        <w:rPr>
          <w:lang w:val="en-US"/>
        </w:rPr>
        <w:t xml:space="preserve">Boritz, E., Hayes, L., </w:t>
      </w:r>
      <w:r w:rsidR="003077AE">
        <w:rPr>
          <w:lang w:val="en-US"/>
        </w:rPr>
        <w:t xml:space="preserve">&amp; </w:t>
      </w:r>
      <w:r>
        <w:rPr>
          <w:lang w:val="en-US"/>
        </w:rPr>
        <w:t>Lim, J.H. (2010)</w:t>
      </w:r>
      <w:r w:rsidR="003077AE">
        <w:rPr>
          <w:lang w:val="en-US"/>
        </w:rPr>
        <w:t xml:space="preserve">. </w:t>
      </w:r>
      <w:r>
        <w:rPr>
          <w:lang w:val="en-US"/>
        </w:rPr>
        <w:t xml:space="preserve">What do Auditor’s Reports on Internal Control Tell Us about IT Controls Weaknesses in Financial Reporting Systems? </w:t>
      </w:r>
      <w:r w:rsidR="003077AE">
        <w:rPr>
          <w:lang w:val="en-US"/>
        </w:rPr>
        <w:t>CAAA Annual Conference 2010,</w:t>
      </w:r>
      <w:r w:rsidRPr="000A0E25">
        <w:rPr>
          <w:lang w:val="en-US"/>
        </w:rPr>
        <w:t xml:space="preserve"> Available at SSRN: </w:t>
      </w:r>
      <w:r w:rsidRPr="007B1C53">
        <w:rPr>
          <w:lang w:val="en-US"/>
        </w:rPr>
        <w:t>http://ssrn.com/abstract=1532024</w:t>
      </w:r>
      <w:r>
        <w:rPr>
          <w:lang w:val="en-US"/>
        </w:rPr>
        <w:t>, 1-51</w:t>
      </w:r>
      <w:r w:rsidR="00E150A6">
        <w:rPr>
          <w:lang w:val="en-US"/>
        </w:rPr>
        <w:t>.</w:t>
      </w:r>
    </w:p>
    <w:p w:rsidR="0037593C" w:rsidRDefault="0037593C" w:rsidP="0037593C">
      <w:pPr>
        <w:autoSpaceDE w:val="0"/>
        <w:autoSpaceDN w:val="0"/>
        <w:adjustRightInd w:val="0"/>
        <w:spacing w:after="0"/>
        <w:rPr>
          <w:rFonts w:cs="AdvTimes"/>
          <w:lang w:val="en-US"/>
        </w:rPr>
      </w:pPr>
      <w:r>
        <w:rPr>
          <w:rFonts w:cs="AdvTimes"/>
          <w:lang w:val="en-US"/>
        </w:rPr>
        <w:t xml:space="preserve">Carcello, J.V., </w:t>
      </w:r>
      <w:r w:rsidR="003077AE">
        <w:rPr>
          <w:rFonts w:cs="AdvTimes"/>
          <w:lang w:val="en-US"/>
        </w:rPr>
        <w:t xml:space="preserve">&amp; Hermanson, D.R. (1999). </w:t>
      </w:r>
      <w:r>
        <w:rPr>
          <w:rFonts w:cs="AdvTimes"/>
          <w:lang w:val="en-US"/>
        </w:rPr>
        <w:t>Fraudulent  Financial Reporting: 1987-1997, An an</w:t>
      </w:r>
      <w:r w:rsidR="003077AE">
        <w:rPr>
          <w:rFonts w:cs="AdvTimes"/>
          <w:lang w:val="en-US"/>
        </w:rPr>
        <w:t>alysis of U.S. Public Companies.</w:t>
      </w:r>
      <w:r>
        <w:rPr>
          <w:rFonts w:cs="AdvTimes"/>
          <w:lang w:val="en-US"/>
        </w:rPr>
        <w:t xml:space="preserve"> </w:t>
      </w:r>
      <w:r w:rsidRPr="003077AE">
        <w:rPr>
          <w:rFonts w:cs="AdvTimes"/>
          <w:i/>
          <w:lang w:val="en-US"/>
        </w:rPr>
        <w:t>COSO report</w:t>
      </w:r>
      <w:r>
        <w:rPr>
          <w:rFonts w:cs="AdvTimes"/>
          <w:lang w:val="en-US"/>
        </w:rPr>
        <w:t>, New York</w:t>
      </w:r>
      <w:r w:rsidR="003077AE">
        <w:rPr>
          <w:rFonts w:cs="AdvTimes"/>
          <w:lang w:val="en-US"/>
        </w:rPr>
        <w:t>, NY: COSO</w:t>
      </w:r>
    </w:p>
    <w:p w:rsidR="00860FDE" w:rsidRDefault="00860FDE" w:rsidP="0037593C">
      <w:pPr>
        <w:autoSpaceDE w:val="0"/>
        <w:autoSpaceDN w:val="0"/>
        <w:adjustRightInd w:val="0"/>
        <w:spacing w:after="0"/>
        <w:rPr>
          <w:rFonts w:cs="AdvTimes"/>
          <w:lang w:val="en-US"/>
        </w:rPr>
      </w:pPr>
    </w:p>
    <w:p w:rsidR="00860FDE" w:rsidRDefault="00860FDE" w:rsidP="00860FDE">
      <w:pPr>
        <w:autoSpaceDE w:val="0"/>
        <w:autoSpaceDN w:val="0"/>
        <w:adjustRightInd w:val="0"/>
        <w:spacing w:after="0"/>
        <w:rPr>
          <w:rFonts w:cs="AdvTimes"/>
          <w:lang w:val="en-US"/>
        </w:rPr>
      </w:pPr>
      <w:r w:rsidRPr="00860FDE">
        <w:rPr>
          <w:rFonts w:cs="AdvTimes"/>
          <w:lang w:val="en-US"/>
        </w:rPr>
        <w:t xml:space="preserve">Chaney, </w:t>
      </w:r>
      <w:r>
        <w:rPr>
          <w:rFonts w:cs="AdvTimes"/>
          <w:lang w:val="en-US"/>
        </w:rPr>
        <w:t>P.</w:t>
      </w:r>
      <w:r w:rsidRPr="00860FDE">
        <w:rPr>
          <w:rFonts w:cs="AdvTimes"/>
          <w:lang w:val="en-US"/>
        </w:rPr>
        <w:t>K.</w:t>
      </w:r>
      <w:r>
        <w:rPr>
          <w:rFonts w:cs="AdvTimes"/>
          <w:lang w:val="en-US"/>
        </w:rPr>
        <w:t>,</w:t>
      </w:r>
      <w:r w:rsidRPr="00860FDE">
        <w:rPr>
          <w:rFonts w:cs="AdvTimes"/>
          <w:lang w:val="en-US"/>
        </w:rPr>
        <w:t xml:space="preserve"> Hogan, C</w:t>
      </w:r>
      <w:r>
        <w:rPr>
          <w:rFonts w:cs="AdvTimes"/>
          <w:lang w:val="en-US"/>
        </w:rPr>
        <w:t>.</w:t>
      </w:r>
      <w:r w:rsidRPr="00860FDE">
        <w:rPr>
          <w:rFonts w:cs="AdvTimes"/>
          <w:lang w:val="en-US"/>
        </w:rPr>
        <w:t>E.</w:t>
      </w:r>
      <w:r>
        <w:rPr>
          <w:rFonts w:cs="AdvTimes"/>
          <w:lang w:val="en-US"/>
        </w:rPr>
        <w:t>,</w:t>
      </w:r>
      <w:r w:rsidRPr="00860FDE">
        <w:rPr>
          <w:rFonts w:cs="AdvTimes"/>
          <w:lang w:val="en-US"/>
        </w:rPr>
        <w:t xml:space="preserve"> </w:t>
      </w:r>
      <w:r w:rsidR="003077AE">
        <w:rPr>
          <w:rFonts w:cs="AdvTimes"/>
          <w:lang w:val="en-US"/>
        </w:rPr>
        <w:t xml:space="preserve">&amp; </w:t>
      </w:r>
      <w:r w:rsidRPr="00860FDE">
        <w:rPr>
          <w:rFonts w:cs="AdvTimes"/>
          <w:lang w:val="en-US"/>
        </w:rPr>
        <w:t>Jeter</w:t>
      </w:r>
      <w:r>
        <w:rPr>
          <w:rFonts w:cs="AdvTimes"/>
          <w:lang w:val="en-US"/>
        </w:rPr>
        <w:t>,</w:t>
      </w:r>
      <w:r w:rsidRPr="00860FDE">
        <w:rPr>
          <w:rFonts w:cs="AdvTimes"/>
          <w:lang w:val="en-US"/>
        </w:rPr>
        <w:t xml:space="preserve"> D</w:t>
      </w:r>
      <w:r>
        <w:rPr>
          <w:rFonts w:cs="AdvTimes"/>
          <w:lang w:val="en-US"/>
        </w:rPr>
        <w:t>.</w:t>
      </w:r>
      <w:r w:rsidRPr="00860FDE">
        <w:rPr>
          <w:rFonts w:cs="AdvTimes"/>
          <w:lang w:val="en-US"/>
        </w:rPr>
        <w:t>C.</w:t>
      </w:r>
      <w:r w:rsidR="003077AE">
        <w:rPr>
          <w:rFonts w:cs="AdvTimes"/>
          <w:lang w:val="en-US"/>
        </w:rPr>
        <w:t xml:space="preserve"> (1999).</w:t>
      </w:r>
      <w:r>
        <w:rPr>
          <w:rFonts w:cs="AdvTimes"/>
          <w:lang w:val="en-US"/>
        </w:rPr>
        <w:t xml:space="preserve"> </w:t>
      </w:r>
      <w:r w:rsidRPr="00860FDE">
        <w:rPr>
          <w:rFonts w:cs="AdvTimes"/>
          <w:lang w:val="en-US"/>
        </w:rPr>
        <w:t>The effect of reporting restructuring charges on analysts</w:t>
      </w:r>
      <w:r w:rsidR="003077AE">
        <w:rPr>
          <w:rFonts w:cs="AdvTimes"/>
          <w:lang w:val="en-US"/>
        </w:rPr>
        <w:t>’ forecast revisions and errors.</w:t>
      </w:r>
      <w:r w:rsidRPr="00860FDE">
        <w:rPr>
          <w:rFonts w:cs="AdvTimes"/>
          <w:lang w:val="en-US"/>
        </w:rPr>
        <w:t xml:space="preserve"> </w:t>
      </w:r>
      <w:r w:rsidRPr="003077AE">
        <w:rPr>
          <w:rFonts w:cs="AdvTimes"/>
          <w:i/>
          <w:lang w:val="en-US"/>
        </w:rPr>
        <w:t xml:space="preserve">Journal of Accounting and Economics, </w:t>
      </w:r>
      <w:r w:rsidR="003077AE">
        <w:rPr>
          <w:rFonts w:cs="AdvTimes"/>
          <w:i/>
          <w:lang w:val="en-US"/>
        </w:rPr>
        <w:t>27</w:t>
      </w:r>
      <w:r w:rsidR="003077AE">
        <w:rPr>
          <w:rFonts w:cs="AdvTimes"/>
          <w:lang w:val="en-US"/>
        </w:rPr>
        <w:t>(</w:t>
      </w:r>
      <w:r w:rsidRPr="00860FDE">
        <w:rPr>
          <w:rFonts w:cs="AdvTimes"/>
          <w:lang w:val="en-US"/>
        </w:rPr>
        <w:t>3</w:t>
      </w:r>
      <w:r w:rsidR="003077AE">
        <w:rPr>
          <w:rFonts w:cs="AdvTimes"/>
          <w:lang w:val="en-US"/>
        </w:rPr>
        <w:t>)</w:t>
      </w:r>
      <w:r w:rsidRPr="00860FDE">
        <w:rPr>
          <w:rFonts w:cs="AdvTimes"/>
          <w:lang w:val="en-US"/>
        </w:rPr>
        <w:t>,</w:t>
      </w:r>
      <w:r>
        <w:rPr>
          <w:rFonts w:cs="AdvTimes"/>
          <w:lang w:val="en-US"/>
        </w:rPr>
        <w:t xml:space="preserve"> </w:t>
      </w:r>
      <w:r w:rsidRPr="00860FDE">
        <w:rPr>
          <w:rFonts w:cs="AdvTimes"/>
          <w:lang w:val="en-US"/>
        </w:rPr>
        <w:t>261–284</w:t>
      </w:r>
      <w:r w:rsidR="00E150A6">
        <w:rPr>
          <w:rFonts w:cs="AdvTimes"/>
          <w:lang w:val="en-US"/>
        </w:rPr>
        <w:t>.</w:t>
      </w:r>
    </w:p>
    <w:p w:rsidR="001261A3" w:rsidRDefault="001261A3" w:rsidP="0037593C">
      <w:pPr>
        <w:autoSpaceDE w:val="0"/>
        <w:autoSpaceDN w:val="0"/>
        <w:adjustRightInd w:val="0"/>
        <w:spacing w:after="0"/>
        <w:rPr>
          <w:rFonts w:cs="AdvTimes"/>
          <w:lang w:val="en-US"/>
        </w:rPr>
      </w:pPr>
    </w:p>
    <w:p w:rsidR="001261A3" w:rsidRDefault="00DF680E" w:rsidP="001261A3">
      <w:pPr>
        <w:autoSpaceDE w:val="0"/>
        <w:autoSpaceDN w:val="0"/>
        <w:adjustRightInd w:val="0"/>
        <w:spacing w:after="0"/>
        <w:rPr>
          <w:rFonts w:cs="AdvTimes"/>
          <w:lang w:val="en-US"/>
        </w:rPr>
      </w:pPr>
      <w:r w:rsidRPr="001261A3">
        <w:rPr>
          <w:rFonts w:cs="AdvTimes"/>
          <w:lang w:val="en-US"/>
        </w:rPr>
        <w:t>Committee of Sponsoring Organizations of the Treadway</w:t>
      </w:r>
      <w:r>
        <w:rPr>
          <w:rFonts w:cs="AdvTimes"/>
          <w:lang w:val="en-US"/>
        </w:rPr>
        <w:t xml:space="preserve"> Commission</w:t>
      </w:r>
      <w:r w:rsidRPr="001261A3">
        <w:rPr>
          <w:rFonts w:cs="AdvTimes"/>
          <w:lang w:val="en-US"/>
        </w:rPr>
        <w:t xml:space="preserve"> </w:t>
      </w:r>
      <w:r>
        <w:rPr>
          <w:rFonts w:cs="AdvTimes"/>
          <w:lang w:val="en-US"/>
        </w:rPr>
        <w:t>(</w:t>
      </w:r>
      <w:r w:rsidR="001261A3" w:rsidRPr="001261A3">
        <w:rPr>
          <w:rFonts w:cs="AdvTimes"/>
          <w:lang w:val="en-US"/>
        </w:rPr>
        <w:t>COSO</w:t>
      </w:r>
      <w:r>
        <w:rPr>
          <w:rFonts w:cs="AdvTimes"/>
          <w:lang w:val="en-US"/>
        </w:rPr>
        <w:t>)</w:t>
      </w:r>
      <w:r w:rsidR="001261A3">
        <w:rPr>
          <w:rFonts w:cs="AdvTimes"/>
          <w:lang w:val="en-US"/>
        </w:rPr>
        <w:t xml:space="preserve"> (1992)</w:t>
      </w:r>
      <w:r w:rsidR="003077AE">
        <w:rPr>
          <w:rFonts w:cs="AdvTimes"/>
          <w:lang w:val="en-US"/>
        </w:rPr>
        <w:t>.</w:t>
      </w:r>
      <w:r w:rsidR="001261A3" w:rsidRPr="001261A3">
        <w:rPr>
          <w:rFonts w:cs="AdvTimes"/>
          <w:lang w:val="en-US"/>
        </w:rPr>
        <w:t xml:space="preserve"> Internal </w:t>
      </w:r>
      <w:r w:rsidR="003077AE">
        <w:rPr>
          <w:rFonts w:cs="AdvTimes"/>
          <w:lang w:val="en-US"/>
        </w:rPr>
        <w:t>control—an integrated framework</w:t>
      </w:r>
      <w:r w:rsidR="001261A3">
        <w:rPr>
          <w:rFonts w:cs="AdvTimes"/>
          <w:lang w:val="en-US"/>
        </w:rPr>
        <w:t>,</w:t>
      </w:r>
      <w:r w:rsidR="001261A3" w:rsidRPr="001261A3">
        <w:rPr>
          <w:rFonts w:cs="AdvTimes"/>
          <w:lang w:val="en-US"/>
        </w:rPr>
        <w:t xml:space="preserve"> </w:t>
      </w:r>
      <w:r w:rsidR="001261A3">
        <w:rPr>
          <w:rFonts w:cs="AdvTimes"/>
          <w:lang w:val="en-US"/>
        </w:rPr>
        <w:t xml:space="preserve">Available at </w:t>
      </w:r>
      <w:r w:rsidR="001261A3" w:rsidRPr="001261A3">
        <w:rPr>
          <w:rFonts w:cs="AdvTimes"/>
          <w:lang w:val="en-US"/>
        </w:rPr>
        <w:t>http://www.coso.org</w:t>
      </w:r>
      <w:r w:rsidR="00E150A6">
        <w:rPr>
          <w:rFonts w:cs="AdvTimes"/>
          <w:lang w:val="en-US"/>
        </w:rPr>
        <w:t>.</w:t>
      </w:r>
    </w:p>
    <w:p w:rsidR="001261A3" w:rsidRDefault="001261A3" w:rsidP="001261A3">
      <w:pPr>
        <w:autoSpaceDE w:val="0"/>
        <w:autoSpaceDN w:val="0"/>
        <w:adjustRightInd w:val="0"/>
        <w:spacing w:after="0"/>
        <w:rPr>
          <w:rFonts w:cs="AdvTimes"/>
          <w:lang w:val="en-US"/>
        </w:rPr>
      </w:pPr>
    </w:p>
    <w:p w:rsidR="001261A3" w:rsidRDefault="00DF680E" w:rsidP="001261A3">
      <w:pPr>
        <w:autoSpaceDE w:val="0"/>
        <w:autoSpaceDN w:val="0"/>
        <w:adjustRightInd w:val="0"/>
        <w:spacing w:after="0"/>
        <w:rPr>
          <w:rFonts w:cs="AdvTimes"/>
          <w:lang w:val="en-US"/>
        </w:rPr>
      </w:pPr>
      <w:r w:rsidRPr="001261A3">
        <w:rPr>
          <w:rFonts w:cs="AdvTimes"/>
          <w:lang w:val="en-US"/>
        </w:rPr>
        <w:t>Committee of Sponsoring Organizations of the Treadway Commission</w:t>
      </w:r>
      <w:r>
        <w:rPr>
          <w:rFonts w:cs="AdvTimes"/>
          <w:lang w:val="en-US"/>
        </w:rPr>
        <w:t xml:space="preserve"> (</w:t>
      </w:r>
      <w:r w:rsidR="001261A3">
        <w:rPr>
          <w:rFonts w:cs="AdvTimes"/>
          <w:lang w:val="en-US"/>
        </w:rPr>
        <w:t>COSO</w:t>
      </w:r>
      <w:r>
        <w:rPr>
          <w:rFonts w:cs="AdvTimes"/>
          <w:lang w:val="en-US"/>
        </w:rPr>
        <w:t>)</w:t>
      </w:r>
      <w:r w:rsidR="001261A3">
        <w:rPr>
          <w:rFonts w:cs="AdvTimes"/>
          <w:lang w:val="en-US"/>
        </w:rPr>
        <w:t xml:space="preserve"> (</w:t>
      </w:r>
      <w:r w:rsidR="001261A3" w:rsidRPr="001261A3">
        <w:rPr>
          <w:rFonts w:cs="AdvTimes"/>
          <w:lang w:val="en-US"/>
        </w:rPr>
        <w:t>2004</w:t>
      </w:r>
      <w:r w:rsidR="001261A3">
        <w:rPr>
          <w:rFonts w:cs="AdvTimes"/>
          <w:lang w:val="en-US"/>
        </w:rPr>
        <w:t>)</w:t>
      </w:r>
      <w:r w:rsidR="003077AE">
        <w:rPr>
          <w:rFonts w:cs="AdvTimes"/>
          <w:lang w:val="en-US"/>
        </w:rPr>
        <w:t>.</w:t>
      </w:r>
      <w:r w:rsidR="001261A3">
        <w:rPr>
          <w:rFonts w:cs="AdvTimes"/>
          <w:lang w:val="en-US"/>
        </w:rPr>
        <w:t xml:space="preserve"> </w:t>
      </w:r>
      <w:r w:rsidR="001261A3" w:rsidRPr="001261A3">
        <w:rPr>
          <w:rFonts w:cs="AdvTimes"/>
          <w:lang w:val="en-US"/>
        </w:rPr>
        <w:t>Enterprise</w:t>
      </w:r>
      <w:r w:rsidR="001261A3">
        <w:rPr>
          <w:rFonts w:cs="AdvTimes"/>
          <w:lang w:val="en-US"/>
        </w:rPr>
        <w:t xml:space="preserve"> </w:t>
      </w:r>
      <w:r w:rsidR="001261A3" w:rsidRPr="001261A3">
        <w:rPr>
          <w:rFonts w:cs="AdvTimes"/>
          <w:lang w:val="en-US"/>
        </w:rPr>
        <w:t xml:space="preserve">Risk </w:t>
      </w:r>
      <w:r w:rsidR="001261A3">
        <w:rPr>
          <w:rFonts w:cs="AdvTimes"/>
          <w:lang w:val="en-US"/>
        </w:rPr>
        <w:t>Management-Integrated Framework,</w:t>
      </w:r>
      <w:r w:rsidR="001261A3" w:rsidRPr="001261A3">
        <w:rPr>
          <w:rFonts w:cs="AdvTimes"/>
          <w:lang w:val="en-US"/>
        </w:rPr>
        <w:t xml:space="preserve"> Available at </w:t>
      </w:r>
      <w:r w:rsidR="003077AE">
        <w:rPr>
          <w:rFonts w:cs="AdvTimes"/>
          <w:lang w:val="en-US"/>
        </w:rPr>
        <w:t>http://</w:t>
      </w:r>
      <w:r w:rsidR="001261A3" w:rsidRPr="001261A3">
        <w:rPr>
          <w:rFonts w:cs="AdvTimes"/>
          <w:lang w:val="en-US"/>
        </w:rPr>
        <w:t>www.coso.org</w:t>
      </w:r>
      <w:r w:rsidR="00E150A6">
        <w:rPr>
          <w:rFonts w:cs="AdvTimes"/>
          <w:lang w:val="en-US"/>
        </w:rPr>
        <w:t>.</w:t>
      </w:r>
    </w:p>
    <w:p w:rsidR="0037593C" w:rsidRDefault="0037593C" w:rsidP="0037593C">
      <w:pPr>
        <w:autoSpaceDE w:val="0"/>
        <w:autoSpaceDN w:val="0"/>
        <w:adjustRightInd w:val="0"/>
        <w:spacing w:after="0"/>
        <w:rPr>
          <w:rFonts w:cs="AdvTimes"/>
          <w:lang w:val="en-US"/>
        </w:rPr>
      </w:pPr>
    </w:p>
    <w:p w:rsidR="004A2B92" w:rsidRDefault="004A2B92" w:rsidP="00AA526C">
      <w:pPr>
        <w:rPr>
          <w:lang w:val="en-US"/>
        </w:rPr>
      </w:pPr>
      <w:r w:rsidRPr="004A2B92">
        <w:rPr>
          <w:lang w:val="en-US"/>
        </w:rPr>
        <w:t>Damianides</w:t>
      </w:r>
      <w:r>
        <w:rPr>
          <w:lang w:val="en-US"/>
        </w:rPr>
        <w:t>,</w:t>
      </w:r>
      <w:r w:rsidRPr="004A2B92">
        <w:rPr>
          <w:lang w:val="en-US"/>
        </w:rPr>
        <w:t xml:space="preserve"> Marios</w:t>
      </w:r>
      <w:r>
        <w:rPr>
          <w:lang w:val="en-US"/>
        </w:rPr>
        <w:t xml:space="preserve"> (2004)</w:t>
      </w:r>
      <w:r w:rsidR="00882D0F">
        <w:rPr>
          <w:lang w:val="en-US"/>
        </w:rPr>
        <w:t>.</w:t>
      </w:r>
      <w:r>
        <w:rPr>
          <w:lang w:val="en-US"/>
        </w:rPr>
        <w:t xml:space="preserve"> </w:t>
      </w:r>
      <w:r w:rsidR="00882D0F">
        <w:rPr>
          <w:lang w:val="en-US"/>
        </w:rPr>
        <w:t>How does SOX change IT?</w:t>
      </w:r>
      <w:r>
        <w:rPr>
          <w:lang w:val="en-US"/>
        </w:rPr>
        <w:t xml:space="preserve"> </w:t>
      </w:r>
      <w:r w:rsidRPr="00882D0F">
        <w:rPr>
          <w:i/>
          <w:lang w:val="en-US"/>
        </w:rPr>
        <w:t>The Journal of Corporate Accounting &amp; Finance</w:t>
      </w:r>
      <w:r>
        <w:rPr>
          <w:lang w:val="en-US"/>
        </w:rPr>
        <w:t xml:space="preserve">, </w:t>
      </w:r>
      <w:r w:rsidR="00882D0F" w:rsidRPr="00882D0F">
        <w:rPr>
          <w:i/>
          <w:lang w:val="en-US"/>
        </w:rPr>
        <w:t>4</w:t>
      </w:r>
      <w:r w:rsidR="00882D0F" w:rsidRPr="00882D0F">
        <w:rPr>
          <w:lang w:val="en-US"/>
        </w:rPr>
        <w:t>(1)</w:t>
      </w:r>
      <w:r w:rsidRPr="00882D0F">
        <w:rPr>
          <w:i/>
          <w:lang w:val="en-US"/>
        </w:rPr>
        <w:t>,</w:t>
      </w:r>
      <w:r>
        <w:rPr>
          <w:lang w:val="en-US"/>
        </w:rPr>
        <w:t xml:space="preserve"> 35-41</w:t>
      </w:r>
      <w:r w:rsidR="00E150A6">
        <w:rPr>
          <w:lang w:val="en-US"/>
        </w:rPr>
        <w:t>.</w:t>
      </w:r>
    </w:p>
    <w:p w:rsidR="00451D15" w:rsidRDefault="00882D0F" w:rsidP="00AA526C">
      <w:pPr>
        <w:rPr>
          <w:lang w:val="en-US"/>
        </w:rPr>
      </w:pPr>
      <w:r>
        <w:rPr>
          <w:lang w:val="en-US"/>
        </w:rPr>
        <w:t xml:space="preserve">Davenport, Thomas H. (2000). </w:t>
      </w:r>
      <w:r w:rsidR="00451D15" w:rsidRPr="00882D0F">
        <w:rPr>
          <w:i/>
          <w:lang w:val="en-US"/>
        </w:rPr>
        <w:t>Mission Critical, Realizing the Promise of Enterprise Systems</w:t>
      </w:r>
      <w:r>
        <w:rPr>
          <w:i/>
          <w:lang w:val="en-US"/>
        </w:rPr>
        <w:t xml:space="preserve">. </w:t>
      </w:r>
      <w:r>
        <w:rPr>
          <w:lang w:val="en-US"/>
        </w:rPr>
        <w:t>Boston MA:</w:t>
      </w:r>
      <w:r w:rsidR="00451D15">
        <w:rPr>
          <w:lang w:val="en-US"/>
        </w:rPr>
        <w:t xml:space="preserve"> Harvard Business School Press</w:t>
      </w:r>
      <w:r w:rsidR="007B1C53">
        <w:rPr>
          <w:lang w:val="en-US"/>
        </w:rPr>
        <w:t>.</w:t>
      </w:r>
    </w:p>
    <w:p w:rsidR="00194A99" w:rsidRDefault="00194A99" w:rsidP="007A3630">
      <w:pPr>
        <w:rPr>
          <w:lang w:val="en-US"/>
        </w:rPr>
      </w:pPr>
      <w:r w:rsidRPr="00194A99">
        <w:rPr>
          <w:lang w:val="en-US"/>
        </w:rPr>
        <w:t>Elbannan, Mohamed A.</w:t>
      </w:r>
      <w:r>
        <w:rPr>
          <w:lang w:val="en-US"/>
        </w:rPr>
        <w:t xml:space="preserve"> (2008)</w:t>
      </w:r>
      <w:r w:rsidR="00882D0F">
        <w:rPr>
          <w:lang w:val="en-US"/>
        </w:rPr>
        <w:t>.</w:t>
      </w:r>
      <w:r w:rsidRPr="00194A99">
        <w:rPr>
          <w:lang w:val="en-US"/>
        </w:rPr>
        <w:t xml:space="preserve"> Quality of Internal Control Over Financial Reporting, Corporate Governance and Credit Ratings. </w:t>
      </w:r>
      <w:r w:rsidRPr="00882D0F">
        <w:rPr>
          <w:i/>
          <w:lang w:val="en-US"/>
        </w:rPr>
        <w:t>International Journal of Disclosure and Governance,</w:t>
      </w:r>
      <w:r w:rsidR="00882D0F" w:rsidRPr="00882D0F">
        <w:rPr>
          <w:i/>
          <w:lang w:val="en-US"/>
        </w:rPr>
        <w:t xml:space="preserve"> </w:t>
      </w:r>
      <w:r w:rsidRPr="00882D0F">
        <w:rPr>
          <w:i/>
          <w:lang w:val="en-US"/>
        </w:rPr>
        <w:t>6</w:t>
      </w:r>
      <w:r w:rsidR="00882D0F">
        <w:rPr>
          <w:lang w:val="en-US"/>
        </w:rPr>
        <w:t>(2),</w:t>
      </w:r>
      <w:r w:rsidR="004A2B92">
        <w:rPr>
          <w:lang w:val="en-US"/>
        </w:rPr>
        <w:t xml:space="preserve"> </w:t>
      </w:r>
      <w:r w:rsidR="007B1C53" w:rsidRPr="007B1C53">
        <w:rPr>
          <w:lang w:val="en-US"/>
        </w:rPr>
        <w:t>1-63</w:t>
      </w:r>
      <w:r w:rsidR="00E150A6">
        <w:rPr>
          <w:lang w:val="en-US"/>
        </w:rPr>
        <w:t>.</w:t>
      </w:r>
    </w:p>
    <w:p w:rsidR="003758FB" w:rsidRDefault="003758FB" w:rsidP="003758FB">
      <w:pPr>
        <w:rPr>
          <w:lang w:val="en-US"/>
        </w:rPr>
      </w:pPr>
      <w:r>
        <w:rPr>
          <w:lang w:val="en-US"/>
        </w:rPr>
        <w:t>Friedman, M. (</w:t>
      </w:r>
      <w:r w:rsidRPr="003758FB">
        <w:rPr>
          <w:lang w:val="en-US"/>
        </w:rPr>
        <w:t>1953</w:t>
      </w:r>
      <w:r>
        <w:rPr>
          <w:lang w:val="en-US"/>
        </w:rPr>
        <w:t>)</w:t>
      </w:r>
      <w:r w:rsidR="00667E1E">
        <w:rPr>
          <w:lang w:val="en-US"/>
        </w:rPr>
        <w:t>.</w:t>
      </w:r>
      <w:r w:rsidRPr="003758FB">
        <w:rPr>
          <w:lang w:val="en-US"/>
        </w:rPr>
        <w:t xml:space="preserve"> </w:t>
      </w:r>
      <w:r w:rsidRPr="00667E1E">
        <w:rPr>
          <w:i/>
          <w:lang w:val="en-US"/>
        </w:rPr>
        <w:t>The Methodology of Positive Economics, Essays on Positive Economics</w:t>
      </w:r>
      <w:r w:rsidR="00667E1E">
        <w:rPr>
          <w:lang w:val="en-US"/>
        </w:rPr>
        <w:t>.</w:t>
      </w:r>
      <w:r w:rsidR="00667E1E" w:rsidRPr="00667E1E">
        <w:rPr>
          <w:lang w:val="en-US"/>
        </w:rPr>
        <w:t xml:space="preserve"> </w:t>
      </w:r>
      <w:r w:rsidR="00667E1E">
        <w:rPr>
          <w:lang w:val="en-US"/>
        </w:rPr>
        <w:t>Chicago, IL:</w:t>
      </w:r>
      <w:r w:rsidRPr="003758FB">
        <w:rPr>
          <w:lang w:val="en-US"/>
        </w:rPr>
        <w:t xml:space="preserve"> University of Chicago Press</w:t>
      </w:r>
    </w:p>
    <w:p w:rsidR="007A3630" w:rsidRDefault="007A3630" w:rsidP="007A3630">
      <w:pPr>
        <w:rPr>
          <w:lang w:val="en-US"/>
        </w:rPr>
      </w:pPr>
      <w:r w:rsidRPr="00AC08FA">
        <w:rPr>
          <w:lang w:val="en-US"/>
        </w:rPr>
        <w:t>Grant, G</w:t>
      </w:r>
      <w:r>
        <w:rPr>
          <w:lang w:val="en-US"/>
        </w:rPr>
        <w:t>.</w:t>
      </w:r>
      <w:r w:rsidRPr="00AC08FA">
        <w:rPr>
          <w:lang w:val="en-US"/>
        </w:rPr>
        <w:t>H</w:t>
      </w:r>
      <w:r>
        <w:rPr>
          <w:lang w:val="en-US"/>
        </w:rPr>
        <w:t>.</w:t>
      </w:r>
      <w:r w:rsidR="00667E1E">
        <w:rPr>
          <w:lang w:val="en-US"/>
        </w:rPr>
        <w:t>,</w:t>
      </w:r>
      <w:r w:rsidRPr="00AC08FA">
        <w:rPr>
          <w:lang w:val="en-US"/>
        </w:rPr>
        <w:t xml:space="preserve"> Miller, K</w:t>
      </w:r>
      <w:r>
        <w:rPr>
          <w:lang w:val="en-US"/>
        </w:rPr>
        <w:t>.</w:t>
      </w:r>
      <w:r w:rsidRPr="00AC08FA">
        <w:rPr>
          <w:lang w:val="en-US"/>
        </w:rPr>
        <w:t>C.</w:t>
      </w:r>
      <w:r w:rsidR="00667E1E">
        <w:rPr>
          <w:lang w:val="en-US"/>
        </w:rPr>
        <w:t xml:space="preserve">, &amp; </w:t>
      </w:r>
      <w:r w:rsidRPr="00AC08FA">
        <w:rPr>
          <w:lang w:val="en-US"/>
        </w:rPr>
        <w:t>Alali, F</w:t>
      </w:r>
      <w:r>
        <w:rPr>
          <w:lang w:val="en-US"/>
        </w:rPr>
        <w:t>.</w:t>
      </w:r>
      <w:r w:rsidR="00667E1E">
        <w:rPr>
          <w:lang w:val="en-US"/>
        </w:rPr>
        <w:t xml:space="preserve"> (2008). </w:t>
      </w:r>
      <w:r w:rsidRPr="00AC08FA">
        <w:rPr>
          <w:lang w:val="en-US"/>
        </w:rPr>
        <w:t xml:space="preserve">The effect of IT </w:t>
      </w:r>
      <w:r w:rsidR="00667E1E">
        <w:rPr>
          <w:lang w:val="en-US"/>
        </w:rPr>
        <w:t>controls on financial reporting.</w:t>
      </w:r>
      <w:r>
        <w:rPr>
          <w:lang w:val="en-US"/>
        </w:rPr>
        <w:t xml:space="preserve"> </w:t>
      </w:r>
      <w:r w:rsidRPr="00667E1E">
        <w:rPr>
          <w:i/>
          <w:lang w:val="en-US"/>
        </w:rPr>
        <w:t>Manage</w:t>
      </w:r>
      <w:r w:rsidR="0088497C" w:rsidRPr="00667E1E">
        <w:rPr>
          <w:i/>
          <w:lang w:val="en-US"/>
        </w:rPr>
        <w:t xml:space="preserve">rial Auditing Journal, </w:t>
      </w:r>
      <w:r w:rsidR="00667E1E">
        <w:rPr>
          <w:i/>
          <w:lang w:val="en-US"/>
        </w:rPr>
        <w:t>23</w:t>
      </w:r>
      <w:r w:rsidR="00667E1E">
        <w:rPr>
          <w:lang w:val="en-US"/>
        </w:rPr>
        <w:t>(</w:t>
      </w:r>
      <w:r w:rsidRPr="00AC08FA">
        <w:rPr>
          <w:lang w:val="en-US"/>
        </w:rPr>
        <w:t>8</w:t>
      </w:r>
      <w:r w:rsidR="00667E1E">
        <w:rPr>
          <w:lang w:val="en-US"/>
        </w:rPr>
        <w:t>)</w:t>
      </w:r>
      <w:r w:rsidR="0088497C">
        <w:rPr>
          <w:lang w:val="en-US"/>
        </w:rPr>
        <w:t>,</w:t>
      </w:r>
      <w:r w:rsidRPr="00AC08FA">
        <w:rPr>
          <w:lang w:val="en-US"/>
        </w:rPr>
        <w:t xml:space="preserve"> 803</w:t>
      </w:r>
      <w:r>
        <w:rPr>
          <w:lang w:val="en-US"/>
        </w:rPr>
        <w:t>–</w:t>
      </w:r>
      <w:r w:rsidRPr="00AC08FA">
        <w:rPr>
          <w:lang w:val="en-US"/>
        </w:rPr>
        <w:t>823</w:t>
      </w:r>
      <w:r w:rsidR="00E150A6">
        <w:rPr>
          <w:lang w:val="en-US"/>
        </w:rPr>
        <w:t>.</w:t>
      </w:r>
    </w:p>
    <w:p w:rsidR="0088497C" w:rsidRDefault="0088497C" w:rsidP="0088497C">
      <w:pPr>
        <w:rPr>
          <w:lang w:val="en-US"/>
        </w:rPr>
      </w:pPr>
      <w:r w:rsidRPr="0088497C">
        <w:rPr>
          <w:lang w:val="en-US"/>
        </w:rPr>
        <w:t>Giroud, X.</w:t>
      </w:r>
      <w:r>
        <w:rPr>
          <w:lang w:val="en-US"/>
        </w:rPr>
        <w:t xml:space="preserve">, </w:t>
      </w:r>
      <w:r w:rsidRPr="0088497C">
        <w:rPr>
          <w:lang w:val="en-US"/>
        </w:rPr>
        <w:t>Mueller</w:t>
      </w:r>
      <w:r>
        <w:rPr>
          <w:lang w:val="en-US"/>
        </w:rPr>
        <w:t>,</w:t>
      </w:r>
      <w:r w:rsidRPr="0088497C">
        <w:rPr>
          <w:lang w:val="en-US"/>
        </w:rPr>
        <w:t xml:space="preserve"> H</w:t>
      </w:r>
      <w:r>
        <w:rPr>
          <w:lang w:val="en-US"/>
        </w:rPr>
        <w:t>.</w:t>
      </w:r>
      <w:r w:rsidRPr="0088497C">
        <w:rPr>
          <w:lang w:val="en-US"/>
        </w:rPr>
        <w:t>M.</w:t>
      </w:r>
      <w:r>
        <w:rPr>
          <w:lang w:val="en-US"/>
        </w:rPr>
        <w:t xml:space="preserve"> (2007)</w:t>
      </w:r>
      <w:r w:rsidR="00667E1E">
        <w:rPr>
          <w:lang w:val="en-US"/>
        </w:rPr>
        <w:t>.</w:t>
      </w:r>
      <w:r>
        <w:rPr>
          <w:lang w:val="en-US"/>
        </w:rPr>
        <w:t xml:space="preserve"> </w:t>
      </w:r>
      <w:r w:rsidRPr="0088497C">
        <w:rPr>
          <w:lang w:val="en-US"/>
        </w:rPr>
        <w:t>Does Corporate Governance Matter</w:t>
      </w:r>
      <w:r>
        <w:rPr>
          <w:lang w:val="en-US"/>
        </w:rPr>
        <w:t xml:space="preserve"> </w:t>
      </w:r>
      <w:r w:rsidRPr="0088497C">
        <w:rPr>
          <w:lang w:val="en-US"/>
        </w:rPr>
        <w:t>in Competitive Industries?</w:t>
      </w:r>
      <w:r>
        <w:rPr>
          <w:lang w:val="en-US"/>
        </w:rPr>
        <w:t xml:space="preserve"> </w:t>
      </w:r>
      <w:r w:rsidRPr="00667E1E">
        <w:rPr>
          <w:i/>
          <w:lang w:val="en-US"/>
        </w:rPr>
        <w:t>Journal of Financial Economics, 95</w:t>
      </w:r>
      <w:r w:rsidR="00667E1E">
        <w:rPr>
          <w:lang w:val="en-US"/>
        </w:rPr>
        <w:t>(</w:t>
      </w:r>
      <w:r w:rsidRPr="0088497C">
        <w:rPr>
          <w:lang w:val="en-US"/>
        </w:rPr>
        <w:t>3</w:t>
      </w:r>
      <w:r w:rsidR="00667E1E">
        <w:rPr>
          <w:lang w:val="en-US"/>
        </w:rPr>
        <w:t>)</w:t>
      </w:r>
      <w:r w:rsidRPr="0088497C">
        <w:rPr>
          <w:lang w:val="en-US"/>
        </w:rPr>
        <w:t>, 312–331</w:t>
      </w:r>
      <w:r w:rsidR="00E150A6">
        <w:rPr>
          <w:lang w:val="en-US"/>
        </w:rPr>
        <w:t>.</w:t>
      </w:r>
    </w:p>
    <w:p w:rsidR="00451D15" w:rsidRDefault="00451D15" w:rsidP="007A3630">
      <w:pPr>
        <w:rPr>
          <w:lang w:val="en-US"/>
        </w:rPr>
      </w:pPr>
      <w:r>
        <w:rPr>
          <w:lang w:val="en-US"/>
        </w:rPr>
        <w:t>Hall, J</w:t>
      </w:r>
      <w:r w:rsidR="006D309E">
        <w:rPr>
          <w:lang w:val="en-US"/>
        </w:rPr>
        <w:t>.</w:t>
      </w:r>
      <w:r w:rsidR="00667E1E">
        <w:rPr>
          <w:lang w:val="en-US"/>
        </w:rPr>
        <w:t>A. (2011).</w:t>
      </w:r>
      <w:r>
        <w:rPr>
          <w:lang w:val="en-US"/>
        </w:rPr>
        <w:t xml:space="preserve"> </w:t>
      </w:r>
      <w:r w:rsidRPr="00667E1E">
        <w:rPr>
          <w:i/>
          <w:lang w:val="en-US"/>
        </w:rPr>
        <w:t>Introduction to Accounting Information Systems, the 7</w:t>
      </w:r>
      <w:r w:rsidRPr="00667E1E">
        <w:rPr>
          <w:i/>
          <w:vertAlign w:val="superscript"/>
          <w:lang w:val="en-US"/>
        </w:rPr>
        <w:t>th</w:t>
      </w:r>
      <w:r w:rsidRPr="00667E1E">
        <w:rPr>
          <w:i/>
          <w:lang w:val="en-US"/>
        </w:rPr>
        <w:t xml:space="preserve"> edition</w:t>
      </w:r>
      <w:r w:rsidR="00667E1E">
        <w:rPr>
          <w:i/>
          <w:lang w:val="en-US"/>
        </w:rPr>
        <w:t xml:space="preserve">. </w:t>
      </w:r>
      <w:r w:rsidR="00667E1E">
        <w:rPr>
          <w:lang w:val="en-US"/>
        </w:rPr>
        <w:t>Hamshire, England:</w:t>
      </w:r>
      <w:r>
        <w:rPr>
          <w:lang w:val="en-US"/>
        </w:rPr>
        <w:t xml:space="preserve"> South Western Cengage Learning</w:t>
      </w:r>
      <w:r w:rsidR="007B1C53">
        <w:rPr>
          <w:lang w:val="en-US"/>
        </w:rPr>
        <w:t>.</w:t>
      </w:r>
    </w:p>
    <w:p w:rsidR="00DF680E" w:rsidRDefault="007A3630" w:rsidP="00DF680E">
      <w:pPr>
        <w:autoSpaceDE w:val="0"/>
        <w:autoSpaceDN w:val="0"/>
        <w:adjustRightInd w:val="0"/>
        <w:spacing w:after="0"/>
        <w:rPr>
          <w:rFonts w:cs="AdvTimes"/>
          <w:lang w:val="en-US"/>
        </w:rPr>
      </w:pPr>
      <w:r w:rsidRPr="00A823B2">
        <w:rPr>
          <w:lang w:val="en-US"/>
        </w:rPr>
        <w:t xml:space="preserve">Hayes, </w:t>
      </w:r>
      <w:r w:rsidR="00194A99" w:rsidRPr="00A823B2">
        <w:rPr>
          <w:lang w:val="en-US"/>
        </w:rPr>
        <w:t>D</w:t>
      </w:r>
      <w:r w:rsidR="00667E1E">
        <w:rPr>
          <w:lang w:val="en-US"/>
        </w:rPr>
        <w:t>.</w:t>
      </w:r>
      <w:r w:rsidR="00194A99" w:rsidRPr="00A823B2">
        <w:rPr>
          <w:lang w:val="en-US"/>
        </w:rPr>
        <w:t>C.</w:t>
      </w:r>
      <w:r w:rsidR="00194A99">
        <w:rPr>
          <w:lang w:val="en-US"/>
        </w:rPr>
        <w:t>,</w:t>
      </w:r>
      <w:r w:rsidR="00194A99" w:rsidRPr="00A823B2">
        <w:rPr>
          <w:lang w:val="en-US"/>
        </w:rPr>
        <w:t xml:space="preserve"> </w:t>
      </w:r>
      <w:r w:rsidRPr="00A823B2">
        <w:rPr>
          <w:lang w:val="en-US"/>
        </w:rPr>
        <w:t xml:space="preserve">Hunton, </w:t>
      </w:r>
      <w:r w:rsidR="00194A99" w:rsidRPr="00A823B2">
        <w:rPr>
          <w:lang w:val="en-US"/>
        </w:rPr>
        <w:t>J</w:t>
      </w:r>
      <w:r w:rsidR="00667E1E">
        <w:rPr>
          <w:lang w:val="en-US"/>
        </w:rPr>
        <w:t>.</w:t>
      </w:r>
      <w:r w:rsidR="00194A99" w:rsidRPr="00A823B2">
        <w:rPr>
          <w:lang w:val="en-US"/>
        </w:rPr>
        <w:t>E.</w:t>
      </w:r>
      <w:r w:rsidR="00667E1E">
        <w:rPr>
          <w:lang w:val="en-US"/>
        </w:rPr>
        <w:t xml:space="preserve">, &amp; </w:t>
      </w:r>
      <w:r w:rsidRPr="00A823B2">
        <w:rPr>
          <w:lang w:val="en-US"/>
        </w:rPr>
        <w:t>Reck</w:t>
      </w:r>
      <w:r w:rsidR="00194A99">
        <w:rPr>
          <w:lang w:val="en-US"/>
        </w:rPr>
        <w:t>,</w:t>
      </w:r>
      <w:r w:rsidRPr="00A823B2">
        <w:rPr>
          <w:lang w:val="en-US"/>
        </w:rPr>
        <w:t xml:space="preserve"> </w:t>
      </w:r>
      <w:r w:rsidR="00194A99" w:rsidRPr="00A823B2">
        <w:rPr>
          <w:lang w:val="en-US"/>
        </w:rPr>
        <w:t>J</w:t>
      </w:r>
      <w:r w:rsidR="00667E1E">
        <w:rPr>
          <w:lang w:val="en-US"/>
        </w:rPr>
        <w:t>.</w:t>
      </w:r>
      <w:r w:rsidR="00194A99" w:rsidRPr="00A823B2">
        <w:rPr>
          <w:lang w:val="en-US"/>
        </w:rPr>
        <w:t xml:space="preserve">L. </w:t>
      </w:r>
      <w:r w:rsidRPr="00A823B2">
        <w:rPr>
          <w:lang w:val="en-US"/>
        </w:rPr>
        <w:t>(2001)</w:t>
      </w:r>
      <w:r w:rsidR="00667E1E">
        <w:rPr>
          <w:lang w:val="en-US"/>
        </w:rPr>
        <w:t>.</w:t>
      </w:r>
      <w:r w:rsidRPr="00A823B2">
        <w:rPr>
          <w:lang w:val="en-US"/>
        </w:rPr>
        <w:t xml:space="preserve"> Market Reaction to ERP Implementation Announcements</w:t>
      </w:r>
      <w:r w:rsidR="00667E1E">
        <w:rPr>
          <w:lang w:val="en-US"/>
        </w:rPr>
        <w:t xml:space="preserve">. </w:t>
      </w:r>
      <w:r w:rsidR="00667E1E">
        <w:rPr>
          <w:i/>
          <w:lang w:val="en-US"/>
        </w:rPr>
        <w:t>Journal of Information Systems,</w:t>
      </w:r>
      <w:r w:rsidRPr="00667E1E">
        <w:rPr>
          <w:i/>
          <w:lang w:val="en-US"/>
        </w:rPr>
        <w:t xml:space="preserve"> 15</w:t>
      </w:r>
      <w:r w:rsidR="00667E1E">
        <w:rPr>
          <w:lang w:val="en-US"/>
        </w:rPr>
        <w:t>(</w:t>
      </w:r>
      <w:r w:rsidRPr="00A823B2">
        <w:rPr>
          <w:lang w:val="en-US"/>
        </w:rPr>
        <w:t>1</w:t>
      </w:r>
      <w:r w:rsidR="00667E1E">
        <w:rPr>
          <w:lang w:val="en-US"/>
        </w:rPr>
        <w:t>)</w:t>
      </w:r>
      <w:r w:rsidRPr="00A823B2">
        <w:rPr>
          <w:lang w:val="en-US"/>
        </w:rPr>
        <w:t>, 3-18.</w:t>
      </w:r>
      <w:r w:rsidR="00DF680E" w:rsidRPr="00DF680E">
        <w:rPr>
          <w:rFonts w:cs="AdvTimes"/>
          <w:lang w:val="en-US"/>
        </w:rPr>
        <w:t xml:space="preserve"> </w:t>
      </w:r>
    </w:p>
    <w:p w:rsidR="00DF680E" w:rsidRDefault="00DF680E" w:rsidP="00DF680E">
      <w:pPr>
        <w:autoSpaceDE w:val="0"/>
        <w:autoSpaceDN w:val="0"/>
        <w:adjustRightInd w:val="0"/>
        <w:spacing w:after="0"/>
        <w:rPr>
          <w:rFonts w:cs="AdvTimes"/>
          <w:lang w:val="en-US"/>
        </w:rPr>
      </w:pPr>
    </w:p>
    <w:p w:rsidR="00DF680E" w:rsidRDefault="00DF680E" w:rsidP="00DF680E">
      <w:pPr>
        <w:autoSpaceDE w:val="0"/>
        <w:autoSpaceDN w:val="0"/>
        <w:adjustRightInd w:val="0"/>
        <w:spacing w:after="0"/>
        <w:rPr>
          <w:rFonts w:cs="AdvTimes"/>
          <w:lang w:val="en-US"/>
        </w:rPr>
      </w:pPr>
      <w:r w:rsidRPr="001261A3">
        <w:rPr>
          <w:rFonts w:cs="AdvTimes"/>
          <w:lang w:val="en-US"/>
        </w:rPr>
        <w:t xml:space="preserve">Information System Audit and Control Association </w:t>
      </w:r>
      <w:r>
        <w:rPr>
          <w:rFonts w:cs="AdvTimes"/>
          <w:lang w:val="en-US"/>
        </w:rPr>
        <w:t>(ISACA) (2007)</w:t>
      </w:r>
      <w:r w:rsidR="00667E1E">
        <w:rPr>
          <w:rFonts w:cs="AdvTimes"/>
          <w:lang w:val="en-US"/>
        </w:rPr>
        <w:t>.</w:t>
      </w:r>
      <w:r>
        <w:rPr>
          <w:rFonts w:cs="AdvTimes"/>
          <w:lang w:val="en-US"/>
        </w:rPr>
        <w:t xml:space="preserve"> </w:t>
      </w:r>
      <w:r w:rsidRPr="00BF40B2">
        <w:rPr>
          <w:rFonts w:cs="AdvTimes"/>
          <w:i/>
          <w:lang w:val="en-US"/>
        </w:rPr>
        <w:t>Executive Summary Framework, COBIT 4.1</w:t>
      </w:r>
      <w:r w:rsidR="00BF40B2">
        <w:rPr>
          <w:rFonts w:cs="AdvTimes"/>
          <w:lang w:val="en-US"/>
        </w:rPr>
        <w:t>.</w:t>
      </w:r>
      <w:r w:rsidRPr="001261A3">
        <w:rPr>
          <w:rFonts w:cs="AdvTimes"/>
          <w:lang w:val="en-US"/>
        </w:rPr>
        <w:t xml:space="preserve"> Available at </w:t>
      </w:r>
      <w:r w:rsidR="00BF40B2">
        <w:rPr>
          <w:rFonts w:cs="AdvTimes"/>
          <w:lang w:val="en-US"/>
        </w:rPr>
        <w:t>http://</w:t>
      </w:r>
      <w:r w:rsidRPr="001261A3">
        <w:rPr>
          <w:rFonts w:cs="AdvTimes"/>
          <w:lang w:val="en-US"/>
        </w:rPr>
        <w:t>www.isaca.org/Template.cfm</w:t>
      </w:r>
      <w:r w:rsidR="00E150A6">
        <w:rPr>
          <w:rFonts w:cs="AdvTimes"/>
          <w:lang w:val="en-US"/>
        </w:rPr>
        <w:t>.</w:t>
      </w:r>
      <w:r w:rsidRPr="001261A3">
        <w:rPr>
          <w:rFonts w:cs="AdvTimes"/>
          <w:lang w:val="en-US"/>
        </w:rPr>
        <w:t xml:space="preserve"> </w:t>
      </w:r>
    </w:p>
    <w:p w:rsidR="00DF680E" w:rsidRDefault="00DF680E" w:rsidP="00DF680E">
      <w:pPr>
        <w:autoSpaceDE w:val="0"/>
        <w:autoSpaceDN w:val="0"/>
        <w:adjustRightInd w:val="0"/>
        <w:spacing w:after="0"/>
        <w:rPr>
          <w:rFonts w:cs="AdvTimes"/>
          <w:lang w:val="en-US"/>
        </w:rPr>
      </w:pPr>
    </w:p>
    <w:p w:rsidR="00DF680E" w:rsidRDefault="00DF680E" w:rsidP="00DF680E">
      <w:pPr>
        <w:autoSpaceDE w:val="0"/>
        <w:autoSpaceDN w:val="0"/>
        <w:adjustRightInd w:val="0"/>
        <w:spacing w:after="0"/>
        <w:rPr>
          <w:rFonts w:cs="AdvTimes"/>
          <w:lang w:val="en-US"/>
        </w:rPr>
      </w:pPr>
      <w:r>
        <w:rPr>
          <w:rFonts w:cs="AdvTimes"/>
          <w:lang w:val="en-US"/>
        </w:rPr>
        <w:t>Information System Audit and Control Association (ISACA) (</w:t>
      </w:r>
      <w:r w:rsidR="00BF40B2">
        <w:rPr>
          <w:rFonts w:cs="AdvTimes"/>
          <w:lang w:val="en-US"/>
        </w:rPr>
        <w:t>2012).</w:t>
      </w:r>
      <w:r>
        <w:rPr>
          <w:rFonts w:cs="AdvTimes"/>
          <w:lang w:val="en-US"/>
        </w:rPr>
        <w:t xml:space="preserve"> </w:t>
      </w:r>
      <w:r w:rsidR="00BF40B2" w:rsidRPr="00BF40B2">
        <w:rPr>
          <w:rFonts w:cs="AdvTimes"/>
          <w:i/>
          <w:lang w:val="en-US"/>
        </w:rPr>
        <w:t>COBIT 5.0 Executive Summary</w:t>
      </w:r>
      <w:r w:rsidR="00BF40B2">
        <w:rPr>
          <w:rFonts w:cs="AdvTimes"/>
          <w:lang w:val="en-US"/>
        </w:rPr>
        <w:t>.</w:t>
      </w:r>
      <w:r>
        <w:rPr>
          <w:rFonts w:cs="AdvTimes"/>
          <w:lang w:val="en-US"/>
        </w:rPr>
        <w:t xml:space="preserve"> Available at </w:t>
      </w:r>
      <w:r w:rsidRPr="00DF680E">
        <w:rPr>
          <w:rFonts w:cs="AdvTimes"/>
          <w:lang w:val="en-US"/>
        </w:rPr>
        <w:t>http://www.isaca.org/COBIT/Documents/Executive-Summary.pdf</w:t>
      </w:r>
      <w:r w:rsidR="00E150A6">
        <w:rPr>
          <w:rFonts w:cs="AdvTimes"/>
          <w:lang w:val="en-US"/>
        </w:rPr>
        <w:t>.</w:t>
      </w:r>
    </w:p>
    <w:p w:rsidR="00DF680E" w:rsidRDefault="00DF680E" w:rsidP="00DF680E">
      <w:pPr>
        <w:autoSpaceDE w:val="0"/>
        <w:autoSpaceDN w:val="0"/>
        <w:adjustRightInd w:val="0"/>
        <w:spacing w:after="0"/>
        <w:rPr>
          <w:rFonts w:cs="AdvTimes"/>
          <w:lang w:val="en-US"/>
        </w:rPr>
      </w:pPr>
    </w:p>
    <w:p w:rsidR="00324A26" w:rsidRPr="00324A26" w:rsidRDefault="00324A26" w:rsidP="00324A26">
      <w:pPr>
        <w:rPr>
          <w:lang w:val="en-US"/>
        </w:rPr>
      </w:pPr>
      <w:r w:rsidRPr="00324A26">
        <w:rPr>
          <w:lang w:val="en-US"/>
        </w:rPr>
        <w:t>Klamm, B</w:t>
      </w:r>
      <w:r w:rsidR="00BF40B2">
        <w:rPr>
          <w:lang w:val="en-US"/>
        </w:rPr>
        <w:t>.</w:t>
      </w:r>
      <w:r w:rsidRPr="00324A26">
        <w:rPr>
          <w:lang w:val="en-US"/>
        </w:rPr>
        <w:t>K., Kobelsky, K</w:t>
      </w:r>
      <w:r w:rsidR="00BF40B2">
        <w:rPr>
          <w:lang w:val="en-US"/>
        </w:rPr>
        <w:t>.W</w:t>
      </w:r>
      <w:r w:rsidRPr="00324A26">
        <w:rPr>
          <w:lang w:val="en-US"/>
        </w:rPr>
        <w:t>.</w:t>
      </w:r>
      <w:r w:rsidR="00BF40B2">
        <w:rPr>
          <w:lang w:val="en-US"/>
        </w:rPr>
        <w:t>, &amp; Weidenmier</w:t>
      </w:r>
      <w:r w:rsidRPr="00324A26">
        <w:rPr>
          <w:lang w:val="en-US"/>
        </w:rPr>
        <w:t>, M</w:t>
      </w:r>
      <w:r w:rsidR="00BF40B2">
        <w:rPr>
          <w:lang w:val="en-US"/>
        </w:rPr>
        <w:t xml:space="preserve">. </w:t>
      </w:r>
      <w:r>
        <w:rPr>
          <w:lang w:val="en-US"/>
        </w:rPr>
        <w:t>(</w:t>
      </w:r>
      <w:r w:rsidRPr="00324A26">
        <w:rPr>
          <w:lang w:val="en-US"/>
        </w:rPr>
        <w:t>2012</w:t>
      </w:r>
      <w:r>
        <w:rPr>
          <w:lang w:val="en-US"/>
        </w:rPr>
        <w:t>)</w:t>
      </w:r>
      <w:r w:rsidR="00BF40B2">
        <w:rPr>
          <w:lang w:val="en-US"/>
        </w:rPr>
        <w:t xml:space="preserve">. </w:t>
      </w:r>
      <w:r w:rsidRPr="00324A26">
        <w:rPr>
          <w:lang w:val="en-US"/>
        </w:rPr>
        <w:t xml:space="preserve">Determinants of the </w:t>
      </w:r>
      <w:r>
        <w:rPr>
          <w:lang w:val="en-US"/>
        </w:rPr>
        <w:t>p</w:t>
      </w:r>
      <w:r w:rsidRPr="00324A26">
        <w:rPr>
          <w:lang w:val="en-US"/>
        </w:rPr>
        <w:t>ersistence of Internal</w:t>
      </w:r>
      <w:r>
        <w:rPr>
          <w:lang w:val="en-US"/>
        </w:rPr>
        <w:t xml:space="preserve"> </w:t>
      </w:r>
      <w:r w:rsidRPr="00324A26">
        <w:rPr>
          <w:lang w:val="en-US"/>
        </w:rPr>
        <w:t>Control Weaknesses</w:t>
      </w:r>
      <w:r w:rsidR="00BF40B2">
        <w:rPr>
          <w:lang w:val="en-US"/>
        </w:rPr>
        <w:t xml:space="preserve">. </w:t>
      </w:r>
      <w:r w:rsidRPr="00BF40B2">
        <w:rPr>
          <w:i/>
          <w:lang w:val="en-US"/>
        </w:rPr>
        <w:t>Accounting Horizons American Accounting Association</w:t>
      </w:r>
      <w:r w:rsidR="00FD0902" w:rsidRPr="00BF40B2">
        <w:rPr>
          <w:i/>
          <w:lang w:val="en-US"/>
        </w:rPr>
        <w:t xml:space="preserve">, </w:t>
      </w:r>
      <w:r w:rsidRPr="00BF40B2">
        <w:rPr>
          <w:i/>
          <w:lang w:val="en-US"/>
        </w:rPr>
        <w:t xml:space="preserve"> 26</w:t>
      </w:r>
      <w:r w:rsidR="00BF40B2">
        <w:rPr>
          <w:lang w:val="en-US"/>
        </w:rPr>
        <w:t>(</w:t>
      </w:r>
      <w:r w:rsidRPr="00324A26">
        <w:rPr>
          <w:lang w:val="en-US"/>
        </w:rPr>
        <w:t>2</w:t>
      </w:r>
      <w:r w:rsidR="00BF40B2">
        <w:rPr>
          <w:lang w:val="en-US"/>
        </w:rPr>
        <w:t>)</w:t>
      </w:r>
      <w:r w:rsidR="00FD0902">
        <w:rPr>
          <w:lang w:val="en-US"/>
        </w:rPr>
        <w:t>,</w:t>
      </w:r>
      <w:r w:rsidRPr="00324A26">
        <w:rPr>
          <w:lang w:val="en-US"/>
        </w:rPr>
        <w:t xml:space="preserve"> 307–333</w:t>
      </w:r>
      <w:r w:rsidR="00E150A6">
        <w:rPr>
          <w:lang w:val="en-US"/>
        </w:rPr>
        <w:t>.</w:t>
      </w:r>
    </w:p>
    <w:p w:rsidR="007A3630" w:rsidRDefault="007A3630" w:rsidP="007B1C53">
      <w:pPr>
        <w:rPr>
          <w:lang w:val="en-US"/>
        </w:rPr>
      </w:pPr>
      <w:r w:rsidRPr="00BF40B2">
        <w:t>Li, C., Lim, J.H.</w:t>
      </w:r>
      <w:r w:rsidR="00BF40B2" w:rsidRPr="00BF40B2">
        <w:t xml:space="preserve">, &amp; </w:t>
      </w:r>
      <w:r w:rsidRPr="00BF40B2">
        <w:t>Wang, Q. (2007)</w:t>
      </w:r>
      <w:r w:rsidR="00BF40B2" w:rsidRPr="00BF40B2">
        <w:t xml:space="preserve">. </w:t>
      </w:r>
      <w:r w:rsidR="007B1C53" w:rsidRPr="007B1C53">
        <w:rPr>
          <w:lang w:val="en-US"/>
        </w:rPr>
        <w:t>Internal and external influences on IT</w:t>
      </w:r>
      <w:r w:rsidR="007B1C53">
        <w:rPr>
          <w:lang w:val="en-US"/>
        </w:rPr>
        <w:t xml:space="preserve"> </w:t>
      </w:r>
      <w:r w:rsidR="007B1C53" w:rsidRPr="007B1C53">
        <w:rPr>
          <w:lang w:val="en-US"/>
        </w:rPr>
        <w:t>control governance</w:t>
      </w:r>
      <w:r w:rsidR="00BF40B2">
        <w:rPr>
          <w:lang w:val="en-US"/>
        </w:rPr>
        <w:t>.</w:t>
      </w:r>
      <w:r w:rsidRPr="00AC08FA">
        <w:rPr>
          <w:lang w:val="en-US"/>
        </w:rPr>
        <w:t xml:space="preserve"> </w:t>
      </w:r>
      <w:r w:rsidR="007B1C53" w:rsidRPr="00BF40B2">
        <w:rPr>
          <w:i/>
          <w:lang w:val="en-US"/>
        </w:rPr>
        <w:t>International Journal of Accounting Information Systems</w:t>
      </w:r>
      <w:r w:rsidR="00BF40B2">
        <w:rPr>
          <w:i/>
          <w:lang w:val="en-US"/>
        </w:rPr>
        <w:t>,</w:t>
      </w:r>
      <w:r w:rsidR="007B1C53" w:rsidRPr="00BF40B2">
        <w:rPr>
          <w:i/>
          <w:lang w:val="en-US"/>
        </w:rPr>
        <w:t xml:space="preserve"> 8</w:t>
      </w:r>
      <w:r w:rsidR="00BF40B2">
        <w:rPr>
          <w:lang w:val="en-US"/>
        </w:rPr>
        <w:t>(</w:t>
      </w:r>
      <w:r w:rsidR="007B1C53">
        <w:rPr>
          <w:lang w:val="en-US"/>
        </w:rPr>
        <w:t xml:space="preserve"> 1</w:t>
      </w:r>
      <w:r w:rsidR="00BF40B2">
        <w:rPr>
          <w:lang w:val="en-US"/>
        </w:rPr>
        <w:t>)</w:t>
      </w:r>
      <w:r w:rsidR="007B1C53">
        <w:rPr>
          <w:lang w:val="en-US"/>
        </w:rPr>
        <w:t>,</w:t>
      </w:r>
      <w:r w:rsidR="007B1C53" w:rsidRPr="007B1C53">
        <w:rPr>
          <w:lang w:val="en-US"/>
        </w:rPr>
        <w:t xml:space="preserve"> 225–239</w:t>
      </w:r>
      <w:r w:rsidR="00E150A6">
        <w:rPr>
          <w:lang w:val="en-US"/>
        </w:rPr>
        <w:t>.</w:t>
      </w:r>
      <w:r w:rsidR="007B1C53" w:rsidRPr="007B1C53">
        <w:rPr>
          <w:lang w:val="en-US"/>
        </w:rPr>
        <w:t xml:space="preserve"> </w:t>
      </w:r>
    </w:p>
    <w:p w:rsidR="005F6D4A" w:rsidRDefault="005F6D4A" w:rsidP="004A2B92">
      <w:pPr>
        <w:rPr>
          <w:lang w:val="en-US"/>
        </w:rPr>
      </w:pPr>
      <w:r>
        <w:rPr>
          <w:lang w:val="en-US"/>
        </w:rPr>
        <w:t xml:space="preserve">Li, C., Peters,G.F., </w:t>
      </w:r>
      <w:r w:rsidRPr="005F6D4A">
        <w:rPr>
          <w:lang w:val="en-US"/>
        </w:rPr>
        <w:t>Richardson</w:t>
      </w:r>
      <w:r>
        <w:rPr>
          <w:lang w:val="en-US"/>
        </w:rPr>
        <w:t xml:space="preserve">, V.J., </w:t>
      </w:r>
      <w:r w:rsidR="00BF40B2">
        <w:rPr>
          <w:lang w:val="en-US"/>
        </w:rPr>
        <w:t xml:space="preserve">&amp; </w:t>
      </w:r>
      <w:r w:rsidRPr="005F6D4A">
        <w:rPr>
          <w:lang w:val="en-US"/>
        </w:rPr>
        <w:t>Watson,</w:t>
      </w:r>
      <w:r>
        <w:rPr>
          <w:lang w:val="en-US"/>
        </w:rPr>
        <w:t xml:space="preserve"> M.W. (2</w:t>
      </w:r>
      <w:r w:rsidRPr="005F6D4A">
        <w:rPr>
          <w:lang w:val="en-US"/>
        </w:rPr>
        <w:t>012</w:t>
      </w:r>
      <w:r>
        <w:rPr>
          <w:lang w:val="en-US"/>
        </w:rPr>
        <w:t>)</w:t>
      </w:r>
      <w:r w:rsidR="00BF40B2">
        <w:rPr>
          <w:lang w:val="en-US"/>
        </w:rPr>
        <w:t>.</w:t>
      </w:r>
      <w:r>
        <w:rPr>
          <w:lang w:val="en-US"/>
        </w:rPr>
        <w:t xml:space="preserve"> The Consequences of Information Technology Control Weaknesses on Management Control Systems: The case of Sarbanes Oxley Internal Control Reports</w:t>
      </w:r>
      <w:r w:rsidR="00BF40B2">
        <w:rPr>
          <w:lang w:val="en-US"/>
        </w:rPr>
        <w:t>.</w:t>
      </w:r>
      <w:r>
        <w:rPr>
          <w:lang w:val="en-US"/>
        </w:rPr>
        <w:t xml:space="preserve"> </w:t>
      </w:r>
      <w:r w:rsidRPr="00BF40B2">
        <w:rPr>
          <w:i/>
          <w:lang w:val="en-US"/>
        </w:rPr>
        <w:t>MIS Quarterly,</w:t>
      </w:r>
      <w:r w:rsidR="00BF40B2">
        <w:rPr>
          <w:i/>
          <w:lang w:val="en-US"/>
        </w:rPr>
        <w:t xml:space="preserve"> </w:t>
      </w:r>
      <w:r w:rsidRPr="00BF40B2">
        <w:rPr>
          <w:i/>
          <w:lang w:val="en-US"/>
        </w:rPr>
        <w:t>36</w:t>
      </w:r>
      <w:r w:rsidR="00BF40B2">
        <w:rPr>
          <w:lang w:val="en-US"/>
        </w:rPr>
        <w:t>(</w:t>
      </w:r>
      <w:r w:rsidRPr="005F6D4A">
        <w:rPr>
          <w:lang w:val="en-US"/>
        </w:rPr>
        <w:t>1</w:t>
      </w:r>
      <w:r w:rsidR="00BF40B2">
        <w:rPr>
          <w:lang w:val="en-US"/>
        </w:rPr>
        <w:t>)</w:t>
      </w:r>
      <w:r>
        <w:rPr>
          <w:lang w:val="en-US"/>
        </w:rPr>
        <w:t>,</w:t>
      </w:r>
      <w:r w:rsidR="00BF40B2">
        <w:rPr>
          <w:lang w:val="en-US"/>
        </w:rPr>
        <w:t xml:space="preserve"> </w:t>
      </w:r>
      <w:r w:rsidRPr="005F6D4A">
        <w:rPr>
          <w:lang w:val="en-US"/>
        </w:rPr>
        <w:t>179-203</w:t>
      </w:r>
      <w:r w:rsidR="00E150A6">
        <w:rPr>
          <w:lang w:val="en-US"/>
        </w:rPr>
        <w:t>.</w:t>
      </w:r>
    </w:p>
    <w:p w:rsidR="006D17F9" w:rsidRDefault="006D17F9" w:rsidP="006D17F9">
      <w:pPr>
        <w:rPr>
          <w:lang w:val="en-US"/>
        </w:rPr>
      </w:pPr>
      <w:r w:rsidRPr="006D17F9">
        <w:rPr>
          <w:lang w:val="en-US"/>
        </w:rPr>
        <w:t>Leibenstein, H</w:t>
      </w:r>
      <w:r>
        <w:rPr>
          <w:lang w:val="en-US"/>
        </w:rPr>
        <w:t>.</w:t>
      </w:r>
      <w:r w:rsidRPr="006D17F9">
        <w:rPr>
          <w:lang w:val="en-US"/>
        </w:rPr>
        <w:t xml:space="preserve"> </w:t>
      </w:r>
      <w:r>
        <w:rPr>
          <w:lang w:val="en-US"/>
        </w:rPr>
        <w:t>(</w:t>
      </w:r>
      <w:r w:rsidRPr="006D17F9">
        <w:rPr>
          <w:lang w:val="en-US"/>
        </w:rPr>
        <w:t>1966</w:t>
      </w:r>
      <w:r>
        <w:rPr>
          <w:lang w:val="en-US"/>
        </w:rPr>
        <w:t>)</w:t>
      </w:r>
      <w:r w:rsidR="00BF40B2">
        <w:rPr>
          <w:lang w:val="en-US"/>
        </w:rPr>
        <w:t>.</w:t>
      </w:r>
      <w:r w:rsidRPr="006D17F9">
        <w:rPr>
          <w:lang w:val="en-US"/>
        </w:rPr>
        <w:t xml:space="preserve"> Allocati</w:t>
      </w:r>
      <w:r>
        <w:rPr>
          <w:lang w:val="en-US"/>
        </w:rPr>
        <w:t>ve Efficiency vs. ‘X-Efficiency’</w:t>
      </w:r>
      <w:r w:rsidR="00BF40B2">
        <w:rPr>
          <w:lang w:val="en-US"/>
        </w:rPr>
        <w:t>.</w:t>
      </w:r>
      <w:r w:rsidRPr="006D17F9">
        <w:rPr>
          <w:lang w:val="en-US"/>
        </w:rPr>
        <w:t xml:space="preserve"> </w:t>
      </w:r>
      <w:r w:rsidRPr="00BF40B2">
        <w:rPr>
          <w:i/>
          <w:lang w:val="en-US"/>
        </w:rPr>
        <w:t>American Economic Review</w:t>
      </w:r>
      <w:r w:rsidR="00BF40B2">
        <w:rPr>
          <w:i/>
          <w:lang w:val="en-US"/>
        </w:rPr>
        <w:t>,</w:t>
      </w:r>
      <w:r w:rsidRPr="00BF40B2">
        <w:rPr>
          <w:i/>
          <w:lang w:val="en-US"/>
        </w:rPr>
        <w:t xml:space="preserve"> 56</w:t>
      </w:r>
      <w:r w:rsidR="00BF40B2">
        <w:rPr>
          <w:lang w:val="en-US"/>
        </w:rPr>
        <w:t>(</w:t>
      </w:r>
      <w:r>
        <w:rPr>
          <w:lang w:val="en-US"/>
        </w:rPr>
        <w:t>1</w:t>
      </w:r>
      <w:r w:rsidR="00BF40B2">
        <w:rPr>
          <w:lang w:val="en-US"/>
        </w:rPr>
        <w:t>)</w:t>
      </w:r>
      <w:r w:rsidRPr="006D17F9">
        <w:rPr>
          <w:lang w:val="en-US"/>
        </w:rPr>
        <w:t>,</w:t>
      </w:r>
      <w:r>
        <w:rPr>
          <w:lang w:val="en-US"/>
        </w:rPr>
        <w:t xml:space="preserve"> </w:t>
      </w:r>
      <w:r w:rsidRPr="006D17F9">
        <w:rPr>
          <w:lang w:val="en-US"/>
        </w:rPr>
        <w:t>392-415.</w:t>
      </w:r>
    </w:p>
    <w:p w:rsidR="004A2B92" w:rsidRDefault="004A2B92" w:rsidP="004A2B92">
      <w:pPr>
        <w:rPr>
          <w:lang w:val="en-US"/>
        </w:rPr>
      </w:pPr>
      <w:r w:rsidRPr="004A2B92">
        <w:rPr>
          <w:lang w:val="en-US"/>
        </w:rPr>
        <w:t>Lin, F</w:t>
      </w:r>
      <w:r>
        <w:rPr>
          <w:lang w:val="en-US"/>
        </w:rPr>
        <w:t>.</w:t>
      </w:r>
      <w:r w:rsidR="00BF40B2">
        <w:rPr>
          <w:lang w:val="en-US"/>
        </w:rPr>
        <w:t>,</w:t>
      </w:r>
      <w:r w:rsidRPr="004A2B92">
        <w:rPr>
          <w:lang w:val="en-US"/>
        </w:rPr>
        <w:t xml:space="preserve"> Guan, L</w:t>
      </w:r>
      <w:r w:rsidR="00BF40B2">
        <w:rPr>
          <w:lang w:val="en-US"/>
        </w:rPr>
        <w:t xml:space="preserve">., &amp; </w:t>
      </w:r>
      <w:r w:rsidRPr="004A2B92">
        <w:rPr>
          <w:lang w:val="en-US"/>
        </w:rPr>
        <w:t>Fang</w:t>
      </w:r>
      <w:r>
        <w:rPr>
          <w:lang w:val="en-US"/>
        </w:rPr>
        <w:t>,</w:t>
      </w:r>
      <w:r w:rsidRPr="004A2B92">
        <w:rPr>
          <w:lang w:val="en-US"/>
        </w:rPr>
        <w:t xml:space="preserve"> W</w:t>
      </w:r>
      <w:r w:rsidR="00BF40B2">
        <w:rPr>
          <w:lang w:val="en-US"/>
        </w:rPr>
        <w:t>.</w:t>
      </w:r>
      <w:r>
        <w:rPr>
          <w:lang w:val="en-US"/>
        </w:rPr>
        <w:t xml:space="preserve"> (2010)</w:t>
      </w:r>
      <w:r w:rsidR="00BF40B2">
        <w:rPr>
          <w:lang w:val="en-US"/>
        </w:rPr>
        <w:t>.</w:t>
      </w:r>
      <w:r w:rsidRPr="004A2B92">
        <w:rPr>
          <w:lang w:val="en-US"/>
        </w:rPr>
        <w:t xml:space="preserve"> Critical Factors Affecting the Evaluation of</w:t>
      </w:r>
      <w:r>
        <w:rPr>
          <w:lang w:val="en-US"/>
        </w:rPr>
        <w:t xml:space="preserve"> </w:t>
      </w:r>
      <w:r w:rsidRPr="004A2B92">
        <w:rPr>
          <w:lang w:val="en-US"/>
        </w:rPr>
        <w:t>Information Control Systems with the COBIT</w:t>
      </w:r>
      <w:r>
        <w:rPr>
          <w:lang w:val="en-US"/>
        </w:rPr>
        <w:t xml:space="preserve"> </w:t>
      </w:r>
      <w:r w:rsidRPr="004A2B92">
        <w:rPr>
          <w:lang w:val="en-US"/>
        </w:rPr>
        <w:t>Framework</w:t>
      </w:r>
      <w:r>
        <w:rPr>
          <w:lang w:val="en-US"/>
        </w:rPr>
        <w:t xml:space="preserve"> </w:t>
      </w:r>
      <w:r w:rsidRPr="004A2B92">
        <w:rPr>
          <w:lang w:val="en-US"/>
        </w:rPr>
        <w:t>A Study of CPA Firms in Taiwan</w:t>
      </w:r>
      <w:r w:rsidR="00BF40B2">
        <w:rPr>
          <w:lang w:val="en-US"/>
        </w:rPr>
        <w:t>.</w:t>
      </w:r>
      <w:r>
        <w:rPr>
          <w:lang w:val="en-US"/>
        </w:rPr>
        <w:t xml:space="preserve"> </w:t>
      </w:r>
      <w:r w:rsidRPr="00BF40B2">
        <w:rPr>
          <w:i/>
          <w:lang w:val="en-US"/>
        </w:rPr>
        <w:t>Emerging Markets Finance &amp; T</w:t>
      </w:r>
      <w:r w:rsidR="00CD1CBD" w:rsidRPr="00BF40B2">
        <w:rPr>
          <w:i/>
          <w:lang w:val="en-US"/>
        </w:rPr>
        <w:t xml:space="preserve">rade, </w:t>
      </w:r>
      <w:r w:rsidR="00BF40B2">
        <w:rPr>
          <w:i/>
          <w:lang w:val="en-US"/>
        </w:rPr>
        <w:t>46</w:t>
      </w:r>
      <w:r w:rsidR="00BF40B2">
        <w:rPr>
          <w:lang w:val="en-US"/>
        </w:rPr>
        <w:t>(</w:t>
      </w:r>
      <w:r w:rsidR="00CD1CBD">
        <w:rPr>
          <w:lang w:val="en-US"/>
        </w:rPr>
        <w:t>1</w:t>
      </w:r>
      <w:r w:rsidR="00BF40B2">
        <w:rPr>
          <w:lang w:val="en-US"/>
        </w:rPr>
        <w:t>)</w:t>
      </w:r>
      <w:r w:rsidR="00CD1CBD">
        <w:rPr>
          <w:lang w:val="en-US"/>
        </w:rPr>
        <w:t>, 42–55</w:t>
      </w:r>
      <w:r w:rsidR="00E150A6">
        <w:rPr>
          <w:lang w:val="en-US"/>
        </w:rPr>
        <w:t>.</w:t>
      </w:r>
    </w:p>
    <w:p w:rsidR="00D4236F" w:rsidRDefault="00D4236F" w:rsidP="00D4236F">
      <w:pPr>
        <w:rPr>
          <w:lang w:val="en-US"/>
        </w:rPr>
      </w:pPr>
      <w:r w:rsidRPr="00D4236F">
        <w:rPr>
          <w:lang w:val="en-US"/>
        </w:rPr>
        <w:t>Mead, N</w:t>
      </w:r>
      <w:r>
        <w:rPr>
          <w:lang w:val="en-US"/>
        </w:rPr>
        <w:t>.</w:t>
      </w:r>
      <w:r w:rsidRPr="00D4236F">
        <w:rPr>
          <w:lang w:val="en-US"/>
        </w:rPr>
        <w:t>R.</w:t>
      </w:r>
      <w:r>
        <w:rPr>
          <w:lang w:val="en-US"/>
        </w:rPr>
        <w:t>,</w:t>
      </w:r>
      <w:r w:rsidRPr="00D4236F">
        <w:rPr>
          <w:lang w:val="en-US"/>
        </w:rPr>
        <w:t xml:space="preserve"> Shoemaker, D</w:t>
      </w:r>
      <w:r>
        <w:rPr>
          <w:lang w:val="en-US"/>
        </w:rPr>
        <w:t xml:space="preserve">., </w:t>
      </w:r>
      <w:r w:rsidR="00BF40B2">
        <w:rPr>
          <w:lang w:val="en-US"/>
        </w:rPr>
        <w:t xml:space="preserve">&amp; </w:t>
      </w:r>
      <w:r w:rsidRPr="00D4236F">
        <w:rPr>
          <w:lang w:val="en-US"/>
        </w:rPr>
        <w:t>Drommi</w:t>
      </w:r>
      <w:r>
        <w:rPr>
          <w:lang w:val="en-US"/>
        </w:rPr>
        <w:t>,</w:t>
      </w:r>
      <w:r w:rsidRPr="00D4236F">
        <w:rPr>
          <w:lang w:val="en-US"/>
        </w:rPr>
        <w:t xml:space="preserve"> A</w:t>
      </w:r>
      <w:r>
        <w:rPr>
          <w:lang w:val="en-US"/>
        </w:rPr>
        <w:t>. (2007)</w:t>
      </w:r>
      <w:r w:rsidR="00BF40B2">
        <w:rPr>
          <w:lang w:val="en-US"/>
        </w:rPr>
        <w:t xml:space="preserve">. </w:t>
      </w:r>
      <w:r w:rsidRPr="00D4236F">
        <w:rPr>
          <w:lang w:val="en-US"/>
        </w:rPr>
        <w:t>Maintaining IT’s Corporate Impact Through</w:t>
      </w:r>
      <w:r>
        <w:rPr>
          <w:lang w:val="en-US"/>
        </w:rPr>
        <w:t xml:space="preserve"> </w:t>
      </w:r>
      <w:r w:rsidRPr="00D4236F">
        <w:rPr>
          <w:lang w:val="en-US"/>
        </w:rPr>
        <w:t>a Governance Framework</w:t>
      </w:r>
      <w:r w:rsidR="00BF40B2">
        <w:rPr>
          <w:lang w:val="en-US"/>
        </w:rPr>
        <w:t>.</w:t>
      </w:r>
      <w:r>
        <w:rPr>
          <w:lang w:val="en-US"/>
        </w:rPr>
        <w:t xml:space="preserve"> </w:t>
      </w:r>
      <w:r w:rsidR="00BF40B2">
        <w:rPr>
          <w:i/>
          <w:lang w:val="en-US"/>
        </w:rPr>
        <w:t>Cutter IT Journal,</w:t>
      </w:r>
      <w:r w:rsidRPr="00BF40B2">
        <w:rPr>
          <w:i/>
          <w:lang w:val="en-US"/>
        </w:rPr>
        <w:t xml:space="preserve"> 20</w:t>
      </w:r>
      <w:r w:rsidR="00BF40B2">
        <w:rPr>
          <w:lang w:val="en-US"/>
        </w:rPr>
        <w:t>(</w:t>
      </w:r>
      <w:r>
        <w:rPr>
          <w:lang w:val="en-US"/>
        </w:rPr>
        <w:t>7</w:t>
      </w:r>
      <w:r w:rsidR="00BF40B2">
        <w:rPr>
          <w:lang w:val="en-US"/>
        </w:rPr>
        <w:t>)</w:t>
      </w:r>
      <w:r>
        <w:rPr>
          <w:lang w:val="en-US"/>
        </w:rPr>
        <w:t>, 30-35</w:t>
      </w:r>
      <w:r w:rsidR="00E150A6">
        <w:rPr>
          <w:lang w:val="en-US"/>
        </w:rPr>
        <w:t>.</w:t>
      </w:r>
    </w:p>
    <w:p w:rsidR="004A5CAA" w:rsidRDefault="004A5CAA" w:rsidP="00D4236F">
      <w:pPr>
        <w:rPr>
          <w:lang w:val="en-US"/>
        </w:rPr>
      </w:pPr>
      <w:r>
        <w:rPr>
          <w:lang w:val="en-US"/>
        </w:rPr>
        <w:t>Morris</w:t>
      </w:r>
      <w:r w:rsidR="004769C2">
        <w:rPr>
          <w:lang w:val="en-US"/>
        </w:rPr>
        <w:t>, J.J.</w:t>
      </w:r>
      <w:r>
        <w:rPr>
          <w:lang w:val="en-US"/>
        </w:rPr>
        <w:t xml:space="preserve"> (</w:t>
      </w:r>
      <w:r w:rsidRPr="004A5CAA">
        <w:rPr>
          <w:lang w:val="en-US"/>
        </w:rPr>
        <w:t>2011</w:t>
      </w:r>
      <w:r>
        <w:rPr>
          <w:lang w:val="en-US"/>
        </w:rPr>
        <w:t>)</w:t>
      </w:r>
      <w:r w:rsidR="00BF40B2">
        <w:rPr>
          <w:lang w:val="en-US"/>
        </w:rPr>
        <w:t xml:space="preserve">. </w:t>
      </w:r>
      <w:r w:rsidRPr="004A5CAA">
        <w:rPr>
          <w:lang w:val="en-US"/>
        </w:rPr>
        <w:t>The Impact of Enterprise Resource Planning (ERP) Systems on the Effectiveness of Internal Controls over Financial Reporting</w:t>
      </w:r>
      <w:r w:rsidR="00BF40B2">
        <w:rPr>
          <w:lang w:val="en-US"/>
        </w:rPr>
        <w:t>.</w:t>
      </w:r>
      <w:r>
        <w:rPr>
          <w:lang w:val="en-US"/>
        </w:rPr>
        <w:t xml:space="preserve"> </w:t>
      </w:r>
      <w:r w:rsidRPr="00BF40B2">
        <w:rPr>
          <w:i/>
          <w:lang w:val="en-US"/>
        </w:rPr>
        <w:t>Journal of Information Systems, 25</w:t>
      </w:r>
      <w:r w:rsidR="00BF40B2">
        <w:rPr>
          <w:lang w:val="en-US"/>
        </w:rPr>
        <w:t>(</w:t>
      </w:r>
      <w:r w:rsidRPr="004A5CAA">
        <w:rPr>
          <w:lang w:val="en-US"/>
        </w:rPr>
        <w:t>1</w:t>
      </w:r>
      <w:r w:rsidR="00BF40B2">
        <w:rPr>
          <w:lang w:val="en-US"/>
        </w:rPr>
        <w:t>)</w:t>
      </w:r>
      <w:r w:rsidRPr="004A5CAA">
        <w:rPr>
          <w:lang w:val="en-US"/>
        </w:rPr>
        <w:t>, 129–157</w:t>
      </w:r>
      <w:r w:rsidR="00E150A6">
        <w:rPr>
          <w:lang w:val="en-US"/>
        </w:rPr>
        <w:t>.</w:t>
      </w:r>
    </w:p>
    <w:p w:rsidR="00434256" w:rsidRDefault="00CD1CBD" w:rsidP="00CD1CBD">
      <w:pPr>
        <w:rPr>
          <w:lang w:val="en-US"/>
        </w:rPr>
      </w:pPr>
      <w:r w:rsidRPr="00CD1CBD">
        <w:rPr>
          <w:lang w:val="en-US"/>
        </w:rPr>
        <w:t>Oliver</w:t>
      </w:r>
      <w:r>
        <w:rPr>
          <w:lang w:val="en-US"/>
        </w:rPr>
        <w:t>,</w:t>
      </w:r>
      <w:r w:rsidRPr="00CD1CBD">
        <w:rPr>
          <w:lang w:val="en-US"/>
        </w:rPr>
        <w:t xml:space="preserve"> D</w:t>
      </w:r>
      <w:r>
        <w:rPr>
          <w:lang w:val="en-US"/>
        </w:rPr>
        <w:t xml:space="preserve">., </w:t>
      </w:r>
      <w:r w:rsidR="00BF40B2">
        <w:rPr>
          <w:lang w:val="en-US"/>
        </w:rPr>
        <w:t xml:space="preserve">&amp; </w:t>
      </w:r>
      <w:r w:rsidRPr="00CD1CBD">
        <w:rPr>
          <w:lang w:val="en-US"/>
        </w:rPr>
        <w:t>Lainhart</w:t>
      </w:r>
      <w:r w:rsidR="00BF40B2">
        <w:rPr>
          <w:lang w:val="en-US"/>
        </w:rPr>
        <w:t>, J. (2012).</w:t>
      </w:r>
      <w:r w:rsidRPr="00CD1CBD">
        <w:rPr>
          <w:lang w:val="en-US"/>
        </w:rPr>
        <w:t xml:space="preserve"> COBIT 5: Adding Value Through Effective Geit</w:t>
      </w:r>
      <w:r w:rsidR="00BF40B2">
        <w:rPr>
          <w:lang w:val="en-US"/>
        </w:rPr>
        <w:t>.</w:t>
      </w:r>
      <w:r>
        <w:rPr>
          <w:lang w:val="en-US"/>
        </w:rPr>
        <w:t xml:space="preserve"> </w:t>
      </w:r>
      <w:r w:rsidRPr="00BF40B2">
        <w:rPr>
          <w:i/>
          <w:lang w:val="en-US"/>
        </w:rPr>
        <w:t>EDPACS: The EDP Audit, Control, and Security Newsletter, 46</w:t>
      </w:r>
      <w:r w:rsidR="00BF40B2">
        <w:rPr>
          <w:lang w:val="en-US"/>
        </w:rPr>
        <w:t>(</w:t>
      </w:r>
      <w:r w:rsidRPr="00CD1CBD">
        <w:rPr>
          <w:lang w:val="en-US"/>
        </w:rPr>
        <w:t>3</w:t>
      </w:r>
      <w:r w:rsidR="00BF40B2">
        <w:rPr>
          <w:lang w:val="en-US"/>
        </w:rPr>
        <w:t>)</w:t>
      </w:r>
      <w:r w:rsidRPr="00CD1CBD">
        <w:rPr>
          <w:lang w:val="en-US"/>
        </w:rPr>
        <w:t>, 1-12</w:t>
      </w:r>
      <w:r w:rsidR="00E150A6">
        <w:rPr>
          <w:lang w:val="en-US"/>
        </w:rPr>
        <w:t>.</w:t>
      </w:r>
    </w:p>
    <w:p w:rsidR="00AD7683" w:rsidRDefault="00AD7683" w:rsidP="00AD7683">
      <w:pPr>
        <w:rPr>
          <w:lang w:val="en-US"/>
        </w:rPr>
      </w:pPr>
      <w:r w:rsidRPr="00AD7683">
        <w:rPr>
          <w:lang w:val="en-US"/>
        </w:rPr>
        <w:t>Poston</w:t>
      </w:r>
      <w:r>
        <w:rPr>
          <w:lang w:val="en-US"/>
        </w:rPr>
        <w:t xml:space="preserve">, </w:t>
      </w:r>
      <w:r w:rsidRPr="00AD7683">
        <w:rPr>
          <w:lang w:val="en-US"/>
        </w:rPr>
        <w:t>R</w:t>
      </w:r>
      <w:r w:rsidR="00BF40B2">
        <w:rPr>
          <w:lang w:val="en-US"/>
        </w:rPr>
        <w:t>.</w:t>
      </w:r>
      <w:r>
        <w:rPr>
          <w:lang w:val="en-US"/>
        </w:rPr>
        <w:t xml:space="preserve">, </w:t>
      </w:r>
      <w:r w:rsidR="00BF40B2">
        <w:rPr>
          <w:lang w:val="en-US"/>
        </w:rPr>
        <w:t xml:space="preserve">&amp; </w:t>
      </w:r>
      <w:r w:rsidRPr="00AD7683">
        <w:rPr>
          <w:lang w:val="en-US"/>
        </w:rPr>
        <w:t>Grabski</w:t>
      </w:r>
      <w:r>
        <w:rPr>
          <w:lang w:val="en-US"/>
        </w:rPr>
        <w:t>,</w:t>
      </w:r>
      <w:r w:rsidRPr="00AD7683">
        <w:rPr>
          <w:lang w:val="en-US"/>
        </w:rPr>
        <w:t xml:space="preserve"> S</w:t>
      </w:r>
      <w:r w:rsidR="00BF40B2">
        <w:rPr>
          <w:lang w:val="en-US"/>
        </w:rPr>
        <w:t xml:space="preserve">. </w:t>
      </w:r>
      <w:r w:rsidRPr="00AD7683">
        <w:rPr>
          <w:lang w:val="en-US"/>
        </w:rPr>
        <w:t>(2001)</w:t>
      </w:r>
      <w:r w:rsidR="00BF40B2">
        <w:rPr>
          <w:lang w:val="en-US"/>
        </w:rPr>
        <w:t xml:space="preserve">. </w:t>
      </w:r>
      <w:r w:rsidRPr="00AD7683">
        <w:rPr>
          <w:lang w:val="en-US"/>
        </w:rPr>
        <w:t>Financial impacts of enterprise resource</w:t>
      </w:r>
      <w:r>
        <w:rPr>
          <w:lang w:val="en-US"/>
        </w:rPr>
        <w:t xml:space="preserve"> </w:t>
      </w:r>
      <w:r w:rsidRPr="00AD7683">
        <w:rPr>
          <w:lang w:val="en-US"/>
        </w:rPr>
        <w:t>planning implementations</w:t>
      </w:r>
      <w:r w:rsidR="00BF40B2">
        <w:rPr>
          <w:lang w:val="en-US"/>
        </w:rPr>
        <w:t>.</w:t>
      </w:r>
      <w:r w:rsidRPr="00AD7683">
        <w:rPr>
          <w:lang w:val="en-US"/>
        </w:rPr>
        <w:t xml:space="preserve"> </w:t>
      </w:r>
      <w:r w:rsidRPr="00BF40B2">
        <w:rPr>
          <w:i/>
          <w:lang w:val="en-US"/>
        </w:rPr>
        <w:t>International Journal of Accounting Information Systems</w:t>
      </w:r>
      <w:r w:rsidR="006D309E" w:rsidRPr="00BF40B2">
        <w:rPr>
          <w:i/>
          <w:lang w:val="en-US"/>
        </w:rPr>
        <w:t xml:space="preserve">, </w:t>
      </w:r>
      <w:r w:rsidRPr="00BF40B2">
        <w:rPr>
          <w:i/>
          <w:lang w:val="en-US"/>
        </w:rPr>
        <w:t>2</w:t>
      </w:r>
      <w:r w:rsidR="00BF40B2">
        <w:rPr>
          <w:lang w:val="en-US"/>
        </w:rPr>
        <w:t>(</w:t>
      </w:r>
      <w:r w:rsidR="006D309E">
        <w:rPr>
          <w:lang w:val="en-US"/>
        </w:rPr>
        <w:t>1</w:t>
      </w:r>
      <w:r w:rsidR="00BF40B2">
        <w:rPr>
          <w:lang w:val="en-US"/>
        </w:rPr>
        <w:t>)</w:t>
      </w:r>
      <w:r>
        <w:rPr>
          <w:lang w:val="en-US"/>
        </w:rPr>
        <w:t>,</w:t>
      </w:r>
      <w:r w:rsidRPr="00AD7683">
        <w:rPr>
          <w:lang w:val="en-US"/>
        </w:rPr>
        <w:t xml:space="preserve"> </w:t>
      </w:r>
      <w:r w:rsidR="00BF40B2">
        <w:rPr>
          <w:lang w:val="en-US"/>
        </w:rPr>
        <w:t>2</w:t>
      </w:r>
      <w:r w:rsidRPr="00AD7683">
        <w:rPr>
          <w:lang w:val="en-US"/>
        </w:rPr>
        <w:t>71–294</w:t>
      </w:r>
      <w:r w:rsidR="00E150A6">
        <w:rPr>
          <w:lang w:val="en-US"/>
        </w:rPr>
        <w:t>.</w:t>
      </w:r>
    </w:p>
    <w:p w:rsidR="00DC697E" w:rsidRDefault="00DC697E" w:rsidP="00AD7683">
      <w:pPr>
        <w:rPr>
          <w:lang w:val="en-US"/>
        </w:rPr>
      </w:pPr>
      <w:r w:rsidRPr="003C2EB7">
        <w:rPr>
          <w:lang w:val="en-US"/>
        </w:rPr>
        <w:t>Securities and Exchange Commission (2003)</w:t>
      </w:r>
      <w:r w:rsidR="00BF40B2">
        <w:rPr>
          <w:lang w:val="en-US"/>
        </w:rPr>
        <w:t>.</w:t>
      </w:r>
      <w:r w:rsidRPr="003C2EB7">
        <w:rPr>
          <w:lang w:val="en-US"/>
        </w:rPr>
        <w:t xml:space="preserve"> </w:t>
      </w:r>
      <w:r w:rsidRPr="00BF40B2">
        <w:rPr>
          <w:i/>
          <w:lang w:val="en-US"/>
        </w:rPr>
        <w:t>Final Rule: Management's Report on Internal Control Over Financial Reporting and Certification of Disclosure in Exchange Act Periodic Reports</w:t>
      </w:r>
      <w:r w:rsidR="00BF40B2">
        <w:rPr>
          <w:lang w:val="en-US"/>
        </w:rPr>
        <w:t>.</w:t>
      </w:r>
      <w:r w:rsidRPr="00DC697E">
        <w:rPr>
          <w:lang w:val="en-US"/>
        </w:rPr>
        <w:t xml:space="preserve"> available at: http://www.sec.gov/rules/final/33-8238.htm#iia3</w:t>
      </w:r>
      <w:r>
        <w:rPr>
          <w:lang w:val="en-US"/>
        </w:rPr>
        <w:t>.</w:t>
      </w:r>
    </w:p>
    <w:p w:rsidR="00DC697E" w:rsidRDefault="007A3630" w:rsidP="00DC697E">
      <w:pPr>
        <w:rPr>
          <w:lang w:val="en-US"/>
        </w:rPr>
      </w:pPr>
      <w:r w:rsidRPr="00557136">
        <w:rPr>
          <w:lang w:val="en-US"/>
        </w:rPr>
        <w:t>Smith, G. (2004)</w:t>
      </w:r>
      <w:r w:rsidR="00BF40B2">
        <w:rPr>
          <w:lang w:val="en-US"/>
        </w:rPr>
        <w:t>.</w:t>
      </w:r>
      <w:r w:rsidRPr="00557136">
        <w:rPr>
          <w:lang w:val="en-US"/>
        </w:rPr>
        <w:t xml:space="preserve"> Sarb</w:t>
      </w:r>
      <w:r w:rsidR="00BF40B2">
        <w:rPr>
          <w:lang w:val="en-US"/>
        </w:rPr>
        <w:t>anes-Oxley: compliance or sham?.</w:t>
      </w:r>
      <w:r w:rsidRPr="00557136">
        <w:rPr>
          <w:lang w:val="en-US"/>
        </w:rPr>
        <w:t xml:space="preserve"> </w:t>
      </w:r>
      <w:r w:rsidRPr="00BF40B2">
        <w:rPr>
          <w:i/>
          <w:lang w:val="en-US"/>
        </w:rPr>
        <w:t>Journal of Corporate Accounting &amp; Finance,15</w:t>
      </w:r>
      <w:r w:rsidR="00BF40B2">
        <w:rPr>
          <w:lang w:val="en-US"/>
        </w:rPr>
        <w:t>(</w:t>
      </w:r>
      <w:r w:rsidRPr="00557136">
        <w:rPr>
          <w:lang w:val="en-US"/>
        </w:rPr>
        <w:t>6</w:t>
      </w:r>
      <w:r w:rsidR="00BF40B2">
        <w:rPr>
          <w:lang w:val="en-US"/>
        </w:rPr>
        <w:t>)</w:t>
      </w:r>
      <w:r w:rsidRPr="00557136">
        <w:rPr>
          <w:lang w:val="en-US"/>
        </w:rPr>
        <w:t xml:space="preserve">, </w:t>
      </w:r>
      <w:r w:rsidR="004769C2">
        <w:rPr>
          <w:lang w:val="en-US"/>
        </w:rPr>
        <w:t>3-5</w:t>
      </w:r>
      <w:r w:rsidR="00E150A6">
        <w:rPr>
          <w:lang w:val="en-US"/>
        </w:rPr>
        <w:t>.</w:t>
      </w:r>
      <w:r w:rsidR="00DC697E" w:rsidRPr="00DC697E">
        <w:rPr>
          <w:lang w:val="en-US"/>
        </w:rPr>
        <w:t xml:space="preserve"> </w:t>
      </w:r>
    </w:p>
    <w:p w:rsidR="00DC697E" w:rsidRDefault="00DC697E" w:rsidP="00DC697E">
      <w:pPr>
        <w:rPr>
          <w:lang w:val="en-US"/>
        </w:rPr>
      </w:pPr>
      <w:r w:rsidRPr="00D34601">
        <w:rPr>
          <w:lang w:val="en-US"/>
        </w:rPr>
        <w:t>Stigler, G</w:t>
      </w:r>
      <w:r>
        <w:rPr>
          <w:lang w:val="en-US"/>
        </w:rPr>
        <w:t>.J. (</w:t>
      </w:r>
      <w:r w:rsidRPr="00D34601">
        <w:rPr>
          <w:lang w:val="en-US"/>
        </w:rPr>
        <w:t>1958</w:t>
      </w:r>
      <w:r>
        <w:rPr>
          <w:lang w:val="en-US"/>
        </w:rPr>
        <w:t>)</w:t>
      </w:r>
      <w:r w:rsidR="00BF40B2">
        <w:rPr>
          <w:lang w:val="en-US"/>
        </w:rPr>
        <w:t>.</w:t>
      </w:r>
      <w:r w:rsidRPr="00D34601">
        <w:rPr>
          <w:lang w:val="en-US"/>
        </w:rPr>
        <w:t xml:space="preserve"> The Economics of Scale</w:t>
      </w:r>
      <w:r w:rsidR="00BF40B2">
        <w:rPr>
          <w:lang w:val="en-US"/>
        </w:rPr>
        <w:t xml:space="preserve">. </w:t>
      </w:r>
      <w:r w:rsidRPr="00BF40B2">
        <w:rPr>
          <w:i/>
          <w:lang w:val="en-US"/>
        </w:rPr>
        <w:t>Journal of Law and Economics</w:t>
      </w:r>
      <w:r w:rsidR="00BF40B2">
        <w:rPr>
          <w:i/>
          <w:lang w:val="en-US"/>
        </w:rPr>
        <w:t xml:space="preserve">, </w:t>
      </w:r>
      <w:r w:rsidRPr="00BF40B2">
        <w:rPr>
          <w:i/>
          <w:lang w:val="en-US"/>
        </w:rPr>
        <w:t>1</w:t>
      </w:r>
      <w:r w:rsidR="00BF40B2">
        <w:rPr>
          <w:lang w:val="en-US"/>
        </w:rPr>
        <w:t>(</w:t>
      </w:r>
      <w:r>
        <w:rPr>
          <w:lang w:val="en-US"/>
        </w:rPr>
        <w:t>1</w:t>
      </w:r>
      <w:r w:rsidR="00BF40B2">
        <w:rPr>
          <w:lang w:val="en-US"/>
        </w:rPr>
        <w:t>)</w:t>
      </w:r>
      <w:r>
        <w:rPr>
          <w:lang w:val="en-US"/>
        </w:rPr>
        <w:t xml:space="preserve">, </w:t>
      </w:r>
      <w:r w:rsidR="00BF40B2">
        <w:rPr>
          <w:lang w:val="en-US"/>
        </w:rPr>
        <w:t>5</w:t>
      </w:r>
      <w:r>
        <w:rPr>
          <w:lang w:val="en-US"/>
        </w:rPr>
        <w:t>4-71.</w:t>
      </w:r>
    </w:p>
    <w:p w:rsidR="008509BC" w:rsidRDefault="004769C2" w:rsidP="008509BC">
      <w:pPr>
        <w:rPr>
          <w:rFonts w:cstheme="minorHAnsi"/>
          <w:lang w:val="en-US"/>
        </w:rPr>
      </w:pPr>
      <w:r w:rsidRPr="004769C2">
        <w:rPr>
          <w:lang w:val="en-US"/>
        </w:rPr>
        <w:t>Stoel</w:t>
      </w:r>
      <w:r>
        <w:rPr>
          <w:lang w:val="en-US"/>
        </w:rPr>
        <w:t>, M.D.,</w:t>
      </w:r>
      <w:r w:rsidRPr="004769C2">
        <w:rPr>
          <w:lang w:val="en-US"/>
        </w:rPr>
        <w:t xml:space="preserve"> </w:t>
      </w:r>
      <w:r w:rsidR="00A42769">
        <w:rPr>
          <w:lang w:val="en-US"/>
        </w:rPr>
        <w:t xml:space="preserve">&amp; </w:t>
      </w:r>
      <w:r w:rsidRPr="004769C2">
        <w:rPr>
          <w:lang w:val="en-US"/>
        </w:rPr>
        <w:t xml:space="preserve">Muhanna, </w:t>
      </w:r>
      <w:r>
        <w:rPr>
          <w:lang w:val="en-US"/>
        </w:rPr>
        <w:t>W.A. (</w:t>
      </w:r>
      <w:r w:rsidRPr="004769C2">
        <w:rPr>
          <w:lang w:val="en-US"/>
        </w:rPr>
        <w:t>2011</w:t>
      </w:r>
      <w:r>
        <w:rPr>
          <w:lang w:val="en-US"/>
        </w:rPr>
        <w:t>)</w:t>
      </w:r>
      <w:r w:rsidR="00A42769">
        <w:rPr>
          <w:lang w:val="en-US"/>
        </w:rPr>
        <w:t xml:space="preserve">. </w:t>
      </w:r>
      <w:r w:rsidRPr="004769C2">
        <w:rPr>
          <w:lang w:val="en-US"/>
        </w:rPr>
        <w:t>IT internal control weaknesses and firm performance: An organizational liability</w:t>
      </w:r>
      <w:r>
        <w:rPr>
          <w:lang w:val="en-US"/>
        </w:rPr>
        <w:t xml:space="preserve"> </w:t>
      </w:r>
      <w:r w:rsidRPr="004769C2">
        <w:rPr>
          <w:lang w:val="en-US"/>
        </w:rPr>
        <w:t>lens</w:t>
      </w:r>
      <w:r w:rsidR="00A42769">
        <w:rPr>
          <w:lang w:val="en-US"/>
        </w:rPr>
        <w:t>.</w:t>
      </w:r>
      <w:r>
        <w:rPr>
          <w:lang w:val="en-US"/>
        </w:rPr>
        <w:t xml:space="preserve"> </w:t>
      </w:r>
      <w:r w:rsidRPr="00A42769">
        <w:rPr>
          <w:i/>
          <w:lang w:val="en-US"/>
        </w:rPr>
        <w:t>International Journal of Accounting Information Systems,</w:t>
      </w:r>
      <w:r w:rsidR="00A42769">
        <w:rPr>
          <w:i/>
          <w:lang w:val="en-US"/>
        </w:rPr>
        <w:t xml:space="preserve"> </w:t>
      </w:r>
      <w:r w:rsidRPr="00A42769">
        <w:rPr>
          <w:i/>
          <w:lang w:val="en-US"/>
        </w:rPr>
        <w:t>12</w:t>
      </w:r>
      <w:r w:rsidR="00A42769">
        <w:rPr>
          <w:lang w:val="en-US"/>
        </w:rPr>
        <w:t>(</w:t>
      </w:r>
      <w:r w:rsidR="00FF09B5">
        <w:rPr>
          <w:lang w:val="en-US"/>
        </w:rPr>
        <w:t>1</w:t>
      </w:r>
      <w:r w:rsidR="00A42769">
        <w:rPr>
          <w:lang w:val="en-US"/>
        </w:rPr>
        <w:t>)</w:t>
      </w:r>
      <w:r w:rsidR="00FF09B5">
        <w:rPr>
          <w:lang w:val="en-US"/>
        </w:rPr>
        <w:t>,</w:t>
      </w:r>
      <w:r w:rsidR="00A42769">
        <w:rPr>
          <w:lang w:val="en-US"/>
        </w:rPr>
        <w:t xml:space="preserve"> </w:t>
      </w:r>
      <w:r w:rsidRPr="004769C2">
        <w:rPr>
          <w:lang w:val="en-US"/>
        </w:rPr>
        <w:t>280–304</w:t>
      </w:r>
      <w:r w:rsidR="00E150A6">
        <w:rPr>
          <w:lang w:val="en-US"/>
        </w:rPr>
        <w:t>.</w:t>
      </w:r>
      <w:r w:rsidR="008509BC" w:rsidRPr="008509BC">
        <w:rPr>
          <w:rFonts w:cstheme="minorHAnsi"/>
          <w:lang w:val="en-US"/>
        </w:rPr>
        <w:t xml:space="preserve"> </w:t>
      </w:r>
    </w:p>
    <w:p w:rsidR="008509BC" w:rsidRDefault="008509BC" w:rsidP="008509BC">
      <w:pPr>
        <w:rPr>
          <w:rFonts w:cstheme="minorHAnsi"/>
          <w:lang w:val="en-US"/>
        </w:rPr>
      </w:pPr>
      <w:r>
        <w:rPr>
          <w:rFonts w:cstheme="minorHAnsi"/>
          <w:lang w:val="en-US"/>
        </w:rPr>
        <w:t xml:space="preserve">The </w:t>
      </w:r>
      <w:r w:rsidRPr="00A17285">
        <w:rPr>
          <w:rFonts w:cstheme="minorHAnsi"/>
          <w:lang w:val="en-US"/>
        </w:rPr>
        <w:t>Committee on Sponsoring Organizations of the Treadway Commission</w:t>
      </w:r>
      <w:r>
        <w:rPr>
          <w:rFonts w:cstheme="minorHAnsi"/>
          <w:lang w:val="en-US"/>
        </w:rPr>
        <w:t xml:space="preserve"> (COSO)</w:t>
      </w:r>
      <w:r w:rsidRPr="00A17285">
        <w:rPr>
          <w:rFonts w:cstheme="minorHAnsi"/>
          <w:lang w:val="en-US"/>
        </w:rPr>
        <w:t xml:space="preserve"> </w:t>
      </w:r>
      <w:r w:rsidR="00A42769">
        <w:rPr>
          <w:rFonts w:cstheme="minorHAnsi"/>
          <w:lang w:val="en-US"/>
        </w:rPr>
        <w:t>(1992).</w:t>
      </w:r>
      <w:r>
        <w:rPr>
          <w:rFonts w:cstheme="minorHAnsi"/>
          <w:lang w:val="en-US"/>
        </w:rPr>
        <w:t xml:space="preserve"> </w:t>
      </w:r>
      <w:r w:rsidRPr="00A42769">
        <w:rPr>
          <w:rFonts w:cstheme="minorHAnsi"/>
          <w:i/>
          <w:lang w:val="en-US"/>
        </w:rPr>
        <w:t>Internal Control - Integrated Framework, Executive Summary</w:t>
      </w:r>
      <w:r w:rsidR="00A42769">
        <w:rPr>
          <w:rFonts w:cstheme="minorHAnsi"/>
          <w:lang w:val="en-US"/>
        </w:rPr>
        <w:t>.</w:t>
      </w:r>
      <w:r>
        <w:rPr>
          <w:rFonts w:cstheme="minorHAnsi"/>
          <w:lang w:val="en-US"/>
        </w:rPr>
        <w:t xml:space="preserve"> available at: </w:t>
      </w:r>
      <w:r w:rsidRPr="00585D91">
        <w:rPr>
          <w:rFonts w:cstheme="minorHAnsi"/>
          <w:lang w:val="en-US"/>
        </w:rPr>
        <w:t>http://www.coso.org/documents/Internal%20Control-Integrated%20Framework.pdf</w:t>
      </w:r>
    </w:p>
    <w:p w:rsidR="008509BC" w:rsidRDefault="008509BC" w:rsidP="008509BC">
      <w:pPr>
        <w:rPr>
          <w:rFonts w:cstheme="minorHAnsi"/>
          <w:lang w:val="en-US"/>
        </w:rPr>
      </w:pPr>
      <w:r w:rsidRPr="004D56DD">
        <w:rPr>
          <w:rFonts w:cstheme="minorHAnsi"/>
          <w:lang w:val="en-US"/>
        </w:rPr>
        <w:t>The Committee of Sponsoring</w:t>
      </w:r>
      <w:r>
        <w:rPr>
          <w:rFonts w:cstheme="minorHAnsi"/>
          <w:lang w:val="en-US"/>
        </w:rPr>
        <w:t xml:space="preserve"> </w:t>
      </w:r>
      <w:r w:rsidRPr="004D56DD">
        <w:rPr>
          <w:rFonts w:cstheme="minorHAnsi"/>
          <w:lang w:val="en-US"/>
        </w:rPr>
        <w:t>Organizations of</w:t>
      </w:r>
      <w:r>
        <w:rPr>
          <w:rFonts w:cstheme="minorHAnsi"/>
          <w:lang w:val="en-US"/>
        </w:rPr>
        <w:t xml:space="preserve"> the Tr</w:t>
      </w:r>
      <w:r w:rsidR="00A42769">
        <w:rPr>
          <w:rFonts w:cstheme="minorHAnsi"/>
          <w:lang w:val="en-US"/>
        </w:rPr>
        <w:t xml:space="preserve">eadway Commission (COSO) (2013). </w:t>
      </w:r>
      <w:r w:rsidRPr="00A42769">
        <w:rPr>
          <w:rFonts w:cstheme="minorHAnsi"/>
          <w:i/>
          <w:lang w:val="en-US"/>
        </w:rPr>
        <w:t>The 2013 COSO Framework &amp; SOX Compliance</w:t>
      </w:r>
      <w:r w:rsidR="00A42769">
        <w:rPr>
          <w:rFonts w:cstheme="minorHAnsi"/>
          <w:i/>
          <w:lang w:val="en-US"/>
        </w:rPr>
        <w:t>.</w:t>
      </w:r>
      <w:r>
        <w:rPr>
          <w:rFonts w:cstheme="minorHAnsi"/>
          <w:lang w:val="en-US"/>
        </w:rPr>
        <w:t xml:space="preserve"> available at:</w:t>
      </w:r>
      <w:r w:rsidRPr="003C2EB7">
        <w:rPr>
          <w:lang w:val="en-US"/>
        </w:rPr>
        <w:t xml:space="preserve"> </w:t>
      </w:r>
      <w:r w:rsidRPr="00585D91">
        <w:rPr>
          <w:lang w:val="en-US"/>
        </w:rPr>
        <w:t>h</w:t>
      </w:r>
      <w:r w:rsidRPr="00585D91">
        <w:rPr>
          <w:rFonts w:cstheme="minorHAnsi"/>
          <w:lang w:val="en-US"/>
        </w:rPr>
        <w:t>ttp://www.coso.org/documents/COSO%20McNallyTransition%20Article-Final%20COSO%20Version%20Proof_5-31-13.pdf</w:t>
      </w:r>
    </w:p>
    <w:p w:rsidR="008509BC" w:rsidRDefault="008509BC" w:rsidP="008509BC">
      <w:pPr>
        <w:rPr>
          <w:rFonts w:cstheme="minorHAnsi"/>
          <w:lang w:val="en-US"/>
        </w:rPr>
      </w:pPr>
      <w:r>
        <w:rPr>
          <w:rFonts w:cstheme="minorHAnsi"/>
          <w:lang w:val="en-US"/>
        </w:rPr>
        <w:t xml:space="preserve">The </w:t>
      </w:r>
      <w:r w:rsidRPr="00A17285">
        <w:rPr>
          <w:rFonts w:cstheme="minorHAnsi"/>
          <w:lang w:val="en-US"/>
        </w:rPr>
        <w:t>Committee on Sponsoring Organizations of the Treadway Commission</w:t>
      </w:r>
      <w:r>
        <w:rPr>
          <w:rFonts w:cstheme="minorHAnsi"/>
          <w:lang w:val="en-US"/>
        </w:rPr>
        <w:t xml:space="preserve"> (COSO)</w:t>
      </w:r>
      <w:r w:rsidRPr="00A17285">
        <w:rPr>
          <w:rFonts w:cstheme="minorHAnsi"/>
          <w:lang w:val="en-US"/>
        </w:rPr>
        <w:t xml:space="preserve"> </w:t>
      </w:r>
      <w:r>
        <w:rPr>
          <w:rFonts w:cstheme="minorHAnsi"/>
          <w:lang w:val="en-US"/>
        </w:rPr>
        <w:t>(2013)</w:t>
      </w:r>
      <w:r w:rsidR="00A42769">
        <w:rPr>
          <w:rFonts w:cstheme="minorHAnsi"/>
          <w:lang w:val="en-US"/>
        </w:rPr>
        <w:t xml:space="preserve">. </w:t>
      </w:r>
      <w:r w:rsidRPr="00A42769">
        <w:rPr>
          <w:rFonts w:cstheme="minorHAnsi"/>
          <w:i/>
          <w:lang w:val="en-US"/>
        </w:rPr>
        <w:t>Internal Control - Integrated Framework, Executive Summary</w:t>
      </w:r>
      <w:r w:rsidR="00A42769">
        <w:rPr>
          <w:rFonts w:cstheme="minorHAnsi"/>
          <w:lang w:val="en-US"/>
        </w:rPr>
        <w:t>.</w:t>
      </w:r>
      <w:r>
        <w:rPr>
          <w:rFonts w:cstheme="minorHAnsi"/>
          <w:lang w:val="en-US"/>
        </w:rPr>
        <w:t xml:space="preserve"> available at: </w:t>
      </w:r>
      <w:r w:rsidRPr="00585D91">
        <w:rPr>
          <w:rFonts w:cstheme="minorHAnsi"/>
          <w:lang w:val="en-US"/>
        </w:rPr>
        <w:t>http://www.coso.org/documents/990025P_Executive_Summary_final_may20_e.pdf</w:t>
      </w:r>
    </w:p>
    <w:p w:rsidR="007A3630" w:rsidRDefault="007A3630" w:rsidP="007A3630">
      <w:pPr>
        <w:rPr>
          <w:lang w:val="en-US"/>
        </w:rPr>
      </w:pPr>
      <w:r w:rsidRPr="00557136">
        <w:rPr>
          <w:lang w:val="en-US"/>
        </w:rPr>
        <w:t>Yang, D</w:t>
      </w:r>
      <w:r>
        <w:rPr>
          <w:lang w:val="en-US"/>
        </w:rPr>
        <w:t>.</w:t>
      </w:r>
      <w:r w:rsidRPr="00557136">
        <w:rPr>
          <w:lang w:val="en-US"/>
        </w:rPr>
        <w:t>C.</w:t>
      </w:r>
      <w:r w:rsidR="00A42769">
        <w:rPr>
          <w:lang w:val="en-US"/>
        </w:rPr>
        <w:t>, &amp;</w:t>
      </w:r>
      <w:r w:rsidRPr="00557136">
        <w:rPr>
          <w:lang w:val="en-US"/>
        </w:rPr>
        <w:t xml:space="preserve"> Guan, L</w:t>
      </w:r>
      <w:r>
        <w:rPr>
          <w:lang w:val="en-US"/>
        </w:rPr>
        <w:t>.</w:t>
      </w:r>
      <w:r w:rsidRPr="00557136">
        <w:rPr>
          <w:lang w:val="en-US"/>
        </w:rPr>
        <w:t xml:space="preserve"> (2004)</w:t>
      </w:r>
      <w:r w:rsidR="00A42769">
        <w:rPr>
          <w:lang w:val="en-US"/>
        </w:rPr>
        <w:t>.</w:t>
      </w:r>
      <w:r w:rsidRPr="00557136">
        <w:rPr>
          <w:lang w:val="en-US"/>
        </w:rPr>
        <w:t>The evolution of IT auditing and internal control standards in</w:t>
      </w:r>
      <w:r>
        <w:rPr>
          <w:lang w:val="en-US"/>
        </w:rPr>
        <w:t xml:space="preserve"> </w:t>
      </w:r>
      <w:r w:rsidRPr="00557136">
        <w:rPr>
          <w:lang w:val="en-US"/>
        </w:rPr>
        <w:t>financial statement audits</w:t>
      </w:r>
      <w:r w:rsidR="00A42769">
        <w:rPr>
          <w:lang w:val="en-US"/>
        </w:rPr>
        <w:t>: The case of the United States.</w:t>
      </w:r>
      <w:r w:rsidRPr="00557136">
        <w:rPr>
          <w:lang w:val="en-US"/>
        </w:rPr>
        <w:t xml:space="preserve"> </w:t>
      </w:r>
      <w:r w:rsidRPr="00A42769">
        <w:rPr>
          <w:i/>
          <w:lang w:val="en-US"/>
        </w:rPr>
        <w:t>Managerial Auditing Journal, 19</w:t>
      </w:r>
      <w:r w:rsidR="00A42769">
        <w:rPr>
          <w:lang w:val="en-US"/>
        </w:rPr>
        <w:t>(</w:t>
      </w:r>
      <w:r w:rsidRPr="00557136">
        <w:rPr>
          <w:lang w:val="en-US"/>
        </w:rPr>
        <w:t>4</w:t>
      </w:r>
      <w:r w:rsidR="00A42769">
        <w:rPr>
          <w:lang w:val="en-US"/>
        </w:rPr>
        <w:t>)</w:t>
      </w:r>
      <w:r w:rsidR="006D309E">
        <w:rPr>
          <w:lang w:val="en-US"/>
        </w:rPr>
        <w:t>,</w:t>
      </w:r>
      <w:r w:rsidRPr="00557136">
        <w:rPr>
          <w:lang w:val="en-US"/>
        </w:rPr>
        <w:t xml:space="preserve"> 544 </w:t>
      </w:r>
      <w:r>
        <w:rPr>
          <w:lang w:val="en-US"/>
        </w:rPr>
        <w:t>–</w:t>
      </w:r>
      <w:r w:rsidRPr="00557136">
        <w:rPr>
          <w:lang w:val="en-US"/>
        </w:rPr>
        <w:t xml:space="preserve"> 555</w:t>
      </w:r>
      <w:r w:rsidR="00E150A6">
        <w:rPr>
          <w:lang w:val="en-US"/>
        </w:rPr>
        <w:t>.</w:t>
      </w:r>
    </w:p>
    <w:p w:rsidR="007A3630" w:rsidRDefault="00A42769" w:rsidP="007A3630">
      <w:pPr>
        <w:rPr>
          <w:lang w:val="en-US"/>
        </w:rPr>
      </w:pPr>
      <w:r>
        <w:rPr>
          <w:lang w:val="en-US"/>
        </w:rPr>
        <w:t xml:space="preserve">Wendell, P.J. (2005). </w:t>
      </w:r>
      <w:r w:rsidR="007A3630" w:rsidRPr="00557136">
        <w:rPr>
          <w:lang w:val="en-US"/>
        </w:rPr>
        <w:t>SEC staff views on implementation of Section 404</w:t>
      </w:r>
      <w:r>
        <w:rPr>
          <w:lang w:val="en-US"/>
        </w:rPr>
        <w:t xml:space="preserve">. </w:t>
      </w:r>
      <w:r w:rsidR="007A3630" w:rsidRPr="00A42769">
        <w:rPr>
          <w:i/>
          <w:lang w:val="en-US"/>
        </w:rPr>
        <w:t>SEC Accounting Report</w:t>
      </w:r>
      <w:r w:rsidR="007A3630" w:rsidRPr="00557136">
        <w:rPr>
          <w:lang w:val="en-US"/>
        </w:rPr>
        <w:t>,</w:t>
      </w:r>
      <w:r w:rsidR="007A3630">
        <w:rPr>
          <w:lang w:val="en-US"/>
        </w:rPr>
        <w:t xml:space="preserve"> </w:t>
      </w:r>
      <w:r>
        <w:rPr>
          <w:i/>
          <w:lang w:val="en-US"/>
        </w:rPr>
        <w:t>1</w:t>
      </w:r>
      <w:r>
        <w:rPr>
          <w:lang w:val="en-US"/>
        </w:rPr>
        <w:t>(</w:t>
      </w:r>
      <w:r w:rsidR="007A3630" w:rsidRPr="00557136">
        <w:rPr>
          <w:lang w:val="en-US"/>
        </w:rPr>
        <w:t>18</w:t>
      </w:r>
      <w:r>
        <w:rPr>
          <w:lang w:val="en-US"/>
        </w:rPr>
        <w:t>)</w:t>
      </w:r>
      <w:r w:rsidR="007A3630" w:rsidRPr="00557136">
        <w:rPr>
          <w:lang w:val="en-US"/>
        </w:rPr>
        <w:t>,  1-3.</w:t>
      </w:r>
    </w:p>
    <w:p w:rsidR="007A3630" w:rsidRPr="000C073C" w:rsidRDefault="00A42769" w:rsidP="007A3630">
      <w:pPr>
        <w:rPr>
          <w:lang w:val="en-US"/>
        </w:rPr>
      </w:pPr>
      <w:r>
        <w:rPr>
          <w:lang w:val="en-US"/>
        </w:rPr>
        <w:t>Worthen, B. (2005).</w:t>
      </w:r>
      <w:r w:rsidR="007A3630" w:rsidRPr="00557136">
        <w:rPr>
          <w:lang w:val="en-US"/>
        </w:rPr>
        <w:t xml:space="preserve"> The Top Five IT Control Weaknesses</w:t>
      </w:r>
      <w:r>
        <w:rPr>
          <w:lang w:val="en-US"/>
        </w:rPr>
        <w:t>.</w:t>
      </w:r>
      <w:r w:rsidR="007A3630" w:rsidRPr="00557136">
        <w:rPr>
          <w:lang w:val="en-US"/>
        </w:rPr>
        <w:t xml:space="preserve"> </w:t>
      </w:r>
      <w:r w:rsidR="007A3630" w:rsidRPr="00A42769">
        <w:rPr>
          <w:i/>
          <w:lang w:val="en-US"/>
        </w:rPr>
        <w:t>CIO Magazine</w:t>
      </w:r>
      <w:r>
        <w:rPr>
          <w:lang w:val="en-US"/>
        </w:rPr>
        <w:t xml:space="preserve"> </w:t>
      </w:r>
      <w:r w:rsidRPr="00A42769">
        <w:rPr>
          <w:i/>
          <w:lang w:val="en-US"/>
        </w:rPr>
        <w:t>(</w:t>
      </w:r>
      <w:r w:rsidR="007A3630" w:rsidRPr="00A42769">
        <w:rPr>
          <w:i/>
          <w:lang w:val="en-US"/>
        </w:rPr>
        <w:t>July</w:t>
      </w:r>
      <w:r w:rsidRPr="00A42769">
        <w:rPr>
          <w:i/>
          <w:lang w:val="en-US"/>
        </w:rPr>
        <w:t>)</w:t>
      </w:r>
      <w:r>
        <w:rPr>
          <w:lang w:val="en-US"/>
        </w:rPr>
        <w:t>.</w:t>
      </w:r>
      <w:r w:rsidR="007A3630" w:rsidRPr="00557136">
        <w:rPr>
          <w:lang w:val="en-US"/>
        </w:rPr>
        <w:t xml:space="preserve"> available at:</w:t>
      </w:r>
      <w:r w:rsidR="007A3630">
        <w:rPr>
          <w:lang w:val="en-US"/>
        </w:rPr>
        <w:t xml:space="preserve"> </w:t>
      </w:r>
      <w:r w:rsidR="007A3630" w:rsidRPr="00557136">
        <w:rPr>
          <w:lang w:val="en-US"/>
        </w:rPr>
        <w:t>www.cio.com/archive/070105/sox_sidebar_two.html</w:t>
      </w:r>
      <w:r w:rsidR="00E150A6">
        <w:rPr>
          <w:lang w:val="en-US"/>
        </w:rPr>
        <w:t>.</w:t>
      </w:r>
    </w:p>
    <w:p w:rsidR="00314A57" w:rsidRDefault="00DC697E">
      <w:pPr>
        <w:rPr>
          <w:rFonts w:cstheme="minorHAnsi"/>
          <w:lang w:val="en-US"/>
        </w:rPr>
      </w:pPr>
      <w:r w:rsidRPr="0076784B">
        <w:rPr>
          <w:rFonts w:cstheme="minorHAnsi"/>
          <w:lang w:val="en-US"/>
        </w:rPr>
        <w:t xml:space="preserve">107th Congress </w:t>
      </w:r>
      <w:r w:rsidR="00A42769">
        <w:rPr>
          <w:rFonts w:cstheme="minorHAnsi"/>
          <w:lang w:val="en-US"/>
        </w:rPr>
        <w:t>(2002).</w:t>
      </w:r>
      <w:r w:rsidR="0076784B" w:rsidRPr="0076784B">
        <w:rPr>
          <w:rFonts w:cstheme="minorHAnsi"/>
          <w:lang w:val="en-US"/>
        </w:rPr>
        <w:t xml:space="preserve"> </w:t>
      </w:r>
      <w:r w:rsidRPr="0076784B">
        <w:rPr>
          <w:rFonts w:cstheme="minorHAnsi"/>
          <w:lang w:val="en-US"/>
        </w:rPr>
        <w:t>PUBLIC LAW 107–204—JULY 30, 2002</w:t>
      </w:r>
      <w:r w:rsidR="00A42769">
        <w:rPr>
          <w:rFonts w:cstheme="minorHAnsi"/>
          <w:lang w:val="en-US"/>
        </w:rPr>
        <w:t>.</w:t>
      </w:r>
      <w:r w:rsidR="0076784B" w:rsidRPr="0076784B">
        <w:rPr>
          <w:rFonts w:cstheme="minorHAnsi"/>
          <w:lang w:val="en-US"/>
        </w:rPr>
        <w:t xml:space="preserve"> (Sarbanes-Oxley Act)</w:t>
      </w:r>
      <w:r w:rsidR="00A42769">
        <w:rPr>
          <w:rFonts w:cstheme="minorHAnsi"/>
          <w:lang w:val="en-US"/>
        </w:rPr>
        <w:t>.</w:t>
      </w:r>
      <w:r w:rsidR="0076784B" w:rsidRPr="0076784B">
        <w:rPr>
          <w:rFonts w:cstheme="minorHAnsi"/>
          <w:lang w:val="en-US"/>
        </w:rPr>
        <w:t xml:space="preserve"> available at: </w:t>
      </w:r>
      <w:r w:rsidRPr="0076784B">
        <w:rPr>
          <w:rFonts w:cstheme="minorHAnsi"/>
          <w:lang w:val="en-US"/>
        </w:rPr>
        <w:t xml:space="preserve">http://purl.access.gpo.gov/GPO/LPS22934 </w:t>
      </w:r>
    </w:p>
    <w:p w:rsidR="007A3630" w:rsidRPr="0076784B" w:rsidRDefault="007A3630" w:rsidP="004D56DD">
      <w:pPr>
        <w:rPr>
          <w:rFonts w:cstheme="minorHAnsi"/>
          <w:lang w:val="en-US"/>
        </w:rPr>
      </w:pPr>
      <w:r w:rsidRPr="0076784B">
        <w:rPr>
          <w:rFonts w:cstheme="minorHAnsi"/>
          <w:lang w:val="en-US"/>
        </w:rPr>
        <w:br w:type="page"/>
      </w:r>
    </w:p>
    <w:p w:rsidR="006E54C7" w:rsidRDefault="006E54C7" w:rsidP="00C514CA">
      <w:pPr>
        <w:pStyle w:val="Heading1"/>
      </w:pPr>
      <w:bookmarkStart w:id="109" w:name="_Toc363840787"/>
      <w:r w:rsidRPr="00285900">
        <w:t>Appendix 1: Database variables</w:t>
      </w:r>
      <w:bookmarkEnd w:id="109"/>
    </w:p>
    <w:p w:rsidR="00383521" w:rsidRPr="00383521" w:rsidRDefault="00383521" w:rsidP="00EC2BEC">
      <w:pPr>
        <w:rPr>
          <w:lang w:val="en-GB"/>
        </w:rPr>
      </w:pPr>
      <w:r>
        <w:rPr>
          <w:lang w:val="en-GB"/>
        </w:rPr>
        <w:t>In this appendix all the variable definitions are presented together with the database measure used in the sample selection in table 15. The databases measures are included so the results can be replicated, it provides information</w:t>
      </w:r>
      <w:r w:rsidR="00870FD7">
        <w:rPr>
          <w:lang w:val="en-GB"/>
        </w:rPr>
        <w:t xml:space="preserve"> which variable is used, how it is manipulated and which database is used.</w:t>
      </w:r>
    </w:p>
    <w:p w:rsidR="00EC2BEC" w:rsidRPr="00EC2BEC" w:rsidRDefault="00EC2BEC" w:rsidP="00EC2BEC">
      <w:pPr>
        <w:rPr>
          <w:b/>
          <w:i/>
          <w:lang w:val="en-GB"/>
        </w:rPr>
      </w:pPr>
      <w:r w:rsidRPr="00EC2BEC">
        <w:rPr>
          <w:b/>
          <w:i/>
          <w:lang w:val="en-GB"/>
        </w:rPr>
        <w:t>Table 15: Variable definitions with Database measure</w:t>
      </w:r>
    </w:p>
    <w:tbl>
      <w:tblPr>
        <w:tblStyle w:val="TableGrid"/>
        <w:tblW w:w="9747" w:type="dxa"/>
        <w:tblLook w:val="04A0"/>
      </w:tblPr>
      <w:tblGrid>
        <w:gridCol w:w="1668"/>
        <w:gridCol w:w="4252"/>
        <w:gridCol w:w="3827"/>
      </w:tblGrid>
      <w:tr w:rsidR="006E54C7" w:rsidTr="00383521">
        <w:tc>
          <w:tcPr>
            <w:tcW w:w="1668" w:type="dxa"/>
          </w:tcPr>
          <w:p w:rsidR="006E54C7" w:rsidRDefault="006E54C7" w:rsidP="00BC5115">
            <w:pPr>
              <w:rPr>
                <w:b/>
                <w:lang w:val="en-US"/>
              </w:rPr>
            </w:pPr>
            <w:r>
              <w:rPr>
                <w:b/>
                <w:lang w:val="en-US"/>
              </w:rPr>
              <w:t>Variable name</w:t>
            </w:r>
          </w:p>
        </w:tc>
        <w:tc>
          <w:tcPr>
            <w:tcW w:w="4252" w:type="dxa"/>
          </w:tcPr>
          <w:p w:rsidR="006E54C7" w:rsidRDefault="00834DF1" w:rsidP="00BC5115">
            <w:pPr>
              <w:rPr>
                <w:b/>
                <w:lang w:val="en-US"/>
              </w:rPr>
            </w:pPr>
            <w:r>
              <w:rPr>
                <w:b/>
                <w:lang w:val="en-US"/>
              </w:rPr>
              <w:t>Definition variable</w:t>
            </w:r>
          </w:p>
        </w:tc>
        <w:tc>
          <w:tcPr>
            <w:tcW w:w="3827" w:type="dxa"/>
          </w:tcPr>
          <w:p w:rsidR="006E54C7" w:rsidRDefault="006E54C7" w:rsidP="00BC5115">
            <w:pPr>
              <w:rPr>
                <w:b/>
                <w:lang w:val="en-US"/>
              </w:rPr>
            </w:pPr>
            <w:r>
              <w:rPr>
                <w:b/>
                <w:lang w:val="en-US"/>
              </w:rPr>
              <w:t>Database measure</w:t>
            </w:r>
          </w:p>
        </w:tc>
      </w:tr>
      <w:tr w:rsidR="00834DF1" w:rsidRPr="00F93260" w:rsidTr="00383521">
        <w:tc>
          <w:tcPr>
            <w:tcW w:w="1668" w:type="dxa"/>
          </w:tcPr>
          <w:p w:rsidR="00834DF1" w:rsidRDefault="00834DF1" w:rsidP="00834DF1">
            <w:pPr>
              <w:rPr>
                <w:lang w:val="en-GB"/>
              </w:rPr>
            </w:pPr>
            <w:r>
              <w:rPr>
                <w:lang w:val="en-GB"/>
              </w:rPr>
              <w:t>ITMW</w:t>
            </w:r>
          </w:p>
        </w:tc>
        <w:tc>
          <w:tcPr>
            <w:tcW w:w="4252" w:type="dxa"/>
          </w:tcPr>
          <w:p w:rsidR="00834DF1" w:rsidRDefault="00834DF1" w:rsidP="00834DF1">
            <w:pPr>
              <w:rPr>
                <w:lang w:val="en-GB"/>
              </w:rPr>
            </w:pPr>
            <w:r>
              <w:rPr>
                <w:lang w:val="en-GB"/>
              </w:rPr>
              <w:t>Dummy variable; value 1 for firms with IT related material weakness, value 0 otherwise</w:t>
            </w:r>
          </w:p>
        </w:tc>
        <w:tc>
          <w:tcPr>
            <w:tcW w:w="3827" w:type="dxa"/>
          </w:tcPr>
          <w:p w:rsidR="00834DF1" w:rsidRPr="00834DF1" w:rsidRDefault="00834DF1" w:rsidP="00383521">
            <w:pPr>
              <w:rPr>
                <w:lang w:val="en-US"/>
              </w:rPr>
            </w:pPr>
            <w:r w:rsidRPr="00834DF1">
              <w:rPr>
                <w:lang w:val="en-US"/>
              </w:rPr>
              <w:t>Information Technology deficiencies in Audit Analytics</w:t>
            </w:r>
            <w:r w:rsidR="00383521">
              <w:rPr>
                <w:lang w:val="en-US"/>
              </w:rPr>
              <w:t xml:space="preserve">, all “OTHERMWKEY” with the number 22. </w:t>
            </w:r>
          </w:p>
        </w:tc>
      </w:tr>
      <w:tr w:rsidR="00834DF1" w:rsidRPr="00F93260" w:rsidTr="00383521">
        <w:tc>
          <w:tcPr>
            <w:tcW w:w="1668" w:type="dxa"/>
          </w:tcPr>
          <w:p w:rsidR="00834DF1" w:rsidRDefault="00834DF1" w:rsidP="00834DF1">
            <w:pPr>
              <w:rPr>
                <w:lang w:val="en-GB"/>
              </w:rPr>
            </w:pPr>
            <w:r>
              <w:rPr>
                <w:lang w:val="en-GB"/>
              </w:rPr>
              <w:t>INDFRAUD</w:t>
            </w:r>
          </w:p>
        </w:tc>
        <w:tc>
          <w:tcPr>
            <w:tcW w:w="4252" w:type="dxa"/>
          </w:tcPr>
          <w:p w:rsidR="00834DF1" w:rsidRDefault="00834DF1" w:rsidP="00834DF1">
            <w:pPr>
              <w:rPr>
                <w:lang w:val="en-GB"/>
              </w:rPr>
            </w:pPr>
            <w:r>
              <w:rPr>
                <w:lang w:val="en-GB"/>
              </w:rPr>
              <w:t>Dummy variable; value 1 for firm in technology, health care or financial services industry, value 0 otherwise</w:t>
            </w:r>
          </w:p>
        </w:tc>
        <w:tc>
          <w:tcPr>
            <w:tcW w:w="3827" w:type="dxa"/>
          </w:tcPr>
          <w:p w:rsidR="00834DF1" w:rsidRPr="003A0141" w:rsidRDefault="00834DF1" w:rsidP="00BC5115">
            <w:pPr>
              <w:rPr>
                <w:lang w:val="en-US"/>
              </w:rPr>
            </w:pPr>
            <w:r>
              <w:rPr>
                <w:lang w:val="en-US"/>
              </w:rPr>
              <w:t>Industries with</w:t>
            </w:r>
            <w:r w:rsidR="003B36FC">
              <w:rPr>
                <w:lang w:val="en-US"/>
              </w:rPr>
              <w:t xml:space="preserve"> 2-digit</w:t>
            </w:r>
            <w:r>
              <w:rPr>
                <w:lang w:val="en-US"/>
              </w:rPr>
              <w:t xml:space="preserve"> SIC codes: </w:t>
            </w:r>
            <w:r w:rsidR="003B36FC">
              <w:rPr>
                <w:lang w:val="en-US"/>
              </w:rPr>
              <w:t xml:space="preserve">80 (health services), 73, 62, 63, 64, 67 (business service/ financial services) and </w:t>
            </w:r>
            <w:r w:rsidR="00B009FB">
              <w:rPr>
                <w:lang w:val="en-US"/>
              </w:rPr>
              <w:t>35, 36 (technology, computer, software companies)</w:t>
            </w:r>
          </w:p>
        </w:tc>
      </w:tr>
      <w:tr w:rsidR="00834DF1" w:rsidRPr="00F93260" w:rsidTr="00383521">
        <w:tc>
          <w:tcPr>
            <w:tcW w:w="1668" w:type="dxa"/>
          </w:tcPr>
          <w:p w:rsidR="00834DF1" w:rsidRDefault="00834DF1" w:rsidP="00834DF1">
            <w:pPr>
              <w:rPr>
                <w:lang w:val="en-GB"/>
              </w:rPr>
            </w:pPr>
            <w:r>
              <w:rPr>
                <w:lang w:val="en-GB"/>
              </w:rPr>
              <w:t>INDCOMP</w:t>
            </w:r>
          </w:p>
        </w:tc>
        <w:tc>
          <w:tcPr>
            <w:tcW w:w="4252" w:type="dxa"/>
          </w:tcPr>
          <w:p w:rsidR="00834DF1" w:rsidRDefault="00834DF1" w:rsidP="00B041C1">
            <w:pPr>
              <w:rPr>
                <w:lang w:val="en-GB"/>
              </w:rPr>
            </w:pPr>
            <w:r>
              <w:rPr>
                <w:lang w:val="en-GB"/>
              </w:rPr>
              <w:t>Dummy variable; value 1 for firm in industry wit</w:t>
            </w:r>
            <w:r w:rsidR="00383521">
              <w:rPr>
                <w:lang w:val="en-GB"/>
              </w:rPr>
              <w:t>h a &gt;</w:t>
            </w:r>
            <w:r w:rsidR="00B041C1">
              <w:rPr>
                <w:lang w:val="en-GB"/>
              </w:rPr>
              <w:t>33</w:t>
            </w:r>
            <w:r>
              <w:rPr>
                <w:lang w:val="en-GB"/>
              </w:rPr>
              <w:t>% Herfindahl index (non-competitive), value 0 otherwise</w:t>
            </w:r>
          </w:p>
        </w:tc>
        <w:tc>
          <w:tcPr>
            <w:tcW w:w="3827" w:type="dxa"/>
          </w:tcPr>
          <w:p w:rsidR="00834DF1" w:rsidRPr="003A0141" w:rsidRDefault="00514948" w:rsidP="00383521">
            <w:pPr>
              <w:rPr>
                <w:lang w:val="en-US"/>
              </w:rPr>
            </w:pPr>
            <w:r>
              <w:rPr>
                <w:lang w:val="en-US"/>
              </w:rPr>
              <w:t xml:space="preserve">Firms with a 2-digit SIC code of an industry with a Herfindahl index (market shares/ sales from Compustat) </w:t>
            </w:r>
            <w:r w:rsidR="00383521">
              <w:rPr>
                <w:lang w:val="en-US"/>
              </w:rPr>
              <w:t>above the</w:t>
            </w:r>
            <w:r>
              <w:rPr>
                <w:lang w:val="en-US"/>
              </w:rPr>
              <w:t xml:space="preserve"> </w:t>
            </w:r>
            <w:r w:rsidR="00B041C1">
              <w:rPr>
                <w:lang w:val="en-US"/>
              </w:rPr>
              <w:t>33</w:t>
            </w:r>
            <w:r>
              <w:rPr>
                <w:lang w:val="en-US"/>
              </w:rPr>
              <w:t>% is classified as non-competitive industry firm.</w:t>
            </w:r>
          </w:p>
        </w:tc>
      </w:tr>
      <w:tr w:rsidR="00834DF1" w:rsidRPr="00F93260" w:rsidTr="00383521">
        <w:tc>
          <w:tcPr>
            <w:tcW w:w="1668" w:type="dxa"/>
          </w:tcPr>
          <w:p w:rsidR="00834DF1" w:rsidRDefault="00834DF1" w:rsidP="00834DF1">
            <w:pPr>
              <w:rPr>
                <w:lang w:val="en-GB"/>
              </w:rPr>
            </w:pPr>
            <w:r>
              <w:rPr>
                <w:lang w:val="en-GB"/>
              </w:rPr>
              <w:t>RESTRUCTD</w:t>
            </w:r>
          </w:p>
        </w:tc>
        <w:tc>
          <w:tcPr>
            <w:tcW w:w="4252" w:type="dxa"/>
          </w:tcPr>
          <w:p w:rsidR="00834DF1" w:rsidRDefault="00834DF1" w:rsidP="00834DF1">
            <w:pPr>
              <w:rPr>
                <w:lang w:val="en-GB"/>
              </w:rPr>
            </w:pPr>
            <w:r>
              <w:rPr>
                <w:lang w:val="en-GB"/>
              </w:rPr>
              <w:t>Dummy variable; value 1 for firm with non-zero value for restructuring costs , value 0 otherwise</w:t>
            </w:r>
          </w:p>
        </w:tc>
        <w:tc>
          <w:tcPr>
            <w:tcW w:w="3827" w:type="dxa"/>
          </w:tcPr>
          <w:p w:rsidR="00834DF1" w:rsidRPr="003A0141" w:rsidRDefault="00514948" w:rsidP="00BC5115">
            <w:pPr>
              <w:rPr>
                <w:lang w:val="en-US"/>
              </w:rPr>
            </w:pPr>
            <w:r>
              <w:rPr>
                <w:lang w:val="en-US"/>
              </w:rPr>
              <w:t>The restructuring costs before taxes Compustat</w:t>
            </w:r>
          </w:p>
        </w:tc>
      </w:tr>
      <w:tr w:rsidR="00834DF1" w:rsidRPr="00F93260" w:rsidTr="00383521">
        <w:tc>
          <w:tcPr>
            <w:tcW w:w="1668" w:type="dxa"/>
          </w:tcPr>
          <w:p w:rsidR="00834DF1" w:rsidRDefault="00834DF1" w:rsidP="00834DF1">
            <w:pPr>
              <w:rPr>
                <w:lang w:val="en-GB"/>
              </w:rPr>
            </w:pPr>
            <w:r>
              <w:rPr>
                <w:lang w:val="en-GB"/>
              </w:rPr>
              <w:t>RESTRUCTC</w:t>
            </w:r>
          </w:p>
        </w:tc>
        <w:tc>
          <w:tcPr>
            <w:tcW w:w="4252" w:type="dxa"/>
          </w:tcPr>
          <w:p w:rsidR="00834DF1" w:rsidRDefault="00834DF1" w:rsidP="00834DF1">
            <w:pPr>
              <w:rPr>
                <w:lang w:val="en-GB"/>
              </w:rPr>
            </w:pPr>
            <w:r>
              <w:rPr>
                <w:lang w:val="en-GB"/>
              </w:rPr>
              <w:t xml:space="preserve">Ratio variable; the restructuring costs scaled against the total assets </w:t>
            </w:r>
          </w:p>
        </w:tc>
        <w:tc>
          <w:tcPr>
            <w:tcW w:w="3827" w:type="dxa"/>
          </w:tcPr>
          <w:p w:rsidR="00834DF1" w:rsidRPr="003A0141" w:rsidRDefault="00514948" w:rsidP="00BC5115">
            <w:pPr>
              <w:rPr>
                <w:lang w:val="en-US"/>
              </w:rPr>
            </w:pPr>
            <w:r>
              <w:rPr>
                <w:lang w:val="en-US"/>
              </w:rPr>
              <w:t>The total restructuring costs before taxes dividend by total assets from Compustat</w:t>
            </w:r>
          </w:p>
        </w:tc>
      </w:tr>
      <w:tr w:rsidR="00834DF1" w:rsidRPr="00F93260" w:rsidTr="00383521">
        <w:tc>
          <w:tcPr>
            <w:tcW w:w="1668" w:type="dxa"/>
          </w:tcPr>
          <w:p w:rsidR="00834DF1" w:rsidRDefault="00834DF1" w:rsidP="00834DF1">
            <w:pPr>
              <w:rPr>
                <w:lang w:val="en-GB"/>
              </w:rPr>
            </w:pPr>
            <w:r>
              <w:rPr>
                <w:lang w:val="en-GB"/>
              </w:rPr>
              <w:t>NON-ITMW</w:t>
            </w:r>
          </w:p>
        </w:tc>
        <w:tc>
          <w:tcPr>
            <w:tcW w:w="4252" w:type="dxa"/>
          </w:tcPr>
          <w:p w:rsidR="00834DF1" w:rsidRDefault="00834DF1" w:rsidP="00834DF1">
            <w:pPr>
              <w:rPr>
                <w:lang w:val="en-GB"/>
              </w:rPr>
            </w:pPr>
            <w:r>
              <w:rPr>
                <w:lang w:val="en-GB"/>
              </w:rPr>
              <w:t>Dummy variable; value 1 for firms with non-IT related material weakness, value 0 otherwise</w:t>
            </w:r>
          </w:p>
        </w:tc>
        <w:tc>
          <w:tcPr>
            <w:tcW w:w="3827" w:type="dxa"/>
          </w:tcPr>
          <w:p w:rsidR="00834DF1" w:rsidRPr="003A0141" w:rsidRDefault="00514948" w:rsidP="00BC5115">
            <w:pPr>
              <w:rPr>
                <w:lang w:val="en-US"/>
              </w:rPr>
            </w:pPr>
            <w:r>
              <w:rPr>
                <w:lang w:val="en-US"/>
              </w:rPr>
              <w:t>Material weaknesses disclosed – IT related weaknesses in Audit Analytics</w:t>
            </w:r>
          </w:p>
        </w:tc>
      </w:tr>
      <w:tr w:rsidR="00834DF1" w:rsidTr="00383521">
        <w:tc>
          <w:tcPr>
            <w:tcW w:w="1668" w:type="dxa"/>
          </w:tcPr>
          <w:p w:rsidR="00834DF1" w:rsidRDefault="00834DF1" w:rsidP="00834DF1">
            <w:pPr>
              <w:rPr>
                <w:lang w:val="en-GB"/>
              </w:rPr>
            </w:pPr>
            <w:r>
              <w:rPr>
                <w:lang w:val="en-GB"/>
              </w:rPr>
              <w:t>SIZE</w:t>
            </w:r>
          </w:p>
        </w:tc>
        <w:tc>
          <w:tcPr>
            <w:tcW w:w="4252" w:type="dxa"/>
          </w:tcPr>
          <w:p w:rsidR="00834DF1" w:rsidRDefault="00834DF1" w:rsidP="00834DF1">
            <w:pPr>
              <w:rPr>
                <w:lang w:val="en-GB"/>
              </w:rPr>
            </w:pPr>
            <w:r>
              <w:rPr>
                <w:lang w:val="en-GB"/>
              </w:rPr>
              <w:t>Continuous variable; the log of the total assets</w:t>
            </w:r>
          </w:p>
        </w:tc>
        <w:tc>
          <w:tcPr>
            <w:tcW w:w="3827" w:type="dxa"/>
          </w:tcPr>
          <w:p w:rsidR="00834DF1" w:rsidRPr="003A0141" w:rsidRDefault="00514948" w:rsidP="00BC5115">
            <w:pPr>
              <w:rPr>
                <w:lang w:val="en-US"/>
              </w:rPr>
            </w:pPr>
            <w:r>
              <w:rPr>
                <w:lang w:val="en-US"/>
              </w:rPr>
              <w:t>Total assets from Compustat</w:t>
            </w:r>
          </w:p>
        </w:tc>
      </w:tr>
      <w:tr w:rsidR="00834DF1" w:rsidRPr="00F93260" w:rsidTr="00383521">
        <w:tc>
          <w:tcPr>
            <w:tcW w:w="1668" w:type="dxa"/>
          </w:tcPr>
          <w:p w:rsidR="00834DF1" w:rsidRDefault="00834DF1" w:rsidP="00834DF1">
            <w:pPr>
              <w:rPr>
                <w:lang w:val="en-GB"/>
              </w:rPr>
            </w:pPr>
            <w:r>
              <w:rPr>
                <w:lang w:val="en-GB"/>
              </w:rPr>
              <w:t>AGE</w:t>
            </w:r>
          </w:p>
        </w:tc>
        <w:tc>
          <w:tcPr>
            <w:tcW w:w="4252" w:type="dxa"/>
          </w:tcPr>
          <w:p w:rsidR="00834DF1" w:rsidRDefault="00834DF1" w:rsidP="00834DF1">
            <w:pPr>
              <w:rPr>
                <w:lang w:val="en-GB"/>
              </w:rPr>
            </w:pPr>
            <w:r>
              <w:rPr>
                <w:lang w:val="en-GB"/>
              </w:rPr>
              <w:t>Continuous variable; the log of the firm age based on current year- founding year</w:t>
            </w:r>
          </w:p>
        </w:tc>
        <w:tc>
          <w:tcPr>
            <w:tcW w:w="3827" w:type="dxa"/>
          </w:tcPr>
          <w:p w:rsidR="00834DF1" w:rsidRPr="003A0141" w:rsidRDefault="00383521" w:rsidP="00383521">
            <w:pPr>
              <w:rPr>
                <w:lang w:val="en-US"/>
              </w:rPr>
            </w:pPr>
            <w:r>
              <w:rPr>
                <w:lang w:val="en-US"/>
              </w:rPr>
              <w:t>The fiscal year of observation – first year in the CRSP-</w:t>
            </w:r>
            <w:r w:rsidR="00514948">
              <w:rPr>
                <w:lang w:val="en-US"/>
              </w:rPr>
              <w:t>Compustat</w:t>
            </w:r>
            <w:r>
              <w:rPr>
                <w:lang w:val="en-US"/>
              </w:rPr>
              <w:t xml:space="preserve"> database</w:t>
            </w:r>
          </w:p>
        </w:tc>
      </w:tr>
      <w:tr w:rsidR="00834DF1" w:rsidRPr="00F93260" w:rsidTr="00383521">
        <w:tc>
          <w:tcPr>
            <w:tcW w:w="1668" w:type="dxa"/>
          </w:tcPr>
          <w:p w:rsidR="00834DF1" w:rsidRDefault="00834DF1" w:rsidP="00834DF1">
            <w:pPr>
              <w:rPr>
                <w:lang w:val="en-GB"/>
              </w:rPr>
            </w:pPr>
            <w:r>
              <w:rPr>
                <w:lang w:val="en-GB"/>
              </w:rPr>
              <w:t>FINHEALTH</w:t>
            </w:r>
          </w:p>
        </w:tc>
        <w:tc>
          <w:tcPr>
            <w:tcW w:w="4252" w:type="dxa"/>
          </w:tcPr>
          <w:p w:rsidR="00834DF1" w:rsidRDefault="00834DF1" w:rsidP="00834DF1">
            <w:pPr>
              <w:rPr>
                <w:lang w:val="en-GB"/>
              </w:rPr>
            </w:pPr>
            <w:r>
              <w:rPr>
                <w:lang w:val="en-GB"/>
              </w:rPr>
              <w:t>Ratio variable; Leverage (total liabilities/total assets)</w:t>
            </w:r>
          </w:p>
        </w:tc>
        <w:tc>
          <w:tcPr>
            <w:tcW w:w="3827" w:type="dxa"/>
          </w:tcPr>
          <w:p w:rsidR="00834DF1" w:rsidRPr="003A0141" w:rsidRDefault="004C3F64" w:rsidP="00BC5115">
            <w:pPr>
              <w:rPr>
                <w:lang w:val="en-US"/>
              </w:rPr>
            </w:pPr>
            <w:r>
              <w:rPr>
                <w:lang w:val="en-US"/>
              </w:rPr>
              <w:t>Total liabilities and total assets from Compustat</w:t>
            </w:r>
          </w:p>
        </w:tc>
      </w:tr>
      <w:tr w:rsidR="00834DF1" w:rsidRPr="00F93260" w:rsidTr="00383521">
        <w:tc>
          <w:tcPr>
            <w:tcW w:w="1668" w:type="dxa"/>
          </w:tcPr>
          <w:p w:rsidR="00834DF1" w:rsidRDefault="00834DF1" w:rsidP="00834DF1">
            <w:pPr>
              <w:rPr>
                <w:lang w:val="en-GB"/>
              </w:rPr>
            </w:pPr>
            <w:r>
              <w:rPr>
                <w:lang w:val="en-GB"/>
              </w:rPr>
              <w:t>ROA</w:t>
            </w:r>
          </w:p>
        </w:tc>
        <w:tc>
          <w:tcPr>
            <w:tcW w:w="4252" w:type="dxa"/>
          </w:tcPr>
          <w:p w:rsidR="00834DF1" w:rsidRDefault="00834DF1" w:rsidP="00834DF1">
            <w:pPr>
              <w:rPr>
                <w:lang w:val="en-GB"/>
              </w:rPr>
            </w:pPr>
            <w:r>
              <w:rPr>
                <w:lang w:val="en-GB"/>
              </w:rPr>
              <w:t>Ratio variable: Return on Assets (Net income/ total assets)</w:t>
            </w:r>
          </w:p>
        </w:tc>
        <w:tc>
          <w:tcPr>
            <w:tcW w:w="3827" w:type="dxa"/>
          </w:tcPr>
          <w:p w:rsidR="00834DF1" w:rsidRPr="003A0141" w:rsidRDefault="004C3F64" w:rsidP="00BC5115">
            <w:pPr>
              <w:rPr>
                <w:lang w:val="en-US"/>
              </w:rPr>
            </w:pPr>
            <w:r>
              <w:rPr>
                <w:lang w:val="en-US"/>
              </w:rPr>
              <w:t>Net income and total assets from Compustat</w:t>
            </w:r>
          </w:p>
        </w:tc>
      </w:tr>
      <w:tr w:rsidR="00834DF1" w:rsidRPr="00F93260" w:rsidTr="00383521">
        <w:tc>
          <w:tcPr>
            <w:tcW w:w="1668" w:type="dxa"/>
          </w:tcPr>
          <w:p w:rsidR="00834DF1" w:rsidRDefault="00834DF1" w:rsidP="00834DF1">
            <w:pPr>
              <w:rPr>
                <w:lang w:val="en-GB"/>
              </w:rPr>
            </w:pPr>
            <w:r>
              <w:rPr>
                <w:lang w:val="en-GB"/>
              </w:rPr>
              <w:t>SEGNUM</w:t>
            </w:r>
          </w:p>
        </w:tc>
        <w:tc>
          <w:tcPr>
            <w:tcW w:w="4252" w:type="dxa"/>
          </w:tcPr>
          <w:p w:rsidR="00834DF1" w:rsidRDefault="00834DF1" w:rsidP="00834DF1">
            <w:pPr>
              <w:rPr>
                <w:lang w:val="en-GB"/>
              </w:rPr>
            </w:pPr>
            <w:r>
              <w:rPr>
                <w:lang w:val="en-GB"/>
              </w:rPr>
              <w:t>Continuous variable; the number of business units</w:t>
            </w:r>
          </w:p>
        </w:tc>
        <w:tc>
          <w:tcPr>
            <w:tcW w:w="3827" w:type="dxa"/>
          </w:tcPr>
          <w:p w:rsidR="00834DF1" w:rsidRPr="003A0141" w:rsidRDefault="004C3F64" w:rsidP="00BC5115">
            <w:pPr>
              <w:rPr>
                <w:lang w:val="en-US"/>
              </w:rPr>
            </w:pPr>
            <w:r>
              <w:rPr>
                <w:lang w:val="en-US"/>
              </w:rPr>
              <w:t>Number business segments from Compustat</w:t>
            </w:r>
          </w:p>
        </w:tc>
      </w:tr>
      <w:tr w:rsidR="00834DF1" w:rsidRPr="00F93260" w:rsidTr="00383521">
        <w:tc>
          <w:tcPr>
            <w:tcW w:w="1668" w:type="dxa"/>
          </w:tcPr>
          <w:p w:rsidR="00834DF1" w:rsidRDefault="00834DF1" w:rsidP="00834DF1">
            <w:pPr>
              <w:rPr>
                <w:lang w:val="en-GB"/>
              </w:rPr>
            </w:pPr>
            <w:r>
              <w:rPr>
                <w:lang w:val="en-GB"/>
              </w:rPr>
              <w:t>FORTRANS</w:t>
            </w:r>
          </w:p>
        </w:tc>
        <w:tc>
          <w:tcPr>
            <w:tcW w:w="4252" w:type="dxa"/>
          </w:tcPr>
          <w:p w:rsidR="00834DF1" w:rsidRDefault="00834DF1" w:rsidP="00834DF1">
            <w:pPr>
              <w:rPr>
                <w:lang w:val="en-GB"/>
              </w:rPr>
            </w:pPr>
            <w:r>
              <w:rPr>
                <w:lang w:val="en-GB"/>
              </w:rPr>
              <w:t xml:space="preserve">Dummy variable: value 1 for firms with non-zero value foreign currency transaction, value 0 otherwise </w:t>
            </w:r>
          </w:p>
        </w:tc>
        <w:tc>
          <w:tcPr>
            <w:tcW w:w="3827" w:type="dxa"/>
          </w:tcPr>
          <w:p w:rsidR="00834DF1" w:rsidRPr="003A0141" w:rsidRDefault="004C3F64" w:rsidP="00BC5115">
            <w:pPr>
              <w:rPr>
                <w:lang w:val="en-US"/>
              </w:rPr>
            </w:pPr>
            <w:r>
              <w:rPr>
                <w:lang w:val="en-US"/>
              </w:rPr>
              <w:t>Foreign currency transactions from Compustat</w:t>
            </w:r>
          </w:p>
        </w:tc>
      </w:tr>
      <w:tr w:rsidR="00834DF1" w:rsidRPr="00F93260" w:rsidTr="00383521">
        <w:tc>
          <w:tcPr>
            <w:tcW w:w="1668" w:type="dxa"/>
          </w:tcPr>
          <w:p w:rsidR="00834DF1" w:rsidRDefault="00834DF1" w:rsidP="00834DF1">
            <w:pPr>
              <w:rPr>
                <w:lang w:val="en-GB"/>
              </w:rPr>
            </w:pPr>
            <w:r>
              <w:rPr>
                <w:lang w:val="en-GB"/>
              </w:rPr>
              <w:t>BIG4</w:t>
            </w:r>
          </w:p>
        </w:tc>
        <w:tc>
          <w:tcPr>
            <w:tcW w:w="4252" w:type="dxa"/>
          </w:tcPr>
          <w:p w:rsidR="00834DF1" w:rsidRDefault="00834DF1" w:rsidP="00834DF1">
            <w:pPr>
              <w:rPr>
                <w:lang w:val="en-GB"/>
              </w:rPr>
            </w:pPr>
            <w:r>
              <w:rPr>
                <w:lang w:val="en-GB"/>
              </w:rPr>
              <w:t>Dummy variable: value 1 for firms audited by BIG 4 audit firms, value 0 otherwise</w:t>
            </w:r>
          </w:p>
        </w:tc>
        <w:tc>
          <w:tcPr>
            <w:tcW w:w="3827" w:type="dxa"/>
          </w:tcPr>
          <w:p w:rsidR="00834DF1" w:rsidRPr="003A0141" w:rsidRDefault="004C3F64" w:rsidP="00BC5115">
            <w:pPr>
              <w:rPr>
                <w:lang w:val="en-US"/>
              </w:rPr>
            </w:pPr>
            <w:r>
              <w:rPr>
                <w:lang w:val="en-US"/>
              </w:rPr>
              <w:t>BIG 4 variable from Audit Analytics</w:t>
            </w:r>
          </w:p>
        </w:tc>
      </w:tr>
    </w:tbl>
    <w:p w:rsidR="006E54C7" w:rsidRDefault="006E54C7" w:rsidP="006E54C7">
      <w:pPr>
        <w:autoSpaceDE w:val="0"/>
        <w:autoSpaceDN w:val="0"/>
        <w:adjustRightInd w:val="0"/>
        <w:spacing w:after="0" w:line="240" w:lineRule="auto"/>
        <w:rPr>
          <w:lang w:val="en-US"/>
        </w:rPr>
      </w:pPr>
    </w:p>
    <w:p w:rsidR="006E54C7" w:rsidRDefault="006E54C7" w:rsidP="006E54C7">
      <w:pPr>
        <w:rPr>
          <w:lang w:val="en-US"/>
        </w:rPr>
      </w:pPr>
      <w:r>
        <w:rPr>
          <w:lang w:val="en-US"/>
        </w:rPr>
        <w:br w:type="page"/>
      </w:r>
    </w:p>
    <w:p w:rsidR="00773BA0" w:rsidRDefault="006E54C7" w:rsidP="00C514CA">
      <w:pPr>
        <w:pStyle w:val="Heading1"/>
      </w:pPr>
      <w:bookmarkStart w:id="110" w:name="_Toc363840788"/>
      <w:r w:rsidRPr="00751F56">
        <w:t>Appendix 2: Example of a sample selection</w:t>
      </w:r>
      <w:bookmarkEnd w:id="110"/>
    </w:p>
    <w:p w:rsidR="00773BA0" w:rsidRPr="00773BA0" w:rsidRDefault="00773BA0" w:rsidP="00773BA0">
      <w:pPr>
        <w:rPr>
          <w:lang w:val="en-US"/>
        </w:rPr>
      </w:pPr>
      <w:r w:rsidRPr="00773BA0">
        <w:rPr>
          <w:lang w:val="en-US"/>
        </w:rPr>
        <w:t xml:space="preserve">Audit Analytics database: In this database it is specified what kind of internal controls weaknesses are disclosed. There are 21 categories of internal control weaknesses and for this research the category of Information Technology (security, access control and software) is the most relevant. </w:t>
      </w:r>
      <w:r w:rsidR="00E150A6">
        <w:rPr>
          <w:lang w:val="en-US"/>
        </w:rPr>
        <w:t>T</w:t>
      </w:r>
      <w:r w:rsidRPr="00773BA0">
        <w:rPr>
          <w:lang w:val="en-US"/>
        </w:rPr>
        <w:t xml:space="preserve">he table below contains an example of the data needed to do the analysis, in this case </w:t>
      </w:r>
      <w:r w:rsidR="00870FD7" w:rsidRPr="00773BA0">
        <w:rPr>
          <w:lang w:val="en-US"/>
        </w:rPr>
        <w:t>IBM in</w:t>
      </w:r>
      <w:r w:rsidRPr="00773BA0">
        <w:rPr>
          <w:lang w:val="en-US"/>
        </w:rPr>
        <w:t xml:space="preserve"> the period of 2004-2011 from the Audit Analytics database. </w:t>
      </w:r>
      <w:r w:rsidR="00870FD7">
        <w:rPr>
          <w:lang w:val="en-US"/>
        </w:rPr>
        <w:t xml:space="preserve">The first column shows the company f-key which is the CIK identification code, with this code the datasets of Audit Analytics and Compustat are merged. In the second part there is the column “Not effective other reason keys” under is column the </w:t>
      </w:r>
      <w:r w:rsidR="000B3301">
        <w:rPr>
          <w:lang w:val="en-US"/>
        </w:rPr>
        <w:t>material IT control weaknesses</w:t>
      </w:r>
      <w:r w:rsidR="00870FD7">
        <w:rPr>
          <w:lang w:val="en-US"/>
        </w:rPr>
        <w:t xml:space="preserve"> are disclosed and the key for IT weaknesses is 22. In the last column the Standard Industry Code is presented this is important for the industry differences measures, where only the first two digits are needed, in this case it is SIC code 35.</w:t>
      </w:r>
    </w:p>
    <w:p w:rsidR="00773BA0" w:rsidRDefault="00773BA0" w:rsidP="00773BA0">
      <w:pPr>
        <w:ind w:left="-567"/>
        <w:rPr>
          <w:lang w:val="en-US"/>
        </w:rPr>
      </w:pPr>
      <w:r>
        <w:rPr>
          <w:noProof/>
          <w:lang w:val="en-US" w:eastAsia="en-US"/>
        </w:rPr>
        <w:drawing>
          <wp:inline distT="0" distB="0" distL="0" distR="0">
            <wp:extent cx="6581775" cy="2607186"/>
            <wp:effectExtent l="0" t="0" r="0"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9599" cy="2606324"/>
                    </a:xfrm>
                    <a:prstGeom prst="rect">
                      <a:avLst/>
                    </a:prstGeom>
                    <a:noFill/>
                    <a:ln>
                      <a:noFill/>
                    </a:ln>
                  </pic:spPr>
                </pic:pic>
              </a:graphicData>
            </a:graphic>
          </wp:inline>
        </w:drawing>
      </w:r>
    </w:p>
    <w:p w:rsidR="006E54C7" w:rsidRDefault="00773BA0" w:rsidP="00773BA0">
      <w:pPr>
        <w:rPr>
          <w:lang w:val="en-US"/>
        </w:rPr>
      </w:pPr>
      <w:r w:rsidRPr="00773BA0">
        <w:rPr>
          <w:lang w:val="en-US"/>
        </w:rPr>
        <w:t>Part 2:</w:t>
      </w:r>
    </w:p>
    <w:p w:rsidR="00F272E7" w:rsidRDefault="00773BA0" w:rsidP="00773BA0">
      <w:pPr>
        <w:ind w:left="-567"/>
        <w:rPr>
          <w:lang w:val="en-US"/>
        </w:rPr>
      </w:pPr>
      <w:r>
        <w:rPr>
          <w:noProof/>
          <w:lang w:val="en-US" w:eastAsia="en-US"/>
        </w:rPr>
        <w:drawing>
          <wp:inline distT="0" distB="0" distL="0" distR="0">
            <wp:extent cx="6612617" cy="23241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10431" cy="2323332"/>
                    </a:xfrm>
                    <a:prstGeom prst="rect">
                      <a:avLst/>
                    </a:prstGeom>
                    <a:noFill/>
                    <a:ln>
                      <a:noFill/>
                    </a:ln>
                  </pic:spPr>
                </pic:pic>
              </a:graphicData>
            </a:graphic>
          </wp:inline>
        </w:drawing>
      </w:r>
    </w:p>
    <w:p w:rsidR="00F272E7" w:rsidRPr="00F272E7" w:rsidRDefault="00F272E7" w:rsidP="00F272E7">
      <w:pPr>
        <w:rPr>
          <w:lang w:val="en-US"/>
        </w:rPr>
      </w:pPr>
    </w:p>
    <w:p w:rsidR="00F272E7" w:rsidRDefault="00F272E7" w:rsidP="00F272E7">
      <w:pPr>
        <w:rPr>
          <w:lang w:val="en-US"/>
        </w:rPr>
      </w:pPr>
    </w:p>
    <w:p w:rsidR="00B041C1" w:rsidRDefault="00B041C1" w:rsidP="00B041C1">
      <w:pPr>
        <w:pStyle w:val="Heading1"/>
      </w:pPr>
      <w:bookmarkStart w:id="111" w:name="_Toc363840789"/>
      <w:r w:rsidRPr="00751F56">
        <w:t xml:space="preserve">Appendix </w:t>
      </w:r>
      <w:r w:rsidR="00DE346B">
        <w:t>3</w:t>
      </w:r>
      <w:r w:rsidRPr="00751F56">
        <w:t xml:space="preserve">: </w:t>
      </w:r>
      <w:r>
        <w:t>Herfindahl Index</w:t>
      </w:r>
      <w:bookmarkEnd w:id="111"/>
    </w:p>
    <w:p w:rsidR="00DE346B" w:rsidRPr="00DE346B" w:rsidRDefault="00DE346B" w:rsidP="00DE346B">
      <w:pPr>
        <w:rPr>
          <w:lang w:val="en-GB"/>
        </w:rPr>
      </w:pPr>
      <w:r>
        <w:rPr>
          <w:lang w:val="en-GB"/>
        </w:rPr>
        <w:t>In order to measure the industry differences based on the competitiveness level the Herfindahl index for each industry needed to be calculated. In table 16 all Herfindahl indexes</w:t>
      </w:r>
      <w:r w:rsidR="00C67882">
        <w:rPr>
          <w:lang w:val="en-GB"/>
        </w:rPr>
        <w:t xml:space="preserve"> for the year 2011</w:t>
      </w:r>
      <w:r>
        <w:rPr>
          <w:lang w:val="en-GB"/>
        </w:rPr>
        <w:t xml:space="preserve"> are presented including the dummy variable INDCOMP </w:t>
      </w:r>
      <w:r w:rsidR="00A62820">
        <w:rPr>
          <w:lang w:val="en-GB"/>
        </w:rPr>
        <w:t xml:space="preserve">that has a value 1 for industries above 33% (non-competitive) and a value 0 for industries with </w:t>
      </w:r>
      <w:r w:rsidR="006D309E">
        <w:rPr>
          <w:lang w:val="en-GB"/>
        </w:rPr>
        <w:t>an</w:t>
      </w:r>
      <w:r w:rsidR="00A62820">
        <w:rPr>
          <w:lang w:val="en-GB"/>
        </w:rPr>
        <w:t xml:space="preserve"> index equal or below the 33% (competitive).</w:t>
      </w:r>
    </w:p>
    <w:p w:rsidR="00EC2BEC" w:rsidRPr="00EC2BEC" w:rsidRDefault="00EC2BEC" w:rsidP="00EC2BEC">
      <w:pPr>
        <w:rPr>
          <w:b/>
          <w:i/>
          <w:lang w:val="en-GB"/>
        </w:rPr>
      </w:pPr>
      <w:r w:rsidRPr="00EC2BEC">
        <w:rPr>
          <w:b/>
          <w:i/>
          <w:lang w:val="en-GB"/>
        </w:rPr>
        <w:t>Table 1</w:t>
      </w:r>
      <w:r w:rsidR="00DE346B">
        <w:rPr>
          <w:b/>
          <w:i/>
          <w:lang w:val="en-GB"/>
        </w:rPr>
        <w:t>6</w:t>
      </w:r>
      <w:r w:rsidRPr="00EC2BEC">
        <w:rPr>
          <w:b/>
          <w:i/>
          <w:lang w:val="en-GB"/>
        </w:rPr>
        <w:t>: Herfindahl Index per 2-digit SIC Industry</w:t>
      </w:r>
    </w:p>
    <w:tbl>
      <w:tblPr>
        <w:tblW w:w="10512" w:type="dxa"/>
        <w:tblInd w:w="-318" w:type="dxa"/>
        <w:tblLayout w:type="fixed"/>
        <w:tblLook w:val="0000"/>
      </w:tblPr>
      <w:tblGrid>
        <w:gridCol w:w="597"/>
        <w:gridCol w:w="3090"/>
        <w:gridCol w:w="730"/>
        <w:gridCol w:w="709"/>
        <w:gridCol w:w="584"/>
        <w:gridCol w:w="3385"/>
        <w:gridCol w:w="709"/>
        <w:gridCol w:w="708"/>
      </w:tblGrid>
      <w:tr w:rsidR="00F874CD" w:rsidTr="0013700D">
        <w:trPr>
          <w:trHeight w:val="20"/>
        </w:trPr>
        <w:tc>
          <w:tcPr>
            <w:tcW w:w="597" w:type="dxa"/>
            <w:tcBorders>
              <w:top w:val="single" w:sz="18" w:space="0" w:color="000000"/>
              <w:left w:val="single" w:sz="18" w:space="0" w:color="000000"/>
              <w:bottom w:val="single" w:sz="18" w:space="0" w:color="000000"/>
              <w:right w:val="single" w:sz="4" w:space="0" w:color="000000"/>
            </w:tcBorders>
          </w:tcPr>
          <w:p w:rsidR="00F874CD" w:rsidRDefault="00F874CD">
            <w:pPr>
              <w:autoSpaceDE w:val="0"/>
              <w:autoSpaceDN w:val="0"/>
              <w:adjustRightInd w:val="0"/>
              <w:spacing w:after="0" w:line="240" w:lineRule="auto"/>
              <w:rPr>
                <w:rFonts w:ascii="Arial" w:hAnsi="Arial" w:cs="Arial"/>
                <w:color w:val="000000"/>
                <w:sz w:val="16"/>
                <w:szCs w:val="16"/>
                <w:lang w:val="en-US"/>
              </w:rPr>
            </w:pPr>
            <w:r>
              <w:rPr>
                <w:rFonts w:ascii="Arial" w:hAnsi="Arial" w:cs="Arial"/>
                <w:color w:val="000000"/>
                <w:sz w:val="16"/>
                <w:szCs w:val="16"/>
                <w:lang w:val="en-US"/>
              </w:rPr>
              <w:t>SIC 2-digit</w:t>
            </w:r>
          </w:p>
        </w:tc>
        <w:tc>
          <w:tcPr>
            <w:tcW w:w="3090" w:type="dxa"/>
            <w:tcBorders>
              <w:top w:val="single" w:sz="18" w:space="0" w:color="000000"/>
              <w:left w:val="single" w:sz="4" w:space="0" w:color="000000"/>
              <w:bottom w:val="single" w:sz="18" w:space="0" w:color="000000"/>
              <w:right w:val="single" w:sz="4" w:space="0" w:color="000000"/>
            </w:tcBorders>
          </w:tcPr>
          <w:p w:rsidR="00F874CD" w:rsidRDefault="00F874CD">
            <w:pPr>
              <w:autoSpaceDE w:val="0"/>
              <w:autoSpaceDN w:val="0"/>
              <w:adjustRightInd w:val="0"/>
              <w:spacing w:after="0" w:line="240" w:lineRule="auto"/>
              <w:rPr>
                <w:rFonts w:ascii="Arial" w:hAnsi="Arial" w:cs="Arial"/>
                <w:color w:val="000000"/>
                <w:sz w:val="16"/>
                <w:szCs w:val="16"/>
                <w:lang w:val="en-US"/>
              </w:rPr>
            </w:pPr>
          </w:p>
        </w:tc>
        <w:tc>
          <w:tcPr>
            <w:tcW w:w="730" w:type="dxa"/>
            <w:tcBorders>
              <w:top w:val="single" w:sz="18" w:space="0" w:color="000000"/>
              <w:left w:val="single" w:sz="4" w:space="0" w:color="000000"/>
              <w:bottom w:val="single" w:sz="18" w:space="0" w:color="000000"/>
              <w:right w:val="single" w:sz="4" w:space="0" w:color="000000"/>
            </w:tcBorders>
          </w:tcPr>
          <w:p w:rsidR="00F874CD" w:rsidRDefault="00F874CD">
            <w:pPr>
              <w:autoSpaceDE w:val="0"/>
              <w:autoSpaceDN w:val="0"/>
              <w:adjustRightInd w:val="0"/>
              <w:spacing w:after="0" w:line="240" w:lineRule="auto"/>
              <w:jc w:val="center"/>
              <w:rPr>
                <w:rFonts w:ascii="Arial" w:hAnsi="Arial" w:cs="Arial"/>
                <w:color w:val="000000"/>
                <w:sz w:val="16"/>
                <w:szCs w:val="16"/>
                <w:lang w:val="en-US"/>
              </w:rPr>
            </w:pPr>
            <w:r>
              <w:rPr>
                <w:rFonts w:ascii="Arial" w:hAnsi="Arial" w:cs="Arial"/>
                <w:color w:val="000000"/>
                <w:sz w:val="16"/>
                <w:szCs w:val="16"/>
                <w:lang w:val="en-US"/>
              </w:rPr>
              <w:t>Herfindahl index</w:t>
            </w:r>
          </w:p>
        </w:tc>
        <w:tc>
          <w:tcPr>
            <w:tcW w:w="709" w:type="dxa"/>
            <w:tcBorders>
              <w:top w:val="single" w:sz="18" w:space="0" w:color="000000"/>
              <w:left w:val="single" w:sz="4" w:space="0" w:color="000000"/>
              <w:bottom w:val="single" w:sz="18" w:space="0" w:color="000000"/>
              <w:right w:val="single" w:sz="18" w:space="0" w:color="000000"/>
            </w:tcBorders>
          </w:tcPr>
          <w:p w:rsidR="00F874CD" w:rsidRDefault="00F874CD">
            <w:pPr>
              <w:autoSpaceDE w:val="0"/>
              <w:autoSpaceDN w:val="0"/>
              <w:adjustRightInd w:val="0"/>
              <w:spacing w:after="0" w:line="240" w:lineRule="auto"/>
              <w:jc w:val="center"/>
              <w:rPr>
                <w:rFonts w:ascii="Arial" w:hAnsi="Arial" w:cs="Arial"/>
                <w:color w:val="000000"/>
                <w:sz w:val="16"/>
                <w:szCs w:val="16"/>
                <w:lang w:val="en-US"/>
              </w:rPr>
            </w:pPr>
            <w:r>
              <w:rPr>
                <w:rFonts w:ascii="Arial" w:hAnsi="Arial" w:cs="Arial"/>
                <w:color w:val="000000"/>
                <w:sz w:val="16"/>
                <w:szCs w:val="16"/>
                <w:lang w:val="en-US"/>
              </w:rPr>
              <w:t>IND COMP</w:t>
            </w:r>
          </w:p>
        </w:tc>
        <w:tc>
          <w:tcPr>
            <w:tcW w:w="584" w:type="dxa"/>
            <w:tcBorders>
              <w:top w:val="single" w:sz="18" w:space="0" w:color="000000"/>
              <w:left w:val="single" w:sz="18" w:space="0" w:color="000000"/>
              <w:bottom w:val="single" w:sz="18" w:space="0" w:color="000000"/>
              <w:right w:val="single" w:sz="4" w:space="0" w:color="000000"/>
            </w:tcBorders>
          </w:tcPr>
          <w:p w:rsidR="00F874CD" w:rsidRDefault="00F874CD">
            <w:pPr>
              <w:autoSpaceDE w:val="0"/>
              <w:autoSpaceDN w:val="0"/>
              <w:adjustRightInd w:val="0"/>
              <w:spacing w:after="0" w:line="240" w:lineRule="auto"/>
              <w:jc w:val="center"/>
              <w:rPr>
                <w:rFonts w:ascii="Arial" w:hAnsi="Arial" w:cs="Arial"/>
                <w:color w:val="000000"/>
                <w:sz w:val="16"/>
                <w:szCs w:val="16"/>
                <w:lang w:val="en-US"/>
              </w:rPr>
            </w:pPr>
            <w:r>
              <w:rPr>
                <w:rFonts w:ascii="Arial" w:hAnsi="Arial" w:cs="Arial"/>
                <w:color w:val="000000"/>
                <w:sz w:val="16"/>
                <w:szCs w:val="16"/>
                <w:lang w:val="en-US"/>
              </w:rPr>
              <w:t>SIC 2-digit</w:t>
            </w:r>
          </w:p>
        </w:tc>
        <w:tc>
          <w:tcPr>
            <w:tcW w:w="3385" w:type="dxa"/>
            <w:tcBorders>
              <w:top w:val="single" w:sz="18" w:space="0" w:color="000000"/>
              <w:left w:val="single" w:sz="4" w:space="0" w:color="000000"/>
              <w:bottom w:val="single" w:sz="18" w:space="0" w:color="000000"/>
              <w:right w:val="single" w:sz="4" w:space="0" w:color="000000"/>
            </w:tcBorders>
          </w:tcPr>
          <w:p w:rsidR="00F874CD" w:rsidRDefault="00F874CD">
            <w:pPr>
              <w:autoSpaceDE w:val="0"/>
              <w:autoSpaceDN w:val="0"/>
              <w:adjustRightInd w:val="0"/>
              <w:spacing w:after="0" w:line="240" w:lineRule="auto"/>
              <w:jc w:val="center"/>
              <w:rPr>
                <w:rFonts w:ascii="Arial" w:hAnsi="Arial" w:cs="Arial"/>
                <w:color w:val="000000"/>
                <w:sz w:val="16"/>
                <w:szCs w:val="16"/>
                <w:lang w:val="en-US"/>
              </w:rPr>
            </w:pPr>
          </w:p>
        </w:tc>
        <w:tc>
          <w:tcPr>
            <w:tcW w:w="709" w:type="dxa"/>
            <w:tcBorders>
              <w:top w:val="single" w:sz="18" w:space="0" w:color="000000"/>
              <w:left w:val="single" w:sz="4" w:space="0" w:color="000000"/>
              <w:bottom w:val="single" w:sz="18" w:space="0" w:color="000000"/>
              <w:right w:val="single" w:sz="4" w:space="0" w:color="000000"/>
            </w:tcBorders>
          </w:tcPr>
          <w:p w:rsidR="00F874CD" w:rsidRDefault="00F874CD">
            <w:pPr>
              <w:autoSpaceDE w:val="0"/>
              <w:autoSpaceDN w:val="0"/>
              <w:adjustRightInd w:val="0"/>
              <w:spacing w:after="0" w:line="240" w:lineRule="auto"/>
              <w:jc w:val="center"/>
              <w:rPr>
                <w:rFonts w:ascii="Arial" w:hAnsi="Arial" w:cs="Arial"/>
                <w:color w:val="000000"/>
                <w:sz w:val="16"/>
                <w:szCs w:val="16"/>
                <w:lang w:val="en-US"/>
              </w:rPr>
            </w:pPr>
            <w:r>
              <w:rPr>
                <w:rFonts w:ascii="Arial" w:hAnsi="Arial" w:cs="Arial"/>
                <w:color w:val="000000"/>
                <w:sz w:val="16"/>
                <w:szCs w:val="16"/>
                <w:lang w:val="en-US"/>
              </w:rPr>
              <w:t>Herfindahl index</w:t>
            </w:r>
          </w:p>
        </w:tc>
        <w:tc>
          <w:tcPr>
            <w:tcW w:w="708" w:type="dxa"/>
            <w:tcBorders>
              <w:top w:val="single" w:sz="18" w:space="0" w:color="000000"/>
              <w:left w:val="single" w:sz="4" w:space="0" w:color="000000"/>
              <w:bottom w:val="single" w:sz="18" w:space="0" w:color="000000"/>
              <w:right w:val="single" w:sz="18" w:space="0" w:color="000000"/>
            </w:tcBorders>
          </w:tcPr>
          <w:p w:rsidR="00F874CD" w:rsidRDefault="00F874CD">
            <w:pPr>
              <w:autoSpaceDE w:val="0"/>
              <w:autoSpaceDN w:val="0"/>
              <w:adjustRightInd w:val="0"/>
              <w:spacing w:after="0" w:line="240" w:lineRule="auto"/>
              <w:jc w:val="center"/>
              <w:rPr>
                <w:rFonts w:ascii="Arial" w:hAnsi="Arial" w:cs="Arial"/>
                <w:color w:val="000000"/>
                <w:sz w:val="16"/>
                <w:szCs w:val="16"/>
                <w:lang w:val="en-US"/>
              </w:rPr>
            </w:pPr>
            <w:r>
              <w:rPr>
                <w:rFonts w:ascii="Arial" w:hAnsi="Arial" w:cs="Arial"/>
                <w:color w:val="000000"/>
                <w:sz w:val="16"/>
                <w:szCs w:val="16"/>
                <w:lang w:val="en-US"/>
              </w:rPr>
              <w:t>IND COMP</w:t>
            </w:r>
          </w:p>
        </w:tc>
      </w:tr>
      <w:tr w:rsidR="00B041C1" w:rsidTr="0013700D">
        <w:trPr>
          <w:trHeight w:val="57"/>
        </w:trPr>
        <w:tc>
          <w:tcPr>
            <w:tcW w:w="597" w:type="dxa"/>
            <w:tcBorders>
              <w:top w:val="single" w:sz="18"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10</w:t>
            </w:r>
          </w:p>
        </w:tc>
        <w:tc>
          <w:tcPr>
            <w:tcW w:w="3090" w:type="dxa"/>
            <w:tcBorders>
              <w:top w:val="single" w:sz="18"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Metal Mining</w:t>
            </w:r>
          </w:p>
        </w:tc>
        <w:tc>
          <w:tcPr>
            <w:tcW w:w="730" w:type="dxa"/>
            <w:tcBorders>
              <w:top w:val="single" w:sz="18"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12.3%</w:t>
            </w:r>
          </w:p>
        </w:tc>
        <w:tc>
          <w:tcPr>
            <w:tcW w:w="709" w:type="dxa"/>
            <w:tcBorders>
              <w:top w:val="single" w:sz="18"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18"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48</w:t>
            </w:r>
          </w:p>
        </w:tc>
        <w:tc>
          <w:tcPr>
            <w:tcW w:w="3385" w:type="dxa"/>
            <w:tcBorders>
              <w:top w:val="single" w:sz="18"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Communications</w:t>
            </w:r>
          </w:p>
        </w:tc>
        <w:tc>
          <w:tcPr>
            <w:tcW w:w="709" w:type="dxa"/>
            <w:tcBorders>
              <w:top w:val="single" w:sz="18"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3.4%</w:t>
            </w:r>
          </w:p>
        </w:tc>
        <w:tc>
          <w:tcPr>
            <w:tcW w:w="708" w:type="dxa"/>
            <w:tcBorders>
              <w:top w:val="single" w:sz="18"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12</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Coal Mining</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39.8%</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49</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Electric, Gas, And Sanitary Services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1.1%</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13</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Oil And Gas Extraction</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11.6%</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50</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Wholesale Trade-durable Goods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4.6%</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14</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 xml:space="preserve">Mining Nonmetallic Minerals </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21.2%</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51</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Wholesale Trade-non-durable Goods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12.5%</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15</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 xml:space="preserve">Building Construction General </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7.4%</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52</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Building Materials, Hardware</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39.6%</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16</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 xml:space="preserve">Heavy Construction Other </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42.5%</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53</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General Merchandise Stores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34.8%</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17</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 xml:space="preserve">Construction Special Trade </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19.6%</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54</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Food Stores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16.2%</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20</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Food And Kindred Products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5.0%</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55</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 xml:space="preserve">Automotive Dealers And Gasoline </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7.4%</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21</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Tobacco Products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48.2%</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56</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Apparel And Accessory Stores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7.2%</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22</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Textile Mill Products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34.1%</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57</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Home Furniture, And Equipment Stores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36.7%</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23</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Apparel And Fabrics And Similar Materials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7.9%</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58</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Eating And Drinking Places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9.5%</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24</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Lumber And Wood Products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26.5%</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59</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Miscellaneous Retail</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10.5%</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25</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Furniture And Fixtures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43.0%</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60</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Depository Institutions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3.1%</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26</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Paper And Allied Products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7.9%</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61</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Non-depository Credit Institutions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16.7%</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27</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Printing, Publishing, And Allied Industries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7.5%</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62</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Security And Commodity Brokers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8.3%</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28</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Chemicals And Allied Products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2.8%</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63</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Insurance Carriers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4.0%</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29</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Petroleum Refining And Related Industries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13.6%</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64</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Insurance Agents, Brokers, And Service</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15.0%</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30</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Rubber/ Plastics Products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15.2%</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65</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Real Estate</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16.3%</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31</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Leather And Leather Products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19.1%</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67</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Holding And Other Investment Offices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1.6%</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32</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Stone, Clay, Glass, And Concrete Products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24.1%</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70</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Hotels, and Other Lodging Places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6.3%</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33</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Primary Metal Industries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8.8%</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72</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Personal Services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11.5%</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34</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Fabricated Metal Products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7.2%</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73</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Business Services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2.6%</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35</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Industrial,Commercial And Computer Equipment</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6.5%</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75</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Automotive Repair, Services, And Parking</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18.8%</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36</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Electronics, Except Computer Equipment</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4.2%</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76</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Miscellaneous Repair Services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74.0%</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37</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Transportation Equipment</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9.1%</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78</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Motion Pictures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11.8%</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38</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Measuring, Analyzing, And Controlling Instruments;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3.8%</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79</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Amusement And Recreation Services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15.9%</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39</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Miscellaneous Manufacturing Industries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10.7%</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80</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Health Services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7.1%</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40</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Railroad Transportation</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16.8%</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81</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Legal Services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F874CD" w:rsidP="005834B8">
            <w:pPr>
              <w:pStyle w:val="NoSpacing"/>
              <w:rPr>
                <w:sz w:val="18"/>
                <w:szCs w:val="18"/>
              </w:rPr>
            </w:pPr>
            <w:r w:rsidRPr="005834B8">
              <w:rPr>
                <w:sz w:val="18"/>
                <w:szCs w:val="18"/>
              </w:rPr>
              <w:t>100</w:t>
            </w:r>
            <w:r w:rsidR="00B041C1" w:rsidRPr="005834B8">
              <w:rPr>
                <w:sz w:val="18"/>
                <w:szCs w:val="18"/>
              </w:rPr>
              <w:t>%</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41</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Public (land) Transportation</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F874CD" w:rsidP="005834B8">
            <w:pPr>
              <w:pStyle w:val="NoSpacing"/>
              <w:rPr>
                <w:sz w:val="18"/>
                <w:szCs w:val="18"/>
              </w:rPr>
            </w:pPr>
            <w:r w:rsidRPr="005834B8">
              <w:rPr>
                <w:sz w:val="18"/>
                <w:szCs w:val="18"/>
              </w:rPr>
              <w:t>100</w:t>
            </w:r>
            <w:r w:rsidR="00B041C1" w:rsidRPr="005834B8">
              <w:rPr>
                <w:sz w:val="18"/>
                <w:szCs w:val="18"/>
              </w:rPr>
              <w:t>%</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82</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Educational Services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9.3%</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42</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Motor Freight Transportation And Warehousing</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35.2%</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83</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Social Services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39.1%</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44</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Water Transportation</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11.5%</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87</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Engineering, Accounting, Related Services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6.3%</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45</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Transportation By Air</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7.6%</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89</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Miscellaneous Services</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85.8%</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r>
      <w:tr w:rsidR="00B041C1" w:rsidTr="0013700D">
        <w:trPr>
          <w:trHeight w:val="57"/>
        </w:trPr>
        <w:tc>
          <w:tcPr>
            <w:tcW w:w="597"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46</w:t>
            </w:r>
          </w:p>
        </w:tc>
        <w:tc>
          <w:tcPr>
            <w:tcW w:w="309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Pipelines, Except Natural Gas</w:t>
            </w:r>
          </w:p>
        </w:tc>
        <w:tc>
          <w:tcPr>
            <w:tcW w:w="730"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25.5%</w:t>
            </w:r>
          </w:p>
        </w:tc>
        <w:tc>
          <w:tcPr>
            <w:tcW w:w="709"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90</w:t>
            </w:r>
          </w:p>
        </w:tc>
        <w:tc>
          <w:tcPr>
            <w:tcW w:w="3385" w:type="dxa"/>
            <w:tcBorders>
              <w:top w:val="single" w:sz="4" w:space="0" w:color="000000"/>
              <w:left w:val="single" w:sz="4" w:space="0" w:color="000000"/>
              <w:bottom w:val="single" w:sz="4" w:space="0" w:color="000000"/>
              <w:right w:val="single" w:sz="4" w:space="0" w:color="000000"/>
            </w:tcBorders>
          </w:tcPr>
          <w:p w:rsidR="00B041C1" w:rsidRPr="005834B8" w:rsidRDefault="00B041C1" w:rsidP="005834B8">
            <w:pPr>
              <w:pStyle w:val="NoSpacing"/>
              <w:rPr>
                <w:sz w:val="18"/>
                <w:szCs w:val="18"/>
              </w:rPr>
            </w:pPr>
            <w:r w:rsidRPr="005834B8">
              <w:rPr>
                <w:sz w:val="18"/>
                <w:szCs w:val="18"/>
              </w:rPr>
              <w:t>Government</w:t>
            </w:r>
          </w:p>
        </w:tc>
        <w:tc>
          <w:tcPr>
            <w:tcW w:w="709" w:type="dxa"/>
            <w:tcBorders>
              <w:top w:val="single" w:sz="4" w:space="0" w:color="000000"/>
              <w:left w:val="single" w:sz="4" w:space="0" w:color="000000"/>
              <w:bottom w:val="single" w:sz="4" w:space="0" w:color="000000"/>
              <w:right w:val="single" w:sz="4" w:space="0" w:color="000000"/>
            </w:tcBorders>
          </w:tcPr>
          <w:p w:rsidR="00B041C1" w:rsidRPr="005834B8" w:rsidRDefault="00F874CD" w:rsidP="005834B8">
            <w:pPr>
              <w:pStyle w:val="NoSpacing"/>
              <w:rPr>
                <w:sz w:val="18"/>
                <w:szCs w:val="18"/>
              </w:rPr>
            </w:pPr>
            <w:r w:rsidRPr="005834B8">
              <w:rPr>
                <w:sz w:val="18"/>
                <w:szCs w:val="18"/>
              </w:rPr>
              <w:t>100</w:t>
            </w:r>
            <w:r w:rsidR="00B041C1" w:rsidRPr="005834B8">
              <w:rPr>
                <w:sz w:val="18"/>
                <w:szCs w:val="18"/>
              </w:rPr>
              <w:t>%</w:t>
            </w:r>
          </w:p>
        </w:tc>
        <w:tc>
          <w:tcPr>
            <w:tcW w:w="708" w:type="dxa"/>
            <w:tcBorders>
              <w:top w:val="single" w:sz="4" w:space="0" w:color="000000"/>
              <w:left w:val="single" w:sz="4" w:space="0" w:color="000000"/>
              <w:bottom w:val="single" w:sz="4"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r>
      <w:tr w:rsidR="00B041C1" w:rsidTr="0013700D">
        <w:trPr>
          <w:trHeight w:val="57"/>
        </w:trPr>
        <w:tc>
          <w:tcPr>
            <w:tcW w:w="597" w:type="dxa"/>
            <w:tcBorders>
              <w:top w:val="single" w:sz="4" w:space="0" w:color="000000"/>
              <w:left w:val="single" w:sz="18" w:space="0" w:color="000000"/>
              <w:bottom w:val="single" w:sz="18" w:space="0" w:color="000000"/>
              <w:right w:val="single" w:sz="4" w:space="0" w:color="000000"/>
            </w:tcBorders>
          </w:tcPr>
          <w:p w:rsidR="00B041C1" w:rsidRPr="005834B8" w:rsidRDefault="00B041C1" w:rsidP="005834B8">
            <w:pPr>
              <w:pStyle w:val="NoSpacing"/>
              <w:rPr>
                <w:sz w:val="18"/>
                <w:szCs w:val="18"/>
              </w:rPr>
            </w:pPr>
            <w:r w:rsidRPr="005834B8">
              <w:rPr>
                <w:sz w:val="18"/>
                <w:szCs w:val="18"/>
              </w:rPr>
              <w:t>47</w:t>
            </w:r>
          </w:p>
        </w:tc>
        <w:tc>
          <w:tcPr>
            <w:tcW w:w="3090" w:type="dxa"/>
            <w:tcBorders>
              <w:top w:val="single" w:sz="4" w:space="0" w:color="000000"/>
              <w:left w:val="single" w:sz="4" w:space="0" w:color="000000"/>
              <w:bottom w:val="single" w:sz="18" w:space="0" w:color="000000"/>
              <w:right w:val="single" w:sz="4" w:space="0" w:color="000000"/>
            </w:tcBorders>
          </w:tcPr>
          <w:p w:rsidR="00B041C1" w:rsidRPr="005834B8" w:rsidRDefault="00B041C1" w:rsidP="005834B8">
            <w:pPr>
              <w:pStyle w:val="NoSpacing"/>
              <w:rPr>
                <w:sz w:val="18"/>
                <w:szCs w:val="18"/>
              </w:rPr>
            </w:pPr>
            <w:r w:rsidRPr="005834B8">
              <w:rPr>
                <w:sz w:val="18"/>
                <w:szCs w:val="18"/>
              </w:rPr>
              <w:t>Transportation Services</w:t>
            </w:r>
          </w:p>
        </w:tc>
        <w:tc>
          <w:tcPr>
            <w:tcW w:w="730" w:type="dxa"/>
            <w:tcBorders>
              <w:top w:val="single" w:sz="4" w:space="0" w:color="000000"/>
              <w:left w:val="single" w:sz="4" w:space="0" w:color="000000"/>
              <w:bottom w:val="single" w:sz="18" w:space="0" w:color="000000"/>
              <w:right w:val="single" w:sz="4" w:space="0" w:color="000000"/>
            </w:tcBorders>
          </w:tcPr>
          <w:p w:rsidR="00B041C1" w:rsidRPr="005834B8" w:rsidRDefault="00B041C1" w:rsidP="005834B8">
            <w:pPr>
              <w:pStyle w:val="NoSpacing"/>
              <w:rPr>
                <w:sz w:val="18"/>
                <w:szCs w:val="18"/>
              </w:rPr>
            </w:pPr>
            <w:r w:rsidRPr="005834B8">
              <w:rPr>
                <w:sz w:val="18"/>
                <w:szCs w:val="18"/>
              </w:rPr>
              <w:t>13.3%</w:t>
            </w:r>
          </w:p>
        </w:tc>
        <w:tc>
          <w:tcPr>
            <w:tcW w:w="709" w:type="dxa"/>
            <w:tcBorders>
              <w:top w:val="single" w:sz="4" w:space="0" w:color="000000"/>
              <w:left w:val="single" w:sz="4" w:space="0" w:color="000000"/>
              <w:bottom w:val="single" w:sz="18" w:space="0" w:color="000000"/>
              <w:right w:val="single" w:sz="18" w:space="0" w:color="000000"/>
            </w:tcBorders>
          </w:tcPr>
          <w:p w:rsidR="00B041C1" w:rsidRPr="005834B8" w:rsidRDefault="00A62820" w:rsidP="005834B8">
            <w:pPr>
              <w:pStyle w:val="NoSpacing"/>
              <w:rPr>
                <w:sz w:val="18"/>
                <w:szCs w:val="18"/>
              </w:rPr>
            </w:pPr>
            <w:r w:rsidRPr="005834B8">
              <w:rPr>
                <w:sz w:val="18"/>
                <w:szCs w:val="18"/>
              </w:rPr>
              <w:t>0</w:t>
            </w:r>
          </w:p>
        </w:tc>
        <w:tc>
          <w:tcPr>
            <w:tcW w:w="584" w:type="dxa"/>
            <w:tcBorders>
              <w:top w:val="single" w:sz="4" w:space="0" w:color="000000"/>
              <w:left w:val="single" w:sz="18" w:space="0" w:color="000000"/>
              <w:bottom w:val="single" w:sz="18" w:space="0" w:color="000000"/>
              <w:right w:val="single" w:sz="4" w:space="0" w:color="000000"/>
            </w:tcBorders>
          </w:tcPr>
          <w:p w:rsidR="00B041C1" w:rsidRPr="005834B8" w:rsidRDefault="00B041C1" w:rsidP="005834B8">
            <w:pPr>
              <w:pStyle w:val="NoSpacing"/>
              <w:rPr>
                <w:sz w:val="18"/>
                <w:szCs w:val="18"/>
              </w:rPr>
            </w:pPr>
            <w:r w:rsidRPr="005834B8">
              <w:rPr>
                <w:sz w:val="18"/>
                <w:szCs w:val="18"/>
              </w:rPr>
              <w:t>99</w:t>
            </w:r>
          </w:p>
        </w:tc>
        <w:tc>
          <w:tcPr>
            <w:tcW w:w="3385" w:type="dxa"/>
            <w:tcBorders>
              <w:top w:val="single" w:sz="4" w:space="0" w:color="000000"/>
              <w:left w:val="single" w:sz="4" w:space="0" w:color="000000"/>
              <w:bottom w:val="single" w:sz="18" w:space="0" w:color="000000"/>
              <w:right w:val="single" w:sz="4" w:space="0" w:color="000000"/>
            </w:tcBorders>
          </w:tcPr>
          <w:p w:rsidR="00B041C1" w:rsidRPr="005834B8" w:rsidRDefault="00B041C1" w:rsidP="005834B8">
            <w:pPr>
              <w:pStyle w:val="NoSpacing"/>
              <w:rPr>
                <w:sz w:val="18"/>
                <w:szCs w:val="18"/>
              </w:rPr>
            </w:pPr>
            <w:r w:rsidRPr="005834B8">
              <w:rPr>
                <w:sz w:val="18"/>
                <w:szCs w:val="18"/>
              </w:rPr>
              <w:t>Nonclassifiable Establishments</w:t>
            </w:r>
          </w:p>
        </w:tc>
        <w:tc>
          <w:tcPr>
            <w:tcW w:w="709" w:type="dxa"/>
            <w:tcBorders>
              <w:top w:val="single" w:sz="4" w:space="0" w:color="000000"/>
              <w:left w:val="single" w:sz="4" w:space="0" w:color="000000"/>
              <w:bottom w:val="single" w:sz="18" w:space="0" w:color="000000"/>
              <w:right w:val="single" w:sz="4" w:space="0" w:color="000000"/>
            </w:tcBorders>
          </w:tcPr>
          <w:p w:rsidR="00B041C1" w:rsidRPr="005834B8" w:rsidRDefault="00B041C1" w:rsidP="005834B8">
            <w:pPr>
              <w:pStyle w:val="NoSpacing"/>
              <w:rPr>
                <w:sz w:val="18"/>
                <w:szCs w:val="18"/>
              </w:rPr>
            </w:pPr>
            <w:r w:rsidRPr="005834B8">
              <w:rPr>
                <w:sz w:val="18"/>
                <w:szCs w:val="18"/>
              </w:rPr>
              <w:t>50.8%</w:t>
            </w:r>
          </w:p>
        </w:tc>
        <w:tc>
          <w:tcPr>
            <w:tcW w:w="708" w:type="dxa"/>
            <w:tcBorders>
              <w:top w:val="single" w:sz="4" w:space="0" w:color="000000"/>
              <w:left w:val="single" w:sz="4" w:space="0" w:color="000000"/>
              <w:bottom w:val="single" w:sz="18" w:space="0" w:color="000000"/>
              <w:right w:val="single" w:sz="18" w:space="0" w:color="000000"/>
            </w:tcBorders>
          </w:tcPr>
          <w:p w:rsidR="00B041C1" w:rsidRPr="005834B8" w:rsidRDefault="00A62820" w:rsidP="005834B8">
            <w:pPr>
              <w:pStyle w:val="NoSpacing"/>
              <w:rPr>
                <w:sz w:val="18"/>
                <w:szCs w:val="18"/>
              </w:rPr>
            </w:pPr>
            <w:r w:rsidRPr="005834B8">
              <w:rPr>
                <w:sz w:val="18"/>
                <w:szCs w:val="18"/>
              </w:rPr>
              <w:t>1</w:t>
            </w:r>
          </w:p>
        </w:tc>
      </w:tr>
    </w:tbl>
    <w:p w:rsidR="00B041C1" w:rsidRPr="00B041C1" w:rsidRDefault="00B041C1" w:rsidP="00B041C1">
      <w:pPr>
        <w:rPr>
          <w:lang w:val="en-GB"/>
        </w:rPr>
      </w:pPr>
    </w:p>
    <w:p w:rsidR="00773BA0" w:rsidRPr="00F272E7" w:rsidRDefault="00773BA0" w:rsidP="00F272E7">
      <w:pPr>
        <w:tabs>
          <w:tab w:val="left" w:pos="3915"/>
        </w:tabs>
        <w:rPr>
          <w:lang w:val="en-GB"/>
        </w:rPr>
      </w:pPr>
    </w:p>
    <w:sectPr w:rsidR="00773BA0" w:rsidRPr="00F272E7" w:rsidSect="00C31333">
      <w:headerReference w:type="default" r:id="rId24"/>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736" w:rsidRDefault="002C3736" w:rsidP="00DE4E9F">
      <w:pPr>
        <w:spacing w:after="0" w:line="240" w:lineRule="auto"/>
      </w:pPr>
      <w:r>
        <w:separator/>
      </w:r>
    </w:p>
  </w:endnote>
  <w:endnote w:type="continuationSeparator" w:id="0">
    <w:p w:rsidR="002C3736" w:rsidRDefault="002C3736" w:rsidP="00DE4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vTimes">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Helvetica, Helv">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736" w:rsidRDefault="002C3736" w:rsidP="00DE4E9F">
      <w:pPr>
        <w:spacing w:after="0" w:line="240" w:lineRule="auto"/>
      </w:pPr>
      <w:r>
        <w:separator/>
      </w:r>
    </w:p>
  </w:footnote>
  <w:footnote w:type="continuationSeparator" w:id="0">
    <w:p w:rsidR="002C3736" w:rsidRDefault="002C3736" w:rsidP="00DE4E9F">
      <w:pPr>
        <w:spacing w:after="0" w:line="240" w:lineRule="auto"/>
      </w:pPr>
      <w:r>
        <w:continuationSeparator/>
      </w:r>
    </w:p>
  </w:footnote>
  <w:footnote w:id="1">
    <w:p w:rsidR="00667E1E" w:rsidRPr="00344016" w:rsidRDefault="00667E1E">
      <w:pPr>
        <w:pStyle w:val="FootnoteText"/>
        <w:rPr>
          <w:lang w:val="en-US"/>
        </w:rPr>
      </w:pPr>
      <w:r>
        <w:rPr>
          <w:rStyle w:val="FootnoteReference"/>
        </w:rPr>
        <w:footnoteRef/>
      </w:r>
      <w:r w:rsidRPr="00487FD6">
        <w:rPr>
          <w:lang w:val="en-US"/>
        </w:rPr>
        <w:t xml:space="preserve"> </w:t>
      </w:r>
      <w:r w:rsidRPr="00344016">
        <w:rPr>
          <w:lang w:val="en-US"/>
        </w:rPr>
        <w:t>AICPA differs from PCAOB in several ways, first the institute is an institute founded by the certified public accountants themselves in 1887, and secondly the standards provided by AICPA are not based on a law. Still the standards provided by AICPA are important on how the auditor should apply the mandatory tasks of the SOX act in practice.</w:t>
      </w:r>
    </w:p>
  </w:footnote>
  <w:footnote w:id="2">
    <w:p w:rsidR="00667E1E" w:rsidRPr="00086E95" w:rsidRDefault="00667E1E" w:rsidP="00B522AF">
      <w:pPr>
        <w:pStyle w:val="FootnoteText"/>
        <w:rPr>
          <w:lang w:val="en-GB"/>
        </w:rPr>
      </w:pPr>
      <w:r>
        <w:rPr>
          <w:rStyle w:val="FootnoteReference"/>
        </w:rPr>
        <w:footnoteRef/>
      </w:r>
      <w:r w:rsidRPr="00086E95">
        <w:rPr>
          <w:lang w:val="en-GB"/>
        </w:rPr>
        <w:t xml:space="preserve"> This is surprising because Li et al. (2012) and Doyle et al. (2007) found significant results for these variables.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E1E" w:rsidRPr="00DE4E9F" w:rsidRDefault="00E254E6" w:rsidP="002F625E">
    <w:pPr>
      <w:ind w:right="260"/>
      <w:rPr>
        <w:color w:val="0F243E" w:themeColor="text2" w:themeShade="80"/>
        <w:sz w:val="20"/>
        <w:szCs w:val="20"/>
        <w:lang w:val="en-US"/>
      </w:rPr>
    </w:pPr>
    <w:r w:rsidRPr="00E254E6">
      <w:rPr>
        <w:noProof/>
        <w:color w:val="1F497D" w:themeColor="text2"/>
        <w:sz w:val="20"/>
        <w:szCs w:val="20"/>
      </w:rPr>
      <w:pict>
        <v:shapetype id="_x0000_t202" coordsize="21600,21600" o:spt="202" path="m,l,21600r21600,l21600,xe">
          <v:stroke joinstyle="miter"/>
          <v:path gradientshapeok="t" o:connecttype="rect"/>
        </v:shapetype>
        <v:shape id="Tekstvak 7" o:spid="_x0000_s4097" type="#_x0000_t202" style="position:absolute;margin-left:0;margin-top:0;width:29.75pt;height:25.45pt;z-index:251661312;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" fillcolor="white [3201]" stroked="f" strokeweight=".5pt">
          <v:path arrowok="t"/>
          <v:textbox style="mso-fit-shape-to-text:t" inset="0,,0">
            <w:txbxContent>
              <w:p w:rsidR="00667E1E" w:rsidRDefault="00E254E6" w:rsidP="002F625E">
                <w:pPr>
                  <w:spacing w:after="0"/>
                  <w:jc w:val="center"/>
                  <w:rPr>
                    <w:color w:val="0F243E" w:themeColor="text2" w:themeShade="80"/>
                    <w:sz w:val="26"/>
                    <w:szCs w:val="26"/>
                  </w:rPr>
                </w:pPr>
                <w:r>
                  <w:rPr>
                    <w:color w:val="0F243E" w:themeColor="text2" w:themeShade="80"/>
                    <w:sz w:val="26"/>
                    <w:szCs w:val="26"/>
                  </w:rPr>
                  <w:fldChar w:fldCharType="begin"/>
                </w:r>
                <w:r w:rsidR="00667E1E">
                  <w:rPr>
                    <w:color w:val="0F243E" w:themeColor="text2" w:themeShade="80"/>
                    <w:sz w:val="26"/>
                    <w:szCs w:val="26"/>
                  </w:rPr>
                  <w:instrText>PAGE  \* Arabic  \* MERGEFORMAT</w:instrText>
                </w:r>
                <w:r>
                  <w:rPr>
                    <w:color w:val="0F243E" w:themeColor="text2" w:themeShade="80"/>
                    <w:sz w:val="26"/>
                    <w:szCs w:val="26"/>
                  </w:rPr>
                  <w:fldChar w:fldCharType="separate"/>
                </w:r>
                <w:r w:rsidR="00F65AC9">
                  <w:rPr>
                    <w:noProof/>
                    <w:color w:val="0F243E" w:themeColor="text2" w:themeShade="80"/>
                    <w:sz w:val="26"/>
                    <w:szCs w:val="26"/>
                  </w:rPr>
                  <w:t>11</w:t>
                </w:r>
                <w:r>
                  <w:rPr>
                    <w:color w:val="0F243E" w:themeColor="text2" w:themeShade="80"/>
                    <w:sz w:val="26"/>
                    <w:szCs w:val="26"/>
                  </w:rPr>
                  <w:fldChar w:fldCharType="end"/>
                </w:r>
              </w:p>
            </w:txbxContent>
          </v:textbox>
          <w10:wrap anchorx="page" anchory="page"/>
        </v:shape>
      </w:pict>
    </w:r>
    <w:r w:rsidR="00667E1E">
      <w:rPr>
        <w:color w:val="0F243E" w:themeColor="text2" w:themeShade="80"/>
        <w:sz w:val="20"/>
        <w:szCs w:val="20"/>
        <w:lang w:val="en-US"/>
      </w:rPr>
      <w:t>Master Thesis</w:t>
    </w:r>
    <w:r w:rsidR="00667E1E" w:rsidRPr="00DE4E9F">
      <w:rPr>
        <w:color w:val="0F243E" w:themeColor="text2" w:themeShade="80"/>
        <w:sz w:val="20"/>
        <w:szCs w:val="20"/>
        <w:lang w:val="en-US"/>
      </w:rPr>
      <w:t xml:space="preserve"> 2012-2013: Michaël Benner </w:t>
    </w:r>
  </w:p>
  <w:p w:rsidR="00667E1E" w:rsidRDefault="00667E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4839"/>
    <w:multiLevelType w:val="hybridMultilevel"/>
    <w:tmpl w:val="75907EE8"/>
    <w:lvl w:ilvl="0" w:tplc="98100B5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0117D"/>
    <w:multiLevelType w:val="hybridMultilevel"/>
    <w:tmpl w:val="CCC8CB38"/>
    <w:lvl w:ilvl="0" w:tplc="8D8A8A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4216295"/>
    <w:multiLevelType w:val="hybridMultilevel"/>
    <w:tmpl w:val="D654069A"/>
    <w:lvl w:ilvl="0" w:tplc="04090011">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073EB"/>
    <w:multiLevelType w:val="hybridMultilevel"/>
    <w:tmpl w:val="CF3A937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65217C1"/>
    <w:multiLevelType w:val="hybridMultilevel"/>
    <w:tmpl w:val="B7B63FA2"/>
    <w:lvl w:ilvl="0" w:tplc="96269BDC">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3271A4"/>
    <w:multiLevelType w:val="hybridMultilevel"/>
    <w:tmpl w:val="6DD88D96"/>
    <w:lvl w:ilvl="0" w:tplc="5CC8D672">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9501A8"/>
    <w:multiLevelType w:val="hybridMultilevel"/>
    <w:tmpl w:val="08B0BA3A"/>
    <w:lvl w:ilvl="0" w:tplc="F4CE18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53708EC"/>
    <w:multiLevelType w:val="hybridMultilevel"/>
    <w:tmpl w:val="948C5774"/>
    <w:lvl w:ilvl="0" w:tplc="A266A222">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8">
    <w:nsid w:val="475C61AA"/>
    <w:multiLevelType w:val="multilevel"/>
    <w:tmpl w:val="7AAA56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953380E"/>
    <w:multiLevelType w:val="hybridMultilevel"/>
    <w:tmpl w:val="F2B49364"/>
    <w:lvl w:ilvl="0" w:tplc="4FCA8B1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055C2B"/>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58934437"/>
    <w:multiLevelType w:val="hybridMultilevel"/>
    <w:tmpl w:val="F38244B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5E052C2D"/>
    <w:multiLevelType w:val="hybridMultilevel"/>
    <w:tmpl w:val="34DA16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EE6613A"/>
    <w:multiLevelType w:val="hybridMultilevel"/>
    <w:tmpl w:val="95DCAD1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FE63F61"/>
    <w:multiLevelType w:val="hybridMultilevel"/>
    <w:tmpl w:val="8458B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D06961"/>
    <w:multiLevelType w:val="multilevel"/>
    <w:tmpl w:val="3EC0A1D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618D2FD2"/>
    <w:multiLevelType w:val="hybridMultilevel"/>
    <w:tmpl w:val="5CE2D3A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18F729A"/>
    <w:multiLevelType w:val="multilevel"/>
    <w:tmpl w:val="644C28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3A16AA7"/>
    <w:multiLevelType w:val="hybridMultilevel"/>
    <w:tmpl w:val="F4C82690"/>
    <w:lvl w:ilvl="0" w:tplc="04090011">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9A612E"/>
    <w:multiLevelType w:val="hybridMultilevel"/>
    <w:tmpl w:val="206E9258"/>
    <w:lvl w:ilvl="0" w:tplc="1244F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963A22"/>
    <w:multiLevelType w:val="hybridMultilevel"/>
    <w:tmpl w:val="05CA9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63689D"/>
    <w:multiLevelType w:val="multilevel"/>
    <w:tmpl w:val="50FC46FE"/>
    <w:lvl w:ilvl="0">
      <w:start w:val="1"/>
      <w:numFmt w:val="decimal"/>
      <w:lvlText w:val="%1"/>
      <w:lvlJc w:val="left"/>
      <w:pPr>
        <w:ind w:left="705" w:hanging="705"/>
      </w:pPr>
      <w:rPr>
        <w:rFonts w:hint="default"/>
      </w:rPr>
    </w:lvl>
    <w:lvl w:ilvl="1">
      <w:start w:val="1"/>
      <w:numFmt w:val="decimal"/>
      <w:pStyle w:val="Heading2"/>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083270F"/>
    <w:multiLevelType w:val="hybridMultilevel"/>
    <w:tmpl w:val="3FB69C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nsid w:val="72D23020"/>
    <w:multiLevelType w:val="hybridMultilevel"/>
    <w:tmpl w:val="F580C9B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B9259EB"/>
    <w:multiLevelType w:val="hybridMultilevel"/>
    <w:tmpl w:val="F89E724E"/>
    <w:lvl w:ilvl="0" w:tplc="04090011">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0B7704"/>
    <w:multiLevelType w:val="hybridMultilevel"/>
    <w:tmpl w:val="082AB374"/>
    <w:lvl w:ilvl="0" w:tplc="651A2F5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7"/>
  </w:num>
  <w:num w:numId="2">
    <w:abstractNumId w:val="22"/>
  </w:num>
  <w:num w:numId="3">
    <w:abstractNumId w:val="1"/>
  </w:num>
  <w:num w:numId="4">
    <w:abstractNumId w:val="16"/>
  </w:num>
  <w:num w:numId="5">
    <w:abstractNumId w:val="8"/>
  </w:num>
  <w:num w:numId="6">
    <w:abstractNumId w:val="25"/>
  </w:num>
  <w:num w:numId="7">
    <w:abstractNumId w:val="21"/>
  </w:num>
  <w:num w:numId="8">
    <w:abstractNumId w:val="7"/>
  </w:num>
  <w:num w:numId="9">
    <w:abstractNumId w:val="13"/>
  </w:num>
  <w:num w:numId="10">
    <w:abstractNumId w:val="1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10"/>
  </w:num>
  <w:num w:numId="16">
    <w:abstractNumId w:val="15"/>
  </w:num>
  <w:num w:numId="17">
    <w:abstractNumId w:val="20"/>
  </w:num>
  <w:num w:numId="18">
    <w:abstractNumId w:val="6"/>
  </w:num>
  <w:num w:numId="19">
    <w:abstractNumId w:val="12"/>
  </w:num>
  <w:num w:numId="20">
    <w:abstractNumId w:val="23"/>
  </w:num>
  <w:num w:numId="21">
    <w:abstractNumId w:val="21"/>
  </w:num>
  <w:num w:numId="2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0"/>
  </w:num>
  <w:num w:numId="26">
    <w:abstractNumId w:val="24"/>
  </w:num>
  <w:num w:numId="27">
    <w:abstractNumId w:val="4"/>
  </w:num>
  <w:num w:numId="28">
    <w:abstractNumId w:val="2"/>
  </w:num>
  <w:num w:numId="29">
    <w:abstractNumId w:val="5"/>
  </w:num>
  <w:num w:numId="30">
    <w:abstractNumId w:val="18"/>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635CDE"/>
    <w:rsid w:val="000002AE"/>
    <w:rsid w:val="0000230E"/>
    <w:rsid w:val="00005FD1"/>
    <w:rsid w:val="000069C6"/>
    <w:rsid w:val="0001040D"/>
    <w:rsid w:val="0001048F"/>
    <w:rsid w:val="00011099"/>
    <w:rsid w:val="000110E3"/>
    <w:rsid w:val="000153C5"/>
    <w:rsid w:val="0001730D"/>
    <w:rsid w:val="00022A42"/>
    <w:rsid w:val="000335B1"/>
    <w:rsid w:val="00040395"/>
    <w:rsid w:val="0004062A"/>
    <w:rsid w:val="00040C89"/>
    <w:rsid w:val="00044D6F"/>
    <w:rsid w:val="00045D99"/>
    <w:rsid w:val="000469E5"/>
    <w:rsid w:val="00047309"/>
    <w:rsid w:val="000500C4"/>
    <w:rsid w:val="000506E3"/>
    <w:rsid w:val="00052ED3"/>
    <w:rsid w:val="000535A0"/>
    <w:rsid w:val="00054373"/>
    <w:rsid w:val="00055F4C"/>
    <w:rsid w:val="00057994"/>
    <w:rsid w:val="0006085D"/>
    <w:rsid w:val="00061824"/>
    <w:rsid w:val="00062C5A"/>
    <w:rsid w:val="000640EC"/>
    <w:rsid w:val="00064A70"/>
    <w:rsid w:val="00067F7B"/>
    <w:rsid w:val="00070836"/>
    <w:rsid w:val="000711D6"/>
    <w:rsid w:val="0007446B"/>
    <w:rsid w:val="00075A28"/>
    <w:rsid w:val="00075B69"/>
    <w:rsid w:val="0008232E"/>
    <w:rsid w:val="00083666"/>
    <w:rsid w:val="00084F96"/>
    <w:rsid w:val="00085EAB"/>
    <w:rsid w:val="000867AB"/>
    <w:rsid w:val="00086A0D"/>
    <w:rsid w:val="0008786E"/>
    <w:rsid w:val="0009185D"/>
    <w:rsid w:val="00092AA7"/>
    <w:rsid w:val="000951DC"/>
    <w:rsid w:val="000962FE"/>
    <w:rsid w:val="000A0E25"/>
    <w:rsid w:val="000A5391"/>
    <w:rsid w:val="000A6050"/>
    <w:rsid w:val="000A65F1"/>
    <w:rsid w:val="000A7E85"/>
    <w:rsid w:val="000B0F1D"/>
    <w:rsid w:val="000B3301"/>
    <w:rsid w:val="000B41E4"/>
    <w:rsid w:val="000B4981"/>
    <w:rsid w:val="000B7458"/>
    <w:rsid w:val="000B7AC1"/>
    <w:rsid w:val="000C1DA3"/>
    <w:rsid w:val="000C5EDA"/>
    <w:rsid w:val="000C6151"/>
    <w:rsid w:val="000D1E67"/>
    <w:rsid w:val="000D3226"/>
    <w:rsid w:val="000D58C0"/>
    <w:rsid w:val="000D5D4C"/>
    <w:rsid w:val="000E36E2"/>
    <w:rsid w:val="000E4A4D"/>
    <w:rsid w:val="000E5602"/>
    <w:rsid w:val="000E72CE"/>
    <w:rsid w:val="000F1EC4"/>
    <w:rsid w:val="000F410D"/>
    <w:rsid w:val="000F43A4"/>
    <w:rsid w:val="000F4F0B"/>
    <w:rsid w:val="0010200F"/>
    <w:rsid w:val="00102E94"/>
    <w:rsid w:val="00111E9C"/>
    <w:rsid w:val="0011594F"/>
    <w:rsid w:val="00115A46"/>
    <w:rsid w:val="00120037"/>
    <w:rsid w:val="00122F50"/>
    <w:rsid w:val="0012472D"/>
    <w:rsid w:val="001261A3"/>
    <w:rsid w:val="00131781"/>
    <w:rsid w:val="00134038"/>
    <w:rsid w:val="001365A6"/>
    <w:rsid w:val="0013700D"/>
    <w:rsid w:val="001371AB"/>
    <w:rsid w:val="00146A5F"/>
    <w:rsid w:val="001501A8"/>
    <w:rsid w:val="001515E9"/>
    <w:rsid w:val="00152687"/>
    <w:rsid w:val="00153A2E"/>
    <w:rsid w:val="0015583E"/>
    <w:rsid w:val="00157723"/>
    <w:rsid w:val="00161BD1"/>
    <w:rsid w:val="0016251E"/>
    <w:rsid w:val="00163CE8"/>
    <w:rsid w:val="001648FB"/>
    <w:rsid w:val="00164B20"/>
    <w:rsid w:val="00165F7B"/>
    <w:rsid w:val="0017083C"/>
    <w:rsid w:val="00170931"/>
    <w:rsid w:val="00173633"/>
    <w:rsid w:val="0017543F"/>
    <w:rsid w:val="00177FE8"/>
    <w:rsid w:val="00182900"/>
    <w:rsid w:val="0018374C"/>
    <w:rsid w:val="0018381A"/>
    <w:rsid w:val="001838A9"/>
    <w:rsid w:val="00185F54"/>
    <w:rsid w:val="0019037F"/>
    <w:rsid w:val="0019099E"/>
    <w:rsid w:val="001914CF"/>
    <w:rsid w:val="001928AB"/>
    <w:rsid w:val="0019459F"/>
    <w:rsid w:val="00194775"/>
    <w:rsid w:val="00194A99"/>
    <w:rsid w:val="00194B14"/>
    <w:rsid w:val="0019548D"/>
    <w:rsid w:val="001A09C9"/>
    <w:rsid w:val="001A14EF"/>
    <w:rsid w:val="001A1915"/>
    <w:rsid w:val="001A4CAA"/>
    <w:rsid w:val="001A5886"/>
    <w:rsid w:val="001A5EF7"/>
    <w:rsid w:val="001A744A"/>
    <w:rsid w:val="001A7917"/>
    <w:rsid w:val="001A7D15"/>
    <w:rsid w:val="001B4CFE"/>
    <w:rsid w:val="001B7764"/>
    <w:rsid w:val="001C176F"/>
    <w:rsid w:val="001C1FF1"/>
    <w:rsid w:val="001C3313"/>
    <w:rsid w:val="001C336C"/>
    <w:rsid w:val="001C48B2"/>
    <w:rsid w:val="001C6F56"/>
    <w:rsid w:val="001D047D"/>
    <w:rsid w:val="001D1DF7"/>
    <w:rsid w:val="001D21DD"/>
    <w:rsid w:val="001D2620"/>
    <w:rsid w:val="001D50B6"/>
    <w:rsid w:val="001D62BF"/>
    <w:rsid w:val="001D6F1E"/>
    <w:rsid w:val="001E3445"/>
    <w:rsid w:val="001E6225"/>
    <w:rsid w:val="001E7FFB"/>
    <w:rsid w:val="001F19A3"/>
    <w:rsid w:val="001F51BE"/>
    <w:rsid w:val="001F55C1"/>
    <w:rsid w:val="001F5795"/>
    <w:rsid w:val="001F582A"/>
    <w:rsid w:val="001F58A5"/>
    <w:rsid w:val="001F58CC"/>
    <w:rsid w:val="001F6105"/>
    <w:rsid w:val="001F658C"/>
    <w:rsid w:val="001F702C"/>
    <w:rsid w:val="00200C46"/>
    <w:rsid w:val="002010B6"/>
    <w:rsid w:val="00202170"/>
    <w:rsid w:val="0020380C"/>
    <w:rsid w:val="00203A27"/>
    <w:rsid w:val="00203E0E"/>
    <w:rsid w:val="00212EDA"/>
    <w:rsid w:val="002142FF"/>
    <w:rsid w:val="00215ADF"/>
    <w:rsid w:val="00215F42"/>
    <w:rsid w:val="002207B6"/>
    <w:rsid w:val="00221841"/>
    <w:rsid w:val="00221ECF"/>
    <w:rsid w:val="00226CFA"/>
    <w:rsid w:val="00227A19"/>
    <w:rsid w:val="002316FA"/>
    <w:rsid w:val="002328AC"/>
    <w:rsid w:val="002345AC"/>
    <w:rsid w:val="00240301"/>
    <w:rsid w:val="002403E3"/>
    <w:rsid w:val="002411A9"/>
    <w:rsid w:val="002413BF"/>
    <w:rsid w:val="00242496"/>
    <w:rsid w:val="00242B0C"/>
    <w:rsid w:val="00245A5A"/>
    <w:rsid w:val="00250AF9"/>
    <w:rsid w:val="00252EC6"/>
    <w:rsid w:val="00254D53"/>
    <w:rsid w:val="00255AC0"/>
    <w:rsid w:val="00255E40"/>
    <w:rsid w:val="0025691B"/>
    <w:rsid w:val="00257034"/>
    <w:rsid w:val="0026037E"/>
    <w:rsid w:val="00261A06"/>
    <w:rsid w:val="002620B1"/>
    <w:rsid w:val="00263727"/>
    <w:rsid w:val="0026413D"/>
    <w:rsid w:val="00265764"/>
    <w:rsid w:val="00265993"/>
    <w:rsid w:val="002659C6"/>
    <w:rsid w:val="0026606D"/>
    <w:rsid w:val="00271604"/>
    <w:rsid w:val="00276D01"/>
    <w:rsid w:val="0027724B"/>
    <w:rsid w:val="00277B15"/>
    <w:rsid w:val="00281A1E"/>
    <w:rsid w:val="00282E4D"/>
    <w:rsid w:val="00284AF2"/>
    <w:rsid w:val="0029781F"/>
    <w:rsid w:val="002A1847"/>
    <w:rsid w:val="002A2CC0"/>
    <w:rsid w:val="002A340E"/>
    <w:rsid w:val="002A3B05"/>
    <w:rsid w:val="002A5270"/>
    <w:rsid w:val="002A5A2C"/>
    <w:rsid w:val="002A7A2C"/>
    <w:rsid w:val="002B3DB0"/>
    <w:rsid w:val="002B504C"/>
    <w:rsid w:val="002B616E"/>
    <w:rsid w:val="002B67FC"/>
    <w:rsid w:val="002B6962"/>
    <w:rsid w:val="002B7A61"/>
    <w:rsid w:val="002C1AE0"/>
    <w:rsid w:val="002C3736"/>
    <w:rsid w:val="002C4304"/>
    <w:rsid w:val="002C6E02"/>
    <w:rsid w:val="002D17CD"/>
    <w:rsid w:val="002D3D53"/>
    <w:rsid w:val="002D4197"/>
    <w:rsid w:val="002D4AF8"/>
    <w:rsid w:val="002D66BC"/>
    <w:rsid w:val="002D70AD"/>
    <w:rsid w:val="002D725F"/>
    <w:rsid w:val="002E01F6"/>
    <w:rsid w:val="002E216D"/>
    <w:rsid w:val="002E2295"/>
    <w:rsid w:val="002E372B"/>
    <w:rsid w:val="002E6AF0"/>
    <w:rsid w:val="002F0C6C"/>
    <w:rsid w:val="002F11FA"/>
    <w:rsid w:val="002F3B15"/>
    <w:rsid w:val="002F52DC"/>
    <w:rsid w:val="002F57E1"/>
    <w:rsid w:val="002F625E"/>
    <w:rsid w:val="00300681"/>
    <w:rsid w:val="00300D30"/>
    <w:rsid w:val="003011D6"/>
    <w:rsid w:val="00301943"/>
    <w:rsid w:val="00302F63"/>
    <w:rsid w:val="003075DE"/>
    <w:rsid w:val="003077AE"/>
    <w:rsid w:val="00313D03"/>
    <w:rsid w:val="00313E2C"/>
    <w:rsid w:val="003145F9"/>
    <w:rsid w:val="00314A57"/>
    <w:rsid w:val="003155DF"/>
    <w:rsid w:val="0031721B"/>
    <w:rsid w:val="00317FA4"/>
    <w:rsid w:val="00317FF0"/>
    <w:rsid w:val="00324A26"/>
    <w:rsid w:val="00325560"/>
    <w:rsid w:val="00326009"/>
    <w:rsid w:val="00331CFA"/>
    <w:rsid w:val="00334D02"/>
    <w:rsid w:val="003352B2"/>
    <w:rsid w:val="00344016"/>
    <w:rsid w:val="00346592"/>
    <w:rsid w:val="003470C4"/>
    <w:rsid w:val="00353985"/>
    <w:rsid w:val="003566B1"/>
    <w:rsid w:val="00361CC7"/>
    <w:rsid w:val="00362D57"/>
    <w:rsid w:val="0036448D"/>
    <w:rsid w:val="003669EC"/>
    <w:rsid w:val="00367136"/>
    <w:rsid w:val="0037296E"/>
    <w:rsid w:val="003745BA"/>
    <w:rsid w:val="00374723"/>
    <w:rsid w:val="003758FB"/>
    <w:rsid w:val="0037593C"/>
    <w:rsid w:val="003762CB"/>
    <w:rsid w:val="00376E37"/>
    <w:rsid w:val="00382151"/>
    <w:rsid w:val="0038316D"/>
    <w:rsid w:val="00383521"/>
    <w:rsid w:val="00383C3A"/>
    <w:rsid w:val="00391719"/>
    <w:rsid w:val="00392BBC"/>
    <w:rsid w:val="0039354C"/>
    <w:rsid w:val="00395610"/>
    <w:rsid w:val="003956AE"/>
    <w:rsid w:val="003A21A8"/>
    <w:rsid w:val="003B023D"/>
    <w:rsid w:val="003B1A73"/>
    <w:rsid w:val="003B36FC"/>
    <w:rsid w:val="003B3ECB"/>
    <w:rsid w:val="003B6B96"/>
    <w:rsid w:val="003B766D"/>
    <w:rsid w:val="003C11B4"/>
    <w:rsid w:val="003C19E3"/>
    <w:rsid w:val="003C2EB7"/>
    <w:rsid w:val="003C4378"/>
    <w:rsid w:val="003C488C"/>
    <w:rsid w:val="003C6FC7"/>
    <w:rsid w:val="003C7456"/>
    <w:rsid w:val="003D2C61"/>
    <w:rsid w:val="003D3A41"/>
    <w:rsid w:val="003D6AD9"/>
    <w:rsid w:val="003E32FF"/>
    <w:rsid w:val="003E3F55"/>
    <w:rsid w:val="003E50EE"/>
    <w:rsid w:val="003E6BDD"/>
    <w:rsid w:val="003F13AE"/>
    <w:rsid w:val="003F1EFE"/>
    <w:rsid w:val="003F473A"/>
    <w:rsid w:val="003F7092"/>
    <w:rsid w:val="003F7811"/>
    <w:rsid w:val="00400294"/>
    <w:rsid w:val="004007AB"/>
    <w:rsid w:val="00401C37"/>
    <w:rsid w:val="0040224C"/>
    <w:rsid w:val="0040287B"/>
    <w:rsid w:val="00402A54"/>
    <w:rsid w:val="004051C7"/>
    <w:rsid w:val="0040669A"/>
    <w:rsid w:val="0040741B"/>
    <w:rsid w:val="00407F07"/>
    <w:rsid w:val="004130B5"/>
    <w:rsid w:val="004138E6"/>
    <w:rsid w:val="004140C7"/>
    <w:rsid w:val="00415415"/>
    <w:rsid w:val="00416C89"/>
    <w:rsid w:val="00424CE8"/>
    <w:rsid w:val="00424E0D"/>
    <w:rsid w:val="0042584D"/>
    <w:rsid w:val="0042622A"/>
    <w:rsid w:val="00426914"/>
    <w:rsid w:val="00426C5A"/>
    <w:rsid w:val="004309E8"/>
    <w:rsid w:val="00430A6A"/>
    <w:rsid w:val="00431786"/>
    <w:rsid w:val="004328CD"/>
    <w:rsid w:val="0043329A"/>
    <w:rsid w:val="00434256"/>
    <w:rsid w:val="00437011"/>
    <w:rsid w:val="00440008"/>
    <w:rsid w:val="004402BF"/>
    <w:rsid w:val="00440FA2"/>
    <w:rsid w:val="00441949"/>
    <w:rsid w:val="004426DD"/>
    <w:rsid w:val="00445D7D"/>
    <w:rsid w:val="00450988"/>
    <w:rsid w:val="00450B10"/>
    <w:rsid w:val="00451D15"/>
    <w:rsid w:val="00451DE6"/>
    <w:rsid w:val="00452E6F"/>
    <w:rsid w:val="004542B9"/>
    <w:rsid w:val="00455C3A"/>
    <w:rsid w:val="00456E9C"/>
    <w:rsid w:val="004606D8"/>
    <w:rsid w:val="00461161"/>
    <w:rsid w:val="004628FB"/>
    <w:rsid w:val="004641EF"/>
    <w:rsid w:val="00464220"/>
    <w:rsid w:val="00466282"/>
    <w:rsid w:val="004668B1"/>
    <w:rsid w:val="00473C30"/>
    <w:rsid w:val="00475324"/>
    <w:rsid w:val="00476078"/>
    <w:rsid w:val="004769C2"/>
    <w:rsid w:val="00477BF7"/>
    <w:rsid w:val="0048047D"/>
    <w:rsid w:val="00481E07"/>
    <w:rsid w:val="00487FD6"/>
    <w:rsid w:val="004905AD"/>
    <w:rsid w:val="004909D6"/>
    <w:rsid w:val="0049302C"/>
    <w:rsid w:val="00494620"/>
    <w:rsid w:val="00494AB3"/>
    <w:rsid w:val="004954C3"/>
    <w:rsid w:val="0049590E"/>
    <w:rsid w:val="00496AC3"/>
    <w:rsid w:val="00497139"/>
    <w:rsid w:val="004A1C83"/>
    <w:rsid w:val="004A1DF9"/>
    <w:rsid w:val="004A2B92"/>
    <w:rsid w:val="004A5CAA"/>
    <w:rsid w:val="004A7C1E"/>
    <w:rsid w:val="004B151A"/>
    <w:rsid w:val="004B1AC8"/>
    <w:rsid w:val="004B1E6C"/>
    <w:rsid w:val="004B22C2"/>
    <w:rsid w:val="004B3646"/>
    <w:rsid w:val="004B4C50"/>
    <w:rsid w:val="004B56C6"/>
    <w:rsid w:val="004B5E13"/>
    <w:rsid w:val="004B6AE1"/>
    <w:rsid w:val="004B7C1D"/>
    <w:rsid w:val="004C0F5C"/>
    <w:rsid w:val="004C14AA"/>
    <w:rsid w:val="004C39E6"/>
    <w:rsid w:val="004C3F64"/>
    <w:rsid w:val="004C4349"/>
    <w:rsid w:val="004C5473"/>
    <w:rsid w:val="004C5635"/>
    <w:rsid w:val="004C67C9"/>
    <w:rsid w:val="004D09BD"/>
    <w:rsid w:val="004D1008"/>
    <w:rsid w:val="004D1208"/>
    <w:rsid w:val="004D1A8A"/>
    <w:rsid w:val="004D2ABA"/>
    <w:rsid w:val="004D2B7D"/>
    <w:rsid w:val="004D56DD"/>
    <w:rsid w:val="004D5A63"/>
    <w:rsid w:val="004D6831"/>
    <w:rsid w:val="004D7074"/>
    <w:rsid w:val="004D7360"/>
    <w:rsid w:val="004D7981"/>
    <w:rsid w:val="004E37C5"/>
    <w:rsid w:val="004E44BF"/>
    <w:rsid w:val="004E4705"/>
    <w:rsid w:val="004F43D6"/>
    <w:rsid w:val="004F46F0"/>
    <w:rsid w:val="004F7397"/>
    <w:rsid w:val="004F7961"/>
    <w:rsid w:val="005001E7"/>
    <w:rsid w:val="00502121"/>
    <w:rsid w:val="00504563"/>
    <w:rsid w:val="00506F32"/>
    <w:rsid w:val="005071E7"/>
    <w:rsid w:val="00511FAA"/>
    <w:rsid w:val="005131D0"/>
    <w:rsid w:val="00514948"/>
    <w:rsid w:val="005165B1"/>
    <w:rsid w:val="0051732D"/>
    <w:rsid w:val="005177A6"/>
    <w:rsid w:val="00522E61"/>
    <w:rsid w:val="00523874"/>
    <w:rsid w:val="00525F2C"/>
    <w:rsid w:val="005269A5"/>
    <w:rsid w:val="0052759F"/>
    <w:rsid w:val="005302A0"/>
    <w:rsid w:val="0053176D"/>
    <w:rsid w:val="005344DD"/>
    <w:rsid w:val="00535DAD"/>
    <w:rsid w:val="00540C89"/>
    <w:rsid w:val="00541CC0"/>
    <w:rsid w:val="005442DD"/>
    <w:rsid w:val="005445F3"/>
    <w:rsid w:val="00550E06"/>
    <w:rsid w:val="00553440"/>
    <w:rsid w:val="00553496"/>
    <w:rsid w:val="00554CA6"/>
    <w:rsid w:val="00554EFA"/>
    <w:rsid w:val="00556ABA"/>
    <w:rsid w:val="00557970"/>
    <w:rsid w:val="00557B9C"/>
    <w:rsid w:val="00557DA9"/>
    <w:rsid w:val="0056089A"/>
    <w:rsid w:val="00564D5A"/>
    <w:rsid w:val="00566FD5"/>
    <w:rsid w:val="00567FEC"/>
    <w:rsid w:val="00571813"/>
    <w:rsid w:val="00571FFF"/>
    <w:rsid w:val="00576466"/>
    <w:rsid w:val="0057706C"/>
    <w:rsid w:val="00580367"/>
    <w:rsid w:val="005810BD"/>
    <w:rsid w:val="005828CD"/>
    <w:rsid w:val="005834B8"/>
    <w:rsid w:val="0058578F"/>
    <w:rsid w:val="00585D91"/>
    <w:rsid w:val="005875F9"/>
    <w:rsid w:val="0058799A"/>
    <w:rsid w:val="00587C31"/>
    <w:rsid w:val="0059027C"/>
    <w:rsid w:val="00590DF2"/>
    <w:rsid w:val="00591967"/>
    <w:rsid w:val="005923CF"/>
    <w:rsid w:val="005924DA"/>
    <w:rsid w:val="005956F7"/>
    <w:rsid w:val="00597C4E"/>
    <w:rsid w:val="005A08FE"/>
    <w:rsid w:val="005A0A46"/>
    <w:rsid w:val="005A22A4"/>
    <w:rsid w:val="005A2D8C"/>
    <w:rsid w:val="005A4816"/>
    <w:rsid w:val="005A63BE"/>
    <w:rsid w:val="005A6910"/>
    <w:rsid w:val="005A7231"/>
    <w:rsid w:val="005A72A2"/>
    <w:rsid w:val="005A752D"/>
    <w:rsid w:val="005B1443"/>
    <w:rsid w:val="005B2215"/>
    <w:rsid w:val="005B25C7"/>
    <w:rsid w:val="005C059D"/>
    <w:rsid w:val="005C0624"/>
    <w:rsid w:val="005C4E3F"/>
    <w:rsid w:val="005C5C08"/>
    <w:rsid w:val="005C7AE5"/>
    <w:rsid w:val="005D04DC"/>
    <w:rsid w:val="005D2108"/>
    <w:rsid w:val="005D22BE"/>
    <w:rsid w:val="005D2795"/>
    <w:rsid w:val="005D2EC7"/>
    <w:rsid w:val="005E12E4"/>
    <w:rsid w:val="005E3288"/>
    <w:rsid w:val="005E50D4"/>
    <w:rsid w:val="005E65AF"/>
    <w:rsid w:val="005F2E7C"/>
    <w:rsid w:val="005F33BD"/>
    <w:rsid w:val="005F5272"/>
    <w:rsid w:val="005F52AA"/>
    <w:rsid w:val="005F53DE"/>
    <w:rsid w:val="005F6B88"/>
    <w:rsid w:val="005F6D4A"/>
    <w:rsid w:val="005F797E"/>
    <w:rsid w:val="00600CF0"/>
    <w:rsid w:val="00601B68"/>
    <w:rsid w:val="00602703"/>
    <w:rsid w:val="006063F4"/>
    <w:rsid w:val="006064D7"/>
    <w:rsid w:val="00606E9A"/>
    <w:rsid w:val="00607744"/>
    <w:rsid w:val="006202E1"/>
    <w:rsid w:val="00623256"/>
    <w:rsid w:val="00625DDB"/>
    <w:rsid w:val="006302FB"/>
    <w:rsid w:val="00635CDE"/>
    <w:rsid w:val="00640AE6"/>
    <w:rsid w:val="00643857"/>
    <w:rsid w:val="006476F3"/>
    <w:rsid w:val="006508C6"/>
    <w:rsid w:val="00653EB0"/>
    <w:rsid w:val="00654DC6"/>
    <w:rsid w:val="00655186"/>
    <w:rsid w:val="006565F3"/>
    <w:rsid w:val="00660701"/>
    <w:rsid w:val="00661B35"/>
    <w:rsid w:val="00665F2E"/>
    <w:rsid w:val="00666AB2"/>
    <w:rsid w:val="00667E1E"/>
    <w:rsid w:val="0067163F"/>
    <w:rsid w:val="00672FCD"/>
    <w:rsid w:val="00673196"/>
    <w:rsid w:val="0068036E"/>
    <w:rsid w:val="00680A64"/>
    <w:rsid w:val="00680CC7"/>
    <w:rsid w:val="006833DF"/>
    <w:rsid w:val="0068369F"/>
    <w:rsid w:val="00685864"/>
    <w:rsid w:val="00692151"/>
    <w:rsid w:val="00692E44"/>
    <w:rsid w:val="00695F33"/>
    <w:rsid w:val="006A589C"/>
    <w:rsid w:val="006A5CEA"/>
    <w:rsid w:val="006B66BC"/>
    <w:rsid w:val="006C127B"/>
    <w:rsid w:val="006C186F"/>
    <w:rsid w:val="006C2C01"/>
    <w:rsid w:val="006C3DA9"/>
    <w:rsid w:val="006C4312"/>
    <w:rsid w:val="006C442E"/>
    <w:rsid w:val="006C5764"/>
    <w:rsid w:val="006C6EB1"/>
    <w:rsid w:val="006D17F9"/>
    <w:rsid w:val="006D19FA"/>
    <w:rsid w:val="006D309E"/>
    <w:rsid w:val="006D3888"/>
    <w:rsid w:val="006D4F45"/>
    <w:rsid w:val="006D6118"/>
    <w:rsid w:val="006D747E"/>
    <w:rsid w:val="006D7491"/>
    <w:rsid w:val="006D7772"/>
    <w:rsid w:val="006E07E6"/>
    <w:rsid w:val="006E08FE"/>
    <w:rsid w:val="006E24FC"/>
    <w:rsid w:val="006E44FF"/>
    <w:rsid w:val="006E4E17"/>
    <w:rsid w:val="006E54C7"/>
    <w:rsid w:val="006E5612"/>
    <w:rsid w:val="006E5B89"/>
    <w:rsid w:val="006E7908"/>
    <w:rsid w:val="006E7A56"/>
    <w:rsid w:val="006F0D72"/>
    <w:rsid w:val="006F46F3"/>
    <w:rsid w:val="006F52BE"/>
    <w:rsid w:val="006F6452"/>
    <w:rsid w:val="007015B8"/>
    <w:rsid w:val="00702ED0"/>
    <w:rsid w:val="00703BCE"/>
    <w:rsid w:val="0070591B"/>
    <w:rsid w:val="0071019F"/>
    <w:rsid w:val="00711014"/>
    <w:rsid w:val="00711664"/>
    <w:rsid w:val="00714AAA"/>
    <w:rsid w:val="00720737"/>
    <w:rsid w:val="00726D83"/>
    <w:rsid w:val="0073066F"/>
    <w:rsid w:val="007307B2"/>
    <w:rsid w:val="007321E6"/>
    <w:rsid w:val="0073626E"/>
    <w:rsid w:val="00737D70"/>
    <w:rsid w:val="0074186D"/>
    <w:rsid w:val="007437B1"/>
    <w:rsid w:val="007447AD"/>
    <w:rsid w:val="00745FF2"/>
    <w:rsid w:val="0074603C"/>
    <w:rsid w:val="00747CC7"/>
    <w:rsid w:val="00750A40"/>
    <w:rsid w:val="007523A6"/>
    <w:rsid w:val="0075378F"/>
    <w:rsid w:val="00753E6F"/>
    <w:rsid w:val="00762477"/>
    <w:rsid w:val="007627A6"/>
    <w:rsid w:val="007629CC"/>
    <w:rsid w:val="00763BC5"/>
    <w:rsid w:val="00766FB8"/>
    <w:rsid w:val="0076784B"/>
    <w:rsid w:val="00770D3B"/>
    <w:rsid w:val="00771557"/>
    <w:rsid w:val="007723DA"/>
    <w:rsid w:val="00772E57"/>
    <w:rsid w:val="00773BA0"/>
    <w:rsid w:val="007756F7"/>
    <w:rsid w:val="007823FA"/>
    <w:rsid w:val="00782B76"/>
    <w:rsid w:val="0078345D"/>
    <w:rsid w:val="00784147"/>
    <w:rsid w:val="007845D0"/>
    <w:rsid w:val="00786CDE"/>
    <w:rsid w:val="00786E88"/>
    <w:rsid w:val="007870D3"/>
    <w:rsid w:val="007927E6"/>
    <w:rsid w:val="007A245D"/>
    <w:rsid w:val="007A2E44"/>
    <w:rsid w:val="007A3630"/>
    <w:rsid w:val="007A4164"/>
    <w:rsid w:val="007A46DA"/>
    <w:rsid w:val="007A5996"/>
    <w:rsid w:val="007A728B"/>
    <w:rsid w:val="007B1C53"/>
    <w:rsid w:val="007B2BFA"/>
    <w:rsid w:val="007B3CFC"/>
    <w:rsid w:val="007B5630"/>
    <w:rsid w:val="007B5E75"/>
    <w:rsid w:val="007C227B"/>
    <w:rsid w:val="007C5386"/>
    <w:rsid w:val="007D3C80"/>
    <w:rsid w:val="007D42F2"/>
    <w:rsid w:val="007D6F21"/>
    <w:rsid w:val="007E09B6"/>
    <w:rsid w:val="007E119A"/>
    <w:rsid w:val="007E52A1"/>
    <w:rsid w:val="007F0F7E"/>
    <w:rsid w:val="007F2E73"/>
    <w:rsid w:val="007F4F8D"/>
    <w:rsid w:val="007F66CD"/>
    <w:rsid w:val="007F77D6"/>
    <w:rsid w:val="00800CAE"/>
    <w:rsid w:val="0080112C"/>
    <w:rsid w:val="00805DA9"/>
    <w:rsid w:val="00806F26"/>
    <w:rsid w:val="0081074F"/>
    <w:rsid w:val="00812405"/>
    <w:rsid w:val="00817AFC"/>
    <w:rsid w:val="0082074E"/>
    <w:rsid w:val="008227E9"/>
    <w:rsid w:val="00823EA5"/>
    <w:rsid w:val="00825E1B"/>
    <w:rsid w:val="008309CD"/>
    <w:rsid w:val="00830F43"/>
    <w:rsid w:val="00834DF1"/>
    <w:rsid w:val="00835729"/>
    <w:rsid w:val="0084035E"/>
    <w:rsid w:val="0084083E"/>
    <w:rsid w:val="00841572"/>
    <w:rsid w:val="00843E5E"/>
    <w:rsid w:val="00846276"/>
    <w:rsid w:val="008509BC"/>
    <w:rsid w:val="00850E3C"/>
    <w:rsid w:val="008513CC"/>
    <w:rsid w:val="00857660"/>
    <w:rsid w:val="008602D8"/>
    <w:rsid w:val="00860FDE"/>
    <w:rsid w:val="008619C7"/>
    <w:rsid w:val="00861BF9"/>
    <w:rsid w:val="00862AEC"/>
    <w:rsid w:val="00864200"/>
    <w:rsid w:val="0086684E"/>
    <w:rsid w:val="00870771"/>
    <w:rsid w:val="00870FD7"/>
    <w:rsid w:val="008711D0"/>
    <w:rsid w:val="00871C47"/>
    <w:rsid w:val="00873470"/>
    <w:rsid w:val="00874FD6"/>
    <w:rsid w:val="008754FD"/>
    <w:rsid w:val="0088004F"/>
    <w:rsid w:val="00882D0F"/>
    <w:rsid w:val="008836A8"/>
    <w:rsid w:val="008846FC"/>
    <w:rsid w:val="0088497C"/>
    <w:rsid w:val="00884E8A"/>
    <w:rsid w:val="0088613D"/>
    <w:rsid w:val="00886D6D"/>
    <w:rsid w:val="00887ACD"/>
    <w:rsid w:val="00891D90"/>
    <w:rsid w:val="0089227D"/>
    <w:rsid w:val="008925ED"/>
    <w:rsid w:val="00893200"/>
    <w:rsid w:val="008937C4"/>
    <w:rsid w:val="00895721"/>
    <w:rsid w:val="008A20F5"/>
    <w:rsid w:val="008A3B48"/>
    <w:rsid w:val="008B06F2"/>
    <w:rsid w:val="008B13FB"/>
    <w:rsid w:val="008B15F1"/>
    <w:rsid w:val="008B4CEA"/>
    <w:rsid w:val="008B60CC"/>
    <w:rsid w:val="008C27A9"/>
    <w:rsid w:val="008C3C44"/>
    <w:rsid w:val="008C4BFF"/>
    <w:rsid w:val="008C5E13"/>
    <w:rsid w:val="008D07B4"/>
    <w:rsid w:val="008D07D4"/>
    <w:rsid w:val="008D0A0A"/>
    <w:rsid w:val="008D162F"/>
    <w:rsid w:val="008D2FD6"/>
    <w:rsid w:val="008D58FF"/>
    <w:rsid w:val="008D78AF"/>
    <w:rsid w:val="008E27EF"/>
    <w:rsid w:val="008E3EEA"/>
    <w:rsid w:val="008E5447"/>
    <w:rsid w:val="008E550D"/>
    <w:rsid w:val="008E6DFB"/>
    <w:rsid w:val="008E7FBC"/>
    <w:rsid w:val="008F0211"/>
    <w:rsid w:val="008F09BA"/>
    <w:rsid w:val="008F0CCE"/>
    <w:rsid w:val="008F16DB"/>
    <w:rsid w:val="008F484B"/>
    <w:rsid w:val="008F51BA"/>
    <w:rsid w:val="008F52F5"/>
    <w:rsid w:val="008F6CBC"/>
    <w:rsid w:val="008F6FB4"/>
    <w:rsid w:val="008F775D"/>
    <w:rsid w:val="0090204B"/>
    <w:rsid w:val="00902970"/>
    <w:rsid w:val="009105B7"/>
    <w:rsid w:val="0091424F"/>
    <w:rsid w:val="00914F30"/>
    <w:rsid w:val="00915A4C"/>
    <w:rsid w:val="0091632C"/>
    <w:rsid w:val="0091645E"/>
    <w:rsid w:val="0091690C"/>
    <w:rsid w:val="00917DCA"/>
    <w:rsid w:val="00920DF4"/>
    <w:rsid w:val="00924FC2"/>
    <w:rsid w:val="00927FC8"/>
    <w:rsid w:val="009301D8"/>
    <w:rsid w:val="0093123F"/>
    <w:rsid w:val="0093299D"/>
    <w:rsid w:val="00932CC4"/>
    <w:rsid w:val="009334FB"/>
    <w:rsid w:val="00933A80"/>
    <w:rsid w:val="00943E07"/>
    <w:rsid w:val="00945FE7"/>
    <w:rsid w:val="00947A93"/>
    <w:rsid w:val="00954372"/>
    <w:rsid w:val="009559BC"/>
    <w:rsid w:val="0095606D"/>
    <w:rsid w:val="00956E5B"/>
    <w:rsid w:val="00960671"/>
    <w:rsid w:val="00961EA6"/>
    <w:rsid w:val="0096215F"/>
    <w:rsid w:val="009646A2"/>
    <w:rsid w:val="009661E6"/>
    <w:rsid w:val="00967AC0"/>
    <w:rsid w:val="00973F04"/>
    <w:rsid w:val="00975398"/>
    <w:rsid w:val="009755D7"/>
    <w:rsid w:val="00975C80"/>
    <w:rsid w:val="00983A7A"/>
    <w:rsid w:val="00984042"/>
    <w:rsid w:val="0098562A"/>
    <w:rsid w:val="00987CAD"/>
    <w:rsid w:val="00994A54"/>
    <w:rsid w:val="00994A79"/>
    <w:rsid w:val="009970FC"/>
    <w:rsid w:val="00997C80"/>
    <w:rsid w:val="009A51E6"/>
    <w:rsid w:val="009A6562"/>
    <w:rsid w:val="009A7E2D"/>
    <w:rsid w:val="009B2BA5"/>
    <w:rsid w:val="009B4648"/>
    <w:rsid w:val="009C1EDA"/>
    <w:rsid w:val="009C23B4"/>
    <w:rsid w:val="009C3B26"/>
    <w:rsid w:val="009C4286"/>
    <w:rsid w:val="009C5B3B"/>
    <w:rsid w:val="009C5D2C"/>
    <w:rsid w:val="009D0671"/>
    <w:rsid w:val="009D2040"/>
    <w:rsid w:val="009D3FE0"/>
    <w:rsid w:val="009D480E"/>
    <w:rsid w:val="009D4F4C"/>
    <w:rsid w:val="009D4F4D"/>
    <w:rsid w:val="009D6FA3"/>
    <w:rsid w:val="009E1718"/>
    <w:rsid w:val="009E20B7"/>
    <w:rsid w:val="009E310C"/>
    <w:rsid w:val="009E44EE"/>
    <w:rsid w:val="009E7F80"/>
    <w:rsid w:val="009F0DFE"/>
    <w:rsid w:val="009F1508"/>
    <w:rsid w:val="009F18AB"/>
    <w:rsid w:val="009F3CB7"/>
    <w:rsid w:val="009F530C"/>
    <w:rsid w:val="00A00878"/>
    <w:rsid w:val="00A0157D"/>
    <w:rsid w:val="00A1113A"/>
    <w:rsid w:val="00A149B4"/>
    <w:rsid w:val="00A14C94"/>
    <w:rsid w:val="00A157B8"/>
    <w:rsid w:val="00A163E9"/>
    <w:rsid w:val="00A17285"/>
    <w:rsid w:val="00A175B4"/>
    <w:rsid w:val="00A21F31"/>
    <w:rsid w:val="00A33070"/>
    <w:rsid w:val="00A341B7"/>
    <w:rsid w:val="00A359AD"/>
    <w:rsid w:val="00A35C70"/>
    <w:rsid w:val="00A40F1F"/>
    <w:rsid w:val="00A426BB"/>
    <w:rsid w:val="00A42769"/>
    <w:rsid w:val="00A44AF2"/>
    <w:rsid w:val="00A479FC"/>
    <w:rsid w:val="00A54632"/>
    <w:rsid w:val="00A569B3"/>
    <w:rsid w:val="00A56D2A"/>
    <w:rsid w:val="00A578B8"/>
    <w:rsid w:val="00A62820"/>
    <w:rsid w:val="00A645C3"/>
    <w:rsid w:val="00A70FCD"/>
    <w:rsid w:val="00A71828"/>
    <w:rsid w:val="00A7269A"/>
    <w:rsid w:val="00A74071"/>
    <w:rsid w:val="00A75447"/>
    <w:rsid w:val="00A8251A"/>
    <w:rsid w:val="00A827AC"/>
    <w:rsid w:val="00A82FD2"/>
    <w:rsid w:val="00A9187E"/>
    <w:rsid w:val="00A91BB7"/>
    <w:rsid w:val="00A92A47"/>
    <w:rsid w:val="00AA1001"/>
    <w:rsid w:val="00AA5214"/>
    <w:rsid w:val="00AA526C"/>
    <w:rsid w:val="00AA6040"/>
    <w:rsid w:val="00AB0D80"/>
    <w:rsid w:val="00AB4D57"/>
    <w:rsid w:val="00AB6AFC"/>
    <w:rsid w:val="00AB70C1"/>
    <w:rsid w:val="00AB7732"/>
    <w:rsid w:val="00AC1A70"/>
    <w:rsid w:val="00AC1C2D"/>
    <w:rsid w:val="00AD0CBB"/>
    <w:rsid w:val="00AD7644"/>
    <w:rsid w:val="00AD7683"/>
    <w:rsid w:val="00AD785A"/>
    <w:rsid w:val="00AE2421"/>
    <w:rsid w:val="00AE42F8"/>
    <w:rsid w:val="00AE5A74"/>
    <w:rsid w:val="00AF2961"/>
    <w:rsid w:val="00AF2CDE"/>
    <w:rsid w:val="00AF5932"/>
    <w:rsid w:val="00AF674C"/>
    <w:rsid w:val="00AF7B4F"/>
    <w:rsid w:val="00AF7ECD"/>
    <w:rsid w:val="00B009FB"/>
    <w:rsid w:val="00B0149D"/>
    <w:rsid w:val="00B041C1"/>
    <w:rsid w:val="00B102B6"/>
    <w:rsid w:val="00B11857"/>
    <w:rsid w:val="00B14351"/>
    <w:rsid w:val="00B1601F"/>
    <w:rsid w:val="00B17D86"/>
    <w:rsid w:val="00B222D9"/>
    <w:rsid w:val="00B223DD"/>
    <w:rsid w:val="00B22C3F"/>
    <w:rsid w:val="00B238E1"/>
    <w:rsid w:val="00B25940"/>
    <w:rsid w:val="00B26895"/>
    <w:rsid w:val="00B26C28"/>
    <w:rsid w:val="00B27358"/>
    <w:rsid w:val="00B347BC"/>
    <w:rsid w:val="00B34BB9"/>
    <w:rsid w:val="00B34C5E"/>
    <w:rsid w:val="00B36C59"/>
    <w:rsid w:val="00B37B50"/>
    <w:rsid w:val="00B422E0"/>
    <w:rsid w:val="00B45E52"/>
    <w:rsid w:val="00B46C00"/>
    <w:rsid w:val="00B471EF"/>
    <w:rsid w:val="00B50198"/>
    <w:rsid w:val="00B503A9"/>
    <w:rsid w:val="00B522AF"/>
    <w:rsid w:val="00B5611B"/>
    <w:rsid w:val="00B56D2C"/>
    <w:rsid w:val="00B63DD3"/>
    <w:rsid w:val="00B64539"/>
    <w:rsid w:val="00B70594"/>
    <w:rsid w:val="00B712BD"/>
    <w:rsid w:val="00B71675"/>
    <w:rsid w:val="00B72227"/>
    <w:rsid w:val="00B724D7"/>
    <w:rsid w:val="00B7302C"/>
    <w:rsid w:val="00B73206"/>
    <w:rsid w:val="00B76169"/>
    <w:rsid w:val="00B77908"/>
    <w:rsid w:val="00B77BD5"/>
    <w:rsid w:val="00B803CD"/>
    <w:rsid w:val="00B82732"/>
    <w:rsid w:val="00B82BCE"/>
    <w:rsid w:val="00B863C4"/>
    <w:rsid w:val="00B86DF9"/>
    <w:rsid w:val="00B9449E"/>
    <w:rsid w:val="00B9614A"/>
    <w:rsid w:val="00B967D8"/>
    <w:rsid w:val="00B96CED"/>
    <w:rsid w:val="00B97F56"/>
    <w:rsid w:val="00BA0497"/>
    <w:rsid w:val="00BA3557"/>
    <w:rsid w:val="00BA4B3E"/>
    <w:rsid w:val="00BA4E1E"/>
    <w:rsid w:val="00BA5A08"/>
    <w:rsid w:val="00BA6F22"/>
    <w:rsid w:val="00BB133F"/>
    <w:rsid w:val="00BB218D"/>
    <w:rsid w:val="00BB4EB3"/>
    <w:rsid w:val="00BB5AED"/>
    <w:rsid w:val="00BB606C"/>
    <w:rsid w:val="00BB6EAB"/>
    <w:rsid w:val="00BB6EC4"/>
    <w:rsid w:val="00BB7069"/>
    <w:rsid w:val="00BC063A"/>
    <w:rsid w:val="00BC0CE9"/>
    <w:rsid w:val="00BC1402"/>
    <w:rsid w:val="00BC2753"/>
    <w:rsid w:val="00BC3315"/>
    <w:rsid w:val="00BC4269"/>
    <w:rsid w:val="00BC5115"/>
    <w:rsid w:val="00BC5DE4"/>
    <w:rsid w:val="00BC67F8"/>
    <w:rsid w:val="00BD63DC"/>
    <w:rsid w:val="00BD64DF"/>
    <w:rsid w:val="00BD69A4"/>
    <w:rsid w:val="00BD7B65"/>
    <w:rsid w:val="00BE023F"/>
    <w:rsid w:val="00BE1241"/>
    <w:rsid w:val="00BE37BF"/>
    <w:rsid w:val="00BE4A5A"/>
    <w:rsid w:val="00BE51C8"/>
    <w:rsid w:val="00BF1031"/>
    <w:rsid w:val="00BF2916"/>
    <w:rsid w:val="00BF2EDF"/>
    <w:rsid w:val="00BF40B2"/>
    <w:rsid w:val="00BF494C"/>
    <w:rsid w:val="00BF4BB4"/>
    <w:rsid w:val="00BF574D"/>
    <w:rsid w:val="00BF595F"/>
    <w:rsid w:val="00C0042B"/>
    <w:rsid w:val="00C019AB"/>
    <w:rsid w:val="00C12B38"/>
    <w:rsid w:val="00C12E55"/>
    <w:rsid w:val="00C13019"/>
    <w:rsid w:val="00C14A0D"/>
    <w:rsid w:val="00C17333"/>
    <w:rsid w:val="00C17F83"/>
    <w:rsid w:val="00C17FDD"/>
    <w:rsid w:val="00C21A2A"/>
    <w:rsid w:val="00C22545"/>
    <w:rsid w:val="00C22F36"/>
    <w:rsid w:val="00C26EEF"/>
    <w:rsid w:val="00C27271"/>
    <w:rsid w:val="00C30081"/>
    <w:rsid w:val="00C307F9"/>
    <w:rsid w:val="00C31333"/>
    <w:rsid w:val="00C35B90"/>
    <w:rsid w:val="00C35DD3"/>
    <w:rsid w:val="00C376E2"/>
    <w:rsid w:val="00C4007C"/>
    <w:rsid w:val="00C42140"/>
    <w:rsid w:val="00C4489E"/>
    <w:rsid w:val="00C507D7"/>
    <w:rsid w:val="00C514CA"/>
    <w:rsid w:val="00C51C2E"/>
    <w:rsid w:val="00C56E5F"/>
    <w:rsid w:val="00C57989"/>
    <w:rsid w:val="00C6326E"/>
    <w:rsid w:val="00C66897"/>
    <w:rsid w:val="00C67544"/>
    <w:rsid w:val="00C67882"/>
    <w:rsid w:val="00C73700"/>
    <w:rsid w:val="00C74AC5"/>
    <w:rsid w:val="00C75247"/>
    <w:rsid w:val="00C752BF"/>
    <w:rsid w:val="00C778DE"/>
    <w:rsid w:val="00C825E8"/>
    <w:rsid w:val="00C90E8A"/>
    <w:rsid w:val="00C94136"/>
    <w:rsid w:val="00C94CBB"/>
    <w:rsid w:val="00C97A18"/>
    <w:rsid w:val="00CA0BF9"/>
    <w:rsid w:val="00CA183F"/>
    <w:rsid w:val="00CA3010"/>
    <w:rsid w:val="00CA5527"/>
    <w:rsid w:val="00CA6C51"/>
    <w:rsid w:val="00CA74F3"/>
    <w:rsid w:val="00CB0244"/>
    <w:rsid w:val="00CB036F"/>
    <w:rsid w:val="00CB1469"/>
    <w:rsid w:val="00CB230B"/>
    <w:rsid w:val="00CC0E2D"/>
    <w:rsid w:val="00CC2949"/>
    <w:rsid w:val="00CC2C11"/>
    <w:rsid w:val="00CC3134"/>
    <w:rsid w:val="00CC4EF9"/>
    <w:rsid w:val="00CC5D94"/>
    <w:rsid w:val="00CD1CBD"/>
    <w:rsid w:val="00CD3178"/>
    <w:rsid w:val="00CD36AE"/>
    <w:rsid w:val="00CD3F00"/>
    <w:rsid w:val="00CD405D"/>
    <w:rsid w:val="00CD7A9A"/>
    <w:rsid w:val="00CE439A"/>
    <w:rsid w:val="00CE4E64"/>
    <w:rsid w:val="00CE590B"/>
    <w:rsid w:val="00CE6702"/>
    <w:rsid w:val="00CE778A"/>
    <w:rsid w:val="00CF1C6F"/>
    <w:rsid w:val="00CF343F"/>
    <w:rsid w:val="00CF40F4"/>
    <w:rsid w:val="00CF5901"/>
    <w:rsid w:val="00CF7172"/>
    <w:rsid w:val="00CF7E44"/>
    <w:rsid w:val="00D00334"/>
    <w:rsid w:val="00D00AAA"/>
    <w:rsid w:val="00D02ECD"/>
    <w:rsid w:val="00D031CA"/>
    <w:rsid w:val="00D05033"/>
    <w:rsid w:val="00D06425"/>
    <w:rsid w:val="00D06D0D"/>
    <w:rsid w:val="00D07F49"/>
    <w:rsid w:val="00D1031A"/>
    <w:rsid w:val="00D14389"/>
    <w:rsid w:val="00D16E1E"/>
    <w:rsid w:val="00D16F89"/>
    <w:rsid w:val="00D2230E"/>
    <w:rsid w:val="00D22CE1"/>
    <w:rsid w:val="00D268C8"/>
    <w:rsid w:val="00D32E57"/>
    <w:rsid w:val="00D34601"/>
    <w:rsid w:val="00D353E7"/>
    <w:rsid w:val="00D35407"/>
    <w:rsid w:val="00D4096A"/>
    <w:rsid w:val="00D41158"/>
    <w:rsid w:val="00D4236F"/>
    <w:rsid w:val="00D42FF4"/>
    <w:rsid w:val="00D43274"/>
    <w:rsid w:val="00D47596"/>
    <w:rsid w:val="00D47C03"/>
    <w:rsid w:val="00D53601"/>
    <w:rsid w:val="00D57F98"/>
    <w:rsid w:val="00D612DE"/>
    <w:rsid w:val="00D634D8"/>
    <w:rsid w:val="00D677DF"/>
    <w:rsid w:val="00D67C40"/>
    <w:rsid w:val="00D67E10"/>
    <w:rsid w:val="00D7029A"/>
    <w:rsid w:val="00D81E45"/>
    <w:rsid w:val="00D827ED"/>
    <w:rsid w:val="00D871E0"/>
    <w:rsid w:val="00D87B0B"/>
    <w:rsid w:val="00D90543"/>
    <w:rsid w:val="00D911FD"/>
    <w:rsid w:val="00D929E5"/>
    <w:rsid w:val="00D92DCF"/>
    <w:rsid w:val="00D92EB1"/>
    <w:rsid w:val="00D93615"/>
    <w:rsid w:val="00D95AB0"/>
    <w:rsid w:val="00D97B72"/>
    <w:rsid w:val="00DA137E"/>
    <w:rsid w:val="00DA1E85"/>
    <w:rsid w:val="00DA2D03"/>
    <w:rsid w:val="00DB1454"/>
    <w:rsid w:val="00DB2043"/>
    <w:rsid w:val="00DB40C5"/>
    <w:rsid w:val="00DC17C6"/>
    <w:rsid w:val="00DC1A1E"/>
    <w:rsid w:val="00DC247E"/>
    <w:rsid w:val="00DC4089"/>
    <w:rsid w:val="00DC4370"/>
    <w:rsid w:val="00DC48FF"/>
    <w:rsid w:val="00DC4E76"/>
    <w:rsid w:val="00DC5AE7"/>
    <w:rsid w:val="00DC697E"/>
    <w:rsid w:val="00DD0EC7"/>
    <w:rsid w:val="00DD3416"/>
    <w:rsid w:val="00DD4644"/>
    <w:rsid w:val="00DD5D19"/>
    <w:rsid w:val="00DD7BA5"/>
    <w:rsid w:val="00DD7F44"/>
    <w:rsid w:val="00DE0D3B"/>
    <w:rsid w:val="00DE0FA9"/>
    <w:rsid w:val="00DE1484"/>
    <w:rsid w:val="00DE26E1"/>
    <w:rsid w:val="00DE346B"/>
    <w:rsid w:val="00DE424D"/>
    <w:rsid w:val="00DE429C"/>
    <w:rsid w:val="00DE4957"/>
    <w:rsid w:val="00DE4E9F"/>
    <w:rsid w:val="00DE5300"/>
    <w:rsid w:val="00DF1A0B"/>
    <w:rsid w:val="00DF2B57"/>
    <w:rsid w:val="00DF4CD6"/>
    <w:rsid w:val="00DF5610"/>
    <w:rsid w:val="00DF680E"/>
    <w:rsid w:val="00DF6BA6"/>
    <w:rsid w:val="00E00557"/>
    <w:rsid w:val="00E01A29"/>
    <w:rsid w:val="00E03C65"/>
    <w:rsid w:val="00E03EF1"/>
    <w:rsid w:val="00E05DE1"/>
    <w:rsid w:val="00E0747C"/>
    <w:rsid w:val="00E10205"/>
    <w:rsid w:val="00E10879"/>
    <w:rsid w:val="00E1481A"/>
    <w:rsid w:val="00E14E59"/>
    <w:rsid w:val="00E150A6"/>
    <w:rsid w:val="00E175E5"/>
    <w:rsid w:val="00E20388"/>
    <w:rsid w:val="00E24F6B"/>
    <w:rsid w:val="00E254E6"/>
    <w:rsid w:val="00E306AF"/>
    <w:rsid w:val="00E306CA"/>
    <w:rsid w:val="00E3209E"/>
    <w:rsid w:val="00E43B89"/>
    <w:rsid w:val="00E43FC1"/>
    <w:rsid w:val="00E47458"/>
    <w:rsid w:val="00E5281E"/>
    <w:rsid w:val="00E54B81"/>
    <w:rsid w:val="00E54FF1"/>
    <w:rsid w:val="00E56A42"/>
    <w:rsid w:val="00E57074"/>
    <w:rsid w:val="00E5710E"/>
    <w:rsid w:val="00E57888"/>
    <w:rsid w:val="00E61FDC"/>
    <w:rsid w:val="00E62C73"/>
    <w:rsid w:val="00E6431D"/>
    <w:rsid w:val="00E646D9"/>
    <w:rsid w:val="00E7036C"/>
    <w:rsid w:val="00E706F7"/>
    <w:rsid w:val="00E70BC2"/>
    <w:rsid w:val="00E72C2E"/>
    <w:rsid w:val="00E74844"/>
    <w:rsid w:val="00E75066"/>
    <w:rsid w:val="00E80362"/>
    <w:rsid w:val="00E80B96"/>
    <w:rsid w:val="00E81705"/>
    <w:rsid w:val="00E83815"/>
    <w:rsid w:val="00E86610"/>
    <w:rsid w:val="00E90F3D"/>
    <w:rsid w:val="00E91F82"/>
    <w:rsid w:val="00E9567E"/>
    <w:rsid w:val="00EA010A"/>
    <w:rsid w:val="00EA0F7D"/>
    <w:rsid w:val="00EA13C3"/>
    <w:rsid w:val="00EA1694"/>
    <w:rsid w:val="00EA3A7E"/>
    <w:rsid w:val="00EA6780"/>
    <w:rsid w:val="00EA688E"/>
    <w:rsid w:val="00EA75D1"/>
    <w:rsid w:val="00EA7A09"/>
    <w:rsid w:val="00EA7EBB"/>
    <w:rsid w:val="00EB2F1F"/>
    <w:rsid w:val="00EB430B"/>
    <w:rsid w:val="00EB73C0"/>
    <w:rsid w:val="00EB785E"/>
    <w:rsid w:val="00EC01FA"/>
    <w:rsid w:val="00EC04C0"/>
    <w:rsid w:val="00EC159F"/>
    <w:rsid w:val="00EC282D"/>
    <w:rsid w:val="00EC2BEC"/>
    <w:rsid w:val="00EC30CF"/>
    <w:rsid w:val="00EC6275"/>
    <w:rsid w:val="00EC65BF"/>
    <w:rsid w:val="00ED206F"/>
    <w:rsid w:val="00EE0FB1"/>
    <w:rsid w:val="00EE10F1"/>
    <w:rsid w:val="00EE1973"/>
    <w:rsid w:val="00EE415D"/>
    <w:rsid w:val="00EF0A24"/>
    <w:rsid w:val="00EF0CF1"/>
    <w:rsid w:val="00EF341D"/>
    <w:rsid w:val="00EF438E"/>
    <w:rsid w:val="00EF5295"/>
    <w:rsid w:val="00F01BC3"/>
    <w:rsid w:val="00F020F4"/>
    <w:rsid w:val="00F12956"/>
    <w:rsid w:val="00F12AC1"/>
    <w:rsid w:val="00F135D7"/>
    <w:rsid w:val="00F15A55"/>
    <w:rsid w:val="00F20233"/>
    <w:rsid w:val="00F203BE"/>
    <w:rsid w:val="00F20463"/>
    <w:rsid w:val="00F227A2"/>
    <w:rsid w:val="00F24EE2"/>
    <w:rsid w:val="00F272E7"/>
    <w:rsid w:val="00F275BD"/>
    <w:rsid w:val="00F27746"/>
    <w:rsid w:val="00F3014E"/>
    <w:rsid w:val="00F30241"/>
    <w:rsid w:val="00F30D14"/>
    <w:rsid w:val="00F30D5D"/>
    <w:rsid w:val="00F31DD6"/>
    <w:rsid w:val="00F33053"/>
    <w:rsid w:val="00F406A7"/>
    <w:rsid w:val="00F419B2"/>
    <w:rsid w:val="00F427C6"/>
    <w:rsid w:val="00F42BAA"/>
    <w:rsid w:val="00F4358A"/>
    <w:rsid w:val="00F4727A"/>
    <w:rsid w:val="00F47874"/>
    <w:rsid w:val="00F47D9E"/>
    <w:rsid w:val="00F510BF"/>
    <w:rsid w:val="00F543BB"/>
    <w:rsid w:val="00F554B0"/>
    <w:rsid w:val="00F5685E"/>
    <w:rsid w:val="00F57AF8"/>
    <w:rsid w:val="00F57E7D"/>
    <w:rsid w:val="00F606AC"/>
    <w:rsid w:val="00F63519"/>
    <w:rsid w:val="00F65AC9"/>
    <w:rsid w:val="00F705AC"/>
    <w:rsid w:val="00F76963"/>
    <w:rsid w:val="00F80D35"/>
    <w:rsid w:val="00F81B9B"/>
    <w:rsid w:val="00F834B5"/>
    <w:rsid w:val="00F84C2C"/>
    <w:rsid w:val="00F85591"/>
    <w:rsid w:val="00F86B54"/>
    <w:rsid w:val="00F874CD"/>
    <w:rsid w:val="00F87CC6"/>
    <w:rsid w:val="00F904E7"/>
    <w:rsid w:val="00F907AC"/>
    <w:rsid w:val="00F91DDC"/>
    <w:rsid w:val="00F93260"/>
    <w:rsid w:val="00F94AED"/>
    <w:rsid w:val="00F95701"/>
    <w:rsid w:val="00FA4349"/>
    <w:rsid w:val="00FA5938"/>
    <w:rsid w:val="00FA6299"/>
    <w:rsid w:val="00FA62DC"/>
    <w:rsid w:val="00FA77F9"/>
    <w:rsid w:val="00FB0481"/>
    <w:rsid w:val="00FB1509"/>
    <w:rsid w:val="00FB1DA6"/>
    <w:rsid w:val="00FB4500"/>
    <w:rsid w:val="00FC14FD"/>
    <w:rsid w:val="00FC2131"/>
    <w:rsid w:val="00FC3028"/>
    <w:rsid w:val="00FC369C"/>
    <w:rsid w:val="00FC3E8B"/>
    <w:rsid w:val="00FC47E9"/>
    <w:rsid w:val="00FC6449"/>
    <w:rsid w:val="00FC7443"/>
    <w:rsid w:val="00FC7F62"/>
    <w:rsid w:val="00FD08B6"/>
    <w:rsid w:val="00FD08F1"/>
    <w:rsid w:val="00FD0902"/>
    <w:rsid w:val="00FD2D11"/>
    <w:rsid w:val="00FD450E"/>
    <w:rsid w:val="00FD75F0"/>
    <w:rsid w:val="00FD7BEE"/>
    <w:rsid w:val="00FE3630"/>
    <w:rsid w:val="00FE6043"/>
    <w:rsid w:val="00FE7124"/>
    <w:rsid w:val="00FF09B5"/>
    <w:rsid w:val="00FF134D"/>
    <w:rsid w:val="00FF7148"/>
    <w:rsid w:val="00FF7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47"/>
  </w:style>
  <w:style w:type="paragraph" w:styleId="Heading1">
    <w:name w:val="heading 1"/>
    <w:basedOn w:val="Normal"/>
    <w:next w:val="Normal"/>
    <w:link w:val="Heading1Char"/>
    <w:uiPriority w:val="9"/>
    <w:qFormat/>
    <w:rsid w:val="00DC4089"/>
    <w:pPr>
      <w:outlineLvl w:val="0"/>
    </w:pPr>
    <w:rPr>
      <w:b/>
      <w:sz w:val="32"/>
      <w:szCs w:val="44"/>
      <w:lang w:val="en-GB"/>
    </w:rPr>
  </w:style>
  <w:style w:type="paragraph" w:styleId="Heading2">
    <w:name w:val="heading 2"/>
    <w:basedOn w:val="ListParagraph"/>
    <w:next w:val="Normal"/>
    <w:link w:val="Heading2Char"/>
    <w:uiPriority w:val="9"/>
    <w:unhideWhenUsed/>
    <w:qFormat/>
    <w:rsid w:val="00655186"/>
    <w:pPr>
      <w:numPr>
        <w:ilvl w:val="1"/>
        <w:numId w:val="21"/>
      </w:numPr>
      <w:outlineLvl w:val="1"/>
    </w:pPr>
    <w:rPr>
      <w:b/>
      <w:sz w:val="24"/>
      <w:szCs w:val="24"/>
      <w:lang w:val="en-GB"/>
    </w:rPr>
  </w:style>
  <w:style w:type="paragraph" w:styleId="Heading3">
    <w:name w:val="heading 3"/>
    <w:basedOn w:val="Normal"/>
    <w:next w:val="Normal"/>
    <w:link w:val="Heading3Char"/>
    <w:uiPriority w:val="9"/>
    <w:unhideWhenUsed/>
    <w:qFormat/>
    <w:rsid w:val="00C514CA"/>
    <w:pPr>
      <w:spacing w:after="0"/>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635CD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635CDE"/>
    <w:rPr>
      <w:rFonts w:ascii="Calibri" w:eastAsia="Times New Roman" w:hAnsi="Calibri" w:cs="Times New Roman"/>
      <w:lang w:val="en-US"/>
    </w:rPr>
  </w:style>
  <w:style w:type="paragraph" w:styleId="ListParagraph">
    <w:name w:val="List Paragraph"/>
    <w:basedOn w:val="Normal"/>
    <w:uiPriority w:val="34"/>
    <w:qFormat/>
    <w:rsid w:val="00C17333"/>
    <w:pPr>
      <w:ind w:left="720"/>
      <w:contextualSpacing/>
    </w:pPr>
  </w:style>
  <w:style w:type="character" w:styleId="Emphasis">
    <w:name w:val="Emphasis"/>
    <w:basedOn w:val="DefaultParagraphFont"/>
    <w:uiPriority w:val="20"/>
    <w:qFormat/>
    <w:rsid w:val="00887ACD"/>
    <w:rPr>
      <w:i/>
      <w:iCs/>
    </w:rPr>
  </w:style>
  <w:style w:type="table" w:styleId="MediumGrid3-Accent5">
    <w:name w:val="Medium Grid 3 Accent 5"/>
    <w:basedOn w:val="TableNormal"/>
    <w:uiPriority w:val="69"/>
    <w:rsid w:val="009C4286"/>
    <w:pPr>
      <w:spacing w:after="0" w:line="240" w:lineRule="auto"/>
    </w:pPr>
    <w:rPr>
      <w:rFonts w:eastAsiaTheme="minorHAnsi"/>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20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2E1"/>
    <w:rPr>
      <w:rFonts w:ascii="Tahoma" w:hAnsi="Tahoma" w:cs="Tahoma"/>
      <w:sz w:val="16"/>
      <w:szCs w:val="16"/>
    </w:rPr>
  </w:style>
  <w:style w:type="character" w:customStyle="1" w:styleId="Heading1Char">
    <w:name w:val="Heading 1 Char"/>
    <w:basedOn w:val="DefaultParagraphFont"/>
    <w:link w:val="Heading1"/>
    <w:uiPriority w:val="9"/>
    <w:rsid w:val="00DC4089"/>
    <w:rPr>
      <w:b/>
      <w:sz w:val="32"/>
      <w:szCs w:val="44"/>
      <w:lang w:val="en-GB"/>
    </w:rPr>
  </w:style>
  <w:style w:type="paragraph" w:styleId="Bibliography">
    <w:name w:val="Bibliography"/>
    <w:basedOn w:val="Normal"/>
    <w:next w:val="Normal"/>
    <w:uiPriority w:val="37"/>
    <w:unhideWhenUsed/>
    <w:rsid w:val="00052ED3"/>
  </w:style>
  <w:style w:type="character" w:styleId="Hyperlink">
    <w:name w:val="Hyperlink"/>
    <w:basedOn w:val="DefaultParagraphFont"/>
    <w:uiPriority w:val="99"/>
    <w:unhideWhenUsed/>
    <w:rsid w:val="00CF5901"/>
    <w:rPr>
      <w:color w:val="0000FF" w:themeColor="hyperlink"/>
      <w:u w:val="single"/>
    </w:rPr>
  </w:style>
  <w:style w:type="table" w:styleId="TableGrid">
    <w:name w:val="Table Grid"/>
    <w:basedOn w:val="TableNormal"/>
    <w:uiPriority w:val="59"/>
    <w:rsid w:val="00212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4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9F"/>
  </w:style>
  <w:style w:type="paragraph" w:styleId="Footer">
    <w:name w:val="footer"/>
    <w:basedOn w:val="Normal"/>
    <w:link w:val="FooterChar"/>
    <w:uiPriority w:val="99"/>
    <w:unhideWhenUsed/>
    <w:rsid w:val="00DE4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9F"/>
  </w:style>
  <w:style w:type="character" w:customStyle="1" w:styleId="Heading2Char">
    <w:name w:val="Heading 2 Char"/>
    <w:basedOn w:val="DefaultParagraphFont"/>
    <w:link w:val="Heading2"/>
    <w:uiPriority w:val="9"/>
    <w:rsid w:val="00655186"/>
    <w:rPr>
      <w:b/>
      <w:sz w:val="24"/>
      <w:szCs w:val="24"/>
      <w:lang w:val="en-GB"/>
    </w:rPr>
  </w:style>
  <w:style w:type="character" w:customStyle="1" w:styleId="Heading3Char">
    <w:name w:val="Heading 3 Char"/>
    <w:basedOn w:val="DefaultParagraphFont"/>
    <w:link w:val="Heading3"/>
    <w:uiPriority w:val="9"/>
    <w:rsid w:val="00C514CA"/>
    <w:rPr>
      <w:b/>
      <w:lang w:val="en-US"/>
    </w:rPr>
  </w:style>
  <w:style w:type="paragraph" w:styleId="TOCHeading">
    <w:name w:val="TOC Heading"/>
    <w:basedOn w:val="Heading1"/>
    <w:next w:val="Normal"/>
    <w:uiPriority w:val="39"/>
    <w:unhideWhenUsed/>
    <w:qFormat/>
    <w:rsid w:val="004B151A"/>
    <w:pPr>
      <w:keepNext/>
      <w:keepLines/>
      <w:spacing w:before="480" w:after="0"/>
      <w:outlineLvl w:val="9"/>
    </w:pPr>
    <w:rPr>
      <w:rFonts w:asciiTheme="majorHAnsi" w:eastAsiaTheme="majorEastAsia" w:hAnsiTheme="majorHAnsi" w:cstheme="majorBidi"/>
      <w:bCs/>
      <w:color w:val="365F91" w:themeColor="accent1" w:themeShade="BF"/>
      <w:sz w:val="28"/>
      <w:szCs w:val="28"/>
      <w:lang w:val="nl-NL"/>
    </w:rPr>
  </w:style>
  <w:style w:type="paragraph" w:styleId="TOC1">
    <w:name w:val="toc 1"/>
    <w:basedOn w:val="Normal"/>
    <w:next w:val="Normal"/>
    <w:autoRedefine/>
    <w:uiPriority w:val="39"/>
    <w:unhideWhenUsed/>
    <w:rsid w:val="004B151A"/>
    <w:pPr>
      <w:spacing w:after="100"/>
    </w:pPr>
  </w:style>
  <w:style w:type="paragraph" w:styleId="TOC2">
    <w:name w:val="toc 2"/>
    <w:basedOn w:val="Normal"/>
    <w:next w:val="Normal"/>
    <w:autoRedefine/>
    <w:uiPriority w:val="39"/>
    <w:unhideWhenUsed/>
    <w:rsid w:val="004B151A"/>
    <w:pPr>
      <w:spacing w:after="100"/>
      <w:ind w:left="220"/>
    </w:pPr>
  </w:style>
  <w:style w:type="paragraph" w:styleId="TOC3">
    <w:name w:val="toc 3"/>
    <w:basedOn w:val="Normal"/>
    <w:next w:val="Normal"/>
    <w:autoRedefine/>
    <w:uiPriority w:val="39"/>
    <w:unhideWhenUsed/>
    <w:rsid w:val="004B151A"/>
    <w:pPr>
      <w:spacing w:after="100"/>
      <w:ind w:left="440"/>
    </w:pPr>
  </w:style>
  <w:style w:type="character" w:styleId="CommentReference">
    <w:name w:val="annotation reference"/>
    <w:basedOn w:val="DefaultParagraphFont"/>
    <w:uiPriority w:val="99"/>
    <w:semiHidden/>
    <w:unhideWhenUsed/>
    <w:rsid w:val="007F2E73"/>
    <w:rPr>
      <w:sz w:val="16"/>
      <w:szCs w:val="16"/>
    </w:rPr>
  </w:style>
  <w:style w:type="paragraph" w:styleId="CommentText">
    <w:name w:val="annotation text"/>
    <w:basedOn w:val="Normal"/>
    <w:link w:val="CommentTextChar"/>
    <w:uiPriority w:val="99"/>
    <w:semiHidden/>
    <w:unhideWhenUsed/>
    <w:rsid w:val="007F2E73"/>
    <w:pPr>
      <w:spacing w:line="240" w:lineRule="auto"/>
    </w:pPr>
    <w:rPr>
      <w:sz w:val="20"/>
      <w:szCs w:val="20"/>
    </w:rPr>
  </w:style>
  <w:style w:type="character" w:customStyle="1" w:styleId="CommentTextChar">
    <w:name w:val="Comment Text Char"/>
    <w:basedOn w:val="DefaultParagraphFont"/>
    <w:link w:val="CommentText"/>
    <w:uiPriority w:val="99"/>
    <w:semiHidden/>
    <w:rsid w:val="007F2E73"/>
    <w:rPr>
      <w:sz w:val="20"/>
      <w:szCs w:val="20"/>
    </w:rPr>
  </w:style>
  <w:style w:type="paragraph" w:styleId="CommentSubject">
    <w:name w:val="annotation subject"/>
    <w:basedOn w:val="CommentText"/>
    <w:next w:val="CommentText"/>
    <w:link w:val="CommentSubjectChar"/>
    <w:uiPriority w:val="99"/>
    <w:semiHidden/>
    <w:unhideWhenUsed/>
    <w:rsid w:val="007F2E73"/>
    <w:rPr>
      <w:b/>
      <w:bCs/>
    </w:rPr>
  </w:style>
  <w:style w:type="character" w:customStyle="1" w:styleId="CommentSubjectChar">
    <w:name w:val="Comment Subject Char"/>
    <w:basedOn w:val="CommentTextChar"/>
    <w:link w:val="CommentSubject"/>
    <w:uiPriority w:val="99"/>
    <w:semiHidden/>
    <w:rsid w:val="007F2E73"/>
    <w:rPr>
      <w:b/>
      <w:bCs/>
      <w:sz w:val="20"/>
      <w:szCs w:val="20"/>
    </w:rPr>
  </w:style>
  <w:style w:type="paragraph" w:styleId="FootnoteText">
    <w:name w:val="footnote text"/>
    <w:basedOn w:val="Normal"/>
    <w:link w:val="FootnoteTextChar"/>
    <w:uiPriority w:val="99"/>
    <w:semiHidden/>
    <w:unhideWhenUsed/>
    <w:rsid w:val="007F2E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E73"/>
    <w:rPr>
      <w:sz w:val="20"/>
      <w:szCs w:val="20"/>
    </w:rPr>
  </w:style>
  <w:style w:type="character" w:styleId="FootnoteReference">
    <w:name w:val="footnote reference"/>
    <w:basedOn w:val="DefaultParagraphFont"/>
    <w:uiPriority w:val="99"/>
    <w:semiHidden/>
    <w:unhideWhenUsed/>
    <w:rsid w:val="007F2E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1847"/>
  </w:style>
  <w:style w:type="paragraph" w:styleId="Kop1">
    <w:name w:val="heading 1"/>
    <w:basedOn w:val="Standaard"/>
    <w:next w:val="Standaard"/>
    <w:link w:val="Kop1Char"/>
    <w:uiPriority w:val="9"/>
    <w:qFormat/>
    <w:rsid w:val="00DC4089"/>
    <w:pPr>
      <w:outlineLvl w:val="0"/>
    </w:pPr>
    <w:rPr>
      <w:b/>
      <w:sz w:val="32"/>
      <w:szCs w:val="44"/>
      <w:lang w:val="en-GB"/>
    </w:rPr>
  </w:style>
  <w:style w:type="paragraph" w:styleId="Kop2">
    <w:name w:val="heading 2"/>
    <w:basedOn w:val="Lijstalinea"/>
    <w:next w:val="Standaard"/>
    <w:link w:val="Kop2Char"/>
    <w:uiPriority w:val="9"/>
    <w:unhideWhenUsed/>
    <w:qFormat/>
    <w:rsid w:val="00655186"/>
    <w:pPr>
      <w:numPr>
        <w:ilvl w:val="1"/>
        <w:numId w:val="21"/>
      </w:numPr>
      <w:outlineLvl w:val="1"/>
    </w:pPr>
    <w:rPr>
      <w:b/>
      <w:sz w:val="24"/>
      <w:szCs w:val="24"/>
      <w:lang w:val="en-GB"/>
    </w:rPr>
  </w:style>
  <w:style w:type="paragraph" w:styleId="Kop3">
    <w:name w:val="heading 3"/>
    <w:basedOn w:val="Standaard"/>
    <w:next w:val="Standaard"/>
    <w:link w:val="Kop3Char"/>
    <w:uiPriority w:val="9"/>
    <w:unhideWhenUsed/>
    <w:qFormat/>
    <w:rsid w:val="00C514CA"/>
    <w:pPr>
      <w:spacing w:after="0"/>
      <w:outlineLvl w:val="2"/>
    </w:pPr>
    <w:rPr>
      <w:b/>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99"/>
    <w:qFormat/>
    <w:rsid w:val="00635CDE"/>
    <w:pPr>
      <w:spacing w:after="0" w:line="240" w:lineRule="auto"/>
    </w:pPr>
    <w:rPr>
      <w:rFonts w:ascii="Calibri" w:eastAsia="Times New Roman" w:hAnsi="Calibri" w:cs="Times New Roman"/>
      <w:lang w:val="en-US"/>
    </w:rPr>
  </w:style>
  <w:style w:type="character" w:customStyle="1" w:styleId="GeenafstandChar">
    <w:name w:val="Geen afstand Char"/>
    <w:link w:val="Geenafstand"/>
    <w:uiPriority w:val="99"/>
    <w:locked/>
    <w:rsid w:val="00635CDE"/>
    <w:rPr>
      <w:rFonts w:ascii="Calibri" w:eastAsia="Times New Roman" w:hAnsi="Calibri" w:cs="Times New Roman"/>
      <w:lang w:val="en-US"/>
    </w:rPr>
  </w:style>
  <w:style w:type="paragraph" w:styleId="Lijstalinea">
    <w:name w:val="List Paragraph"/>
    <w:basedOn w:val="Standaard"/>
    <w:uiPriority w:val="34"/>
    <w:qFormat/>
    <w:rsid w:val="00C17333"/>
    <w:pPr>
      <w:ind w:left="720"/>
      <w:contextualSpacing/>
    </w:pPr>
  </w:style>
  <w:style w:type="character" w:styleId="Nadruk">
    <w:name w:val="Emphasis"/>
    <w:basedOn w:val="Standaardalinea-lettertype"/>
    <w:uiPriority w:val="20"/>
    <w:qFormat/>
    <w:rsid w:val="00887ACD"/>
    <w:rPr>
      <w:i/>
      <w:iCs/>
    </w:rPr>
  </w:style>
  <w:style w:type="table" w:styleId="Gemiddeldraster3-accent5">
    <w:name w:val="Medium Grid 3 Accent 5"/>
    <w:basedOn w:val="Standaardtabel"/>
    <w:uiPriority w:val="69"/>
    <w:rsid w:val="009C4286"/>
    <w:pPr>
      <w:spacing w:after="0" w:line="240" w:lineRule="auto"/>
    </w:pPr>
    <w:rPr>
      <w:rFonts w:eastAsiaTheme="minorHAnsi"/>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ntekst">
    <w:name w:val="Balloon Text"/>
    <w:basedOn w:val="Standaard"/>
    <w:link w:val="BallontekstChar"/>
    <w:uiPriority w:val="99"/>
    <w:semiHidden/>
    <w:unhideWhenUsed/>
    <w:rsid w:val="006202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02E1"/>
    <w:rPr>
      <w:rFonts w:ascii="Tahoma" w:hAnsi="Tahoma" w:cs="Tahoma"/>
      <w:sz w:val="16"/>
      <w:szCs w:val="16"/>
    </w:rPr>
  </w:style>
  <w:style w:type="character" w:customStyle="1" w:styleId="Kop1Char">
    <w:name w:val="Kop 1 Char"/>
    <w:basedOn w:val="Standaardalinea-lettertype"/>
    <w:link w:val="Kop1"/>
    <w:uiPriority w:val="9"/>
    <w:rsid w:val="00DC4089"/>
    <w:rPr>
      <w:b/>
      <w:sz w:val="32"/>
      <w:szCs w:val="44"/>
      <w:lang w:val="en-GB"/>
    </w:rPr>
  </w:style>
  <w:style w:type="paragraph" w:styleId="Bibliografie">
    <w:name w:val="Bibliography"/>
    <w:basedOn w:val="Standaard"/>
    <w:next w:val="Standaard"/>
    <w:uiPriority w:val="37"/>
    <w:unhideWhenUsed/>
    <w:rsid w:val="00052ED3"/>
  </w:style>
  <w:style w:type="character" w:styleId="Hyperlink">
    <w:name w:val="Hyperlink"/>
    <w:basedOn w:val="Standaardalinea-lettertype"/>
    <w:uiPriority w:val="99"/>
    <w:unhideWhenUsed/>
    <w:rsid w:val="00CF5901"/>
    <w:rPr>
      <w:color w:val="0000FF" w:themeColor="hyperlink"/>
      <w:u w:val="single"/>
    </w:rPr>
  </w:style>
  <w:style w:type="table" w:styleId="Tabelraster">
    <w:name w:val="Table Grid"/>
    <w:basedOn w:val="Standaardtabel"/>
    <w:uiPriority w:val="59"/>
    <w:rsid w:val="00212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DE4E9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E4E9F"/>
  </w:style>
  <w:style w:type="paragraph" w:styleId="Voettekst">
    <w:name w:val="footer"/>
    <w:basedOn w:val="Standaard"/>
    <w:link w:val="VoettekstChar"/>
    <w:uiPriority w:val="99"/>
    <w:unhideWhenUsed/>
    <w:rsid w:val="00DE4E9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E4E9F"/>
  </w:style>
  <w:style w:type="character" w:customStyle="1" w:styleId="Kop2Char">
    <w:name w:val="Kop 2 Char"/>
    <w:basedOn w:val="Standaardalinea-lettertype"/>
    <w:link w:val="Kop2"/>
    <w:uiPriority w:val="9"/>
    <w:rsid w:val="00655186"/>
    <w:rPr>
      <w:b/>
      <w:sz w:val="24"/>
      <w:szCs w:val="24"/>
      <w:lang w:val="en-GB"/>
    </w:rPr>
  </w:style>
  <w:style w:type="character" w:customStyle="1" w:styleId="Kop3Char">
    <w:name w:val="Kop 3 Char"/>
    <w:basedOn w:val="Standaardalinea-lettertype"/>
    <w:link w:val="Kop3"/>
    <w:uiPriority w:val="9"/>
    <w:rsid w:val="00C514CA"/>
    <w:rPr>
      <w:b/>
      <w:lang w:val="en-US"/>
    </w:rPr>
  </w:style>
  <w:style w:type="paragraph" w:styleId="Kopvaninhoudsopgave">
    <w:name w:val="TOC Heading"/>
    <w:basedOn w:val="Kop1"/>
    <w:next w:val="Standaard"/>
    <w:uiPriority w:val="39"/>
    <w:unhideWhenUsed/>
    <w:qFormat/>
    <w:rsid w:val="004B151A"/>
    <w:pPr>
      <w:keepNext/>
      <w:keepLines/>
      <w:spacing w:before="480" w:after="0"/>
      <w:outlineLvl w:val="9"/>
    </w:pPr>
    <w:rPr>
      <w:rFonts w:asciiTheme="majorHAnsi" w:eastAsiaTheme="majorEastAsia" w:hAnsiTheme="majorHAnsi" w:cstheme="majorBidi"/>
      <w:bCs/>
      <w:color w:val="365F91" w:themeColor="accent1" w:themeShade="BF"/>
      <w:sz w:val="28"/>
      <w:szCs w:val="28"/>
      <w:lang w:val="nl-NL"/>
    </w:rPr>
  </w:style>
  <w:style w:type="paragraph" w:styleId="Inhopg1">
    <w:name w:val="toc 1"/>
    <w:basedOn w:val="Standaard"/>
    <w:next w:val="Standaard"/>
    <w:autoRedefine/>
    <w:uiPriority w:val="39"/>
    <w:unhideWhenUsed/>
    <w:rsid w:val="004B151A"/>
    <w:pPr>
      <w:spacing w:after="100"/>
    </w:pPr>
  </w:style>
  <w:style w:type="paragraph" w:styleId="Inhopg2">
    <w:name w:val="toc 2"/>
    <w:basedOn w:val="Standaard"/>
    <w:next w:val="Standaard"/>
    <w:autoRedefine/>
    <w:uiPriority w:val="39"/>
    <w:unhideWhenUsed/>
    <w:rsid w:val="004B151A"/>
    <w:pPr>
      <w:spacing w:after="100"/>
      <w:ind w:left="220"/>
    </w:pPr>
  </w:style>
  <w:style w:type="paragraph" w:styleId="Inhopg3">
    <w:name w:val="toc 3"/>
    <w:basedOn w:val="Standaard"/>
    <w:next w:val="Standaard"/>
    <w:autoRedefine/>
    <w:uiPriority w:val="39"/>
    <w:unhideWhenUsed/>
    <w:rsid w:val="004B151A"/>
    <w:pPr>
      <w:spacing w:after="100"/>
      <w:ind w:left="440"/>
    </w:pPr>
  </w:style>
  <w:style w:type="character" w:styleId="Verwijzingopmerking">
    <w:name w:val="annotation reference"/>
    <w:basedOn w:val="Standaardalinea-lettertype"/>
    <w:uiPriority w:val="99"/>
    <w:semiHidden/>
    <w:unhideWhenUsed/>
    <w:rsid w:val="007F2E73"/>
    <w:rPr>
      <w:sz w:val="16"/>
      <w:szCs w:val="16"/>
    </w:rPr>
  </w:style>
  <w:style w:type="paragraph" w:styleId="Tekstopmerking">
    <w:name w:val="annotation text"/>
    <w:basedOn w:val="Standaard"/>
    <w:link w:val="TekstopmerkingChar"/>
    <w:uiPriority w:val="99"/>
    <w:semiHidden/>
    <w:unhideWhenUsed/>
    <w:rsid w:val="007F2E7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F2E73"/>
    <w:rPr>
      <w:sz w:val="20"/>
      <w:szCs w:val="20"/>
    </w:rPr>
  </w:style>
  <w:style w:type="paragraph" w:styleId="Onderwerpvanopmerking">
    <w:name w:val="annotation subject"/>
    <w:basedOn w:val="Tekstopmerking"/>
    <w:next w:val="Tekstopmerking"/>
    <w:link w:val="OnderwerpvanopmerkingChar"/>
    <w:uiPriority w:val="99"/>
    <w:semiHidden/>
    <w:unhideWhenUsed/>
    <w:rsid w:val="007F2E73"/>
    <w:rPr>
      <w:b/>
      <w:bCs/>
    </w:rPr>
  </w:style>
  <w:style w:type="character" w:customStyle="1" w:styleId="OnderwerpvanopmerkingChar">
    <w:name w:val="Onderwerp van opmerking Char"/>
    <w:basedOn w:val="TekstopmerkingChar"/>
    <w:link w:val="Onderwerpvanopmerking"/>
    <w:uiPriority w:val="99"/>
    <w:semiHidden/>
    <w:rsid w:val="007F2E73"/>
    <w:rPr>
      <w:b/>
      <w:bCs/>
      <w:sz w:val="20"/>
      <w:szCs w:val="20"/>
    </w:rPr>
  </w:style>
  <w:style w:type="paragraph" w:styleId="Voetnoottekst">
    <w:name w:val="footnote text"/>
    <w:basedOn w:val="Standaard"/>
    <w:link w:val="VoetnoottekstChar"/>
    <w:uiPriority w:val="99"/>
    <w:semiHidden/>
    <w:unhideWhenUsed/>
    <w:rsid w:val="007F2E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2E73"/>
    <w:rPr>
      <w:sz w:val="20"/>
      <w:szCs w:val="20"/>
    </w:rPr>
  </w:style>
  <w:style w:type="character" w:styleId="Voetnootmarkering">
    <w:name w:val="footnote reference"/>
    <w:basedOn w:val="Standaardalinea-lettertype"/>
    <w:uiPriority w:val="99"/>
    <w:semiHidden/>
    <w:unhideWhenUsed/>
    <w:rsid w:val="007F2E73"/>
    <w:rPr>
      <w:vertAlign w:val="superscript"/>
    </w:rPr>
  </w:style>
</w:styles>
</file>

<file path=word/webSettings.xml><?xml version="1.0" encoding="utf-8"?>
<w:webSettings xmlns:r="http://schemas.openxmlformats.org/officeDocument/2006/relationships" xmlns:w="http://schemas.openxmlformats.org/wordprocessingml/2006/main">
  <w:divs>
    <w:div w:id="136461927">
      <w:bodyDiv w:val="1"/>
      <w:marLeft w:val="0"/>
      <w:marRight w:val="0"/>
      <w:marTop w:val="0"/>
      <w:marBottom w:val="0"/>
      <w:divBdr>
        <w:top w:val="none" w:sz="0" w:space="0" w:color="auto"/>
        <w:left w:val="none" w:sz="0" w:space="0" w:color="auto"/>
        <w:bottom w:val="none" w:sz="0" w:space="0" w:color="auto"/>
        <w:right w:val="none" w:sz="0" w:space="0" w:color="auto"/>
      </w:divBdr>
    </w:div>
    <w:div w:id="220677634">
      <w:bodyDiv w:val="1"/>
      <w:marLeft w:val="0"/>
      <w:marRight w:val="0"/>
      <w:marTop w:val="0"/>
      <w:marBottom w:val="0"/>
      <w:divBdr>
        <w:top w:val="none" w:sz="0" w:space="0" w:color="auto"/>
        <w:left w:val="none" w:sz="0" w:space="0" w:color="auto"/>
        <w:bottom w:val="none" w:sz="0" w:space="0" w:color="auto"/>
        <w:right w:val="none" w:sz="0" w:space="0" w:color="auto"/>
      </w:divBdr>
    </w:div>
    <w:div w:id="319044855">
      <w:bodyDiv w:val="1"/>
      <w:marLeft w:val="0"/>
      <w:marRight w:val="0"/>
      <w:marTop w:val="0"/>
      <w:marBottom w:val="0"/>
      <w:divBdr>
        <w:top w:val="none" w:sz="0" w:space="0" w:color="auto"/>
        <w:left w:val="none" w:sz="0" w:space="0" w:color="auto"/>
        <w:bottom w:val="none" w:sz="0" w:space="0" w:color="auto"/>
        <w:right w:val="none" w:sz="0" w:space="0" w:color="auto"/>
      </w:divBdr>
    </w:div>
    <w:div w:id="561520450">
      <w:bodyDiv w:val="1"/>
      <w:marLeft w:val="0"/>
      <w:marRight w:val="0"/>
      <w:marTop w:val="0"/>
      <w:marBottom w:val="0"/>
      <w:divBdr>
        <w:top w:val="none" w:sz="0" w:space="0" w:color="auto"/>
        <w:left w:val="none" w:sz="0" w:space="0" w:color="auto"/>
        <w:bottom w:val="none" w:sz="0" w:space="0" w:color="auto"/>
        <w:right w:val="none" w:sz="0" w:space="0" w:color="auto"/>
      </w:divBdr>
    </w:div>
    <w:div w:id="717778322">
      <w:bodyDiv w:val="1"/>
      <w:marLeft w:val="0"/>
      <w:marRight w:val="0"/>
      <w:marTop w:val="0"/>
      <w:marBottom w:val="0"/>
      <w:divBdr>
        <w:top w:val="none" w:sz="0" w:space="0" w:color="auto"/>
        <w:left w:val="none" w:sz="0" w:space="0" w:color="auto"/>
        <w:bottom w:val="none" w:sz="0" w:space="0" w:color="auto"/>
        <w:right w:val="none" w:sz="0" w:space="0" w:color="auto"/>
      </w:divBdr>
    </w:div>
    <w:div w:id="1120690146">
      <w:bodyDiv w:val="1"/>
      <w:marLeft w:val="0"/>
      <w:marRight w:val="0"/>
      <w:marTop w:val="0"/>
      <w:marBottom w:val="0"/>
      <w:divBdr>
        <w:top w:val="none" w:sz="0" w:space="0" w:color="auto"/>
        <w:left w:val="none" w:sz="0" w:space="0" w:color="auto"/>
        <w:bottom w:val="none" w:sz="0" w:space="0" w:color="auto"/>
        <w:right w:val="none" w:sz="0" w:space="0" w:color="auto"/>
      </w:divBdr>
    </w:div>
    <w:div w:id="1811900005">
      <w:bodyDiv w:val="1"/>
      <w:marLeft w:val="0"/>
      <w:marRight w:val="0"/>
      <w:marTop w:val="0"/>
      <w:marBottom w:val="0"/>
      <w:divBdr>
        <w:top w:val="none" w:sz="0" w:space="0" w:color="auto"/>
        <w:left w:val="none" w:sz="0" w:space="0" w:color="auto"/>
        <w:bottom w:val="none" w:sz="0" w:space="0" w:color="auto"/>
        <w:right w:val="none" w:sz="0" w:space="0" w:color="auto"/>
      </w:divBdr>
    </w:div>
    <w:div w:id="19023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image" Target="media/image4.emf"/><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diagramDrawing" Target="diagrams/drawing1.xml"/><Relationship Id="rId22" Type="http://schemas.openxmlformats.org/officeDocument/2006/relationships/image" Target="media/image3.emf"/><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D:\Data\dataset\Complete%20dataset%20Audit+Compustat%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dataset\Complete%20dataset%20Audit+Compustat%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400"/>
            </a:pPr>
            <a:r>
              <a:rPr lang="en-US" sz="1400"/>
              <a:t>Yearly trend</a:t>
            </a:r>
            <a:r>
              <a:rPr lang="en-US" sz="1400" baseline="0"/>
              <a:t> of disclosed IT related material weaknesses</a:t>
            </a:r>
            <a:endParaRPr lang="en-US" sz="1400"/>
          </a:p>
        </c:rich>
      </c:tx>
    </c:title>
    <c:plotArea>
      <c:layout>
        <c:manualLayout>
          <c:layoutTarget val="inner"/>
          <c:xMode val="edge"/>
          <c:yMode val="edge"/>
          <c:x val="0.18717270992707283"/>
          <c:y val="0.22201446693862356"/>
          <c:w val="0.55007920968734003"/>
          <c:h val="0.60005137655665375"/>
        </c:manualLayout>
      </c:layout>
      <c:lineChart>
        <c:grouping val="standard"/>
        <c:ser>
          <c:idx val="0"/>
          <c:order val="0"/>
          <c:tx>
            <c:strRef>
              <c:f>'Table year trend'!$B$12</c:f>
              <c:strCache>
                <c:ptCount val="1"/>
                <c:pt idx="0">
                  <c:v>% ITMW firms</c:v>
                </c:pt>
              </c:strCache>
            </c:strRef>
          </c:tx>
          <c:cat>
            <c:numRef>
              <c:f>'Table year trend'!$A$13:$A$20</c:f>
              <c:numCache>
                <c:formatCode>Standaard</c:formatCode>
                <c:ptCount val="8"/>
                <c:pt idx="0">
                  <c:v>2004</c:v>
                </c:pt>
                <c:pt idx="1">
                  <c:v>2005</c:v>
                </c:pt>
                <c:pt idx="2">
                  <c:v>2006</c:v>
                </c:pt>
                <c:pt idx="3">
                  <c:v>2007</c:v>
                </c:pt>
                <c:pt idx="4">
                  <c:v>2008</c:v>
                </c:pt>
                <c:pt idx="5">
                  <c:v>2009</c:v>
                </c:pt>
                <c:pt idx="6">
                  <c:v>2010</c:v>
                </c:pt>
                <c:pt idx="7">
                  <c:v>2011</c:v>
                </c:pt>
              </c:numCache>
            </c:numRef>
          </c:cat>
          <c:val>
            <c:numRef>
              <c:f>'Table year trend'!$B$13:$B$20</c:f>
              <c:numCache>
                <c:formatCode>#.000%</c:formatCode>
                <c:ptCount val="8"/>
                <c:pt idx="0">
                  <c:v>3.2085561497326373E-2</c:v>
                </c:pt>
                <c:pt idx="1">
                  <c:v>2.2700119474313281E-2</c:v>
                </c:pt>
                <c:pt idx="2">
                  <c:v>1.9953952417498085E-2</c:v>
                </c:pt>
                <c:pt idx="3">
                  <c:v>2.5113293051359592E-2</c:v>
                </c:pt>
                <c:pt idx="4">
                  <c:v>1.7066023099465696E-2</c:v>
                </c:pt>
                <c:pt idx="5">
                  <c:v>1.4636608344549126E-2</c:v>
                </c:pt>
                <c:pt idx="6">
                  <c:v>1.0768477728830222E-2</c:v>
                </c:pt>
                <c:pt idx="7">
                  <c:v>1.0433531210649405E-2</c:v>
                </c:pt>
              </c:numCache>
            </c:numRef>
          </c:val>
        </c:ser>
        <c:ser>
          <c:idx val="1"/>
          <c:order val="1"/>
          <c:tx>
            <c:strRef>
              <c:f>'Table year trend'!$C$12</c:f>
              <c:strCache>
                <c:ptCount val="1"/>
                <c:pt idx="0">
                  <c:v>% Non ITMW firms</c:v>
                </c:pt>
              </c:strCache>
            </c:strRef>
          </c:tx>
          <c:cat>
            <c:numRef>
              <c:f>'Table year trend'!$A$13:$A$20</c:f>
              <c:numCache>
                <c:formatCode>Standaard</c:formatCode>
                <c:ptCount val="8"/>
                <c:pt idx="0">
                  <c:v>2004</c:v>
                </c:pt>
                <c:pt idx="1">
                  <c:v>2005</c:v>
                </c:pt>
                <c:pt idx="2">
                  <c:v>2006</c:v>
                </c:pt>
                <c:pt idx="3">
                  <c:v>2007</c:v>
                </c:pt>
                <c:pt idx="4">
                  <c:v>2008</c:v>
                </c:pt>
                <c:pt idx="5">
                  <c:v>2009</c:v>
                </c:pt>
                <c:pt idx="6">
                  <c:v>2010</c:v>
                </c:pt>
                <c:pt idx="7">
                  <c:v>2011</c:v>
                </c:pt>
              </c:numCache>
            </c:numRef>
          </c:cat>
          <c:val>
            <c:numRef>
              <c:f>'Table year trend'!$C$13:$C$20</c:f>
              <c:numCache>
                <c:formatCode>#.000%</c:formatCode>
                <c:ptCount val="8"/>
                <c:pt idx="0">
                  <c:v>0.12254901960784267</c:v>
                </c:pt>
                <c:pt idx="1">
                  <c:v>0.10274790919952168</c:v>
                </c:pt>
                <c:pt idx="2">
                  <c:v>7.8536710156050182E-2</c:v>
                </c:pt>
                <c:pt idx="3">
                  <c:v>6.7220543806646521E-2</c:v>
                </c:pt>
                <c:pt idx="4">
                  <c:v>6.2920186174797443E-2</c:v>
                </c:pt>
                <c:pt idx="5">
                  <c:v>5.7873485868102433E-2</c:v>
                </c:pt>
                <c:pt idx="6">
                  <c:v>6.2652961331375434E-2</c:v>
                </c:pt>
                <c:pt idx="7">
                  <c:v>6.7278287461773695E-2</c:v>
                </c:pt>
              </c:numCache>
            </c:numRef>
          </c:val>
        </c:ser>
        <c:marker val="1"/>
        <c:axId val="155626496"/>
        <c:axId val="155669632"/>
      </c:lineChart>
      <c:catAx>
        <c:axId val="155626496"/>
        <c:scaling>
          <c:orientation val="minMax"/>
        </c:scaling>
        <c:axPos val="b"/>
        <c:minorGridlines/>
        <c:title>
          <c:tx>
            <c:rich>
              <a:bodyPr/>
              <a:lstStyle/>
              <a:p>
                <a:pPr>
                  <a:defRPr/>
                </a:pPr>
                <a:r>
                  <a:rPr lang="en-US"/>
                  <a:t>Year</a:t>
                </a:r>
              </a:p>
            </c:rich>
          </c:tx>
        </c:title>
        <c:numFmt formatCode="Standaard" sourceLinked="1"/>
        <c:majorTickMark val="none"/>
        <c:tickLblPos val="nextTo"/>
        <c:crossAx val="155669632"/>
        <c:crosses val="autoZero"/>
        <c:auto val="1"/>
        <c:lblAlgn val="ctr"/>
        <c:lblOffset val="100"/>
      </c:catAx>
      <c:valAx>
        <c:axId val="155669632"/>
        <c:scaling>
          <c:orientation val="minMax"/>
        </c:scaling>
        <c:axPos val="l"/>
        <c:majorGridlines/>
        <c:title>
          <c:tx>
            <c:rich>
              <a:bodyPr rot="-5400000" vert="horz"/>
              <a:lstStyle/>
              <a:p>
                <a:pPr>
                  <a:defRPr sz="800"/>
                </a:pPr>
                <a:r>
                  <a:rPr lang="en-US" sz="800"/>
                  <a:t>Percentage of (non-) ITMW relative to total number</a:t>
                </a:r>
                <a:r>
                  <a:rPr lang="en-US" sz="800" baseline="0"/>
                  <a:t> of firms</a:t>
                </a:r>
                <a:endParaRPr lang="en-US" sz="800"/>
              </a:p>
            </c:rich>
          </c:tx>
          <c:layout>
            <c:manualLayout>
              <c:xMode val="edge"/>
              <c:yMode val="edge"/>
              <c:x val="1.9187191365436545E-2"/>
              <c:y val="0.17145167590991567"/>
            </c:manualLayout>
          </c:layout>
        </c:title>
        <c:numFmt formatCode="#.000%" sourceLinked="1"/>
        <c:majorTickMark val="none"/>
        <c:tickLblPos val="nextTo"/>
        <c:crossAx val="155626496"/>
        <c:crosses val="autoZero"/>
        <c:crossBetween val="between"/>
      </c:valAx>
    </c:plotArea>
    <c:legend>
      <c:legendPos val="r"/>
      <c:layout>
        <c:manualLayout>
          <c:xMode val="edge"/>
          <c:yMode val="edge"/>
          <c:x val="0.74601063954662183"/>
          <c:y val="0.23915813154934623"/>
          <c:w val="0.25398936045337805"/>
          <c:h val="0.17099681688725132"/>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400"/>
              <a:t>Percentage of IT related material weaknesses</a:t>
            </a:r>
            <a:r>
              <a:rPr lang="en-US" sz="1400" baseline="0"/>
              <a:t> relative tota</a:t>
            </a:r>
            <a:r>
              <a:rPr lang="en-US" sz="1400"/>
              <a:t>l MW firms</a:t>
            </a:r>
          </a:p>
        </c:rich>
      </c:tx>
    </c:title>
    <c:plotArea>
      <c:layout>
        <c:manualLayout>
          <c:layoutTarget val="inner"/>
          <c:xMode val="edge"/>
          <c:yMode val="edge"/>
          <c:x val="0.18177022147723537"/>
          <c:y val="0.23393489606902637"/>
          <c:w val="0.56769935064020594"/>
          <c:h val="0.6213156397408367"/>
        </c:manualLayout>
      </c:layout>
      <c:lineChart>
        <c:grouping val="standard"/>
        <c:ser>
          <c:idx val="0"/>
          <c:order val="0"/>
          <c:tx>
            <c:strRef>
              <c:f>'Table year trend'!$D$12</c:f>
              <c:strCache>
                <c:ptCount val="1"/>
                <c:pt idx="0">
                  <c:v>% ITMW/ total MW</c:v>
                </c:pt>
              </c:strCache>
            </c:strRef>
          </c:tx>
          <c:cat>
            <c:numRef>
              <c:f>'Table year trend'!$A$13:$A$20</c:f>
              <c:numCache>
                <c:formatCode>Standaard</c:formatCode>
                <c:ptCount val="8"/>
                <c:pt idx="0">
                  <c:v>2004</c:v>
                </c:pt>
                <c:pt idx="1">
                  <c:v>2005</c:v>
                </c:pt>
                <c:pt idx="2">
                  <c:v>2006</c:v>
                </c:pt>
                <c:pt idx="3">
                  <c:v>2007</c:v>
                </c:pt>
                <c:pt idx="4">
                  <c:v>2008</c:v>
                </c:pt>
                <c:pt idx="5">
                  <c:v>2009</c:v>
                </c:pt>
                <c:pt idx="6">
                  <c:v>2010</c:v>
                </c:pt>
                <c:pt idx="7">
                  <c:v>2011</c:v>
                </c:pt>
              </c:numCache>
            </c:numRef>
          </c:cat>
          <c:val>
            <c:numRef>
              <c:f>'Table year trend'!$D$13:$D$20</c:f>
              <c:numCache>
                <c:formatCode>#.000%</c:formatCode>
                <c:ptCount val="8"/>
                <c:pt idx="0">
                  <c:v>0.20749279538904924</c:v>
                </c:pt>
                <c:pt idx="1">
                  <c:v>0.18095238095238236</c:v>
                </c:pt>
                <c:pt idx="2">
                  <c:v>0.20259740259740464</c:v>
                </c:pt>
                <c:pt idx="3">
                  <c:v>0.27198364008179959</c:v>
                </c:pt>
                <c:pt idx="4">
                  <c:v>0.21336206896551718</c:v>
                </c:pt>
                <c:pt idx="5">
                  <c:v>0.20185614849187941</c:v>
                </c:pt>
                <c:pt idx="6">
                  <c:v>0.1466666666666667</c:v>
                </c:pt>
                <c:pt idx="7">
                  <c:v>0.13425925925925927</c:v>
                </c:pt>
              </c:numCache>
            </c:numRef>
          </c:val>
        </c:ser>
        <c:marker val="1"/>
        <c:axId val="155694592"/>
        <c:axId val="155696512"/>
      </c:lineChart>
      <c:catAx>
        <c:axId val="155694592"/>
        <c:scaling>
          <c:orientation val="minMax"/>
        </c:scaling>
        <c:axPos val="b"/>
        <c:minorGridlines/>
        <c:title>
          <c:tx>
            <c:rich>
              <a:bodyPr/>
              <a:lstStyle/>
              <a:p>
                <a:pPr>
                  <a:defRPr/>
                </a:pPr>
                <a:r>
                  <a:rPr lang="en-US"/>
                  <a:t>Year</a:t>
                </a:r>
              </a:p>
            </c:rich>
          </c:tx>
        </c:title>
        <c:numFmt formatCode="Standaard" sourceLinked="1"/>
        <c:majorTickMark val="none"/>
        <c:tickLblPos val="nextTo"/>
        <c:crossAx val="155696512"/>
        <c:crosses val="autoZero"/>
        <c:auto val="1"/>
        <c:lblAlgn val="ctr"/>
        <c:lblOffset val="100"/>
      </c:catAx>
      <c:valAx>
        <c:axId val="155696512"/>
        <c:scaling>
          <c:orientation val="minMax"/>
        </c:scaling>
        <c:axPos val="l"/>
        <c:majorGridlines/>
        <c:title>
          <c:tx>
            <c:rich>
              <a:bodyPr rot="-5400000" vert="horz"/>
              <a:lstStyle/>
              <a:p>
                <a:pPr>
                  <a:defRPr sz="800"/>
                </a:pPr>
                <a:r>
                  <a:rPr lang="en-US" sz="800"/>
                  <a:t>Percentage</a:t>
                </a:r>
                <a:r>
                  <a:rPr lang="en-US" sz="800" baseline="0"/>
                  <a:t> of ITMW/ total MW frims</a:t>
                </a:r>
                <a:endParaRPr lang="en-US" sz="800"/>
              </a:p>
            </c:rich>
          </c:tx>
        </c:title>
        <c:numFmt formatCode="#.000%" sourceLinked="1"/>
        <c:majorTickMark val="none"/>
        <c:tickLblPos val="nextTo"/>
        <c:crossAx val="155694592"/>
        <c:crosses val="autoZero"/>
        <c:crossBetween val="between"/>
      </c:valAx>
    </c:plotArea>
    <c:legend>
      <c:legendPos val="r"/>
      <c:layout>
        <c:manualLayout>
          <c:xMode val="edge"/>
          <c:yMode val="edge"/>
          <c:x val="0.74961831917700861"/>
          <c:y val="0.23077106620413707"/>
          <c:w val="0.24800229130571574"/>
          <c:h val="0.13639080080024971"/>
        </c:manualLayout>
      </c:layout>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9B32D8-94E1-4BB5-B15C-2E95CEF2CCF1}" type="doc">
      <dgm:prSet loTypeId="urn:microsoft.com/office/officeart/2005/8/layout/cycle7" loCatId="cycle" qsTypeId="urn:microsoft.com/office/officeart/2005/8/quickstyle/simple4" qsCatId="simple" csTypeId="urn:microsoft.com/office/officeart/2005/8/colors/accent1_2" csCatId="accent1" phldr="1"/>
      <dgm:spPr/>
      <dgm:t>
        <a:bodyPr/>
        <a:lstStyle/>
        <a:p>
          <a:endParaRPr lang="nl-NL"/>
        </a:p>
      </dgm:t>
    </dgm:pt>
    <dgm:pt modelId="{EA699123-D73D-4A91-9822-8B32D1EBC1FE}">
      <dgm:prSet phldrT="[Tekst]" custT="1"/>
      <dgm:spPr>
        <a:xfrm>
          <a:off x="121843" y="185226"/>
          <a:ext cx="1925152" cy="96427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nl-NL" sz="900">
              <a:solidFill>
                <a:sysClr val="window" lastClr="FFFFFF"/>
              </a:solidFill>
              <a:latin typeface="Calibri"/>
              <a:ea typeface="+mn-ea"/>
              <a:cs typeface="+mn-cs"/>
            </a:rPr>
            <a:t>Independent variable</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 X conceptual </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Industry Differences</a:t>
          </a:r>
        </a:p>
      </dgm:t>
    </dgm:pt>
    <dgm:pt modelId="{9F184641-A458-4758-BECC-A10395F9D5F7}" type="parTrans" cxnId="{38D9F0EB-B900-4F88-8CBC-9AD4D991F471}">
      <dgm:prSet/>
      <dgm:spPr/>
      <dgm:t>
        <a:bodyPr/>
        <a:lstStyle/>
        <a:p>
          <a:endParaRPr lang="nl-NL"/>
        </a:p>
      </dgm:t>
    </dgm:pt>
    <dgm:pt modelId="{47F6E5F8-F843-45DE-8BCD-DEBF9E99BE61}" type="sibTrans" cxnId="{38D9F0EB-B900-4F88-8CBC-9AD4D991F471}">
      <dgm:prSet/>
      <dgm:spPr>
        <a:xfrm rot="3183">
          <a:off x="2144854" y="586773"/>
          <a:ext cx="216107" cy="163340"/>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nl-NL">
            <a:solidFill>
              <a:sysClr val="window" lastClr="FFFFFF"/>
            </a:solidFill>
            <a:latin typeface="Calibri"/>
            <a:ea typeface="+mn-ea"/>
            <a:cs typeface="+mn-cs"/>
          </a:endParaRPr>
        </a:p>
      </dgm:t>
    </dgm:pt>
    <dgm:pt modelId="{1A22A138-E04D-4300-93E6-99173957242B}">
      <dgm:prSet phldrT="[Tekst]" custT="1"/>
      <dgm:spPr>
        <a:xfrm>
          <a:off x="2458822" y="187390"/>
          <a:ext cx="1925152" cy="96427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nl-NL" sz="900">
              <a:solidFill>
                <a:sysClr val="window" lastClr="FFFFFF"/>
              </a:solidFill>
              <a:latin typeface="Calibri"/>
              <a:ea typeface="+mn-ea"/>
              <a:cs typeface="+mn-cs"/>
            </a:rPr>
            <a:t>Dependent variable</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Y conceptual</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IT control quality</a:t>
          </a:r>
        </a:p>
      </dgm:t>
    </dgm:pt>
    <dgm:pt modelId="{69BF97AC-2A47-436F-A784-6CDFAB8713A5}" type="parTrans" cxnId="{431F46C0-1BA9-49FE-BC8E-21C8CBF425C0}">
      <dgm:prSet/>
      <dgm:spPr/>
      <dgm:t>
        <a:bodyPr/>
        <a:lstStyle/>
        <a:p>
          <a:endParaRPr lang="nl-NL"/>
        </a:p>
      </dgm:t>
    </dgm:pt>
    <dgm:pt modelId="{95D6336A-7BE3-4622-84B3-0916B7E4B23C}" type="sibTrans" cxnId="{431F46C0-1BA9-49FE-BC8E-21C8CBF425C0}">
      <dgm:prSet/>
      <dgm:spPr>
        <a:xfrm rot="5353827">
          <a:off x="3321634" y="1205045"/>
          <a:ext cx="216107" cy="163340"/>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nl-NL">
            <a:solidFill>
              <a:sysClr val="window" lastClr="FFFFFF"/>
            </a:solidFill>
            <a:latin typeface="Calibri"/>
            <a:ea typeface="+mn-ea"/>
            <a:cs typeface="+mn-cs"/>
          </a:endParaRPr>
        </a:p>
      </dgm:t>
    </dgm:pt>
    <dgm:pt modelId="{ADB937ED-06ED-4918-8624-B226A6B97135}">
      <dgm:prSet phldrT="[Tekst]" custT="1"/>
      <dgm:spPr>
        <a:xfrm>
          <a:off x="2475402" y="1421771"/>
          <a:ext cx="1925152" cy="96427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nl-NL" sz="900">
              <a:solidFill>
                <a:sysClr val="window" lastClr="FFFFFF"/>
              </a:solidFill>
              <a:latin typeface="Calibri"/>
              <a:ea typeface="+mn-ea"/>
              <a:cs typeface="+mn-cs"/>
            </a:rPr>
            <a:t>Y operational</a:t>
          </a:r>
        </a:p>
        <a:p>
          <a:r>
            <a:rPr lang="nl-NL" sz="900">
              <a:solidFill>
                <a:sysClr val="window" lastClr="FFFFFF"/>
              </a:solidFill>
              <a:latin typeface="Calibri"/>
              <a:ea typeface="+mn-ea"/>
              <a:cs typeface="+mn-cs"/>
            </a:rPr>
            <a:t>IT control weaknesses disclosed </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under SOX Section 404</a:t>
          </a:r>
        </a:p>
      </dgm:t>
    </dgm:pt>
    <dgm:pt modelId="{A4441538-8310-4133-81E1-0076E628666F}" type="parTrans" cxnId="{A2856022-0D62-46C0-87DA-62D7B5091A07}">
      <dgm:prSet/>
      <dgm:spPr/>
      <dgm:t>
        <a:bodyPr/>
        <a:lstStyle/>
        <a:p>
          <a:endParaRPr lang="nl-NL"/>
        </a:p>
      </dgm:t>
    </dgm:pt>
    <dgm:pt modelId="{756E32A7-D0BF-43AF-9385-85C60BC7E08A}" type="sibTrans" cxnId="{A2856022-0D62-46C0-87DA-62D7B5091A07}">
      <dgm:prSet/>
      <dgm:spPr>
        <a:xfrm rot="21268044">
          <a:off x="4587774" y="1700396"/>
          <a:ext cx="216107" cy="163340"/>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nl-NL">
            <a:solidFill>
              <a:sysClr val="window" lastClr="FFFFFF"/>
            </a:solidFill>
            <a:latin typeface="Calibri"/>
            <a:ea typeface="+mn-ea"/>
            <a:cs typeface="+mn-cs"/>
          </a:endParaRPr>
        </a:p>
      </dgm:t>
    </dgm:pt>
    <dgm:pt modelId="{52EC7E7F-4F2D-40CF-8663-A5227A42AEBF}">
      <dgm:prSet phldrT="[Tekst]" custT="1"/>
      <dgm:spPr>
        <a:xfrm>
          <a:off x="103205" y="1439059"/>
          <a:ext cx="1925152" cy="96427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nl-NL" sz="900">
              <a:solidFill>
                <a:sysClr val="window" lastClr="FFFFFF"/>
              </a:solidFill>
              <a:latin typeface="Calibri"/>
              <a:ea typeface="+mn-ea"/>
              <a:cs typeface="+mn-cs"/>
            </a:rPr>
            <a:t>X operational</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A) Complex/non-complex fin. reporting industry </a:t>
          </a:r>
        </a:p>
        <a:p>
          <a:r>
            <a:rPr lang="nl-NL" sz="900">
              <a:solidFill>
                <a:sysClr val="window" lastClr="FFFFFF"/>
              </a:solidFill>
              <a:latin typeface="Calibri"/>
              <a:ea typeface="+mn-ea"/>
              <a:cs typeface="+mn-cs"/>
            </a:rPr>
            <a:t>B) Competitive/ non-competitive industry</a:t>
          </a:r>
        </a:p>
      </dgm:t>
    </dgm:pt>
    <dgm:pt modelId="{4FEEE00B-0475-433C-9DA2-0CB6A723A855}" type="parTrans" cxnId="{40353A4F-F9A9-4EED-82A7-011246787029}">
      <dgm:prSet/>
      <dgm:spPr/>
      <dgm:t>
        <a:bodyPr/>
        <a:lstStyle/>
        <a:p>
          <a:endParaRPr lang="nl-NL"/>
        </a:p>
      </dgm:t>
    </dgm:pt>
    <dgm:pt modelId="{C1A3DFD8-2641-404D-9D96-D40C4C4E4FAF}" type="sibTrans" cxnId="{40353A4F-F9A9-4EED-82A7-011246787029}">
      <dgm:prSet/>
      <dgm:spPr>
        <a:xfrm rot="16251095">
          <a:off x="967046" y="1212607"/>
          <a:ext cx="216107" cy="163340"/>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nl-NL">
            <a:solidFill>
              <a:sysClr val="window" lastClr="FFFFFF"/>
            </a:solidFill>
            <a:latin typeface="Calibri"/>
            <a:ea typeface="+mn-ea"/>
            <a:cs typeface="+mn-cs"/>
          </a:endParaRPr>
        </a:p>
      </dgm:t>
    </dgm:pt>
    <dgm:pt modelId="{2AF750F3-4AA4-4288-B6A5-E4B21EB55D79}">
      <dgm:prSet custT="1"/>
      <dgm:spPr>
        <a:xfrm>
          <a:off x="4991101" y="1103892"/>
          <a:ext cx="1055563" cy="119690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nl-NL" sz="900">
              <a:solidFill>
                <a:sysClr val="window" lastClr="FFFFFF"/>
              </a:solidFill>
              <a:latin typeface="Calibri"/>
              <a:ea typeface="+mn-ea"/>
              <a:cs typeface="+mn-cs"/>
            </a:rPr>
            <a:t>Control variables:</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Firm size</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Firm age</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Leverage</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Return on Assets</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Number of segments</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Foreign transactions</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Big 4 audited</a:t>
          </a:r>
          <a:br>
            <a:rPr lang="nl-NL" sz="900">
              <a:solidFill>
                <a:sysClr val="window" lastClr="FFFFFF"/>
              </a:solidFill>
              <a:latin typeface="Calibri"/>
              <a:ea typeface="+mn-ea"/>
              <a:cs typeface="+mn-cs"/>
            </a:rPr>
          </a:br>
          <a:endParaRPr lang="nl-NL" sz="900">
            <a:solidFill>
              <a:sysClr val="window" lastClr="FFFFFF"/>
            </a:solidFill>
            <a:latin typeface="Calibri"/>
            <a:ea typeface="+mn-ea"/>
            <a:cs typeface="+mn-cs"/>
          </a:endParaRPr>
        </a:p>
      </dgm:t>
    </dgm:pt>
    <dgm:pt modelId="{5CEDB754-CA0F-44C0-B753-303A94256818}" type="parTrans" cxnId="{C6E76BCC-0C7F-473B-841B-649633F411AA}">
      <dgm:prSet/>
      <dgm:spPr/>
      <dgm:t>
        <a:bodyPr/>
        <a:lstStyle/>
        <a:p>
          <a:endParaRPr lang="nl-NL"/>
        </a:p>
      </dgm:t>
    </dgm:pt>
    <dgm:pt modelId="{09591802-6D3A-45E0-8CC5-162793B23C98}" type="sibTrans" cxnId="{C6E76BCC-0C7F-473B-841B-649633F411AA}">
      <dgm:prSet/>
      <dgm:spPr>
        <a:xfrm rot="10659632">
          <a:off x="2112735" y="1755517"/>
          <a:ext cx="216107" cy="163340"/>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nl-NL">
            <a:solidFill>
              <a:sysClr val="window" lastClr="FFFFFF"/>
            </a:solidFill>
            <a:latin typeface="Calibri"/>
            <a:ea typeface="+mn-ea"/>
            <a:cs typeface="+mn-cs"/>
          </a:endParaRPr>
        </a:p>
      </dgm:t>
    </dgm:pt>
    <dgm:pt modelId="{5987E658-BCD8-4799-AE73-AC2AA9231703}" type="pres">
      <dgm:prSet presAssocID="{B39B32D8-94E1-4BB5-B15C-2E95CEF2CCF1}" presName="Name0" presStyleCnt="0">
        <dgm:presLayoutVars>
          <dgm:dir/>
          <dgm:resizeHandles val="exact"/>
        </dgm:presLayoutVars>
      </dgm:prSet>
      <dgm:spPr/>
      <dgm:t>
        <a:bodyPr/>
        <a:lstStyle/>
        <a:p>
          <a:endParaRPr lang="nl-NL"/>
        </a:p>
      </dgm:t>
    </dgm:pt>
    <dgm:pt modelId="{0F978BB4-1082-40C7-8423-3811077C09F7}" type="pres">
      <dgm:prSet presAssocID="{EA699123-D73D-4A91-9822-8B32D1EBC1FE}" presName="node" presStyleLbl="node1" presStyleIdx="0" presStyleCnt="5" custScaleX="206257" custScaleY="206620" custRadScaleRad="175177" custRadScaleInc="-191950">
        <dgm:presLayoutVars>
          <dgm:bulletEnabled val="1"/>
        </dgm:presLayoutVars>
      </dgm:prSet>
      <dgm:spPr>
        <a:prstGeom prst="roundRect">
          <a:avLst>
            <a:gd name="adj" fmla="val 10000"/>
          </a:avLst>
        </a:prstGeom>
      </dgm:spPr>
      <dgm:t>
        <a:bodyPr/>
        <a:lstStyle/>
        <a:p>
          <a:endParaRPr lang="nl-NL"/>
        </a:p>
      </dgm:t>
    </dgm:pt>
    <dgm:pt modelId="{15161A9A-922B-44B7-8A86-F542FD7B5A59}" type="pres">
      <dgm:prSet presAssocID="{47F6E5F8-F843-45DE-8BCD-DEBF9E99BE61}" presName="sibTrans" presStyleLbl="sibTrans2D1" presStyleIdx="0" presStyleCnt="5"/>
      <dgm:spPr>
        <a:prstGeom prst="rightArrow">
          <a:avLst/>
        </a:prstGeom>
      </dgm:spPr>
      <dgm:t>
        <a:bodyPr/>
        <a:lstStyle/>
        <a:p>
          <a:endParaRPr lang="nl-NL"/>
        </a:p>
      </dgm:t>
    </dgm:pt>
    <dgm:pt modelId="{A8470DE2-92F0-4C54-ABEB-192382148418}" type="pres">
      <dgm:prSet presAssocID="{47F6E5F8-F843-45DE-8BCD-DEBF9E99BE61}" presName="connectorText" presStyleLbl="sibTrans2D1" presStyleIdx="0" presStyleCnt="5"/>
      <dgm:spPr/>
      <dgm:t>
        <a:bodyPr/>
        <a:lstStyle/>
        <a:p>
          <a:endParaRPr lang="nl-NL"/>
        </a:p>
      </dgm:t>
    </dgm:pt>
    <dgm:pt modelId="{EE3F168E-B804-4386-965A-516356A101F9}" type="pres">
      <dgm:prSet presAssocID="{1A22A138-E04D-4300-93E6-99173957242B}" presName="node" presStyleLbl="node1" presStyleIdx="1" presStyleCnt="5" custScaleX="206257" custScaleY="206620" custRadScaleRad="64028" custRadScaleInc="-163172">
        <dgm:presLayoutVars>
          <dgm:bulletEnabled val="1"/>
        </dgm:presLayoutVars>
      </dgm:prSet>
      <dgm:spPr>
        <a:prstGeom prst="roundRect">
          <a:avLst>
            <a:gd name="adj" fmla="val 10000"/>
          </a:avLst>
        </a:prstGeom>
      </dgm:spPr>
      <dgm:t>
        <a:bodyPr/>
        <a:lstStyle/>
        <a:p>
          <a:endParaRPr lang="nl-NL"/>
        </a:p>
      </dgm:t>
    </dgm:pt>
    <dgm:pt modelId="{C770FEED-080F-4767-A326-D390930974A4}" type="pres">
      <dgm:prSet presAssocID="{95D6336A-7BE3-4622-84B3-0916B7E4B23C}" presName="sibTrans" presStyleLbl="sibTrans2D1" presStyleIdx="1" presStyleCnt="5"/>
      <dgm:spPr>
        <a:prstGeom prst="rightArrow">
          <a:avLst/>
        </a:prstGeom>
      </dgm:spPr>
      <dgm:t>
        <a:bodyPr/>
        <a:lstStyle/>
        <a:p>
          <a:endParaRPr lang="nl-NL"/>
        </a:p>
      </dgm:t>
    </dgm:pt>
    <dgm:pt modelId="{32CFAEF3-364D-48F4-8E4F-9A3423C15840}" type="pres">
      <dgm:prSet presAssocID="{95D6336A-7BE3-4622-84B3-0916B7E4B23C}" presName="connectorText" presStyleLbl="sibTrans2D1" presStyleIdx="1" presStyleCnt="5"/>
      <dgm:spPr/>
      <dgm:t>
        <a:bodyPr/>
        <a:lstStyle/>
        <a:p>
          <a:endParaRPr lang="nl-NL"/>
        </a:p>
      </dgm:t>
    </dgm:pt>
    <dgm:pt modelId="{DADDED39-67D2-47C5-AD9F-526E3E1473BF}" type="pres">
      <dgm:prSet presAssocID="{ADB937ED-06ED-4918-8624-B226A6B97135}" presName="node" presStyleLbl="node1" presStyleIdx="2" presStyleCnt="5" custScaleX="206257" custScaleY="206620" custRadScaleRad="35643" custRadScaleInc="26162">
        <dgm:presLayoutVars>
          <dgm:bulletEnabled val="1"/>
        </dgm:presLayoutVars>
      </dgm:prSet>
      <dgm:spPr>
        <a:prstGeom prst="roundRect">
          <a:avLst>
            <a:gd name="adj" fmla="val 10000"/>
          </a:avLst>
        </a:prstGeom>
      </dgm:spPr>
      <dgm:t>
        <a:bodyPr/>
        <a:lstStyle/>
        <a:p>
          <a:endParaRPr lang="nl-NL"/>
        </a:p>
      </dgm:t>
    </dgm:pt>
    <dgm:pt modelId="{2F8E79C7-FE46-4A5E-BE01-3BD13B8DAB85}" type="pres">
      <dgm:prSet presAssocID="{756E32A7-D0BF-43AF-9385-85C60BC7E08A}" presName="sibTrans" presStyleLbl="sibTrans2D1" presStyleIdx="2" presStyleCnt="5"/>
      <dgm:spPr>
        <a:prstGeom prst="leftArrow">
          <a:avLst/>
        </a:prstGeom>
      </dgm:spPr>
      <dgm:t>
        <a:bodyPr/>
        <a:lstStyle/>
        <a:p>
          <a:endParaRPr lang="nl-NL"/>
        </a:p>
      </dgm:t>
    </dgm:pt>
    <dgm:pt modelId="{C04E78C4-98BB-4EB5-909B-1371B47F120B}" type="pres">
      <dgm:prSet presAssocID="{756E32A7-D0BF-43AF-9385-85C60BC7E08A}" presName="connectorText" presStyleLbl="sibTrans2D1" presStyleIdx="2" presStyleCnt="5"/>
      <dgm:spPr/>
      <dgm:t>
        <a:bodyPr/>
        <a:lstStyle/>
        <a:p>
          <a:endParaRPr lang="nl-NL"/>
        </a:p>
      </dgm:t>
    </dgm:pt>
    <dgm:pt modelId="{2AD8A4D1-1E9B-461C-ACB9-9EB4C656323B}" type="pres">
      <dgm:prSet presAssocID="{2AF750F3-4AA4-4288-B6A5-E4B21EB55D79}" presName="node" presStyleLbl="node1" presStyleIdx="3" presStyleCnt="5" custScaleX="130562" custScaleY="256467" custRadScaleRad="175522" custRadScaleInc="-335022">
        <dgm:presLayoutVars>
          <dgm:bulletEnabled val="1"/>
        </dgm:presLayoutVars>
      </dgm:prSet>
      <dgm:spPr>
        <a:prstGeom prst="roundRect">
          <a:avLst>
            <a:gd name="adj" fmla="val 10000"/>
          </a:avLst>
        </a:prstGeom>
      </dgm:spPr>
      <dgm:t>
        <a:bodyPr/>
        <a:lstStyle/>
        <a:p>
          <a:endParaRPr lang="nl-NL"/>
        </a:p>
      </dgm:t>
    </dgm:pt>
    <dgm:pt modelId="{984C6407-D136-4DF5-A946-F18EC645FBCB}" type="pres">
      <dgm:prSet presAssocID="{09591802-6D3A-45E0-8CC5-162793B23C98}" presName="sibTrans" presStyleLbl="sibTrans2D1" presStyleIdx="3" presStyleCnt="5" custAng="28448" custLinFactX="-296434" custLinFactNeighborX="-300000" custLinFactNeighborY="22103"/>
      <dgm:spPr>
        <a:prstGeom prst="leftArrow">
          <a:avLst/>
        </a:prstGeom>
      </dgm:spPr>
      <dgm:t>
        <a:bodyPr/>
        <a:lstStyle/>
        <a:p>
          <a:endParaRPr lang="nl-NL"/>
        </a:p>
      </dgm:t>
    </dgm:pt>
    <dgm:pt modelId="{02136F07-489A-4B3B-B204-140B00DC16BE}" type="pres">
      <dgm:prSet presAssocID="{09591802-6D3A-45E0-8CC5-162793B23C98}" presName="connectorText" presStyleLbl="sibTrans2D1" presStyleIdx="3" presStyleCnt="5"/>
      <dgm:spPr/>
      <dgm:t>
        <a:bodyPr/>
        <a:lstStyle/>
        <a:p>
          <a:endParaRPr lang="nl-NL"/>
        </a:p>
      </dgm:t>
    </dgm:pt>
    <dgm:pt modelId="{35BA6233-2E94-492B-9C3A-2FA4FC4E4DD2}" type="pres">
      <dgm:prSet presAssocID="{52EC7E7F-4F2D-40CF-8663-A5227A42AEBF}" presName="node" presStyleLbl="node1" presStyleIdx="4" presStyleCnt="5" custScaleX="206257" custScaleY="206620" custRadScaleRad="168380" custRadScaleInc="-81583">
        <dgm:presLayoutVars>
          <dgm:bulletEnabled val="1"/>
        </dgm:presLayoutVars>
      </dgm:prSet>
      <dgm:spPr>
        <a:prstGeom prst="roundRect">
          <a:avLst>
            <a:gd name="adj" fmla="val 10000"/>
          </a:avLst>
        </a:prstGeom>
      </dgm:spPr>
      <dgm:t>
        <a:bodyPr/>
        <a:lstStyle/>
        <a:p>
          <a:endParaRPr lang="nl-NL"/>
        </a:p>
      </dgm:t>
    </dgm:pt>
    <dgm:pt modelId="{43D6777E-4B6D-41D9-B0C2-E90D7EB2DD8D}" type="pres">
      <dgm:prSet presAssocID="{C1A3DFD8-2641-404D-9D96-D40C4C4E4FAF}" presName="sibTrans" presStyleLbl="sibTrans2D1" presStyleIdx="4" presStyleCnt="5"/>
      <dgm:spPr>
        <a:prstGeom prst="leftArrow">
          <a:avLst/>
        </a:prstGeom>
      </dgm:spPr>
      <dgm:t>
        <a:bodyPr/>
        <a:lstStyle/>
        <a:p>
          <a:endParaRPr lang="nl-NL"/>
        </a:p>
      </dgm:t>
    </dgm:pt>
    <dgm:pt modelId="{12E29D2F-3227-4ABD-89D8-85C418ED10F0}" type="pres">
      <dgm:prSet presAssocID="{C1A3DFD8-2641-404D-9D96-D40C4C4E4FAF}" presName="connectorText" presStyleLbl="sibTrans2D1" presStyleIdx="4" presStyleCnt="5"/>
      <dgm:spPr/>
      <dgm:t>
        <a:bodyPr/>
        <a:lstStyle/>
        <a:p>
          <a:endParaRPr lang="nl-NL"/>
        </a:p>
      </dgm:t>
    </dgm:pt>
  </dgm:ptLst>
  <dgm:cxnLst>
    <dgm:cxn modelId="{AEE5391B-74A1-4A53-B871-01866E44AF70}" type="presOf" srcId="{756E32A7-D0BF-43AF-9385-85C60BC7E08A}" destId="{C04E78C4-98BB-4EB5-909B-1371B47F120B}" srcOrd="1" destOrd="0" presId="urn:microsoft.com/office/officeart/2005/8/layout/cycle7"/>
    <dgm:cxn modelId="{48B41671-DFD9-4D20-BCEC-7E502DAE15CF}" type="presOf" srcId="{756E32A7-D0BF-43AF-9385-85C60BC7E08A}" destId="{2F8E79C7-FE46-4A5E-BE01-3BD13B8DAB85}" srcOrd="0" destOrd="0" presId="urn:microsoft.com/office/officeart/2005/8/layout/cycle7"/>
    <dgm:cxn modelId="{40353A4F-F9A9-4EED-82A7-011246787029}" srcId="{B39B32D8-94E1-4BB5-B15C-2E95CEF2CCF1}" destId="{52EC7E7F-4F2D-40CF-8663-A5227A42AEBF}" srcOrd="4" destOrd="0" parTransId="{4FEEE00B-0475-433C-9DA2-0CB6A723A855}" sibTransId="{C1A3DFD8-2641-404D-9D96-D40C4C4E4FAF}"/>
    <dgm:cxn modelId="{38D9F0EB-B900-4F88-8CBC-9AD4D991F471}" srcId="{B39B32D8-94E1-4BB5-B15C-2E95CEF2CCF1}" destId="{EA699123-D73D-4A91-9822-8B32D1EBC1FE}" srcOrd="0" destOrd="0" parTransId="{9F184641-A458-4758-BECC-A10395F9D5F7}" sibTransId="{47F6E5F8-F843-45DE-8BCD-DEBF9E99BE61}"/>
    <dgm:cxn modelId="{678735A5-00C5-47F1-A927-DBB99A6E3307}" type="presOf" srcId="{47F6E5F8-F843-45DE-8BCD-DEBF9E99BE61}" destId="{15161A9A-922B-44B7-8A86-F542FD7B5A59}" srcOrd="0" destOrd="0" presId="urn:microsoft.com/office/officeart/2005/8/layout/cycle7"/>
    <dgm:cxn modelId="{5F2947F7-3744-4AAF-9B41-3078CA425E32}" type="presOf" srcId="{C1A3DFD8-2641-404D-9D96-D40C4C4E4FAF}" destId="{43D6777E-4B6D-41D9-B0C2-E90D7EB2DD8D}" srcOrd="0" destOrd="0" presId="urn:microsoft.com/office/officeart/2005/8/layout/cycle7"/>
    <dgm:cxn modelId="{6488B168-A945-4FB7-A471-BC1AF57E5EAA}" type="presOf" srcId="{09591802-6D3A-45E0-8CC5-162793B23C98}" destId="{984C6407-D136-4DF5-A946-F18EC645FBCB}" srcOrd="0" destOrd="0" presId="urn:microsoft.com/office/officeart/2005/8/layout/cycle7"/>
    <dgm:cxn modelId="{431F46C0-1BA9-49FE-BC8E-21C8CBF425C0}" srcId="{B39B32D8-94E1-4BB5-B15C-2E95CEF2CCF1}" destId="{1A22A138-E04D-4300-93E6-99173957242B}" srcOrd="1" destOrd="0" parTransId="{69BF97AC-2A47-436F-A784-6CDFAB8713A5}" sibTransId="{95D6336A-7BE3-4622-84B3-0916B7E4B23C}"/>
    <dgm:cxn modelId="{E632E0FE-E090-4D39-8B8F-3715189CFC8F}" type="presOf" srcId="{EA699123-D73D-4A91-9822-8B32D1EBC1FE}" destId="{0F978BB4-1082-40C7-8423-3811077C09F7}" srcOrd="0" destOrd="0" presId="urn:microsoft.com/office/officeart/2005/8/layout/cycle7"/>
    <dgm:cxn modelId="{5D98EF5D-043C-4FFD-832D-CF0D16754A37}" type="presOf" srcId="{ADB937ED-06ED-4918-8624-B226A6B97135}" destId="{DADDED39-67D2-47C5-AD9F-526E3E1473BF}" srcOrd="0" destOrd="0" presId="urn:microsoft.com/office/officeart/2005/8/layout/cycle7"/>
    <dgm:cxn modelId="{BA1821BA-2659-4A40-82E2-1824B95DDB7A}" type="presOf" srcId="{95D6336A-7BE3-4622-84B3-0916B7E4B23C}" destId="{C770FEED-080F-4767-A326-D390930974A4}" srcOrd="0" destOrd="0" presId="urn:microsoft.com/office/officeart/2005/8/layout/cycle7"/>
    <dgm:cxn modelId="{C02CF666-94E2-4E3C-8BB3-D9D7D2377A12}" type="presOf" srcId="{C1A3DFD8-2641-404D-9D96-D40C4C4E4FAF}" destId="{12E29D2F-3227-4ABD-89D8-85C418ED10F0}" srcOrd="1" destOrd="0" presId="urn:microsoft.com/office/officeart/2005/8/layout/cycle7"/>
    <dgm:cxn modelId="{DF832ACC-DAD7-4639-8E0D-3EAF77E8DD7F}" type="presOf" srcId="{09591802-6D3A-45E0-8CC5-162793B23C98}" destId="{02136F07-489A-4B3B-B204-140B00DC16BE}" srcOrd="1" destOrd="0" presId="urn:microsoft.com/office/officeart/2005/8/layout/cycle7"/>
    <dgm:cxn modelId="{C6E76BCC-0C7F-473B-841B-649633F411AA}" srcId="{B39B32D8-94E1-4BB5-B15C-2E95CEF2CCF1}" destId="{2AF750F3-4AA4-4288-B6A5-E4B21EB55D79}" srcOrd="3" destOrd="0" parTransId="{5CEDB754-CA0F-44C0-B753-303A94256818}" sibTransId="{09591802-6D3A-45E0-8CC5-162793B23C98}"/>
    <dgm:cxn modelId="{143BE279-CF9D-47B3-A07B-63CBDB5FF69A}" type="presOf" srcId="{47F6E5F8-F843-45DE-8BCD-DEBF9E99BE61}" destId="{A8470DE2-92F0-4C54-ABEB-192382148418}" srcOrd="1" destOrd="0" presId="urn:microsoft.com/office/officeart/2005/8/layout/cycle7"/>
    <dgm:cxn modelId="{777774C5-1BAB-445F-ABB1-BB1CCA0529C3}" type="presOf" srcId="{52EC7E7F-4F2D-40CF-8663-A5227A42AEBF}" destId="{35BA6233-2E94-492B-9C3A-2FA4FC4E4DD2}" srcOrd="0" destOrd="0" presId="urn:microsoft.com/office/officeart/2005/8/layout/cycle7"/>
    <dgm:cxn modelId="{E9EB87EC-C1B0-402B-8F42-09990B84A288}" type="presOf" srcId="{95D6336A-7BE3-4622-84B3-0916B7E4B23C}" destId="{32CFAEF3-364D-48F4-8E4F-9A3423C15840}" srcOrd="1" destOrd="0" presId="urn:microsoft.com/office/officeart/2005/8/layout/cycle7"/>
    <dgm:cxn modelId="{A2856022-0D62-46C0-87DA-62D7B5091A07}" srcId="{B39B32D8-94E1-4BB5-B15C-2E95CEF2CCF1}" destId="{ADB937ED-06ED-4918-8624-B226A6B97135}" srcOrd="2" destOrd="0" parTransId="{A4441538-8310-4133-81E1-0076E628666F}" sibTransId="{756E32A7-D0BF-43AF-9385-85C60BC7E08A}"/>
    <dgm:cxn modelId="{4D6CAE7A-F58C-429F-8A7E-347C8CBAE015}" type="presOf" srcId="{2AF750F3-4AA4-4288-B6A5-E4B21EB55D79}" destId="{2AD8A4D1-1E9B-461C-ACB9-9EB4C656323B}" srcOrd="0" destOrd="0" presId="urn:microsoft.com/office/officeart/2005/8/layout/cycle7"/>
    <dgm:cxn modelId="{96630C00-050A-4CB5-AE4D-7D816686AF44}" type="presOf" srcId="{1A22A138-E04D-4300-93E6-99173957242B}" destId="{EE3F168E-B804-4386-965A-516356A101F9}" srcOrd="0" destOrd="0" presId="urn:microsoft.com/office/officeart/2005/8/layout/cycle7"/>
    <dgm:cxn modelId="{FB45808E-C577-4C42-A46B-764AF88F60F4}" type="presOf" srcId="{B39B32D8-94E1-4BB5-B15C-2E95CEF2CCF1}" destId="{5987E658-BCD8-4799-AE73-AC2AA9231703}" srcOrd="0" destOrd="0" presId="urn:microsoft.com/office/officeart/2005/8/layout/cycle7"/>
    <dgm:cxn modelId="{14C102F3-0A49-48A6-969D-FDFF8A6A7B69}" type="presParOf" srcId="{5987E658-BCD8-4799-AE73-AC2AA9231703}" destId="{0F978BB4-1082-40C7-8423-3811077C09F7}" srcOrd="0" destOrd="0" presId="urn:microsoft.com/office/officeart/2005/8/layout/cycle7"/>
    <dgm:cxn modelId="{FC6C441A-92BB-4BE5-ADF7-635EA264898A}" type="presParOf" srcId="{5987E658-BCD8-4799-AE73-AC2AA9231703}" destId="{15161A9A-922B-44B7-8A86-F542FD7B5A59}" srcOrd="1" destOrd="0" presId="urn:microsoft.com/office/officeart/2005/8/layout/cycle7"/>
    <dgm:cxn modelId="{8085F77D-4B6C-4514-AD1A-43B8E6CB7D24}" type="presParOf" srcId="{15161A9A-922B-44B7-8A86-F542FD7B5A59}" destId="{A8470DE2-92F0-4C54-ABEB-192382148418}" srcOrd="0" destOrd="0" presId="urn:microsoft.com/office/officeart/2005/8/layout/cycle7"/>
    <dgm:cxn modelId="{85FD7EF8-14E0-45C5-9DE5-AAA9DD040ADE}" type="presParOf" srcId="{5987E658-BCD8-4799-AE73-AC2AA9231703}" destId="{EE3F168E-B804-4386-965A-516356A101F9}" srcOrd="2" destOrd="0" presId="urn:microsoft.com/office/officeart/2005/8/layout/cycle7"/>
    <dgm:cxn modelId="{C57BAE9C-E54B-4A5B-A2E5-73FAE2E222D5}" type="presParOf" srcId="{5987E658-BCD8-4799-AE73-AC2AA9231703}" destId="{C770FEED-080F-4767-A326-D390930974A4}" srcOrd="3" destOrd="0" presId="urn:microsoft.com/office/officeart/2005/8/layout/cycle7"/>
    <dgm:cxn modelId="{716CCB79-B967-49D3-AD44-1AA209C38FB7}" type="presParOf" srcId="{C770FEED-080F-4767-A326-D390930974A4}" destId="{32CFAEF3-364D-48F4-8E4F-9A3423C15840}" srcOrd="0" destOrd="0" presId="urn:microsoft.com/office/officeart/2005/8/layout/cycle7"/>
    <dgm:cxn modelId="{91056AE3-839D-4502-A209-47BC0ED1F933}" type="presParOf" srcId="{5987E658-BCD8-4799-AE73-AC2AA9231703}" destId="{DADDED39-67D2-47C5-AD9F-526E3E1473BF}" srcOrd="4" destOrd="0" presId="urn:microsoft.com/office/officeart/2005/8/layout/cycle7"/>
    <dgm:cxn modelId="{50099FF5-E236-4EEE-9161-96033A533A2B}" type="presParOf" srcId="{5987E658-BCD8-4799-AE73-AC2AA9231703}" destId="{2F8E79C7-FE46-4A5E-BE01-3BD13B8DAB85}" srcOrd="5" destOrd="0" presId="urn:microsoft.com/office/officeart/2005/8/layout/cycle7"/>
    <dgm:cxn modelId="{BDED879E-2740-43D9-B1C1-5691E7730695}" type="presParOf" srcId="{2F8E79C7-FE46-4A5E-BE01-3BD13B8DAB85}" destId="{C04E78C4-98BB-4EB5-909B-1371B47F120B}" srcOrd="0" destOrd="0" presId="urn:microsoft.com/office/officeart/2005/8/layout/cycle7"/>
    <dgm:cxn modelId="{74AEC3B0-718F-448A-9CB8-7E2EA302F840}" type="presParOf" srcId="{5987E658-BCD8-4799-AE73-AC2AA9231703}" destId="{2AD8A4D1-1E9B-461C-ACB9-9EB4C656323B}" srcOrd="6" destOrd="0" presId="urn:microsoft.com/office/officeart/2005/8/layout/cycle7"/>
    <dgm:cxn modelId="{09EF9660-4D35-484A-99B2-CCA2D1311E12}" type="presParOf" srcId="{5987E658-BCD8-4799-AE73-AC2AA9231703}" destId="{984C6407-D136-4DF5-A946-F18EC645FBCB}" srcOrd="7" destOrd="0" presId="urn:microsoft.com/office/officeart/2005/8/layout/cycle7"/>
    <dgm:cxn modelId="{D98D13C9-1413-44B8-A2F7-186E755E4830}" type="presParOf" srcId="{984C6407-D136-4DF5-A946-F18EC645FBCB}" destId="{02136F07-489A-4B3B-B204-140B00DC16BE}" srcOrd="0" destOrd="0" presId="urn:microsoft.com/office/officeart/2005/8/layout/cycle7"/>
    <dgm:cxn modelId="{5626CC40-2A0E-4EAC-8C52-2BC400CFCE80}" type="presParOf" srcId="{5987E658-BCD8-4799-AE73-AC2AA9231703}" destId="{35BA6233-2E94-492B-9C3A-2FA4FC4E4DD2}" srcOrd="8" destOrd="0" presId="urn:microsoft.com/office/officeart/2005/8/layout/cycle7"/>
    <dgm:cxn modelId="{5ACA0976-2300-470C-AC89-C3E033F13105}" type="presParOf" srcId="{5987E658-BCD8-4799-AE73-AC2AA9231703}" destId="{43D6777E-4B6D-41D9-B0C2-E90D7EB2DD8D}" srcOrd="9" destOrd="0" presId="urn:microsoft.com/office/officeart/2005/8/layout/cycle7"/>
    <dgm:cxn modelId="{8E1288E6-B1BE-4C1A-8EC7-FC381C4298B2}" type="presParOf" srcId="{43D6777E-4B6D-41D9-B0C2-E90D7EB2DD8D}" destId="{12E29D2F-3227-4ABD-89D8-85C418ED10F0}" srcOrd="0" destOrd="0" presId="urn:microsoft.com/office/officeart/2005/8/layout/cycle7"/>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39B32D8-94E1-4BB5-B15C-2E95CEF2CCF1}" type="doc">
      <dgm:prSet loTypeId="urn:microsoft.com/office/officeart/2005/8/layout/cycle7" loCatId="cycle" qsTypeId="urn:microsoft.com/office/officeart/2005/8/quickstyle/simple4" qsCatId="simple" csTypeId="urn:microsoft.com/office/officeart/2005/8/colors/accent1_2" csCatId="accent1" phldr="1"/>
      <dgm:spPr/>
      <dgm:t>
        <a:bodyPr/>
        <a:lstStyle/>
        <a:p>
          <a:endParaRPr lang="nl-NL"/>
        </a:p>
      </dgm:t>
    </dgm:pt>
    <dgm:pt modelId="{EA699123-D73D-4A91-9822-8B32D1EBC1FE}">
      <dgm:prSet phldrT="[Tekst]" custT="1"/>
      <dgm:spPr>
        <a:xfrm>
          <a:off x="121843" y="185226"/>
          <a:ext cx="1925152" cy="96427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nl-NL" sz="900">
              <a:solidFill>
                <a:sysClr val="window" lastClr="FFFFFF"/>
              </a:solidFill>
              <a:latin typeface="Calibri"/>
              <a:ea typeface="+mn-ea"/>
              <a:cs typeface="+mn-cs"/>
            </a:rPr>
            <a:t>Independent variable</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 X conceptual </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(Implementation problems caused by)</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Restructuring of the organization</a:t>
          </a:r>
        </a:p>
      </dgm:t>
    </dgm:pt>
    <dgm:pt modelId="{9F184641-A458-4758-BECC-A10395F9D5F7}" type="parTrans" cxnId="{38D9F0EB-B900-4F88-8CBC-9AD4D991F471}">
      <dgm:prSet/>
      <dgm:spPr/>
      <dgm:t>
        <a:bodyPr/>
        <a:lstStyle/>
        <a:p>
          <a:endParaRPr lang="nl-NL"/>
        </a:p>
      </dgm:t>
    </dgm:pt>
    <dgm:pt modelId="{47F6E5F8-F843-45DE-8BCD-DEBF9E99BE61}" type="sibTrans" cxnId="{38D9F0EB-B900-4F88-8CBC-9AD4D991F471}">
      <dgm:prSet/>
      <dgm:spPr>
        <a:xfrm rot="3183">
          <a:off x="2144854" y="586773"/>
          <a:ext cx="216107" cy="163340"/>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nl-NL">
            <a:solidFill>
              <a:sysClr val="window" lastClr="FFFFFF"/>
            </a:solidFill>
            <a:latin typeface="Calibri"/>
            <a:ea typeface="+mn-ea"/>
            <a:cs typeface="+mn-cs"/>
          </a:endParaRPr>
        </a:p>
      </dgm:t>
    </dgm:pt>
    <dgm:pt modelId="{1A22A138-E04D-4300-93E6-99173957242B}">
      <dgm:prSet phldrT="[Tekst]" custT="1"/>
      <dgm:spPr>
        <a:xfrm>
          <a:off x="2458822" y="187390"/>
          <a:ext cx="1925152" cy="96427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nl-NL" sz="900">
              <a:solidFill>
                <a:sysClr val="window" lastClr="FFFFFF"/>
              </a:solidFill>
              <a:latin typeface="Calibri"/>
              <a:ea typeface="+mn-ea"/>
              <a:cs typeface="+mn-cs"/>
            </a:rPr>
            <a:t>Dependent variable</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Y conceptual</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IT control quality</a:t>
          </a:r>
        </a:p>
      </dgm:t>
    </dgm:pt>
    <dgm:pt modelId="{69BF97AC-2A47-436F-A784-6CDFAB8713A5}" type="parTrans" cxnId="{431F46C0-1BA9-49FE-BC8E-21C8CBF425C0}">
      <dgm:prSet/>
      <dgm:spPr/>
      <dgm:t>
        <a:bodyPr/>
        <a:lstStyle/>
        <a:p>
          <a:endParaRPr lang="nl-NL"/>
        </a:p>
      </dgm:t>
    </dgm:pt>
    <dgm:pt modelId="{95D6336A-7BE3-4622-84B3-0916B7E4B23C}" type="sibTrans" cxnId="{431F46C0-1BA9-49FE-BC8E-21C8CBF425C0}">
      <dgm:prSet/>
      <dgm:spPr>
        <a:xfrm rot="5353827">
          <a:off x="3321634" y="1205045"/>
          <a:ext cx="216107" cy="163340"/>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nl-NL">
            <a:solidFill>
              <a:sysClr val="window" lastClr="FFFFFF"/>
            </a:solidFill>
            <a:latin typeface="Calibri"/>
            <a:ea typeface="+mn-ea"/>
            <a:cs typeface="+mn-cs"/>
          </a:endParaRPr>
        </a:p>
      </dgm:t>
    </dgm:pt>
    <dgm:pt modelId="{ADB937ED-06ED-4918-8624-B226A6B97135}">
      <dgm:prSet phldrT="[Tekst]" custT="1"/>
      <dgm:spPr>
        <a:xfrm>
          <a:off x="2475402" y="1421771"/>
          <a:ext cx="1925152" cy="96427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nl-NL" sz="900">
              <a:solidFill>
                <a:sysClr val="window" lastClr="FFFFFF"/>
              </a:solidFill>
              <a:latin typeface="Calibri"/>
              <a:ea typeface="+mn-ea"/>
              <a:cs typeface="+mn-cs"/>
            </a:rPr>
            <a:t>Y operational</a:t>
          </a:r>
        </a:p>
        <a:p>
          <a:r>
            <a:rPr lang="nl-NL" sz="900">
              <a:solidFill>
                <a:sysClr val="window" lastClr="FFFFFF"/>
              </a:solidFill>
              <a:latin typeface="Calibri"/>
              <a:ea typeface="+mn-ea"/>
              <a:cs typeface="+mn-cs"/>
            </a:rPr>
            <a:t>IT control weaknesses disclosed </a:t>
          </a:r>
        </a:p>
        <a:p>
          <a:r>
            <a:rPr lang="nl-NL" sz="900">
              <a:solidFill>
                <a:sysClr val="window" lastClr="FFFFFF"/>
              </a:solidFill>
              <a:latin typeface="Calibri"/>
              <a:ea typeface="+mn-ea"/>
              <a:cs typeface="+mn-cs"/>
            </a:rPr>
            <a:t>under SOX Section 404</a:t>
          </a:r>
        </a:p>
        <a:p>
          <a:endParaRPr lang="nl-NL" sz="900">
            <a:solidFill>
              <a:sysClr val="window" lastClr="FFFFFF"/>
            </a:solidFill>
            <a:latin typeface="Calibri"/>
            <a:ea typeface="+mn-ea"/>
            <a:cs typeface="+mn-cs"/>
          </a:endParaRPr>
        </a:p>
      </dgm:t>
    </dgm:pt>
    <dgm:pt modelId="{A4441538-8310-4133-81E1-0076E628666F}" type="parTrans" cxnId="{A2856022-0D62-46C0-87DA-62D7B5091A07}">
      <dgm:prSet/>
      <dgm:spPr/>
      <dgm:t>
        <a:bodyPr/>
        <a:lstStyle/>
        <a:p>
          <a:endParaRPr lang="nl-NL"/>
        </a:p>
      </dgm:t>
    </dgm:pt>
    <dgm:pt modelId="{756E32A7-D0BF-43AF-9385-85C60BC7E08A}" type="sibTrans" cxnId="{A2856022-0D62-46C0-87DA-62D7B5091A07}">
      <dgm:prSet/>
      <dgm:spPr>
        <a:xfrm rot="21268044">
          <a:off x="4587774" y="1700396"/>
          <a:ext cx="216107" cy="163340"/>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nl-NL">
            <a:solidFill>
              <a:sysClr val="window" lastClr="FFFFFF"/>
            </a:solidFill>
            <a:latin typeface="Calibri"/>
            <a:ea typeface="+mn-ea"/>
            <a:cs typeface="+mn-cs"/>
          </a:endParaRPr>
        </a:p>
      </dgm:t>
    </dgm:pt>
    <dgm:pt modelId="{52EC7E7F-4F2D-40CF-8663-A5227A42AEBF}">
      <dgm:prSet phldrT="[Tekst]" custT="1"/>
      <dgm:spPr>
        <a:xfrm>
          <a:off x="103205" y="1439059"/>
          <a:ext cx="1925152" cy="96427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nl-NL" sz="900">
              <a:solidFill>
                <a:sysClr val="window" lastClr="FFFFFF"/>
              </a:solidFill>
              <a:latin typeface="Calibri"/>
              <a:ea typeface="+mn-ea"/>
              <a:cs typeface="+mn-cs"/>
            </a:rPr>
            <a:t>X operational</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Restructuring costs</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a) existence in same year (dummy)</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b) scaled restructing costs</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c) existence in period 2004-2011 (dummy)</a:t>
          </a:r>
        </a:p>
      </dgm:t>
    </dgm:pt>
    <dgm:pt modelId="{4FEEE00B-0475-433C-9DA2-0CB6A723A855}" type="parTrans" cxnId="{40353A4F-F9A9-4EED-82A7-011246787029}">
      <dgm:prSet/>
      <dgm:spPr/>
      <dgm:t>
        <a:bodyPr/>
        <a:lstStyle/>
        <a:p>
          <a:endParaRPr lang="nl-NL"/>
        </a:p>
      </dgm:t>
    </dgm:pt>
    <dgm:pt modelId="{C1A3DFD8-2641-404D-9D96-D40C4C4E4FAF}" type="sibTrans" cxnId="{40353A4F-F9A9-4EED-82A7-011246787029}">
      <dgm:prSet/>
      <dgm:spPr>
        <a:xfrm rot="16251095">
          <a:off x="967046" y="1212607"/>
          <a:ext cx="216107" cy="163340"/>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nl-NL">
            <a:solidFill>
              <a:sysClr val="window" lastClr="FFFFFF"/>
            </a:solidFill>
            <a:latin typeface="Calibri"/>
            <a:ea typeface="+mn-ea"/>
            <a:cs typeface="+mn-cs"/>
          </a:endParaRPr>
        </a:p>
      </dgm:t>
    </dgm:pt>
    <dgm:pt modelId="{2AF750F3-4AA4-4288-B6A5-E4B21EB55D79}">
      <dgm:prSet custT="1"/>
      <dgm:spPr>
        <a:xfrm>
          <a:off x="4991101" y="1103892"/>
          <a:ext cx="1055563" cy="119690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nl-NL" sz="900">
              <a:solidFill>
                <a:sysClr val="window" lastClr="FFFFFF"/>
              </a:solidFill>
              <a:latin typeface="Calibri"/>
              <a:ea typeface="+mn-ea"/>
              <a:cs typeface="+mn-cs"/>
            </a:rPr>
            <a:t>Control variables:</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Firm size</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Firm age</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Leverage</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Return on Assets</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Number of segments</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Foreign transactions</a:t>
          </a:r>
          <a:br>
            <a:rPr lang="nl-NL" sz="900">
              <a:solidFill>
                <a:sysClr val="window" lastClr="FFFFFF"/>
              </a:solidFill>
              <a:latin typeface="Calibri"/>
              <a:ea typeface="+mn-ea"/>
              <a:cs typeface="+mn-cs"/>
            </a:rPr>
          </a:br>
          <a:r>
            <a:rPr lang="nl-NL" sz="900">
              <a:solidFill>
                <a:sysClr val="window" lastClr="FFFFFF"/>
              </a:solidFill>
              <a:latin typeface="Calibri"/>
              <a:ea typeface="+mn-ea"/>
              <a:cs typeface="+mn-cs"/>
            </a:rPr>
            <a:t>Big 4 audited</a:t>
          </a:r>
          <a:br>
            <a:rPr lang="nl-NL" sz="900">
              <a:solidFill>
                <a:sysClr val="window" lastClr="FFFFFF"/>
              </a:solidFill>
              <a:latin typeface="Calibri"/>
              <a:ea typeface="+mn-ea"/>
              <a:cs typeface="+mn-cs"/>
            </a:rPr>
          </a:br>
          <a:endParaRPr lang="nl-NL" sz="900">
            <a:solidFill>
              <a:sysClr val="window" lastClr="FFFFFF"/>
            </a:solidFill>
            <a:latin typeface="Calibri"/>
            <a:ea typeface="+mn-ea"/>
            <a:cs typeface="+mn-cs"/>
          </a:endParaRPr>
        </a:p>
      </dgm:t>
    </dgm:pt>
    <dgm:pt modelId="{5CEDB754-CA0F-44C0-B753-303A94256818}" type="parTrans" cxnId="{C6E76BCC-0C7F-473B-841B-649633F411AA}">
      <dgm:prSet/>
      <dgm:spPr/>
      <dgm:t>
        <a:bodyPr/>
        <a:lstStyle/>
        <a:p>
          <a:endParaRPr lang="nl-NL"/>
        </a:p>
      </dgm:t>
    </dgm:pt>
    <dgm:pt modelId="{09591802-6D3A-45E0-8CC5-162793B23C98}" type="sibTrans" cxnId="{C6E76BCC-0C7F-473B-841B-649633F411AA}">
      <dgm:prSet/>
      <dgm:spPr>
        <a:xfrm rot="10659632">
          <a:off x="2112735" y="1755517"/>
          <a:ext cx="216107" cy="163340"/>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nl-NL">
            <a:solidFill>
              <a:sysClr val="window" lastClr="FFFFFF"/>
            </a:solidFill>
            <a:latin typeface="Calibri"/>
            <a:ea typeface="+mn-ea"/>
            <a:cs typeface="+mn-cs"/>
          </a:endParaRPr>
        </a:p>
      </dgm:t>
    </dgm:pt>
    <dgm:pt modelId="{5987E658-BCD8-4799-AE73-AC2AA9231703}" type="pres">
      <dgm:prSet presAssocID="{B39B32D8-94E1-4BB5-B15C-2E95CEF2CCF1}" presName="Name0" presStyleCnt="0">
        <dgm:presLayoutVars>
          <dgm:dir/>
          <dgm:resizeHandles val="exact"/>
        </dgm:presLayoutVars>
      </dgm:prSet>
      <dgm:spPr/>
      <dgm:t>
        <a:bodyPr/>
        <a:lstStyle/>
        <a:p>
          <a:endParaRPr lang="nl-NL"/>
        </a:p>
      </dgm:t>
    </dgm:pt>
    <dgm:pt modelId="{0F978BB4-1082-40C7-8423-3811077C09F7}" type="pres">
      <dgm:prSet presAssocID="{EA699123-D73D-4A91-9822-8B32D1EBC1FE}" presName="node" presStyleLbl="node1" presStyleIdx="0" presStyleCnt="5" custScaleX="206257" custScaleY="206620" custRadScaleRad="175177" custRadScaleInc="-191950">
        <dgm:presLayoutVars>
          <dgm:bulletEnabled val="1"/>
        </dgm:presLayoutVars>
      </dgm:prSet>
      <dgm:spPr>
        <a:prstGeom prst="roundRect">
          <a:avLst>
            <a:gd name="adj" fmla="val 10000"/>
          </a:avLst>
        </a:prstGeom>
      </dgm:spPr>
      <dgm:t>
        <a:bodyPr/>
        <a:lstStyle/>
        <a:p>
          <a:endParaRPr lang="nl-NL"/>
        </a:p>
      </dgm:t>
    </dgm:pt>
    <dgm:pt modelId="{15161A9A-922B-44B7-8A86-F542FD7B5A59}" type="pres">
      <dgm:prSet presAssocID="{47F6E5F8-F843-45DE-8BCD-DEBF9E99BE61}" presName="sibTrans" presStyleLbl="sibTrans2D1" presStyleIdx="0" presStyleCnt="5"/>
      <dgm:spPr>
        <a:prstGeom prst="rightArrow">
          <a:avLst/>
        </a:prstGeom>
      </dgm:spPr>
      <dgm:t>
        <a:bodyPr/>
        <a:lstStyle/>
        <a:p>
          <a:endParaRPr lang="nl-NL"/>
        </a:p>
      </dgm:t>
    </dgm:pt>
    <dgm:pt modelId="{A8470DE2-92F0-4C54-ABEB-192382148418}" type="pres">
      <dgm:prSet presAssocID="{47F6E5F8-F843-45DE-8BCD-DEBF9E99BE61}" presName="connectorText" presStyleLbl="sibTrans2D1" presStyleIdx="0" presStyleCnt="5"/>
      <dgm:spPr/>
      <dgm:t>
        <a:bodyPr/>
        <a:lstStyle/>
        <a:p>
          <a:endParaRPr lang="nl-NL"/>
        </a:p>
      </dgm:t>
    </dgm:pt>
    <dgm:pt modelId="{EE3F168E-B804-4386-965A-516356A101F9}" type="pres">
      <dgm:prSet presAssocID="{1A22A138-E04D-4300-93E6-99173957242B}" presName="node" presStyleLbl="node1" presStyleIdx="1" presStyleCnt="5" custScaleX="206257" custScaleY="206620" custRadScaleRad="64028" custRadScaleInc="-163172">
        <dgm:presLayoutVars>
          <dgm:bulletEnabled val="1"/>
        </dgm:presLayoutVars>
      </dgm:prSet>
      <dgm:spPr>
        <a:prstGeom prst="roundRect">
          <a:avLst>
            <a:gd name="adj" fmla="val 10000"/>
          </a:avLst>
        </a:prstGeom>
      </dgm:spPr>
      <dgm:t>
        <a:bodyPr/>
        <a:lstStyle/>
        <a:p>
          <a:endParaRPr lang="nl-NL"/>
        </a:p>
      </dgm:t>
    </dgm:pt>
    <dgm:pt modelId="{C770FEED-080F-4767-A326-D390930974A4}" type="pres">
      <dgm:prSet presAssocID="{95D6336A-7BE3-4622-84B3-0916B7E4B23C}" presName="sibTrans" presStyleLbl="sibTrans2D1" presStyleIdx="1" presStyleCnt="5"/>
      <dgm:spPr>
        <a:prstGeom prst="rightArrow">
          <a:avLst/>
        </a:prstGeom>
      </dgm:spPr>
      <dgm:t>
        <a:bodyPr/>
        <a:lstStyle/>
        <a:p>
          <a:endParaRPr lang="nl-NL"/>
        </a:p>
      </dgm:t>
    </dgm:pt>
    <dgm:pt modelId="{32CFAEF3-364D-48F4-8E4F-9A3423C15840}" type="pres">
      <dgm:prSet presAssocID="{95D6336A-7BE3-4622-84B3-0916B7E4B23C}" presName="connectorText" presStyleLbl="sibTrans2D1" presStyleIdx="1" presStyleCnt="5"/>
      <dgm:spPr/>
      <dgm:t>
        <a:bodyPr/>
        <a:lstStyle/>
        <a:p>
          <a:endParaRPr lang="nl-NL"/>
        </a:p>
      </dgm:t>
    </dgm:pt>
    <dgm:pt modelId="{DADDED39-67D2-47C5-AD9F-526E3E1473BF}" type="pres">
      <dgm:prSet presAssocID="{ADB937ED-06ED-4918-8624-B226A6B97135}" presName="node" presStyleLbl="node1" presStyleIdx="2" presStyleCnt="5" custScaleX="206257" custScaleY="206620" custRadScaleRad="35643" custRadScaleInc="26162">
        <dgm:presLayoutVars>
          <dgm:bulletEnabled val="1"/>
        </dgm:presLayoutVars>
      </dgm:prSet>
      <dgm:spPr>
        <a:prstGeom prst="roundRect">
          <a:avLst>
            <a:gd name="adj" fmla="val 10000"/>
          </a:avLst>
        </a:prstGeom>
      </dgm:spPr>
      <dgm:t>
        <a:bodyPr/>
        <a:lstStyle/>
        <a:p>
          <a:endParaRPr lang="nl-NL"/>
        </a:p>
      </dgm:t>
    </dgm:pt>
    <dgm:pt modelId="{2F8E79C7-FE46-4A5E-BE01-3BD13B8DAB85}" type="pres">
      <dgm:prSet presAssocID="{756E32A7-D0BF-43AF-9385-85C60BC7E08A}" presName="sibTrans" presStyleLbl="sibTrans2D1" presStyleIdx="2" presStyleCnt="5"/>
      <dgm:spPr>
        <a:prstGeom prst="leftArrow">
          <a:avLst/>
        </a:prstGeom>
      </dgm:spPr>
      <dgm:t>
        <a:bodyPr/>
        <a:lstStyle/>
        <a:p>
          <a:endParaRPr lang="nl-NL"/>
        </a:p>
      </dgm:t>
    </dgm:pt>
    <dgm:pt modelId="{C04E78C4-98BB-4EB5-909B-1371B47F120B}" type="pres">
      <dgm:prSet presAssocID="{756E32A7-D0BF-43AF-9385-85C60BC7E08A}" presName="connectorText" presStyleLbl="sibTrans2D1" presStyleIdx="2" presStyleCnt="5"/>
      <dgm:spPr/>
      <dgm:t>
        <a:bodyPr/>
        <a:lstStyle/>
        <a:p>
          <a:endParaRPr lang="nl-NL"/>
        </a:p>
      </dgm:t>
    </dgm:pt>
    <dgm:pt modelId="{2AD8A4D1-1E9B-461C-ACB9-9EB4C656323B}" type="pres">
      <dgm:prSet presAssocID="{2AF750F3-4AA4-4288-B6A5-E4B21EB55D79}" presName="node" presStyleLbl="node1" presStyleIdx="3" presStyleCnt="5" custScaleX="125472" custScaleY="328799" custRadScaleRad="175522" custRadScaleInc="-335022">
        <dgm:presLayoutVars>
          <dgm:bulletEnabled val="1"/>
        </dgm:presLayoutVars>
      </dgm:prSet>
      <dgm:spPr>
        <a:prstGeom prst="roundRect">
          <a:avLst>
            <a:gd name="adj" fmla="val 10000"/>
          </a:avLst>
        </a:prstGeom>
      </dgm:spPr>
      <dgm:t>
        <a:bodyPr/>
        <a:lstStyle/>
        <a:p>
          <a:endParaRPr lang="nl-NL"/>
        </a:p>
      </dgm:t>
    </dgm:pt>
    <dgm:pt modelId="{984C6407-D136-4DF5-A946-F18EC645FBCB}" type="pres">
      <dgm:prSet presAssocID="{09591802-6D3A-45E0-8CC5-162793B23C98}" presName="sibTrans" presStyleLbl="sibTrans2D1" presStyleIdx="3" presStyleCnt="5" custAng="28448" custLinFactX="-296434" custLinFactNeighborX="-300000" custLinFactNeighborY="22103"/>
      <dgm:spPr>
        <a:prstGeom prst="leftArrow">
          <a:avLst/>
        </a:prstGeom>
      </dgm:spPr>
      <dgm:t>
        <a:bodyPr/>
        <a:lstStyle/>
        <a:p>
          <a:endParaRPr lang="nl-NL"/>
        </a:p>
      </dgm:t>
    </dgm:pt>
    <dgm:pt modelId="{02136F07-489A-4B3B-B204-140B00DC16BE}" type="pres">
      <dgm:prSet presAssocID="{09591802-6D3A-45E0-8CC5-162793B23C98}" presName="connectorText" presStyleLbl="sibTrans2D1" presStyleIdx="3" presStyleCnt="5"/>
      <dgm:spPr/>
      <dgm:t>
        <a:bodyPr/>
        <a:lstStyle/>
        <a:p>
          <a:endParaRPr lang="nl-NL"/>
        </a:p>
      </dgm:t>
    </dgm:pt>
    <dgm:pt modelId="{35BA6233-2E94-492B-9C3A-2FA4FC4E4DD2}" type="pres">
      <dgm:prSet presAssocID="{52EC7E7F-4F2D-40CF-8663-A5227A42AEBF}" presName="node" presStyleLbl="node1" presStyleIdx="4" presStyleCnt="5" custScaleX="206257" custScaleY="206620" custRadScaleRad="168380" custRadScaleInc="-81583">
        <dgm:presLayoutVars>
          <dgm:bulletEnabled val="1"/>
        </dgm:presLayoutVars>
      </dgm:prSet>
      <dgm:spPr>
        <a:prstGeom prst="roundRect">
          <a:avLst>
            <a:gd name="adj" fmla="val 10000"/>
          </a:avLst>
        </a:prstGeom>
      </dgm:spPr>
      <dgm:t>
        <a:bodyPr/>
        <a:lstStyle/>
        <a:p>
          <a:endParaRPr lang="nl-NL"/>
        </a:p>
      </dgm:t>
    </dgm:pt>
    <dgm:pt modelId="{43D6777E-4B6D-41D9-B0C2-E90D7EB2DD8D}" type="pres">
      <dgm:prSet presAssocID="{C1A3DFD8-2641-404D-9D96-D40C4C4E4FAF}" presName="sibTrans" presStyleLbl="sibTrans2D1" presStyleIdx="4" presStyleCnt="5"/>
      <dgm:spPr>
        <a:prstGeom prst="leftArrow">
          <a:avLst/>
        </a:prstGeom>
      </dgm:spPr>
      <dgm:t>
        <a:bodyPr/>
        <a:lstStyle/>
        <a:p>
          <a:endParaRPr lang="nl-NL"/>
        </a:p>
      </dgm:t>
    </dgm:pt>
    <dgm:pt modelId="{12E29D2F-3227-4ABD-89D8-85C418ED10F0}" type="pres">
      <dgm:prSet presAssocID="{C1A3DFD8-2641-404D-9D96-D40C4C4E4FAF}" presName="connectorText" presStyleLbl="sibTrans2D1" presStyleIdx="4" presStyleCnt="5"/>
      <dgm:spPr/>
      <dgm:t>
        <a:bodyPr/>
        <a:lstStyle/>
        <a:p>
          <a:endParaRPr lang="nl-NL"/>
        </a:p>
      </dgm:t>
    </dgm:pt>
  </dgm:ptLst>
  <dgm:cxnLst>
    <dgm:cxn modelId="{587821D0-B375-4E99-BBDE-784E5B599E41}" type="presOf" srcId="{95D6336A-7BE3-4622-84B3-0916B7E4B23C}" destId="{C770FEED-080F-4767-A326-D390930974A4}" srcOrd="0" destOrd="0" presId="urn:microsoft.com/office/officeart/2005/8/layout/cycle7"/>
    <dgm:cxn modelId="{7E25748E-6F03-477C-9BA3-6A890163B2ED}" type="presOf" srcId="{1A22A138-E04D-4300-93E6-99173957242B}" destId="{EE3F168E-B804-4386-965A-516356A101F9}" srcOrd="0" destOrd="0" presId="urn:microsoft.com/office/officeart/2005/8/layout/cycle7"/>
    <dgm:cxn modelId="{40353A4F-F9A9-4EED-82A7-011246787029}" srcId="{B39B32D8-94E1-4BB5-B15C-2E95CEF2CCF1}" destId="{52EC7E7F-4F2D-40CF-8663-A5227A42AEBF}" srcOrd="4" destOrd="0" parTransId="{4FEEE00B-0475-433C-9DA2-0CB6A723A855}" sibTransId="{C1A3DFD8-2641-404D-9D96-D40C4C4E4FAF}"/>
    <dgm:cxn modelId="{3F550C15-D3FC-4033-BDF3-EEA8799426A4}" type="presOf" srcId="{756E32A7-D0BF-43AF-9385-85C60BC7E08A}" destId="{C04E78C4-98BB-4EB5-909B-1371B47F120B}" srcOrd="1" destOrd="0" presId="urn:microsoft.com/office/officeart/2005/8/layout/cycle7"/>
    <dgm:cxn modelId="{38D9F0EB-B900-4F88-8CBC-9AD4D991F471}" srcId="{B39B32D8-94E1-4BB5-B15C-2E95CEF2CCF1}" destId="{EA699123-D73D-4A91-9822-8B32D1EBC1FE}" srcOrd="0" destOrd="0" parTransId="{9F184641-A458-4758-BECC-A10395F9D5F7}" sibTransId="{47F6E5F8-F843-45DE-8BCD-DEBF9E99BE61}"/>
    <dgm:cxn modelId="{00BE6656-7C6E-4042-B43A-591EB8DFAEA7}" type="presOf" srcId="{2AF750F3-4AA4-4288-B6A5-E4B21EB55D79}" destId="{2AD8A4D1-1E9B-461C-ACB9-9EB4C656323B}" srcOrd="0" destOrd="0" presId="urn:microsoft.com/office/officeart/2005/8/layout/cycle7"/>
    <dgm:cxn modelId="{6E495028-24FA-4671-B4B8-753E781E1FC6}" type="presOf" srcId="{52EC7E7F-4F2D-40CF-8663-A5227A42AEBF}" destId="{35BA6233-2E94-492B-9C3A-2FA4FC4E4DD2}" srcOrd="0" destOrd="0" presId="urn:microsoft.com/office/officeart/2005/8/layout/cycle7"/>
    <dgm:cxn modelId="{44C0F4D3-FCA6-4DE0-92F8-DA9D5D2574A8}" type="presOf" srcId="{47F6E5F8-F843-45DE-8BCD-DEBF9E99BE61}" destId="{A8470DE2-92F0-4C54-ABEB-192382148418}" srcOrd="1" destOrd="0" presId="urn:microsoft.com/office/officeart/2005/8/layout/cycle7"/>
    <dgm:cxn modelId="{AB7671DD-FD85-423E-9EE7-CF025FDBAF3C}" type="presOf" srcId="{95D6336A-7BE3-4622-84B3-0916B7E4B23C}" destId="{32CFAEF3-364D-48F4-8E4F-9A3423C15840}" srcOrd="1" destOrd="0" presId="urn:microsoft.com/office/officeart/2005/8/layout/cycle7"/>
    <dgm:cxn modelId="{431F46C0-1BA9-49FE-BC8E-21C8CBF425C0}" srcId="{B39B32D8-94E1-4BB5-B15C-2E95CEF2CCF1}" destId="{1A22A138-E04D-4300-93E6-99173957242B}" srcOrd="1" destOrd="0" parTransId="{69BF97AC-2A47-436F-A784-6CDFAB8713A5}" sibTransId="{95D6336A-7BE3-4622-84B3-0916B7E4B23C}"/>
    <dgm:cxn modelId="{C6CE7415-374A-44D8-8A96-C33B247C117E}" type="presOf" srcId="{09591802-6D3A-45E0-8CC5-162793B23C98}" destId="{984C6407-D136-4DF5-A946-F18EC645FBCB}" srcOrd="0" destOrd="0" presId="urn:microsoft.com/office/officeart/2005/8/layout/cycle7"/>
    <dgm:cxn modelId="{62A508CD-3C0D-417A-A636-E90F179D345E}" type="presOf" srcId="{47F6E5F8-F843-45DE-8BCD-DEBF9E99BE61}" destId="{15161A9A-922B-44B7-8A86-F542FD7B5A59}" srcOrd="0" destOrd="0" presId="urn:microsoft.com/office/officeart/2005/8/layout/cycle7"/>
    <dgm:cxn modelId="{7D053667-B341-472A-B6C4-C0B503D89D63}" type="presOf" srcId="{756E32A7-D0BF-43AF-9385-85C60BC7E08A}" destId="{2F8E79C7-FE46-4A5E-BE01-3BD13B8DAB85}" srcOrd="0" destOrd="0" presId="urn:microsoft.com/office/officeart/2005/8/layout/cycle7"/>
    <dgm:cxn modelId="{C6E76BCC-0C7F-473B-841B-649633F411AA}" srcId="{B39B32D8-94E1-4BB5-B15C-2E95CEF2CCF1}" destId="{2AF750F3-4AA4-4288-B6A5-E4B21EB55D79}" srcOrd="3" destOrd="0" parTransId="{5CEDB754-CA0F-44C0-B753-303A94256818}" sibTransId="{09591802-6D3A-45E0-8CC5-162793B23C98}"/>
    <dgm:cxn modelId="{2594E499-378B-4BA9-A1CD-D1F902DDC5D6}" type="presOf" srcId="{09591802-6D3A-45E0-8CC5-162793B23C98}" destId="{02136F07-489A-4B3B-B204-140B00DC16BE}" srcOrd="1" destOrd="0" presId="urn:microsoft.com/office/officeart/2005/8/layout/cycle7"/>
    <dgm:cxn modelId="{0B4EB6F0-FAC2-44B0-8538-9032AB1C3442}" type="presOf" srcId="{EA699123-D73D-4A91-9822-8B32D1EBC1FE}" destId="{0F978BB4-1082-40C7-8423-3811077C09F7}" srcOrd="0" destOrd="0" presId="urn:microsoft.com/office/officeart/2005/8/layout/cycle7"/>
    <dgm:cxn modelId="{A0B2F41C-3354-41BE-9433-29726E534DE3}" type="presOf" srcId="{C1A3DFD8-2641-404D-9D96-D40C4C4E4FAF}" destId="{43D6777E-4B6D-41D9-B0C2-E90D7EB2DD8D}" srcOrd="0" destOrd="0" presId="urn:microsoft.com/office/officeart/2005/8/layout/cycle7"/>
    <dgm:cxn modelId="{3E2D806C-2172-48F3-99F0-A3A3B6EB8185}" type="presOf" srcId="{ADB937ED-06ED-4918-8624-B226A6B97135}" destId="{DADDED39-67D2-47C5-AD9F-526E3E1473BF}" srcOrd="0" destOrd="0" presId="urn:microsoft.com/office/officeart/2005/8/layout/cycle7"/>
    <dgm:cxn modelId="{D521970F-AB69-4343-8244-4D4A9E9A9818}" type="presOf" srcId="{B39B32D8-94E1-4BB5-B15C-2E95CEF2CCF1}" destId="{5987E658-BCD8-4799-AE73-AC2AA9231703}" srcOrd="0" destOrd="0" presId="urn:microsoft.com/office/officeart/2005/8/layout/cycle7"/>
    <dgm:cxn modelId="{A2856022-0D62-46C0-87DA-62D7B5091A07}" srcId="{B39B32D8-94E1-4BB5-B15C-2E95CEF2CCF1}" destId="{ADB937ED-06ED-4918-8624-B226A6B97135}" srcOrd="2" destOrd="0" parTransId="{A4441538-8310-4133-81E1-0076E628666F}" sibTransId="{756E32A7-D0BF-43AF-9385-85C60BC7E08A}"/>
    <dgm:cxn modelId="{8F2B6C4D-F054-4284-A59C-CBAE10D8543C}" type="presOf" srcId="{C1A3DFD8-2641-404D-9D96-D40C4C4E4FAF}" destId="{12E29D2F-3227-4ABD-89D8-85C418ED10F0}" srcOrd="1" destOrd="0" presId="urn:microsoft.com/office/officeart/2005/8/layout/cycle7"/>
    <dgm:cxn modelId="{B720A919-0FA3-433E-BB93-07D1B57B382B}" type="presParOf" srcId="{5987E658-BCD8-4799-AE73-AC2AA9231703}" destId="{0F978BB4-1082-40C7-8423-3811077C09F7}" srcOrd="0" destOrd="0" presId="urn:microsoft.com/office/officeart/2005/8/layout/cycle7"/>
    <dgm:cxn modelId="{DEDB77E9-FD7F-411C-8BB1-0549FF102DE6}" type="presParOf" srcId="{5987E658-BCD8-4799-AE73-AC2AA9231703}" destId="{15161A9A-922B-44B7-8A86-F542FD7B5A59}" srcOrd="1" destOrd="0" presId="urn:microsoft.com/office/officeart/2005/8/layout/cycle7"/>
    <dgm:cxn modelId="{5AD3F71F-58E9-430A-B181-4A0FAA632D9B}" type="presParOf" srcId="{15161A9A-922B-44B7-8A86-F542FD7B5A59}" destId="{A8470DE2-92F0-4C54-ABEB-192382148418}" srcOrd="0" destOrd="0" presId="urn:microsoft.com/office/officeart/2005/8/layout/cycle7"/>
    <dgm:cxn modelId="{D198AF3A-17DF-4541-867F-20B676DCF8C0}" type="presParOf" srcId="{5987E658-BCD8-4799-AE73-AC2AA9231703}" destId="{EE3F168E-B804-4386-965A-516356A101F9}" srcOrd="2" destOrd="0" presId="urn:microsoft.com/office/officeart/2005/8/layout/cycle7"/>
    <dgm:cxn modelId="{5245934C-4D7D-4B5D-9C84-964F7313D12C}" type="presParOf" srcId="{5987E658-BCD8-4799-AE73-AC2AA9231703}" destId="{C770FEED-080F-4767-A326-D390930974A4}" srcOrd="3" destOrd="0" presId="urn:microsoft.com/office/officeart/2005/8/layout/cycle7"/>
    <dgm:cxn modelId="{76CB1811-9900-490A-84A5-C9117A8D4EF3}" type="presParOf" srcId="{C770FEED-080F-4767-A326-D390930974A4}" destId="{32CFAEF3-364D-48F4-8E4F-9A3423C15840}" srcOrd="0" destOrd="0" presId="urn:microsoft.com/office/officeart/2005/8/layout/cycle7"/>
    <dgm:cxn modelId="{4B1515F1-0432-4E65-8076-3E7C77E715D6}" type="presParOf" srcId="{5987E658-BCD8-4799-AE73-AC2AA9231703}" destId="{DADDED39-67D2-47C5-AD9F-526E3E1473BF}" srcOrd="4" destOrd="0" presId="urn:microsoft.com/office/officeart/2005/8/layout/cycle7"/>
    <dgm:cxn modelId="{E3C197FF-67A1-41D9-9915-0A0EB9144D48}" type="presParOf" srcId="{5987E658-BCD8-4799-AE73-AC2AA9231703}" destId="{2F8E79C7-FE46-4A5E-BE01-3BD13B8DAB85}" srcOrd="5" destOrd="0" presId="urn:microsoft.com/office/officeart/2005/8/layout/cycle7"/>
    <dgm:cxn modelId="{473D6204-1A2C-4C1F-B96F-276DB1278FB1}" type="presParOf" srcId="{2F8E79C7-FE46-4A5E-BE01-3BD13B8DAB85}" destId="{C04E78C4-98BB-4EB5-909B-1371B47F120B}" srcOrd="0" destOrd="0" presId="urn:microsoft.com/office/officeart/2005/8/layout/cycle7"/>
    <dgm:cxn modelId="{98ED8805-ED73-433C-AC4D-36E9B472B986}" type="presParOf" srcId="{5987E658-BCD8-4799-AE73-AC2AA9231703}" destId="{2AD8A4D1-1E9B-461C-ACB9-9EB4C656323B}" srcOrd="6" destOrd="0" presId="urn:microsoft.com/office/officeart/2005/8/layout/cycle7"/>
    <dgm:cxn modelId="{F3104D54-5BC9-4E44-9760-4BEC94EFB97C}" type="presParOf" srcId="{5987E658-BCD8-4799-AE73-AC2AA9231703}" destId="{984C6407-D136-4DF5-A946-F18EC645FBCB}" srcOrd="7" destOrd="0" presId="urn:microsoft.com/office/officeart/2005/8/layout/cycle7"/>
    <dgm:cxn modelId="{B520FEB7-5EC4-4E69-914E-00DCB50F9FBF}" type="presParOf" srcId="{984C6407-D136-4DF5-A946-F18EC645FBCB}" destId="{02136F07-489A-4B3B-B204-140B00DC16BE}" srcOrd="0" destOrd="0" presId="urn:microsoft.com/office/officeart/2005/8/layout/cycle7"/>
    <dgm:cxn modelId="{95202721-754C-49AE-A210-72D50C9D7562}" type="presParOf" srcId="{5987E658-BCD8-4799-AE73-AC2AA9231703}" destId="{35BA6233-2E94-492B-9C3A-2FA4FC4E4DD2}" srcOrd="8" destOrd="0" presId="urn:microsoft.com/office/officeart/2005/8/layout/cycle7"/>
    <dgm:cxn modelId="{58D5A8EA-144C-4783-80B2-78C2A860A894}" type="presParOf" srcId="{5987E658-BCD8-4799-AE73-AC2AA9231703}" destId="{43D6777E-4B6D-41D9-B0C2-E90D7EB2DD8D}" srcOrd="9" destOrd="0" presId="urn:microsoft.com/office/officeart/2005/8/layout/cycle7"/>
    <dgm:cxn modelId="{A575A5F2-6DB6-4929-B472-8C5A0A50ECC5}" type="presParOf" srcId="{43D6777E-4B6D-41D9-B0C2-E90D7EB2DD8D}" destId="{12E29D2F-3227-4ABD-89D8-85C418ED10F0}" srcOrd="0" destOrd="0" presId="urn:microsoft.com/office/officeart/2005/8/layout/cycle7"/>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978BB4-1082-40C7-8423-3811077C09F7}">
      <dsp:nvSpPr>
        <dsp:cNvPr id="0" name=""/>
        <dsp:cNvSpPr/>
      </dsp:nvSpPr>
      <dsp:spPr>
        <a:xfrm>
          <a:off x="382503" y="169815"/>
          <a:ext cx="1762555" cy="882828"/>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Independent variable</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 X conceptual </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Industry Differences</a:t>
          </a:r>
        </a:p>
      </dsp:txBody>
      <dsp:txXfrm>
        <a:off x="382503" y="169815"/>
        <a:ext cx="1762555" cy="882828"/>
      </dsp:txXfrm>
    </dsp:sp>
    <dsp:sp modelId="{15161A9A-922B-44B7-8A86-F542FD7B5A59}">
      <dsp:nvSpPr>
        <dsp:cNvPr id="0" name=""/>
        <dsp:cNvSpPr/>
      </dsp:nvSpPr>
      <dsp:spPr>
        <a:xfrm rot="3183">
          <a:off x="2235208" y="537448"/>
          <a:ext cx="198668" cy="149545"/>
        </a:xfrm>
        <a:prstGeom prst="right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l-NL" sz="600" kern="1200">
            <a:solidFill>
              <a:sysClr val="window" lastClr="FFFFFF"/>
            </a:solidFill>
            <a:latin typeface="Calibri"/>
            <a:ea typeface="+mn-ea"/>
            <a:cs typeface="+mn-cs"/>
          </a:endParaRPr>
        </a:p>
      </dsp:txBody>
      <dsp:txXfrm rot="3183">
        <a:off x="2235208" y="537448"/>
        <a:ext cx="198668" cy="149545"/>
      </dsp:txXfrm>
    </dsp:sp>
    <dsp:sp modelId="{EE3F168E-B804-4386-965A-516356A101F9}">
      <dsp:nvSpPr>
        <dsp:cNvPr id="0" name=""/>
        <dsp:cNvSpPr/>
      </dsp:nvSpPr>
      <dsp:spPr>
        <a:xfrm>
          <a:off x="2524027" y="171798"/>
          <a:ext cx="1762555" cy="882828"/>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Dependent variable</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Y conceptual</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IT control quality</a:t>
          </a:r>
        </a:p>
      </dsp:txBody>
      <dsp:txXfrm>
        <a:off x="2524027" y="171798"/>
        <a:ext cx="1762555" cy="882828"/>
      </dsp:txXfrm>
    </dsp:sp>
    <dsp:sp modelId="{C770FEED-080F-4767-A326-D390930974A4}">
      <dsp:nvSpPr>
        <dsp:cNvPr id="0" name=""/>
        <dsp:cNvSpPr/>
      </dsp:nvSpPr>
      <dsp:spPr>
        <a:xfrm rot="5353827">
          <a:off x="3313567" y="1104011"/>
          <a:ext cx="198668" cy="149545"/>
        </a:xfrm>
        <a:prstGeom prst="right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l-NL" sz="600" kern="1200">
            <a:solidFill>
              <a:sysClr val="window" lastClr="FFFFFF"/>
            </a:solidFill>
            <a:latin typeface="Calibri"/>
            <a:ea typeface="+mn-ea"/>
            <a:cs typeface="+mn-cs"/>
          </a:endParaRPr>
        </a:p>
      </dsp:txBody>
      <dsp:txXfrm rot="5353827">
        <a:off x="3313567" y="1104011"/>
        <a:ext cx="198668" cy="149545"/>
      </dsp:txXfrm>
    </dsp:sp>
    <dsp:sp modelId="{DADDED39-67D2-47C5-AD9F-526E3E1473BF}">
      <dsp:nvSpPr>
        <dsp:cNvPr id="0" name=""/>
        <dsp:cNvSpPr/>
      </dsp:nvSpPr>
      <dsp:spPr>
        <a:xfrm>
          <a:off x="2539220" y="1302940"/>
          <a:ext cx="1762555" cy="882828"/>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Y operational</a:t>
          </a:r>
        </a:p>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IT control weaknesses disclosed </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under SOX Section 404</a:t>
          </a:r>
        </a:p>
      </dsp:txBody>
      <dsp:txXfrm>
        <a:off x="2539220" y="1302940"/>
        <a:ext cx="1762555" cy="882828"/>
      </dsp:txXfrm>
    </dsp:sp>
    <dsp:sp modelId="{2F8E79C7-FE46-4A5E-BE01-3BD13B8DAB85}">
      <dsp:nvSpPr>
        <dsp:cNvPr id="0" name=""/>
        <dsp:cNvSpPr/>
      </dsp:nvSpPr>
      <dsp:spPr>
        <a:xfrm rot="21268044">
          <a:off x="4436308" y="1561565"/>
          <a:ext cx="198668" cy="149545"/>
        </a:xfrm>
        <a:prstGeom prst="left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l-NL" sz="600" kern="1200">
            <a:solidFill>
              <a:sysClr val="window" lastClr="FFFFFF"/>
            </a:solidFill>
            <a:latin typeface="Calibri"/>
            <a:ea typeface="+mn-ea"/>
            <a:cs typeface="+mn-cs"/>
          </a:endParaRPr>
        </a:p>
      </dsp:txBody>
      <dsp:txXfrm rot="21268044">
        <a:off x="4436308" y="1561565"/>
        <a:ext cx="198668" cy="149545"/>
      </dsp:txXfrm>
    </dsp:sp>
    <dsp:sp modelId="{2AD8A4D1-1E9B-461C-ACB9-9EB4C656323B}">
      <dsp:nvSpPr>
        <dsp:cNvPr id="0" name=""/>
        <dsp:cNvSpPr/>
      </dsp:nvSpPr>
      <dsp:spPr>
        <a:xfrm>
          <a:off x="4769509" y="1011743"/>
          <a:ext cx="1115708" cy="109581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Control variables:</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Firm size</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Firm age</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Leverage</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Return on Assets</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Number of segments</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Foreign transactions</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Big 4 audited</a:t>
          </a:r>
          <a:br>
            <a:rPr lang="nl-NL" sz="900" kern="1200">
              <a:solidFill>
                <a:sysClr val="window" lastClr="FFFFFF"/>
              </a:solidFill>
              <a:latin typeface="Calibri"/>
              <a:ea typeface="+mn-ea"/>
              <a:cs typeface="+mn-cs"/>
            </a:rPr>
          </a:br>
          <a:endParaRPr lang="nl-NL" sz="900" kern="1200">
            <a:solidFill>
              <a:sysClr val="window" lastClr="FFFFFF"/>
            </a:solidFill>
            <a:latin typeface="Calibri"/>
            <a:ea typeface="+mn-ea"/>
            <a:cs typeface="+mn-cs"/>
          </a:endParaRPr>
        </a:p>
      </dsp:txBody>
      <dsp:txXfrm>
        <a:off x="4769509" y="1011743"/>
        <a:ext cx="1115708" cy="1095810"/>
      </dsp:txXfrm>
    </dsp:sp>
    <dsp:sp modelId="{984C6407-D136-4DF5-A946-F18EC645FBCB}">
      <dsp:nvSpPr>
        <dsp:cNvPr id="0" name=""/>
        <dsp:cNvSpPr/>
      </dsp:nvSpPr>
      <dsp:spPr>
        <a:xfrm rot="10659632">
          <a:off x="2164483" y="1610257"/>
          <a:ext cx="198668" cy="149545"/>
        </a:xfrm>
        <a:prstGeom prst="left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l-NL" sz="600" kern="1200">
            <a:solidFill>
              <a:sysClr val="window" lastClr="FFFFFF"/>
            </a:solidFill>
            <a:latin typeface="Calibri"/>
            <a:ea typeface="+mn-ea"/>
            <a:cs typeface="+mn-cs"/>
          </a:endParaRPr>
        </a:p>
      </dsp:txBody>
      <dsp:txXfrm rot="10659632">
        <a:off x="2164483" y="1610257"/>
        <a:ext cx="198668" cy="149545"/>
      </dsp:txXfrm>
    </dsp:sp>
    <dsp:sp modelId="{35BA6233-2E94-492B-9C3A-2FA4FC4E4DD2}">
      <dsp:nvSpPr>
        <dsp:cNvPr id="0" name=""/>
        <dsp:cNvSpPr/>
      </dsp:nvSpPr>
      <dsp:spPr>
        <a:xfrm>
          <a:off x="365425" y="1318783"/>
          <a:ext cx="1762555" cy="882828"/>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X operational</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A) Complex/non-complex fin. reporting industry </a:t>
          </a:r>
        </a:p>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B) Competitive/ non-competitive industry</a:t>
          </a:r>
        </a:p>
      </dsp:txBody>
      <dsp:txXfrm>
        <a:off x="365425" y="1318783"/>
        <a:ext cx="1762555" cy="882828"/>
      </dsp:txXfrm>
    </dsp:sp>
    <dsp:sp modelId="{43D6777E-4B6D-41D9-B0C2-E90D7EB2DD8D}">
      <dsp:nvSpPr>
        <dsp:cNvPr id="0" name=""/>
        <dsp:cNvSpPr/>
      </dsp:nvSpPr>
      <dsp:spPr>
        <a:xfrm rot="16251095">
          <a:off x="1155907" y="1110941"/>
          <a:ext cx="198668" cy="149545"/>
        </a:xfrm>
        <a:prstGeom prst="left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l-NL" sz="600" kern="1200">
            <a:solidFill>
              <a:sysClr val="window" lastClr="FFFFFF"/>
            </a:solidFill>
            <a:latin typeface="Calibri"/>
            <a:ea typeface="+mn-ea"/>
            <a:cs typeface="+mn-cs"/>
          </a:endParaRPr>
        </a:p>
      </dsp:txBody>
      <dsp:txXfrm rot="16251095">
        <a:off x="1155907" y="1110941"/>
        <a:ext cx="198668" cy="14954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978BB4-1082-40C7-8423-3811077C09F7}">
      <dsp:nvSpPr>
        <dsp:cNvPr id="0" name=""/>
        <dsp:cNvSpPr/>
      </dsp:nvSpPr>
      <dsp:spPr>
        <a:xfrm>
          <a:off x="361537" y="93178"/>
          <a:ext cx="1775562" cy="889343"/>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Independent variable</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 X conceptual </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(Implementation problems caused by)</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Restructuring of the organization</a:t>
          </a:r>
        </a:p>
      </dsp:txBody>
      <dsp:txXfrm>
        <a:off x="361537" y="93178"/>
        <a:ext cx="1775562" cy="889343"/>
      </dsp:txXfrm>
    </dsp:sp>
    <dsp:sp modelId="{15161A9A-922B-44B7-8A86-F542FD7B5A59}">
      <dsp:nvSpPr>
        <dsp:cNvPr id="0" name=""/>
        <dsp:cNvSpPr/>
      </dsp:nvSpPr>
      <dsp:spPr>
        <a:xfrm rot="3183">
          <a:off x="2227903" y="463524"/>
          <a:ext cx="200115" cy="150648"/>
        </a:xfrm>
        <a:prstGeom prst="right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l-NL" sz="600" kern="1200">
            <a:solidFill>
              <a:sysClr val="window" lastClr="FFFFFF"/>
            </a:solidFill>
            <a:latin typeface="Calibri"/>
            <a:ea typeface="+mn-ea"/>
            <a:cs typeface="+mn-cs"/>
          </a:endParaRPr>
        </a:p>
      </dsp:txBody>
      <dsp:txXfrm rot="3183">
        <a:off x="2227903" y="463524"/>
        <a:ext cx="200115" cy="150648"/>
      </dsp:txXfrm>
    </dsp:sp>
    <dsp:sp modelId="{EE3F168E-B804-4386-965A-516356A101F9}">
      <dsp:nvSpPr>
        <dsp:cNvPr id="0" name=""/>
        <dsp:cNvSpPr/>
      </dsp:nvSpPr>
      <dsp:spPr>
        <a:xfrm>
          <a:off x="2518821" y="95175"/>
          <a:ext cx="1775562" cy="889343"/>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Dependent variable</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Y conceptual</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IT control quality</a:t>
          </a:r>
        </a:p>
      </dsp:txBody>
      <dsp:txXfrm>
        <a:off x="2518821" y="95175"/>
        <a:ext cx="1775562" cy="889343"/>
      </dsp:txXfrm>
    </dsp:sp>
    <dsp:sp modelId="{C770FEED-080F-4767-A326-D390930974A4}">
      <dsp:nvSpPr>
        <dsp:cNvPr id="0" name=""/>
        <dsp:cNvSpPr/>
      </dsp:nvSpPr>
      <dsp:spPr>
        <a:xfrm rot="5353827">
          <a:off x="3314197" y="1034256"/>
          <a:ext cx="200115" cy="150648"/>
        </a:xfrm>
        <a:prstGeom prst="right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l-NL" sz="600" kern="1200">
            <a:solidFill>
              <a:sysClr val="window" lastClr="FFFFFF"/>
            </a:solidFill>
            <a:latin typeface="Calibri"/>
            <a:ea typeface="+mn-ea"/>
            <a:cs typeface="+mn-cs"/>
          </a:endParaRPr>
        </a:p>
      </dsp:txBody>
      <dsp:txXfrm rot="5353827">
        <a:off x="3314197" y="1034256"/>
        <a:ext cx="200115" cy="150648"/>
      </dsp:txXfrm>
    </dsp:sp>
    <dsp:sp modelId="{DADDED39-67D2-47C5-AD9F-526E3E1473BF}">
      <dsp:nvSpPr>
        <dsp:cNvPr id="0" name=""/>
        <dsp:cNvSpPr/>
      </dsp:nvSpPr>
      <dsp:spPr>
        <a:xfrm>
          <a:off x="2534126" y="1234641"/>
          <a:ext cx="1775562" cy="889343"/>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Y operational</a:t>
          </a:r>
        </a:p>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IT control weaknesses disclosed </a:t>
          </a:r>
        </a:p>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under SOX Section 404</a:t>
          </a:r>
        </a:p>
        <a:p>
          <a:pPr lvl="0" algn="ctr" defTabSz="400050">
            <a:lnSpc>
              <a:spcPct val="90000"/>
            </a:lnSpc>
            <a:spcBef>
              <a:spcPct val="0"/>
            </a:spcBef>
            <a:spcAft>
              <a:spcPct val="35000"/>
            </a:spcAft>
          </a:pPr>
          <a:endParaRPr lang="nl-NL" sz="900" kern="1200">
            <a:solidFill>
              <a:sysClr val="window" lastClr="FFFFFF"/>
            </a:solidFill>
            <a:latin typeface="Calibri"/>
            <a:ea typeface="+mn-ea"/>
            <a:cs typeface="+mn-cs"/>
          </a:endParaRPr>
        </a:p>
      </dsp:txBody>
      <dsp:txXfrm>
        <a:off x="2534126" y="1234641"/>
        <a:ext cx="1775562" cy="889343"/>
      </dsp:txXfrm>
    </dsp:sp>
    <dsp:sp modelId="{2F8E79C7-FE46-4A5E-BE01-3BD13B8DAB85}">
      <dsp:nvSpPr>
        <dsp:cNvPr id="0" name=""/>
        <dsp:cNvSpPr/>
      </dsp:nvSpPr>
      <dsp:spPr>
        <a:xfrm rot="21268044">
          <a:off x="4456158" y="1494116"/>
          <a:ext cx="200115" cy="150648"/>
        </a:xfrm>
        <a:prstGeom prst="left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l-NL" sz="600" kern="1200">
            <a:solidFill>
              <a:sysClr val="window" lastClr="FFFFFF"/>
            </a:solidFill>
            <a:latin typeface="Calibri"/>
            <a:ea typeface="+mn-ea"/>
            <a:cs typeface="+mn-cs"/>
          </a:endParaRPr>
        </a:p>
      </dsp:txBody>
      <dsp:txXfrm rot="21268044">
        <a:off x="4456158" y="1494116"/>
        <a:ext cx="200115" cy="150648"/>
      </dsp:txXfrm>
    </dsp:sp>
    <dsp:sp modelId="{2AD8A4D1-1E9B-461C-ACB9-9EB4C656323B}">
      <dsp:nvSpPr>
        <dsp:cNvPr id="0" name=""/>
        <dsp:cNvSpPr/>
      </dsp:nvSpPr>
      <dsp:spPr>
        <a:xfrm>
          <a:off x="4802743" y="785632"/>
          <a:ext cx="1080125" cy="1415232"/>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Control variables:</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Firm size</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Firm age</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Leverage</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Return on Assets</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Number of segments</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Foreign transactions</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Big 4 audited</a:t>
          </a:r>
          <a:br>
            <a:rPr lang="nl-NL" sz="900" kern="1200">
              <a:solidFill>
                <a:sysClr val="window" lastClr="FFFFFF"/>
              </a:solidFill>
              <a:latin typeface="Calibri"/>
              <a:ea typeface="+mn-ea"/>
              <a:cs typeface="+mn-cs"/>
            </a:rPr>
          </a:br>
          <a:endParaRPr lang="nl-NL" sz="900" kern="1200">
            <a:solidFill>
              <a:sysClr val="window" lastClr="FFFFFF"/>
            </a:solidFill>
            <a:latin typeface="Calibri"/>
            <a:ea typeface="+mn-ea"/>
            <a:cs typeface="+mn-cs"/>
          </a:endParaRPr>
        </a:p>
      </dsp:txBody>
      <dsp:txXfrm>
        <a:off x="4802743" y="785632"/>
        <a:ext cx="1080125" cy="1415232"/>
      </dsp:txXfrm>
    </dsp:sp>
    <dsp:sp modelId="{984C6407-D136-4DF5-A946-F18EC645FBCB}">
      <dsp:nvSpPr>
        <dsp:cNvPr id="0" name=""/>
        <dsp:cNvSpPr/>
      </dsp:nvSpPr>
      <dsp:spPr>
        <a:xfrm rot="10659632">
          <a:off x="2167703" y="1543690"/>
          <a:ext cx="200115" cy="150648"/>
        </a:xfrm>
        <a:prstGeom prst="left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l-NL" sz="600" kern="1200">
            <a:solidFill>
              <a:sysClr val="window" lastClr="FFFFFF"/>
            </a:solidFill>
            <a:latin typeface="Calibri"/>
            <a:ea typeface="+mn-ea"/>
            <a:cs typeface="+mn-cs"/>
          </a:endParaRPr>
        </a:p>
      </dsp:txBody>
      <dsp:txXfrm rot="10659632">
        <a:off x="2167703" y="1543690"/>
        <a:ext cx="200115" cy="150648"/>
      </dsp:txXfrm>
    </dsp:sp>
    <dsp:sp modelId="{35BA6233-2E94-492B-9C3A-2FA4FC4E4DD2}">
      <dsp:nvSpPr>
        <dsp:cNvPr id="0" name=""/>
        <dsp:cNvSpPr/>
      </dsp:nvSpPr>
      <dsp:spPr>
        <a:xfrm>
          <a:off x="344333" y="1250601"/>
          <a:ext cx="1775562" cy="889343"/>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a:solidFill>
                <a:sysClr val="window" lastClr="FFFFFF"/>
              </a:solidFill>
              <a:latin typeface="Calibri"/>
              <a:ea typeface="+mn-ea"/>
              <a:cs typeface="+mn-cs"/>
            </a:rPr>
            <a:t>X operational</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Restructuring costs</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a) existence in same year (dummy)</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b) scaled restructing costs</a:t>
          </a:r>
          <a:br>
            <a:rPr lang="nl-NL" sz="900" kern="1200">
              <a:solidFill>
                <a:sysClr val="window" lastClr="FFFFFF"/>
              </a:solidFill>
              <a:latin typeface="Calibri"/>
              <a:ea typeface="+mn-ea"/>
              <a:cs typeface="+mn-cs"/>
            </a:rPr>
          </a:br>
          <a:r>
            <a:rPr lang="nl-NL" sz="900" kern="1200">
              <a:solidFill>
                <a:sysClr val="window" lastClr="FFFFFF"/>
              </a:solidFill>
              <a:latin typeface="Calibri"/>
              <a:ea typeface="+mn-ea"/>
              <a:cs typeface="+mn-cs"/>
            </a:rPr>
            <a:t>c) existence in period 2004-2011 (dummy)</a:t>
          </a:r>
        </a:p>
      </dsp:txBody>
      <dsp:txXfrm>
        <a:off x="344333" y="1250601"/>
        <a:ext cx="1775562" cy="889343"/>
      </dsp:txXfrm>
    </dsp:sp>
    <dsp:sp modelId="{43D6777E-4B6D-41D9-B0C2-E90D7EB2DD8D}">
      <dsp:nvSpPr>
        <dsp:cNvPr id="0" name=""/>
        <dsp:cNvSpPr/>
      </dsp:nvSpPr>
      <dsp:spPr>
        <a:xfrm rot="16251095">
          <a:off x="1140659" y="1041237"/>
          <a:ext cx="200115" cy="150648"/>
        </a:xfrm>
        <a:prstGeom prst="left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l-NL" sz="600" kern="1200">
            <a:solidFill>
              <a:sysClr val="window" lastClr="FFFFFF"/>
            </a:solidFill>
            <a:latin typeface="Calibri"/>
            <a:ea typeface="+mn-ea"/>
            <a:cs typeface="+mn-cs"/>
          </a:endParaRPr>
        </a:p>
      </dsp:txBody>
      <dsp:txXfrm rot="16251095">
        <a:off x="1140659" y="1041237"/>
        <a:ext cx="200115" cy="150648"/>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Bli24</b:Tag>
    <b:SourceType>ArticleInAPeriodical</b:SourceType>
    <b:Guid>{85CFF4A2-55F8-441E-B9E4-4559FCAECFDD}</b:Guid>
    <b:Author>
      <b:Author>
        <b:NameList>
          <b:Person>
            <b:Last>Bliss</b:Last>
            <b:First>J.H.</b:First>
          </b:Person>
        </b:NameList>
      </b:Author>
    </b:Author>
    <b:Title>Management through Accounts</b:Title>
    <b:Year>1924</b:Year>
    <b:PeriodicalTitle>The Ronald Press Co.</b:PeriodicalTitle>
    <b:RefOrder>1</b:RefOrder>
  </b:Source>
  <b:Source>
    <b:Tag>RLW03</b:Tag>
    <b:SourceType>JournalArticle</b:SourceType>
    <b:Guid>{C1A34A0A-3904-4E10-90DB-0132DD8DC7E8}</b:Guid>
    <b:Author>
      <b:Author>
        <b:NameList>
          <b:Person>
            <b:Last>Watts</b:Last>
            <b:First>R.L.</b:First>
          </b:Person>
        </b:NameList>
      </b:Author>
    </b:Author>
    <b:Title>Conservatism in Accounting Part I: Explanations and Implications</b:Title>
    <b:Year>2003</b:Year>
    <b:Pages>207-221</b:Pages>
    <b:JournalName>Accounting Horizons</b:JournalName>
    <b:RefOrder>3</b:RefOrder>
  </b:Source>
  <b:Source>
    <b:Tag>Anw13</b:Tag>
    <b:SourceType>JournalArticle</b:SourceType>
    <b:Guid>{274CDF97-164F-4526-9094-1FEC486A2780}</b:Guid>
    <b:Author>
      <b:Author>
        <b:NameList>
          <b:Person>
            <b:Last>Ahmed</b:Last>
            <b:First>Anwer</b:First>
            <b:Middle>S.</b:Middle>
          </b:Person>
          <b:Person>
            <b:Last>Deullman</b:Last>
            <b:First>Scott</b:First>
          </b:Person>
        </b:NameList>
      </b:Author>
    </b:Author>
    <b:Title>Managerial overconfidence and Accounting conservatism</b:Title>
    <b:JournalName>Journal of Accounting Research</b:JournalName>
    <b:Year>2013</b:Year>
    <b:Pages>1-30</b:Pages>
    <b:RefOrder>4</b:RefOrder>
  </b:Source>
  <b:Source>
    <b:Tag>Dan07</b:Tag>
    <b:SourceType>JournalArticle</b:SourceType>
    <b:Guid>{727B81F0-DD80-4BDC-A032-2E4D59B0EC50}</b:Guid>
    <b:Author>
      <b:Author>
        <b:NameList>
          <b:Person>
            <b:Last>Givoly</b:Last>
            <b:First>D.</b:First>
          </b:Person>
          <b:Person>
            <b:Last>Hayn</b:Last>
            <b:First>C.K.</b:First>
          </b:Person>
          <b:Person>
            <b:Last>Natarajan</b:Last>
            <b:First>A.</b:First>
          </b:Person>
        </b:NameList>
      </b:Author>
    </b:Author>
    <b:Title>Measuring reporting conservatism</b:Title>
    <b:JournalName>The Accounting Review</b:JournalName>
    <b:Year>2007</b:Year>
    <b:Pages>65-106</b:Pages>
    <b:RefOrder>5</b:RefOrder>
  </b:Source>
  <b:Source>
    <b:Tag>JRD07</b:Tag>
    <b:SourceType>JournalArticle</b:SourceType>
    <b:Guid>{07B9C7E1-0151-4DF6-8C3D-009166AA9BC0}</b:Guid>
    <b:Author>
      <b:Author>
        <b:NameList>
          <b:Person>
            <b:Last>Dietrich</b:Last>
            <b:First>J.R.</b:First>
          </b:Person>
          <b:Person>
            <b:Last>Muller III</b:Last>
            <b:First>K.A.</b:First>
          </b:Person>
          <b:Person>
            <b:Last>Riedell</b:Last>
            <b:First>E.J.</b:First>
          </b:Person>
        </b:NameList>
      </b:Author>
    </b:Author>
    <b:Title>Asymmetric timeliness tests of accounting conservatism</b:Title>
    <b:JournalName>Review of Accounting studies</b:JournalName>
    <b:Year>2007</b:Year>
    <b:Pages>95-124</b:Pages>
    <b:RefOrder>6</b:RefOrder>
  </b:Source>
  <b:Source>
    <b:Tag>Pan11</b:Tag>
    <b:SourceType>JournalArticle</b:SourceType>
    <b:Guid>{D2856C22-15A6-40B6-9BE9-A1897ABD9EF6}</b:Guid>
    <b:Author>
      <b:Author>
        <b:NameList>
          <b:Person>
            <b:Last>Patatoukas</b:Last>
            <b:First>P.N.</b:First>
          </b:Person>
          <b:Person>
            <b:Last>Thomas</b:Last>
            <b:First>J.K.</b:First>
          </b:Person>
        </b:NameList>
      </b:Author>
    </b:Author>
    <b:Title>More Evidence of Bias in the Differential</b:Title>
    <b:JournalName>The Accounting Review</b:JournalName>
    <b:Year>2011</b:Year>
    <b:Pages>1765-1793</b:Pages>
    <b:RefOrder>7</b:RefOrder>
  </b:Source>
  <b:Source>
    <b:Tag>Sud11</b:Tag>
    <b:SourceType>JournalArticle</b:SourceType>
    <b:Guid>{A86FB202-F7C1-4713-81BA-9CF674DFAC78}</b:Guid>
    <b:Author>
      <b:Author>
        <b:NameList>
          <b:Person>
            <b:Last>Balachandran</b:Last>
            <b:First>S.</b:First>
          </b:Person>
          <b:Person>
            <b:Last>Mohanram</b:Last>
            <b:First>P.</b:First>
          </b:Person>
        </b:NameList>
      </b:Author>
    </b:Author>
    <b:Title>Is the decline in the value relevance of accounting</b:Title>
    <b:JournalName>Review of Accounting Studies</b:JournalName>
    <b:Year>2011</b:Year>
    <b:Pages>272-301</b:Pages>
    <b:RefOrder>8</b:RefOrder>
  </b:Source>
  <b:Source>
    <b:Tag>Giv00</b:Tag>
    <b:SourceType>JournalArticle</b:SourceType>
    <b:Guid>{283E6568-41C8-4CCD-A3FD-271041C2E805}</b:Guid>
    <b:Author>
      <b:Author>
        <b:NameList>
          <b:Person>
            <b:Last>Givoly</b:Last>
            <b:First>D.</b:First>
          </b:Person>
          <b:Person>
            <b:Last>Hayn</b:Last>
            <b:First>C.</b:First>
          </b:Person>
        </b:NameList>
      </b:Author>
    </b:Author>
    <b:Title>The changing time-series properties of earnings, cash flows and accruals: Has financial reporting become more conservative?</b:Title>
    <b:JournalName>Journal of Accounting and Economics</b:JournalName>
    <b:Year>2000</b:Year>
    <b:Pages>287-320</b:Pages>
    <b:RefOrder>9</b:RefOrder>
  </b:Source>
  <b:Source>
    <b:Tag>Kha09</b:Tag>
    <b:SourceType>JournalArticle</b:SourceType>
    <b:Guid>{B1F0F89F-CDB8-4312-BFC6-0FFFA7042421}</b:Guid>
    <b:Author>
      <b:Author>
        <b:NameList>
          <b:Person>
            <b:Last>Khan</b:Last>
            <b:First>M.</b:First>
          </b:Person>
          <b:Person>
            <b:Last>Watts</b:Last>
            <b:First>R.L.</b:First>
          </b:Person>
        </b:NameList>
      </b:Author>
    </b:Author>
    <b:Title>Estimationandempiricalpropertiesofafirm-yearmeasure</b:Title>
    <b:JournalName>Journal of Accounting and Economics</b:JournalName>
    <b:Year>2009</b:Year>
    <b:Pages>132-150</b:Pages>
    <b:RefOrder>10</b:RefOrder>
  </b:Source>
  <b:Source>
    <b:Tag>Bas97</b:Tag>
    <b:SourceType>JournalArticle</b:SourceType>
    <b:Guid>{193A6564-FE6A-4649-8462-1C0748AD9BF0}</b:Guid>
    <b:Author>
      <b:Author>
        <b:NameList>
          <b:Person>
            <b:Last>Basu</b:Last>
            <b:First>S.</b:First>
          </b:Person>
        </b:NameList>
      </b:Author>
    </b:Author>
    <b:Title>The conservatism principle and the asymmetric timeliness of earnings</b:Title>
    <b:JournalName>Journal of Accounting and Economics</b:JournalName>
    <b:Year>1997</b:Year>
    <b:Pages>3-37</b:Pages>
    <b:RefOrder>11</b:RefOrder>
  </b:Source>
  <b:Source>
    <b:Tag>RBa05</b:Tag>
    <b:SourceType>JournalArticle</b:SourceType>
    <b:Guid>{2A5343F8-64BF-4D36-8A59-388E6F5B31DC}</b:Guid>
    <b:Author>
      <b:Author>
        <b:NameList>
          <b:Person>
            <b:Last>Ball</b:Last>
          </b:Person>
          <b:Person>
            <b:Last>Shivakumar</b:Last>
          </b:Person>
        </b:NameList>
      </b:Author>
    </b:Author>
    <b:Title>The Role of Accruals in asymmetrically timely gain and loss recognition</b:Title>
    <b:JournalName>Journal of Accounting Research</b:JournalName>
    <b:Year>2005</b:Year>
    <b:Pages>207-242</b:Pages>
    <b:RefOrder>12</b:RefOrder>
  </b:Source>
  <b:Source>
    <b:Tag>Bea05</b:Tag>
    <b:SourceType>JournalArticle</b:SourceType>
    <b:Guid>{7A5D89D8-07AA-4CDF-967A-AA5B1B1AF021}</b:Guid>
    <b:Author>
      <b:Author>
        <b:NameList>
          <b:Person>
            <b:Last>Beaver</b:Last>
            <b:First>W.A.</b:First>
          </b:Person>
          <b:Person>
            <b:Last>Ryan</b:Last>
            <b:First>S.G.</b:First>
          </b:Person>
        </b:NameList>
      </b:Author>
    </b:Author>
    <b:Title>Conditional and unconditional conservatism: concepts and modeling</b:Title>
    <b:JournalName>Review of Accounting Studies</b:JournalName>
    <b:Year>2005</b:Year>
    <b:Pages>269-309</b:Pages>
    <b:RefOrder>13</b:RefOrder>
  </b:Source>
  <b:Source>
    <b:Tag>Fel10</b:Tag>
    <b:SourceType>JournalArticle</b:SourceType>
    <b:Guid>{DF106ECA-56F5-4A92-B0DF-FD47B6CD6305}</b:Guid>
    <b:Author>
      <b:Author>
        <b:NameList>
          <b:Person>
            <b:Last>Feldmann</b:Last>
            <b:First>D.A.</b:First>
          </b:Person>
          <b:Person>
            <b:Last>Read</b:Last>
            <b:First>W.J.</b:First>
          </b:Person>
        </b:NameList>
      </b:Author>
    </b:Author>
    <b:Title>Auditor Conservatism after Enron</b:Title>
    <b:JournalName>Auditing: A Journal of Practice &amp; Theory</b:JournalName>
    <b:Year>2010</b:Year>
    <b:Pages>267-278</b:Pages>
    <b:RefOrder>14</b:RefOrder>
  </b:Source>
  <b:Source>
    <b:Tag>Rez</b:Tag>
    <b:SourceType>JournalArticle</b:SourceType>
    <b:Guid>{9885F6A6-83DE-42D9-AA97-0C2BC73C1B96}</b:Guid>
    <b:Author>
      <b:Author>
        <b:NameList>
          <b:Person>
            <b:Last>Rezaee</b:Last>
            <b:First>Zabihollah</b:First>
          </b:Person>
        </b:NameList>
      </b:Author>
    </b:Author>
    <b:Title>The Importance of internal audit opinions</b:Title>
    <b:JournalName>Internal Auditor</b:JournalName>
    <b:Year>2010</b:Year>
    <b:Pages>47-50</b:Pages>
    <b:RefOrder>2</b:RefOrder>
  </b:Source>
</b:Sources>
</file>

<file path=customXml/itemProps1.xml><?xml version="1.0" encoding="utf-8"?>
<ds:datastoreItem xmlns:ds="http://schemas.openxmlformats.org/officeDocument/2006/customXml" ds:itemID="{BE9DAE54-A757-4366-8845-B19D940E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24209</Words>
  <Characters>137993</Characters>
  <Application>Microsoft Office Word</Application>
  <DocSecurity>0</DocSecurity>
  <Lines>1149</Lines>
  <Paragraphs>323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 Benner</dc:creator>
  <cp:lastModifiedBy>Chris D. Knoops</cp:lastModifiedBy>
  <cp:revision>2</cp:revision>
  <cp:lastPrinted>2013-06-12T13:19:00Z</cp:lastPrinted>
  <dcterms:created xsi:type="dcterms:W3CDTF">2013-08-12T11:11:00Z</dcterms:created>
  <dcterms:modified xsi:type="dcterms:W3CDTF">2013-08-12T11:11:00Z</dcterms:modified>
</cp:coreProperties>
</file>