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val="nl-NL"/>
        </w:rPr>
        <w:id w:val="1090866812"/>
        <w:docPartObj>
          <w:docPartGallery w:val="Cover Pages"/>
          <w:docPartUnique/>
        </w:docPartObj>
      </w:sdtPr>
      <w:sdtEndPr>
        <w:rPr>
          <w:rStyle w:val="normaltextrun"/>
          <w:rFonts w:asciiTheme="minorHAnsi" w:eastAsiaTheme="minorHAnsi" w:hAnsiTheme="minorHAnsi" w:cstheme="minorBidi"/>
          <w:caps w:val="0"/>
          <w:szCs w:val="32"/>
        </w:rPr>
      </w:sdtEndPr>
      <w:sdtContent>
        <w:tbl>
          <w:tblPr>
            <w:tblW w:w="5000" w:type="pct"/>
            <w:jc w:val="center"/>
            <w:tblLook w:val="04A0"/>
          </w:tblPr>
          <w:tblGrid>
            <w:gridCol w:w="9288"/>
          </w:tblGrid>
          <w:tr w:rsidR="00B679B3">
            <w:trPr>
              <w:trHeight w:val="2880"/>
              <w:jc w:val="center"/>
            </w:trPr>
            <w:sdt>
              <w:sdtPr>
                <w:rPr>
                  <w:rFonts w:asciiTheme="majorHAnsi" w:eastAsiaTheme="majorEastAsia" w:hAnsiTheme="majorHAnsi" w:cstheme="majorBidi"/>
                  <w:caps/>
                  <w:lang w:val="nl-NL"/>
                </w:rPr>
                <w:alias w:val="Company"/>
                <w:id w:val="15524243"/>
                <w:placeholder>
                  <w:docPart w:val="C2BA8D2621F4418EB0E7C056E5FE7237"/>
                </w:placeholder>
                <w:dataBinding w:prefixMappings="xmlns:ns0='http://schemas.openxmlformats.org/officeDocument/2006/extended-properties'" w:xpath="/ns0:Properties[1]/ns0:Company[1]" w:storeItemID="{6668398D-A668-4E3E-A5EB-62B293D839F1}"/>
                <w:text/>
              </w:sdtPr>
              <w:sdtEndPr>
                <w:rPr>
                  <w:lang w:val="en-US"/>
                </w:rPr>
              </w:sdtEndPr>
              <w:sdtContent>
                <w:tc>
                  <w:tcPr>
                    <w:tcW w:w="5000" w:type="pct"/>
                  </w:tcPr>
                  <w:p w:rsidR="00B679B3" w:rsidRDefault="00B679B3" w:rsidP="00B679B3">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erasmus school of economics</w:t>
                    </w:r>
                  </w:p>
                </w:tc>
              </w:sdtContent>
            </w:sdt>
          </w:tr>
          <w:tr w:rsidR="00B679B3">
            <w:trPr>
              <w:trHeight w:val="1440"/>
              <w:jc w:val="center"/>
            </w:trPr>
            <w:sdt>
              <w:sdtPr>
                <w:rPr>
                  <w:rFonts w:asciiTheme="majorHAnsi" w:eastAsiaTheme="majorEastAsia" w:hAnsiTheme="majorHAnsi" w:cstheme="majorBidi"/>
                  <w:sz w:val="80"/>
                  <w:szCs w:val="80"/>
                </w:rPr>
                <w:alias w:val="Title"/>
                <w:id w:val="15524250"/>
                <w:placeholder>
                  <w:docPart w:val="004FD1ADA8A344E6A869B8182F2F79D7"/>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B679B3" w:rsidRDefault="00B679B3" w:rsidP="00B679B3">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Dornbusch and the Bitcoin</w:t>
                    </w:r>
                  </w:p>
                </w:tc>
              </w:sdtContent>
            </w:sdt>
          </w:tr>
          <w:tr w:rsidR="00B679B3" w:rsidRPr="00346EC8">
            <w:trPr>
              <w:trHeight w:val="720"/>
              <w:jc w:val="center"/>
            </w:trPr>
            <w:sdt>
              <w:sdtPr>
                <w:rPr>
                  <w:rFonts w:asciiTheme="majorHAnsi" w:eastAsiaTheme="majorEastAsia" w:hAnsiTheme="majorHAnsi" w:cstheme="majorBidi"/>
                  <w:sz w:val="44"/>
                  <w:szCs w:val="44"/>
                </w:rPr>
                <w:alias w:val="Subtitle"/>
                <w:id w:val="15524255"/>
                <w:placeholder>
                  <w:docPart w:val="1071206056C64EAF995390FCA4C54C44"/>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B679B3" w:rsidRDefault="00B679B3" w:rsidP="00B679B3">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Forecasting the Bitcoin/US Dollar exchange rate using the overshooting model</w:t>
                    </w:r>
                  </w:p>
                </w:tc>
              </w:sdtContent>
            </w:sdt>
          </w:tr>
          <w:tr w:rsidR="00B679B3" w:rsidRPr="00346EC8">
            <w:trPr>
              <w:trHeight w:val="360"/>
              <w:jc w:val="center"/>
            </w:trPr>
            <w:tc>
              <w:tcPr>
                <w:tcW w:w="5000" w:type="pct"/>
                <w:vAlign w:val="center"/>
              </w:tcPr>
              <w:p w:rsidR="00B679B3" w:rsidRDefault="00B679B3">
                <w:pPr>
                  <w:pStyle w:val="NoSpacing"/>
                  <w:jc w:val="center"/>
                </w:pPr>
              </w:p>
            </w:tc>
          </w:tr>
          <w:tr w:rsidR="00B679B3">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B679B3" w:rsidRDefault="00B679B3">
                    <w:pPr>
                      <w:pStyle w:val="NoSpacing"/>
                      <w:jc w:val="center"/>
                      <w:rPr>
                        <w:b/>
                        <w:bCs/>
                      </w:rPr>
                    </w:pPr>
                    <w:r>
                      <w:rPr>
                        <w:b/>
                        <w:bCs/>
                        <w:lang w:val="nl-NL"/>
                      </w:rPr>
                      <w:t>Joop Korteweg</w:t>
                    </w:r>
                  </w:p>
                </w:tc>
              </w:sdtContent>
            </w:sdt>
          </w:tr>
          <w:tr w:rsidR="00B679B3">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4-07-05T00:00:00Z">
                  <w:dateFormat w:val="M/d/yyyy"/>
                  <w:lid w:val="en-US"/>
                  <w:storeMappedDataAs w:val="dateTime"/>
                  <w:calendar w:val="gregorian"/>
                </w:date>
              </w:sdtPr>
              <w:sdtContent>
                <w:tc>
                  <w:tcPr>
                    <w:tcW w:w="5000" w:type="pct"/>
                    <w:vAlign w:val="center"/>
                  </w:tcPr>
                  <w:p w:rsidR="00B679B3" w:rsidRDefault="001A2382">
                    <w:pPr>
                      <w:pStyle w:val="NoSpacing"/>
                      <w:jc w:val="center"/>
                      <w:rPr>
                        <w:b/>
                        <w:bCs/>
                      </w:rPr>
                    </w:pPr>
                    <w:r>
                      <w:rPr>
                        <w:b/>
                        <w:bCs/>
                      </w:rPr>
                      <w:t>7/5/2014</w:t>
                    </w:r>
                  </w:p>
                </w:tc>
              </w:sdtContent>
            </w:sdt>
          </w:tr>
        </w:tbl>
        <w:p w:rsidR="00B679B3" w:rsidRDefault="00B679B3"/>
        <w:p w:rsidR="00B679B3" w:rsidRDefault="00B679B3"/>
        <w:p w:rsidR="00B679B3" w:rsidRPr="00B679B3" w:rsidRDefault="00B679B3">
          <w:pPr>
            <w:rPr>
              <w:lang w:val="en-US"/>
            </w:rPr>
          </w:pPr>
        </w:p>
        <w:p w:rsidR="00B679B3" w:rsidRDefault="00B679B3">
          <w:pPr>
            <w:rPr>
              <w:rStyle w:val="normaltextrun"/>
              <w:szCs w:val="32"/>
              <w:lang w:val="en-US"/>
            </w:rPr>
          </w:pPr>
        </w:p>
        <w:p w:rsidR="00B679B3" w:rsidRDefault="00B679B3">
          <w:pPr>
            <w:rPr>
              <w:rStyle w:val="normaltextrun"/>
              <w:szCs w:val="32"/>
              <w:lang w:val="en-US"/>
            </w:rPr>
          </w:pPr>
        </w:p>
        <w:p w:rsidR="00B679B3" w:rsidRDefault="00B679B3">
          <w:pPr>
            <w:rPr>
              <w:rStyle w:val="normaltextrun"/>
              <w:szCs w:val="32"/>
              <w:lang w:val="en-US"/>
            </w:rPr>
          </w:pPr>
        </w:p>
        <w:p w:rsidR="00B679B3" w:rsidRDefault="00B679B3">
          <w:pPr>
            <w:rPr>
              <w:rStyle w:val="normaltextrun"/>
              <w:szCs w:val="32"/>
              <w:lang w:val="en-US"/>
            </w:rPr>
          </w:pPr>
        </w:p>
        <w:p w:rsidR="00B679B3" w:rsidRDefault="00B679B3" w:rsidP="00B679B3">
          <w:pPr>
            <w:jc w:val="right"/>
            <w:rPr>
              <w:rStyle w:val="normaltextrun"/>
              <w:rFonts w:asciiTheme="majorHAnsi" w:eastAsiaTheme="majorEastAsia" w:hAnsiTheme="majorHAnsi" w:cstheme="majorBidi"/>
              <w:b/>
              <w:bCs/>
              <w:color w:val="365F91" w:themeColor="accent1" w:themeShade="BF"/>
              <w:sz w:val="28"/>
              <w:szCs w:val="32"/>
              <w:lang w:val="en-US" w:bidi="en-US"/>
            </w:rPr>
          </w:pPr>
          <w:r>
            <w:rPr>
              <w:rStyle w:val="normaltextrun"/>
              <w:szCs w:val="32"/>
              <w:lang w:val="en-US"/>
            </w:rPr>
            <w:t>International Bachelor of Economics and Business Economics</w:t>
          </w:r>
          <w:r>
            <w:rPr>
              <w:rStyle w:val="normaltextrun"/>
              <w:szCs w:val="32"/>
              <w:lang w:val="en-US"/>
            </w:rPr>
            <w:br/>
            <w:t>Erasmus University Rotterdam</w:t>
          </w:r>
          <w:r>
            <w:rPr>
              <w:rStyle w:val="normaltextrun"/>
              <w:szCs w:val="32"/>
              <w:lang w:val="en-US"/>
            </w:rPr>
            <w:br/>
            <w:t>Student number: 358728</w:t>
          </w:r>
          <w:r>
            <w:rPr>
              <w:rStyle w:val="normaltextrun"/>
              <w:szCs w:val="32"/>
              <w:lang w:val="en-US"/>
            </w:rPr>
            <w:br/>
            <w:t xml:space="preserve">Supervisor: professor J. </w:t>
          </w:r>
          <w:proofErr w:type="spellStart"/>
          <w:r>
            <w:rPr>
              <w:rStyle w:val="normaltextrun"/>
              <w:szCs w:val="32"/>
              <w:lang w:val="en-US"/>
            </w:rPr>
            <w:t>Emami</w:t>
          </w:r>
          <w:proofErr w:type="spellEnd"/>
          <w:r>
            <w:rPr>
              <w:rStyle w:val="normaltextrun"/>
              <w:szCs w:val="32"/>
              <w:lang w:val="en-US"/>
            </w:rPr>
            <w:t xml:space="preserve"> </w:t>
          </w:r>
          <w:proofErr w:type="spellStart"/>
          <w:r>
            <w:rPr>
              <w:rStyle w:val="normaltextrun"/>
              <w:szCs w:val="32"/>
              <w:lang w:val="en-US"/>
            </w:rPr>
            <w:t>Namini</w:t>
          </w:r>
          <w:proofErr w:type="spellEnd"/>
          <w:r w:rsidRPr="00B679B3">
            <w:rPr>
              <w:rStyle w:val="normaltextrun"/>
              <w:szCs w:val="32"/>
              <w:lang w:val="en-US"/>
            </w:rPr>
            <w:br w:type="page"/>
          </w:r>
        </w:p>
      </w:sdtContent>
    </w:sdt>
    <w:tbl>
      <w:tblPr>
        <w:tblW w:w="5000" w:type="pct"/>
        <w:jc w:val="center"/>
        <w:tblLook w:val="04A0"/>
      </w:tblPr>
      <w:tblGrid>
        <w:gridCol w:w="9288"/>
      </w:tblGrid>
      <w:tr w:rsidR="00443B38" w:rsidTr="00AD2EA4">
        <w:trPr>
          <w:trHeight w:val="1440"/>
          <w:jc w:val="center"/>
        </w:trPr>
        <w:sdt>
          <w:sdtPr>
            <w:rPr>
              <w:rFonts w:asciiTheme="majorHAnsi" w:eastAsiaTheme="majorEastAsia" w:hAnsiTheme="majorHAnsi" w:cstheme="majorBidi"/>
              <w:sz w:val="36"/>
              <w:szCs w:val="36"/>
            </w:rPr>
            <w:alias w:val="Title"/>
            <w:id w:val="1930908673"/>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443B38" w:rsidRPr="00443B38" w:rsidRDefault="00443B38" w:rsidP="00AD2EA4">
                <w:pPr>
                  <w:pStyle w:val="NoSpacing"/>
                  <w:jc w:val="center"/>
                  <w:rPr>
                    <w:rFonts w:asciiTheme="majorHAnsi" w:eastAsiaTheme="majorEastAsia" w:hAnsiTheme="majorHAnsi" w:cstheme="majorBidi"/>
                    <w:sz w:val="36"/>
                    <w:szCs w:val="36"/>
                  </w:rPr>
                </w:pPr>
                <w:r w:rsidRPr="00443B38">
                  <w:rPr>
                    <w:rFonts w:asciiTheme="majorHAnsi" w:eastAsiaTheme="majorEastAsia" w:hAnsiTheme="majorHAnsi" w:cstheme="majorBidi"/>
                    <w:sz w:val="36"/>
                    <w:szCs w:val="36"/>
                  </w:rPr>
                  <w:t>Dornbusch and the Bitcoin</w:t>
                </w:r>
              </w:p>
            </w:tc>
          </w:sdtContent>
        </w:sdt>
      </w:tr>
      <w:tr w:rsidR="00443B38" w:rsidRPr="00346EC8" w:rsidTr="00AD2EA4">
        <w:trPr>
          <w:trHeight w:val="720"/>
          <w:jc w:val="center"/>
        </w:trPr>
        <w:sdt>
          <w:sdtPr>
            <w:rPr>
              <w:rFonts w:asciiTheme="majorHAnsi" w:eastAsiaTheme="majorEastAsia" w:hAnsiTheme="majorHAnsi" w:cstheme="majorBidi"/>
              <w:sz w:val="24"/>
              <w:szCs w:val="24"/>
            </w:rPr>
            <w:alias w:val="Subtitle"/>
            <w:id w:val="1930908674"/>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443B38" w:rsidRPr="00443B38" w:rsidRDefault="00443B38" w:rsidP="00AD2EA4">
                <w:pPr>
                  <w:pStyle w:val="NoSpacing"/>
                  <w:jc w:val="center"/>
                  <w:rPr>
                    <w:rFonts w:asciiTheme="majorHAnsi" w:eastAsiaTheme="majorEastAsia" w:hAnsiTheme="majorHAnsi" w:cstheme="majorBidi"/>
                    <w:sz w:val="24"/>
                    <w:szCs w:val="24"/>
                  </w:rPr>
                </w:pPr>
                <w:r w:rsidRPr="00443B38">
                  <w:rPr>
                    <w:rFonts w:asciiTheme="majorHAnsi" w:eastAsiaTheme="majorEastAsia" w:hAnsiTheme="majorHAnsi" w:cstheme="majorBidi"/>
                    <w:sz w:val="24"/>
                    <w:szCs w:val="24"/>
                  </w:rPr>
                  <w:t>Forecasting the Bitcoin/US Dollar exchange rate using the overshooting model</w:t>
                </w:r>
              </w:p>
            </w:tc>
          </w:sdtContent>
        </w:sdt>
      </w:tr>
    </w:tbl>
    <w:p w:rsidR="00837B05" w:rsidRPr="00837B05" w:rsidRDefault="00837B05" w:rsidP="00170695">
      <w:pPr>
        <w:pStyle w:val="Heading1"/>
        <w:numPr>
          <w:ilvl w:val="0"/>
          <w:numId w:val="0"/>
        </w:numPr>
        <w:ind w:left="432"/>
        <w:jc w:val="center"/>
        <w:rPr>
          <w:rStyle w:val="Strong"/>
          <w:color w:val="auto"/>
        </w:rPr>
      </w:pPr>
      <w:r w:rsidRPr="00837B05">
        <w:rPr>
          <w:rStyle w:val="Strong"/>
          <w:color w:val="auto"/>
        </w:rPr>
        <w:t>Joop Korteweg</w:t>
      </w:r>
    </w:p>
    <w:p w:rsidR="00837B05" w:rsidRDefault="00837B05" w:rsidP="00837B05">
      <w:pPr>
        <w:jc w:val="center"/>
        <w:rPr>
          <w:rStyle w:val="Strong"/>
        </w:rPr>
      </w:pPr>
      <w:r>
        <w:rPr>
          <w:rStyle w:val="Strong"/>
        </w:rPr>
        <w:t xml:space="preserve">July </w:t>
      </w:r>
      <w:r w:rsidR="001A2382">
        <w:rPr>
          <w:rStyle w:val="Strong"/>
        </w:rPr>
        <w:t>5</w:t>
      </w:r>
      <w:r>
        <w:rPr>
          <w:rStyle w:val="Strong"/>
        </w:rPr>
        <w:t>, 2014</w:t>
      </w:r>
    </w:p>
    <w:p w:rsidR="00837B05" w:rsidRDefault="00837B05" w:rsidP="00837B05">
      <w:pPr>
        <w:jc w:val="center"/>
        <w:rPr>
          <w:rStyle w:val="Strong"/>
        </w:rPr>
      </w:pPr>
    </w:p>
    <w:p w:rsidR="00837B05" w:rsidRDefault="00837B05" w:rsidP="00837B05">
      <w:pPr>
        <w:jc w:val="center"/>
        <w:rPr>
          <w:rStyle w:val="Strong"/>
        </w:rPr>
      </w:pPr>
    </w:p>
    <w:p w:rsidR="00837B05" w:rsidRDefault="00837B05" w:rsidP="00837B05">
      <w:pPr>
        <w:jc w:val="center"/>
        <w:rPr>
          <w:rStyle w:val="Strong"/>
        </w:rPr>
      </w:pPr>
    </w:p>
    <w:p w:rsidR="001A2382" w:rsidRDefault="001A2382" w:rsidP="00837B05">
      <w:pPr>
        <w:rPr>
          <w:rStyle w:val="normaltextrun"/>
          <w:b/>
        </w:rPr>
      </w:pPr>
    </w:p>
    <w:p w:rsidR="001A2382" w:rsidRDefault="001A2382" w:rsidP="00837B05">
      <w:pPr>
        <w:rPr>
          <w:rStyle w:val="normaltextrun"/>
          <w:b/>
        </w:rPr>
      </w:pPr>
    </w:p>
    <w:p w:rsidR="001A2382" w:rsidRDefault="001A2382" w:rsidP="00837B05">
      <w:pPr>
        <w:rPr>
          <w:rStyle w:val="normaltextrun"/>
          <w:b/>
        </w:rPr>
      </w:pPr>
    </w:p>
    <w:p w:rsidR="001A2382" w:rsidRDefault="001A2382" w:rsidP="00837B05">
      <w:pPr>
        <w:rPr>
          <w:rStyle w:val="normaltextrun"/>
          <w:b/>
        </w:rPr>
      </w:pPr>
    </w:p>
    <w:tbl>
      <w:tblPr>
        <w:tblpPr w:leftFromText="141" w:rightFromText="141" w:vertAnchor="text" w:horzAnchor="margin" w:tblpY="647"/>
        <w:tblW w:w="5000" w:type="pct"/>
        <w:tblLook w:val="04A0"/>
      </w:tblPr>
      <w:tblGrid>
        <w:gridCol w:w="9288"/>
      </w:tblGrid>
      <w:tr w:rsidR="001A2382" w:rsidRPr="00346EC8" w:rsidTr="001A2382">
        <w:sdt>
          <w:sdt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1A2382" w:rsidRDefault="001A2382" w:rsidP="001A2382">
                <w:pPr>
                  <w:pStyle w:val="NoSpacing"/>
                  <w:jc w:val="both"/>
                </w:pPr>
                <w:r>
                  <w:t>T</w:t>
                </w:r>
                <w:r w:rsidRPr="00EA3522">
                  <w:t>he purpose of this paper is to modify the Dornbusch model to make it a suitable tool for analyzing the behavior of the Bitcoin and to attempt to outperform a random walk model in forecasting the Bitcoin/US Dollar exchange rate on the basis of the Root Mean Squared Error and the Theil Inequality Coefficient.</w:t>
                </w:r>
                <w:r>
                  <w:t xml:space="preserve"> It is found </w:t>
                </w:r>
                <w:r w:rsidRPr="0014665A">
                  <w:t xml:space="preserve"> that the Dornbusch model</w:t>
                </w:r>
                <w:r>
                  <w:t xml:space="preserve"> in itself is</w:t>
                </w:r>
                <w:r w:rsidRPr="0014665A">
                  <w:t xml:space="preserve"> unable to outperform the </w:t>
                </w:r>
                <w:r>
                  <w:t>random walk</w:t>
                </w:r>
                <w:r w:rsidRPr="0014665A">
                  <w:t xml:space="preserve"> model in forecasting the Bitcoin/US Dollar exchange rate on the basis of the Root Mean Squared Error and th</w:t>
                </w:r>
                <w:r>
                  <w:t>e Theil Inequality Coefficient. However, when the Dornbusch model and the random walk model are combined, the best forecasting performance is obtained. Thus, the Dornbusch model does</w:t>
                </w:r>
                <w:r w:rsidRPr="0014665A">
                  <w:t xml:space="preserve"> contain meaningful information which helps to improve the </w:t>
                </w:r>
                <w:r>
                  <w:t>random walk</w:t>
                </w:r>
                <w:r w:rsidRPr="0014665A">
                  <w:t xml:space="preserve"> model's forecasting performance.</w:t>
                </w:r>
              </w:p>
            </w:tc>
          </w:sdtContent>
        </w:sdt>
      </w:tr>
    </w:tbl>
    <w:p w:rsidR="00837B05" w:rsidRPr="001A2382" w:rsidRDefault="001A2382" w:rsidP="001A2382">
      <w:pPr>
        <w:pBdr>
          <w:bottom w:val="single" w:sz="4" w:space="1" w:color="4F81BD" w:themeColor="accent1"/>
        </w:pBdr>
        <w:rPr>
          <w:rStyle w:val="normaltextrun"/>
          <w:rFonts w:asciiTheme="majorHAnsi" w:hAnsiTheme="majorHAnsi"/>
          <w:sz w:val="28"/>
          <w:szCs w:val="28"/>
        </w:rPr>
      </w:pPr>
      <w:r w:rsidRPr="003F6AD1">
        <w:rPr>
          <w:rStyle w:val="normaltextrun"/>
          <w:rFonts w:asciiTheme="majorHAnsi" w:hAnsiTheme="majorHAnsi"/>
          <w:sz w:val="28"/>
          <w:szCs w:val="28"/>
          <w:lang w:val="en-US"/>
        </w:rPr>
        <w:t xml:space="preserve"> </w:t>
      </w:r>
      <w:r w:rsidR="00837B05" w:rsidRPr="001A2382">
        <w:rPr>
          <w:rStyle w:val="normaltextrun"/>
          <w:rFonts w:asciiTheme="majorHAnsi" w:hAnsiTheme="majorHAnsi"/>
          <w:sz w:val="28"/>
          <w:szCs w:val="28"/>
        </w:rPr>
        <w:t>Abstract</w:t>
      </w:r>
      <w:r w:rsidR="00837B05" w:rsidRPr="001A2382">
        <w:rPr>
          <w:rStyle w:val="normaltextrun"/>
          <w:rFonts w:asciiTheme="majorHAnsi" w:hAnsiTheme="majorHAnsi"/>
          <w:sz w:val="28"/>
          <w:szCs w:val="28"/>
        </w:rPr>
        <w:br w:type="page"/>
      </w:r>
    </w:p>
    <w:p w:rsidR="00202C64" w:rsidRDefault="00202C64" w:rsidP="00170695">
      <w:pPr>
        <w:pStyle w:val="Heading1"/>
        <w:rPr>
          <w:rStyle w:val="normaltextrun"/>
          <w:szCs w:val="32"/>
        </w:rPr>
      </w:pPr>
      <w:r>
        <w:rPr>
          <w:rStyle w:val="normaltextrun"/>
          <w:szCs w:val="32"/>
        </w:rPr>
        <w:lastRenderedPageBreak/>
        <w:t>Introduction</w:t>
      </w:r>
    </w:p>
    <w:p w:rsidR="00DF548D" w:rsidRDefault="00F1547A" w:rsidP="00443B38">
      <w:pPr>
        <w:spacing w:line="360" w:lineRule="auto"/>
        <w:jc w:val="both"/>
        <w:rPr>
          <w:lang w:val="en-US" w:bidi="en-US"/>
        </w:rPr>
      </w:pPr>
      <w:r>
        <w:rPr>
          <w:lang w:val="en-US" w:bidi="en-US"/>
        </w:rPr>
        <w:t>In January 2014, forty times more people have searched Google for 'Bitc</w:t>
      </w:r>
      <w:r w:rsidR="00CE2BA2">
        <w:rPr>
          <w:lang w:val="en-US" w:bidi="en-US"/>
        </w:rPr>
        <w:t>oin' compared to 4 years before</w:t>
      </w:r>
      <w:r>
        <w:rPr>
          <w:lang w:val="en-US" w:bidi="en-US"/>
        </w:rPr>
        <w:t xml:space="preserve"> </w:t>
      </w:r>
      <w:sdt>
        <w:sdtPr>
          <w:rPr>
            <w:lang w:val="en-US" w:bidi="en-US"/>
          </w:rPr>
          <w:id w:val="1594297739"/>
          <w:citation/>
        </w:sdtPr>
        <w:sdtContent>
          <w:r w:rsidR="00DB780A">
            <w:rPr>
              <w:lang w:val="en-US" w:bidi="en-US"/>
            </w:rPr>
            <w:fldChar w:fldCharType="begin"/>
          </w:r>
          <w:r w:rsidRPr="0004118C">
            <w:rPr>
              <w:lang w:val="en-US" w:bidi="en-US"/>
            </w:rPr>
            <w:instrText xml:space="preserve"> CITATION Goo14 \l 1043 </w:instrText>
          </w:r>
          <w:r w:rsidR="00DB780A">
            <w:rPr>
              <w:lang w:val="en-US" w:bidi="en-US"/>
            </w:rPr>
            <w:fldChar w:fldCharType="separate"/>
          </w:r>
          <w:r w:rsidR="002B7AD5">
            <w:rPr>
              <w:noProof/>
              <w:lang w:val="en-US" w:bidi="en-US"/>
            </w:rPr>
            <w:t>(Google Trends, 2014)</w:t>
          </w:r>
          <w:r w:rsidR="00DB780A">
            <w:rPr>
              <w:lang w:val="en-US" w:bidi="en-US"/>
            </w:rPr>
            <w:fldChar w:fldCharType="end"/>
          </w:r>
        </w:sdtContent>
      </w:sdt>
      <w:r w:rsidR="00CE2BA2">
        <w:rPr>
          <w:lang w:val="en-US" w:bidi="en-US"/>
        </w:rPr>
        <w:t>.</w:t>
      </w:r>
      <w:r w:rsidR="00E33B93">
        <w:rPr>
          <w:lang w:val="en-US" w:bidi="en-US"/>
        </w:rPr>
        <w:t xml:space="preserve"> Bitcoin's market cap is a little over $ 8 billion </w:t>
      </w:r>
      <w:sdt>
        <w:sdtPr>
          <w:rPr>
            <w:lang w:val="en-US" w:bidi="en-US"/>
          </w:rPr>
          <w:id w:val="1594297740"/>
          <w:citation/>
        </w:sdtPr>
        <w:sdtContent>
          <w:r w:rsidR="00DB780A">
            <w:rPr>
              <w:lang w:val="en-US" w:bidi="en-US"/>
            </w:rPr>
            <w:fldChar w:fldCharType="begin"/>
          </w:r>
          <w:r w:rsidR="00E33B93" w:rsidRPr="0004118C">
            <w:rPr>
              <w:lang w:val="en-US" w:bidi="en-US"/>
            </w:rPr>
            <w:instrText xml:space="preserve"> CITATION Blo141 \l 1043 </w:instrText>
          </w:r>
          <w:r w:rsidR="00DB780A">
            <w:rPr>
              <w:lang w:val="en-US" w:bidi="en-US"/>
            </w:rPr>
            <w:fldChar w:fldCharType="separate"/>
          </w:r>
          <w:r w:rsidR="002B7AD5">
            <w:rPr>
              <w:noProof/>
              <w:lang w:val="en-US" w:bidi="en-US"/>
            </w:rPr>
            <w:t>(Blockchain.info, 2014)</w:t>
          </w:r>
          <w:r w:rsidR="00DB780A">
            <w:rPr>
              <w:lang w:val="en-US" w:bidi="en-US"/>
            </w:rPr>
            <w:fldChar w:fldCharType="end"/>
          </w:r>
        </w:sdtContent>
      </w:sdt>
      <w:r w:rsidR="00CE2BA2">
        <w:rPr>
          <w:lang w:val="en-US" w:bidi="en-US"/>
        </w:rPr>
        <w:t>.</w:t>
      </w:r>
      <w:r w:rsidR="00E33B93">
        <w:rPr>
          <w:lang w:val="en-US" w:bidi="en-US"/>
        </w:rPr>
        <w:t xml:space="preserve"> </w:t>
      </w:r>
      <w:r w:rsidR="002642BC">
        <w:rPr>
          <w:lang w:val="en-US" w:bidi="en-US"/>
        </w:rPr>
        <w:t xml:space="preserve">At the time of writing, the price of 1 Bitcoin is $ 617.62. </w:t>
      </w:r>
      <w:r w:rsidRPr="00F1547A">
        <w:rPr>
          <w:lang w:val="en-US" w:bidi="en-US"/>
        </w:rPr>
        <w:t>Numbers</w:t>
      </w:r>
      <w:r>
        <w:rPr>
          <w:lang w:val="en-US" w:bidi="en-US"/>
        </w:rPr>
        <w:t xml:space="preserve"> like that show interest in the Bitcoin is on the rise. Yet, </w:t>
      </w:r>
      <w:r w:rsidR="00E33B93">
        <w:rPr>
          <w:lang w:val="en-US" w:bidi="en-US"/>
        </w:rPr>
        <w:t>not many people</w:t>
      </w:r>
      <w:r w:rsidR="00DF548D">
        <w:rPr>
          <w:lang w:val="en-US" w:bidi="en-US"/>
        </w:rPr>
        <w:t xml:space="preserve"> actually</w:t>
      </w:r>
      <w:r w:rsidR="00E33B93">
        <w:rPr>
          <w:lang w:val="en-US" w:bidi="en-US"/>
        </w:rPr>
        <w:t xml:space="preserve"> own Bitcoins </w:t>
      </w:r>
      <w:sdt>
        <w:sdtPr>
          <w:rPr>
            <w:lang w:val="en-US" w:bidi="en-US"/>
          </w:rPr>
          <w:id w:val="1594297744"/>
          <w:citation/>
        </w:sdtPr>
        <w:sdtContent>
          <w:r w:rsidR="00DB780A">
            <w:rPr>
              <w:lang w:val="en-US" w:bidi="en-US"/>
            </w:rPr>
            <w:fldChar w:fldCharType="begin"/>
          </w:r>
          <w:r w:rsidR="00DF548D" w:rsidRPr="002642BC">
            <w:rPr>
              <w:lang w:val="en-US" w:bidi="en-US"/>
            </w:rPr>
            <w:instrText xml:space="preserve"> CITATION Bit142 \l 1043 </w:instrText>
          </w:r>
          <w:r w:rsidR="00DB780A">
            <w:rPr>
              <w:lang w:val="en-US" w:bidi="en-US"/>
            </w:rPr>
            <w:fldChar w:fldCharType="separate"/>
          </w:r>
          <w:r w:rsidR="002B7AD5">
            <w:rPr>
              <w:noProof/>
              <w:lang w:val="en-US" w:bidi="en-US"/>
            </w:rPr>
            <w:t>(BitcoinRichList, 2014)</w:t>
          </w:r>
          <w:r w:rsidR="00DB780A">
            <w:rPr>
              <w:lang w:val="en-US" w:bidi="en-US"/>
            </w:rPr>
            <w:fldChar w:fldCharType="end"/>
          </w:r>
        </w:sdtContent>
      </w:sdt>
      <w:r w:rsidR="00CE2BA2">
        <w:rPr>
          <w:lang w:val="en-US" w:bidi="en-US"/>
        </w:rPr>
        <w:t>.</w:t>
      </w:r>
    </w:p>
    <w:p w:rsidR="00202C64" w:rsidRDefault="0043411C" w:rsidP="00443B38">
      <w:pPr>
        <w:spacing w:line="360" w:lineRule="auto"/>
        <w:jc w:val="both"/>
        <w:rPr>
          <w:lang w:val="en-US" w:bidi="en-US"/>
        </w:rPr>
      </w:pPr>
      <w:r>
        <w:rPr>
          <w:lang w:val="en-US" w:bidi="en-US"/>
        </w:rPr>
        <w:t xml:space="preserve">Bitcoins are associated to addresses. Like email addresses, one person can have multiple Bitcoin addresses. According to BitcoinRichList </w:t>
      </w:r>
      <w:sdt>
        <w:sdtPr>
          <w:rPr>
            <w:lang w:val="en-US" w:bidi="en-US"/>
          </w:rPr>
          <w:id w:val="1594297742"/>
          <w:citation/>
        </w:sdtPr>
        <w:sdtContent>
          <w:r w:rsidR="00DB780A">
            <w:rPr>
              <w:lang w:val="en-US" w:bidi="en-US"/>
            </w:rPr>
            <w:fldChar w:fldCharType="begin"/>
          </w:r>
          <w:r w:rsidRPr="0043411C">
            <w:rPr>
              <w:lang w:val="en-US" w:bidi="en-US"/>
            </w:rPr>
            <w:instrText xml:space="preserve"> CITATION Bit142 \n  \t  \l 1043  </w:instrText>
          </w:r>
          <w:r w:rsidR="00DB780A">
            <w:rPr>
              <w:lang w:val="en-US" w:bidi="en-US"/>
            </w:rPr>
            <w:fldChar w:fldCharType="separate"/>
          </w:r>
          <w:r w:rsidR="002B7AD5">
            <w:rPr>
              <w:noProof/>
              <w:lang w:val="en-US" w:bidi="en-US"/>
            </w:rPr>
            <w:t>(2014)</w:t>
          </w:r>
          <w:r w:rsidR="00DB780A">
            <w:rPr>
              <w:lang w:val="en-US" w:bidi="en-US"/>
            </w:rPr>
            <w:fldChar w:fldCharType="end"/>
          </w:r>
        </w:sdtContent>
      </w:sdt>
      <w:r>
        <w:rPr>
          <w:lang w:val="en-US" w:bidi="en-US"/>
        </w:rPr>
        <w:t xml:space="preserve"> 99.9% of all Bitcoins is owned by just 1,129,059 addresses. It is not unlikely for a person to have 20 Bitcoin addresses, but let us take 10 addresses per person as a very roughly estimated average. That would mean 99.9% of all Bitcoins is held by only </w:t>
      </w:r>
      <w:r w:rsidR="006353E1">
        <w:rPr>
          <w:lang w:val="en-US" w:bidi="en-US"/>
        </w:rPr>
        <w:t xml:space="preserve">112,906 people. Also, the number of daily transactions </w:t>
      </w:r>
      <w:r w:rsidR="00CE2BA2">
        <w:rPr>
          <w:lang w:val="en-US" w:bidi="en-US"/>
        </w:rPr>
        <w:t>fluctuates around a mere 60,000</w:t>
      </w:r>
      <w:r w:rsidR="006353E1">
        <w:rPr>
          <w:lang w:val="en-US" w:bidi="en-US"/>
        </w:rPr>
        <w:t xml:space="preserve"> </w:t>
      </w:r>
      <w:sdt>
        <w:sdtPr>
          <w:rPr>
            <w:lang w:val="en-US" w:bidi="en-US"/>
          </w:rPr>
          <w:id w:val="1594297741"/>
          <w:citation/>
        </w:sdtPr>
        <w:sdtContent>
          <w:r w:rsidR="00DB780A">
            <w:rPr>
              <w:lang w:val="en-US" w:bidi="en-US"/>
            </w:rPr>
            <w:fldChar w:fldCharType="begin"/>
          </w:r>
          <w:r w:rsidR="006353E1" w:rsidRPr="006353E1">
            <w:rPr>
              <w:lang w:val="en-US" w:bidi="en-US"/>
            </w:rPr>
            <w:instrText xml:space="preserve"> CITATION Blo142 \l 1043 </w:instrText>
          </w:r>
          <w:r w:rsidR="00DB780A">
            <w:rPr>
              <w:lang w:val="en-US" w:bidi="en-US"/>
            </w:rPr>
            <w:fldChar w:fldCharType="separate"/>
          </w:r>
          <w:r w:rsidR="002B7AD5">
            <w:rPr>
              <w:noProof/>
              <w:lang w:val="en-US" w:bidi="en-US"/>
            </w:rPr>
            <w:t>(Blockchain.info, 2014)</w:t>
          </w:r>
          <w:r w:rsidR="00DB780A">
            <w:rPr>
              <w:lang w:val="en-US" w:bidi="en-US"/>
            </w:rPr>
            <w:fldChar w:fldCharType="end"/>
          </w:r>
        </w:sdtContent>
      </w:sdt>
      <w:r w:rsidR="00CE2BA2">
        <w:rPr>
          <w:lang w:val="en-US" w:bidi="en-US"/>
        </w:rPr>
        <w:t>.</w:t>
      </w:r>
    </w:p>
    <w:p w:rsidR="006353E1" w:rsidRDefault="006353E1" w:rsidP="00443B38">
      <w:pPr>
        <w:spacing w:line="360" w:lineRule="auto"/>
        <w:jc w:val="both"/>
        <w:rPr>
          <w:lang w:val="en-US" w:bidi="en-US"/>
        </w:rPr>
      </w:pPr>
      <w:r>
        <w:rPr>
          <w:lang w:val="en-US" w:bidi="en-US"/>
        </w:rPr>
        <w:t xml:space="preserve">Why is it that, even though the Bitcoin is taking off, it is still not as widespread as some supporters think it is? </w:t>
      </w:r>
      <w:r w:rsidR="00DF548D">
        <w:rPr>
          <w:lang w:val="en-US" w:bidi="en-US"/>
        </w:rPr>
        <w:t>One possible reason is its volatility. People are unlikely to adopt a new currency if its purchasing power</w:t>
      </w:r>
      <w:r w:rsidR="00CE2BA2">
        <w:rPr>
          <w:lang w:val="en-US" w:bidi="en-US"/>
        </w:rPr>
        <w:t xml:space="preserve"> can halve in a couple of hours</w:t>
      </w:r>
      <w:r w:rsidR="00DF548D">
        <w:rPr>
          <w:lang w:val="en-US" w:bidi="en-US"/>
        </w:rPr>
        <w:t xml:space="preserve"> </w:t>
      </w:r>
      <w:sdt>
        <w:sdtPr>
          <w:rPr>
            <w:lang w:val="en-US" w:bidi="en-US"/>
          </w:rPr>
          <w:id w:val="1594297748"/>
          <w:citation/>
        </w:sdtPr>
        <w:sdtContent>
          <w:r w:rsidR="00DB780A">
            <w:rPr>
              <w:lang w:val="en-US" w:bidi="en-US"/>
            </w:rPr>
            <w:fldChar w:fldCharType="begin"/>
          </w:r>
          <w:r w:rsidR="00DF548D" w:rsidRPr="0004118C">
            <w:rPr>
              <w:lang w:val="en-US" w:bidi="en-US"/>
            </w:rPr>
            <w:instrText xml:space="preserve"> CITATION Coi14 \l 1043 </w:instrText>
          </w:r>
          <w:r w:rsidR="00DB780A">
            <w:rPr>
              <w:lang w:val="en-US" w:bidi="en-US"/>
            </w:rPr>
            <w:fldChar w:fldCharType="separate"/>
          </w:r>
          <w:r w:rsidR="002B7AD5">
            <w:rPr>
              <w:noProof/>
              <w:lang w:val="en-US" w:bidi="en-US"/>
            </w:rPr>
            <w:t>(CoinDesk, 2014)</w:t>
          </w:r>
          <w:r w:rsidR="00DB780A">
            <w:rPr>
              <w:lang w:val="en-US" w:bidi="en-US"/>
            </w:rPr>
            <w:fldChar w:fldCharType="end"/>
          </w:r>
        </w:sdtContent>
      </w:sdt>
      <w:r w:rsidR="00CE2BA2">
        <w:rPr>
          <w:lang w:val="en-US" w:bidi="en-US"/>
        </w:rPr>
        <w:t>.</w:t>
      </w:r>
    </w:p>
    <w:p w:rsidR="00DF548D" w:rsidRDefault="00DF548D" w:rsidP="00443B38">
      <w:pPr>
        <w:spacing w:line="360" w:lineRule="auto"/>
        <w:jc w:val="both"/>
        <w:rPr>
          <w:lang w:val="en-US" w:bidi="en-US"/>
        </w:rPr>
      </w:pPr>
      <w:r>
        <w:rPr>
          <w:lang w:val="en-US" w:bidi="en-US"/>
        </w:rPr>
        <w:t>A possible remedy to take away the uncertainty withholding the adoption of the Bitcoin is the ability to forecast the Bitcoin exchange rate.</w:t>
      </w:r>
      <w:r w:rsidR="002642BC">
        <w:rPr>
          <w:lang w:val="en-US" w:bidi="en-US"/>
        </w:rPr>
        <w:t xml:space="preserve"> This paper attempts to do so by using ideas developed by</w:t>
      </w:r>
      <w:r w:rsidR="002642BC" w:rsidRPr="00170695">
        <w:rPr>
          <w:lang w:val="en-US" w:bidi="en-US"/>
        </w:rPr>
        <w:t xml:space="preserve"> Rudiger</w:t>
      </w:r>
      <w:r w:rsidR="002642BC">
        <w:rPr>
          <w:lang w:val="en-US" w:bidi="en-US"/>
        </w:rPr>
        <w:t xml:space="preserve"> Dornbusch </w:t>
      </w:r>
      <w:sdt>
        <w:sdtPr>
          <w:rPr>
            <w:lang w:val="en-US" w:bidi="en-US"/>
          </w:rPr>
          <w:id w:val="1594297749"/>
          <w:citation/>
        </w:sdtPr>
        <w:sdtContent>
          <w:r w:rsidR="00DB780A">
            <w:rPr>
              <w:lang w:val="en-US" w:bidi="en-US"/>
            </w:rPr>
            <w:fldChar w:fldCharType="begin"/>
          </w:r>
          <w:r w:rsidR="00967B1A" w:rsidRPr="00967B1A">
            <w:rPr>
              <w:lang w:val="en-US" w:bidi="en-US"/>
            </w:rPr>
            <w:instrText xml:space="preserve"> CITATION Rud76 \n  \t  \l 1043  </w:instrText>
          </w:r>
          <w:r w:rsidR="00DB780A">
            <w:rPr>
              <w:lang w:val="en-US" w:bidi="en-US"/>
            </w:rPr>
            <w:fldChar w:fldCharType="separate"/>
          </w:r>
          <w:r w:rsidR="002B7AD5">
            <w:rPr>
              <w:noProof/>
              <w:lang w:val="en-US" w:bidi="en-US"/>
            </w:rPr>
            <w:t>(1976)</w:t>
          </w:r>
          <w:r w:rsidR="00DB780A">
            <w:rPr>
              <w:lang w:val="en-US" w:bidi="en-US"/>
            </w:rPr>
            <w:fldChar w:fldCharType="end"/>
          </w:r>
        </w:sdtContent>
      </w:sdt>
      <w:r w:rsidR="002642BC">
        <w:rPr>
          <w:lang w:val="en-US" w:bidi="en-US"/>
        </w:rPr>
        <w:t>.</w:t>
      </w:r>
    </w:p>
    <w:p w:rsidR="00466881" w:rsidRDefault="00466881" w:rsidP="00443B38">
      <w:pPr>
        <w:spacing w:line="360" w:lineRule="auto"/>
        <w:jc w:val="both"/>
        <w:rPr>
          <w:lang w:val="en-US" w:bidi="en-US"/>
        </w:rPr>
      </w:pPr>
      <w:r>
        <w:rPr>
          <w:lang w:val="en-US" w:bidi="en-US"/>
        </w:rPr>
        <w:t>It is found that the structural Dornbusch model cannot outperform a random walk model, both in terms of model specification and forecasting performance. However, when the Dornbusch model and the random walk model are combined the best model is obtained, both in terms of model specification and forecasting performance.</w:t>
      </w:r>
      <w:r w:rsidR="004F2803">
        <w:rPr>
          <w:lang w:val="en-US" w:bidi="en-US"/>
        </w:rPr>
        <w:t xml:space="preserve"> It can be concluded that the Dornbusch model does contain meaningful information in forecasting the Bitcoin exchange rate.</w:t>
      </w:r>
    </w:p>
    <w:p w:rsidR="00ED460E" w:rsidRDefault="00ED460E" w:rsidP="00443B38">
      <w:pPr>
        <w:spacing w:line="360" w:lineRule="auto"/>
        <w:jc w:val="both"/>
        <w:rPr>
          <w:lang w:val="en-US" w:bidi="en-US"/>
        </w:rPr>
      </w:pPr>
      <w:r>
        <w:rPr>
          <w:lang w:val="en-US" w:bidi="en-US"/>
        </w:rPr>
        <w:t xml:space="preserve">Firstly, recent literature on both the Bitcoin and Dornbusch' exchange rate model is reviewed. Then, concepts used by this paper are defined. Afterwards, the data used by this paper is discussed and presented. Then, the research is </w:t>
      </w:r>
      <w:r w:rsidR="00FE087C">
        <w:rPr>
          <w:lang w:val="en-US" w:bidi="en-US"/>
        </w:rPr>
        <w:t xml:space="preserve">conducted </w:t>
      </w:r>
      <w:r>
        <w:rPr>
          <w:lang w:val="en-US" w:bidi="en-US"/>
        </w:rPr>
        <w:t xml:space="preserve">and the results are documented. </w:t>
      </w:r>
      <w:r w:rsidR="003C70BB">
        <w:rPr>
          <w:lang w:val="en-US" w:bidi="en-US"/>
        </w:rPr>
        <w:t>Lastly,</w:t>
      </w:r>
      <w:r>
        <w:rPr>
          <w:lang w:val="en-US" w:bidi="en-US"/>
        </w:rPr>
        <w:t xml:space="preserve"> a conclusion is drawn. </w:t>
      </w:r>
    </w:p>
    <w:p w:rsidR="00466881" w:rsidRDefault="00466881">
      <w:pPr>
        <w:rPr>
          <w:rStyle w:val="normaltextrun"/>
          <w:rFonts w:asciiTheme="majorHAnsi" w:eastAsiaTheme="majorEastAsia" w:hAnsiTheme="majorHAnsi" w:cstheme="majorBidi"/>
          <w:b/>
          <w:bCs/>
          <w:color w:val="365F91" w:themeColor="accent1" w:themeShade="BF"/>
          <w:sz w:val="28"/>
          <w:szCs w:val="32"/>
          <w:lang w:val="en-US" w:bidi="en-US"/>
        </w:rPr>
      </w:pPr>
      <w:r w:rsidRPr="00FE087C">
        <w:rPr>
          <w:rStyle w:val="normaltextrun"/>
          <w:szCs w:val="32"/>
          <w:lang w:val="en-US"/>
        </w:rPr>
        <w:br w:type="page"/>
      </w:r>
    </w:p>
    <w:p w:rsidR="001F7B0E" w:rsidRPr="008B54A2" w:rsidRDefault="00DF548D" w:rsidP="003C70BB">
      <w:pPr>
        <w:pStyle w:val="Heading1"/>
        <w:rPr>
          <w:szCs w:val="12"/>
        </w:rPr>
      </w:pPr>
      <w:r>
        <w:rPr>
          <w:rStyle w:val="normaltextrun"/>
          <w:szCs w:val="32"/>
        </w:rPr>
        <w:lastRenderedPageBreak/>
        <w:t>Review of recent literature</w:t>
      </w:r>
    </w:p>
    <w:p w:rsidR="001F7B0E" w:rsidRPr="001F7B0E" w:rsidRDefault="001F7B0E" w:rsidP="001F7B0E">
      <w:pPr>
        <w:pStyle w:val="paragraph"/>
        <w:spacing w:before="0" w:beforeAutospacing="0" w:after="0" w:afterAutospacing="0"/>
        <w:textAlignment w:val="baseline"/>
        <w:rPr>
          <w:rFonts w:ascii="Segoe UI" w:hAnsi="Segoe UI" w:cs="Segoe UI"/>
          <w:sz w:val="12"/>
          <w:szCs w:val="12"/>
          <w:lang w:val="en-US"/>
        </w:rPr>
      </w:pPr>
      <w:r w:rsidRPr="001F7B0E">
        <w:rPr>
          <w:rStyle w:val="eop"/>
          <w:rFonts w:ascii="Calibri" w:hAnsi="Calibri" w:cs="Segoe UI"/>
          <w:sz w:val="22"/>
          <w:szCs w:val="22"/>
          <w:lang w:val="en-US"/>
        </w:rPr>
        <w:t> </w:t>
      </w:r>
    </w:p>
    <w:p w:rsidR="001F7B0E" w:rsidRPr="00F1547A" w:rsidRDefault="001F7B0E" w:rsidP="00170695">
      <w:pPr>
        <w:pStyle w:val="Heading2"/>
        <w:rPr>
          <w:rStyle w:val="normaltextrun"/>
          <w:szCs w:val="22"/>
          <w:lang w:val="en-US"/>
        </w:rPr>
      </w:pPr>
      <w:r w:rsidRPr="00F1547A">
        <w:rPr>
          <w:rStyle w:val="normaltextrun"/>
          <w:szCs w:val="22"/>
          <w:lang w:val="en-US"/>
        </w:rPr>
        <w:t>The Bitcoin</w:t>
      </w:r>
    </w:p>
    <w:p w:rsidR="004B39B0" w:rsidRPr="004B39B0" w:rsidRDefault="004B39B0" w:rsidP="00443B38">
      <w:pPr>
        <w:spacing w:line="360" w:lineRule="auto"/>
        <w:jc w:val="both"/>
        <w:rPr>
          <w:lang w:val="en-US"/>
        </w:rPr>
      </w:pPr>
      <w:r w:rsidRPr="004B39B0">
        <w:rPr>
          <w:lang w:val="en-US"/>
        </w:rPr>
        <w:t xml:space="preserve">Born from the need to avoid the inherent weaknesses of the current trust based model in place in e-commerce, Nakamoto </w:t>
      </w:r>
      <w:sdt>
        <w:sdtPr>
          <w:rPr>
            <w:lang w:val="en-US"/>
          </w:rPr>
          <w:id w:val="651960022"/>
          <w:citation/>
        </w:sdtPr>
        <w:sdtContent>
          <w:r w:rsidR="00DB780A">
            <w:rPr>
              <w:lang w:val="en-US"/>
            </w:rPr>
            <w:fldChar w:fldCharType="begin"/>
          </w:r>
          <w:r w:rsidRPr="004B39B0">
            <w:rPr>
              <w:lang w:val="en-US"/>
            </w:rPr>
            <w:instrText xml:space="preserve"> CITATION Sat08 \n  \t  \l 1043  </w:instrText>
          </w:r>
          <w:r w:rsidR="00DB780A">
            <w:rPr>
              <w:lang w:val="en-US"/>
            </w:rPr>
            <w:fldChar w:fldCharType="separate"/>
          </w:r>
          <w:r w:rsidR="002B7AD5">
            <w:rPr>
              <w:noProof/>
              <w:lang w:val="en-US"/>
            </w:rPr>
            <w:t>(2008)</w:t>
          </w:r>
          <w:r w:rsidR="00DB780A">
            <w:rPr>
              <w:lang w:val="en-US"/>
            </w:rPr>
            <w:fldChar w:fldCharType="end"/>
          </w:r>
        </w:sdtContent>
      </w:sdt>
      <w:r>
        <w:rPr>
          <w:lang w:val="en-US"/>
        </w:rPr>
        <w:t xml:space="preserve"> </w:t>
      </w:r>
      <w:r w:rsidRPr="004B39B0">
        <w:rPr>
          <w:lang w:val="en-US"/>
        </w:rPr>
        <w:t>introduced the Bitcoin: electronic cash allowing transactions to be made directly between the involved parties (peer-to-peer) without the need for a financial institution</w:t>
      </w:r>
      <w:r w:rsidR="00FD124F">
        <w:rPr>
          <w:lang w:val="en-US"/>
        </w:rPr>
        <w:t xml:space="preserve"> </w:t>
      </w:r>
      <w:sdt>
        <w:sdtPr>
          <w:rPr>
            <w:lang w:val="en-US"/>
          </w:rPr>
          <w:id w:val="1930908683"/>
          <w:citation/>
        </w:sdtPr>
        <w:sdtContent>
          <w:r w:rsidR="00DB780A">
            <w:rPr>
              <w:lang w:val="en-US"/>
            </w:rPr>
            <w:fldChar w:fldCharType="begin"/>
          </w:r>
          <w:r w:rsidR="00FD124F" w:rsidRPr="00225C66">
            <w:rPr>
              <w:lang w:val="en-US"/>
            </w:rPr>
            <w:instrText xml:space="preserve"> CITATION Sat08 \l 1043 </w:instrText>
          </w:r>
          <w:r w:rsidR="00DB780A">
            <w:rPr>
              <w:lang w:val="en-US"/>
            </w:rPr>
            <w:fldChar w:fldCharType="separate"/>
          </w:r>
          <w:r w:rsidR="002B7AD5">
            <w:rPr>
              <w:noProof/>
              <w:lang w:val="en-US"/>
            </w:rPr>
            <w:t>(Nakamoto, 2008)</w:t>
          </w:r>
          <w:r w:rsidR="00DB780A">
            <w:rPr>
              <w:lang w:val="en-US"/>
            </w:rPr>
            <w:fldChar w:fldCharType="end"/>
          </w:r>
        </w:sdtContent>
      </w:sdt>
      <w:r w:rsidRPr="004B39B0">
        <w:rPr>
          <w:lang w:val="en-US"/>
        </w:rPr>
        <w:t xml:space="preserve">. Traditionally, e-commerce relies almost exclusively on financial institutions for processing and verifying transactions. In case of a dispute, the financial institution acts as a trusted third party mediating said dispute, reversing the transaction if necessary. Bitcoin is an electronic payment system based on cryptographic proof and as such, provides and alternative to the current trust-based system. </w:t>
      </w:r>
    </w:p>
    <w:p w:rsidR="004B39B0" w:rsidRPr="004B39B0" w:rsidRDefault="004B39B0" w:rsidP="00443B38">
      <w:pPr>
        <w:spacing w:line="360" w:lineRule="auto"/>
        <w:jc w:val="both"/>
        <w:rPr>
          <w:lang w:val="en-US"/>
        </w:rPr>
      </w:pPr>
      <w:r w:rsidRPr="004B39B0">
        <w:rPr>
          <w:lang w:val="en-US"/>
        </w:rPr>
        <w:t xml:space="preserve">Since the number of merchants accepting the Bitcoin as payment is getting substantial, the Bitcoin is considered competition for official currencies like the euro and the US dollar by </w:t>
      </w:r>
      <w:r>
        <w:rPr>
          <w:lang w:val="en-US"/>
        </w:rPr>
        <w:t xml:space="preserve">the European Central Bank </w:t>
      </w:r>
      <w:sdt>
        <w:sdtPr>
          <w:rPr>
            <w:lang w:val="en-US"/>
          </w:rPr>
          <w:id w:val="651960023"/>
          <w:citation/>
        </w:sdtPr>
        <w:sdtContent>
          <w:r w:rsidR="00DB780A">
            <w:rPr>
              <w:lang w:val="en-US"/>
            </w:rPr>
            <w:fldChar w:fldCharType="begin"/>
          </w:r>
          <w:r w:rsidRPr="004B39B0">
            <w:rPr>
              <w:lang w:val="en-US"/>
            </w:rPr>
            <w:instrText xml:space="preserve"> CITATION Eur121 \n  \t  \l 1043  </w:instrText>
          </w:r>
          <w:r w:rsidR="00DB780A">
            <w:rPr>
              <w:lang w:val="en-US"/>
            </w:rPr>
            <w:fldChar w:fldCharType="separate"/>
          </w:r>
          <w:r w:rsidR="002B7AD5">
            <w:rPr>
              <w:noProof/>
              <w:lang w:val="en-US"/>
            </w:rPr>
            <w:t>(2012)</w:t>
          </w:r>
          <w:r w:rsidR="00DB780A">
            <w:rPr>
              <w:lang w:val="en-US"/>
            </w:rPr>
            <w:fldChar w:fldCharType="end"/>
          </w:r>
        </w:sdtContent>
      </w:sdt>
      <w:r w:rsidRPr="004B39B0">
        <w:rPr>
          <w:lang w:val="en-US"/>
        </w:rPr>
        <w:t>. Bitcoins can be used in any type of transaction, since they are divisible to eight decimal places. The only forces determining the Bitcoin exchange rate are those of supply and demand. As a theoretical concept, the Bitcoin can find support in the Austrian school of economics</w:t>
      </w:r>
      <w:r w:rsidR="00FD124F">
        <w:rPr>
          <w:lang w:val="en-US"/>
        </w:rPr>
        <w:t xml:space="preserve"> </w:t>
      </w:r>
      <w:sdt>
        <w:sdtPr>
          <w:rPr>
            <w:lang w:val="en-US"/>
          </w:rPr>
          <w:id w:val="651960024"/>
          <w:citation/>
        </w:sdtPr>
        <w:sdtContent>
          <w:r w:rsidR="00DB780A">
            <w:fldChar w:fldCharType="begin"/>
          </w:r>
          <w:r w:rsidR="00FD124F" w:rsidRPr="00A411AD">
            <w:rPr>
              <w:lang w:val="en-US"/>
            </w:rPr>
            <w:instrText xml:space="preserve"> CITATION Eur121 \l 1043 </w:instrText>
          </w:r>
          <w:r w:rsidR="00DB780A">
            <w:fldChar w:fldCharType="separate"/>
          </w:r>
          <w:r w:rsidR="002B7AD5">
            <w:rPr>
              <w:noProof/>
              <w:lang w:val="en-US"/>
            </w:rPr>
            <w:t>(European Central Bank, 2012)</w:t>
          </w:r>
          <w:r w:rsidR="00DB780A">
            <w:fldChar w:fldCharType="end"/>
          </w:r>
        </w:sdtContent>
      </w:sdt>
      <w:r w:rsidRPr="004B39B0">
        <w:rPr>
          <w:lang w:val="en-US"/>
        </w:rPr>
        <w:t>. Austrian economists criticize monetary interventions, fractional reserve banking and the current fiat money system. The Bitcoin resolves all of these issues. However, the facts that Bitcoins have no intrinsic value and that the currency fails to satisfy the Misean Regression Theorem</w:t>
      </w:r>
      <w:r w:rsidR="00B679B3">
        <w:rPr>
          <w:rStyle w:val="FootnoteReference"/>
          <w:lang w:val="en-US"/>
        </w:rPr>
        <w:footnoteReference w:id="1"/>
      </w:r>
      <w:r w:rsidRPr="004B39B0">
        <w:rPr>
          <w:lang w:val="en-US"/>
        </w:rPr>
        <w:t xml:space="preserve"> are not in lin</w:t>
      </w:r>
      <w:r w:rsidR="00CE2BA2">
        <w:rPr>
          <w:lang w:val="en-US"/>
        </w:rPr>
        <w:t>e with Austrian economic theory.</w:t>
      </w:r>
    </w:p>
    <w:p w:rsidR="004B39B0" w:rsidRPr="004B39B0" w:rsidRDefault="004B39B0" w:rsidP="00443B38">
      <w:pPr>
        <w:spacing w:line="360" w:lineRule="auto"/>
        <w:jc w:val="both"/>
        <w:rPr>
          <w:lang w:val="en-US"/>
        </w:rPr>
      </w:pPr>
      <w:r w:rsidRPr="004B39B0">
        <w:rPr>
          <w:lang w:val="en-US"/>
        </w:rPr>
        <w:t>Since no central monetary authority is involved in the Bitcoin scheme, the money supply does not depend on one. Instead, the money supply develops at a predictab</w:t>
      </w:r>
      <w:r w:rsidR="00CE2BA2">
        <w:rPr>
          <w:lang w:val="en-US"/>
        </w:rPr>
        <w:t>le pace, by the system's design</w:t>
      </w:r>
      <w:r w:rsidRPr="004B39B0">
        <w:rPr>
          <w:lang w:val="en-US"/>
        </w:rPr>
        <w:t xml:space="preserve"> </w:t>
      </w:r>
      <w:sdt>
        <w:sdtPr>
          <w:rPr>
            <w:lang w:val="en-US"/>
          </w:rPr>
          <w:id w:val="651960025"/>
          <w:citation/>
        </w:sdtPr>
        <w:sdtContent>
          <w:r w:rsidR="00DB780A">
            <w:fldChar w:fldCharType="begin"/>
          </w:r>
          <w:r w:rsidR="007F085C" w:rsidRPr="00A411AD">
            <w:rPr>
              <w:lang w:val="en-US"/>
            </w:rPr>
            <w:instrText xml:space="preserve"> CITATION Eur121 \l 1043 </w:instrText>
          </w:r>
          <w:r w:rsidR="00DB780A">
            <w:fldChar w:fldCharType="separate"/>
          </w:r>
          <w:r w:rsidR="002B7AD5">
            <w:rPr>
              <w:noProof/>
              <w:lang w:val="en-US"/>
            </w:rPr>
            <w:t>(European Central Bank, 2012)</w:t>
          </w:r>
          <w:r w:rsidR="00DB780A">
            <w:fldChar w:fldCharType="end"/>
          </w:r>
        </w:sdtContent>
      </w:sdt>
      <w:r w:rsidR="00CE2BA2">
        <w:rPr>
          <w:lang w:val="en-US"/>
        </w:rPr>
        <w:t>.</w:t>
      </w:r>
    </w:p>
    <w:p w:rsidR="004B39B0" w:rsidRDefault="004B39B0" w:rsidP="00443B38">
      <w:pPr>
        <w:spacing w:line="360" w:lineRule="auto"/>
        <w:jc w:val="both"/>
        <w:rPr>
          <w:lang w:val="en-US"/>
        </w:rPr>
      </w:pPr>
      <w:r w:rsidRPr="004B39B0">
        <w:rPr>
          <w:lang w:val="en-US"/>
        </w:rPr>
        <w:t xml:space="preserve">At this moment, the Bitcoin is an unreliable store of value.  Its value can double or halve in a couple of hours because of its high volatility.  Yermack </w:t>
      </w:r>
      <w:r w:rsidR="00E63311">
        <w:rPr>
          <w:lang w:val="en-US"/>
        </w:rPr>
        <w:t xml:space="preserve"> </w:t>
      </w:r>
      <w:sdt>
        <w:sdtPr>
          <w:rPr>
            <w:lang w:val="en-US"/>
          </w:rPr>
          <w:id w:val="651960027"/>
          <w:citation/>
        </w:sdtPr>
        <w:sdtContent>
          <w:r w:rsidR="00DB780A">
            <w:rPr>
              <w:lang w:val="en-US"/>
            </w:rPr>
            <w:fldChar w:fldCharType="begin"/>
          </w:r>
          <w:r w:rsidR="00967B1A" w:rsidRPr="00170695">
            <w:rPr>
              <w:lang w:val="en-US"/>
            </w:rPr>
            <w:instrText xml:space="preserve"> CITATION Dav14 \n  \t  \l 1043  </w:instrText>
          </w:r>
          <w:r w:rsidR="00DB780A">
            <w:rPr>
              <w:lang w:val="en-US"/>
            </w:rPr>
            <w:fldChar w:fldCharType="separate"/>
          </w:r>
          <w:r w:rsidR="002B7AD5">
            <w:rPr>
              <w:noProof/>
              <w:lang w:val="en-US"/>
            </w:rPr>
            <w:t>(2014)</w:t>
          </w:r>
          <w:r w:rsidR="00DB780A">
            <w:rPr>
              <w:lang w:val="en-US"/>
            </w:rPr>
            <w:fldChar w:fldCharType="end"/>
          </w:r>
        </w:sdtContent>
      </w:sdt>
      <w:r w:rsidR="00E63311">
        <w:rPr>
          <w:lang w:val="en-US"/>
        </w:rPr>
        <w:t xml:space="preserve"> </w:t>
      </w:r>
      <w:r w:rsidRPr="004B39B0">
        <w:rPr>
          <w:lang w:val="en-US"/>
        </w:rPr>
        <w:t>found the US Dollar/Bitcoin exchange rate volatility to be 142% in 2013. This is extremely high compared to volatilities of other currencies, falling between 7% and 12%.</w:t>
      </w:r>
    </w:p>
    <w:p w:rsidR="00AD2EA4" w:rsidRDefault="00AD2EA4" w:rsidP="00443B38">
      <w:pPr>
        <w:spacing w:line="360" w:lineRule="auto"/>
        <w:jc w:val="both"/>
        <w:rPr>
          <w:lang w:val="en-US"/>
        </w:rPr>
      </w:pPr>
    </w:p>
    <w:p w:rsidR="00AD2EA4" w:rsidRPr="004B39B0" w:rsidRDefault="00AD2EA4" w:rsidP="00443B38">
      <w:pPr>
        <w:spacing w:line="360" w:lineRule="auto"/>
        <w:jc w:val="both"/>
        <w:rPr>
          <w:lang w:val="en-US"/>
        </w:rPr>
      </w:pPr>
    </w:p>
    <w:p w:rsidR="001F7B0E" w:rsidRPr="00F1547A" w:rsidRDefault="001F7B0E" w:rsidP="00170695">
      <w:pPr>
        <w:pStyle w:val="Heading2"/>
        <w:rPr>
          <w:rStyle w:val="eop"/>
          <w:szCs w:val="22"/>
          <w:lang w:val="en-US"/>
        </w:rPr>
      </w:pPr>
      <w:r w:rsidRPr="00F1547A">
        <w:rPr>
          <w:rStyle w:val="eop"/>
          <w:szCs w:val="22"/>
          <w:lang w:val="en-US"/>
        </w:rPr>
        <w:lastRenderedPageBreak/>
        <w:t>Forecasting exchange rates </w:t>
      </w:r>
    </w:p>
    <w:p w:rsidR="00E63311" w:rsidRPr="00E63311" w:rsidRDefault="00E63311" w:rsidP="00443B38">
      <w:pPr>
        <w:spacing w:line="360" w:lineRule="auto"/>
        <w:jc w:val="both"/>
        <w:rPr>
          <w:lang w:val="en-US"/>
        </w:rPr>
      </w:pPr>
      <w:r w:rsidRPr="00E63311">
        <w:rPr>
          <w:lang w:val="en-US"/>
        </w:rPr>
        <w:t>In forecasting exchange rates, people usually resort to using random walk models. Meese and Rogoff</w:t>
      </w:r>
      <w:r>
        <w:rPr>
          <w:lang w:val="en-US"/>
        </w:rPr>
        <w:t xml:space="preserve"> </w:t>
      </w:r>
      <w:sdt>
        <w:sdtPr>
          <w:rPr>
            <w:lang w:val="en-US"/>
          </w:rPr>
          <w:id w:val="651960028"/>
          <w:citation/>
        </w:sdtPr>
        <w:sdtContent>
          <w:r w:rsidR="00DB780A">
            <w:rPr>
              <w:lang w:val="en-US"/>
            </w:rPr>
            <w:fldChar w:fldCharType="begin"/>
          </w:r>
          <w:r w:rsidR="00967B1A" w:rsidRPr="00170695">
            <w:rPr>
              <w:lang w:val="en-US"/>
            </w:rPr>
            <w:instrText xml:space="preserve"> CITATION Mee83 \n  \t  \l 1043  </w:instrText>
          </w:r>
          <w:r w:rsidR="00DB780A">
            <w:rPr>
              <w:lang w:val="en-US"/>
            </w:rPr>
            <w:fldChar w:fldCharType="separate"/>
          </w:r>
          <w:r w:rsidR="002B7AD5">
            <w:rPr>
              <w:noProof/>
              <w:lang w:val="en-US"/>
            </w:rPr>
            <w:t>(1983)</w:t>
          </w:r>
          <w:r w:rsidR="00DB780A">
            <w:rPr>
              <w:lang w:val="en-US"/>
            </w:rPr>
            <w:fldChar w:fldCharType="end"/>
          </w:r>
        </w:sdtContent>
      </w:sdt>
      <w:r w:rsidRPr="00E63311">
        <w:rPr>
          <w:lang w:val="en-US"/>
        </w:rPr>
        <w:t xml:space="preserve"> have shown that neither the Frenkel-Bilson model, nor the Dornbus</w:t>
      </w:r>
      <w:r w:rsidR="00BE25BC">
        <w:rPr>
          <w:lang w:val="en-US"/>
        </w:rPr>
        <w:t>c</w:t>
      </w:r>
      <w:r w:rsidRPr="00E63311">
        <w:rPr>
          <w:lang w:val="en-US"/>
        </w:rPr>
        <w:t xml:space="preserve">h-Frankel model, nor the Hooper-Morton model are able to outperform a random walk model on the root-mean-square-error criteria. Are these structural exchange rate models, based on economic fundamentals, inadequate? Cheung and Chinn </w:t>
      </w:r>
      <w:sdt>
        <w:sdtPr>
          <w:rPr>
            <w:lang w:val="en-US"/>
          </w:rPr>
          <w:id w:val="651960029"/>
          <w:citation/>
        </w:sdtPr>
        <w:sdtContent>
          <w:r w:rsidR="00DB780A">
            <w:fldChar w:fldCharType="begin"/>
          </w:r>
          <w:r w:rsidR="00A220AA" w:rsidRPr="003F6AD1">
            <w:rPr>
              <w:lang w:val="en-US"/>
            </w:rPr>
            <w:instrText xml:space="preserve"> CITATION Che99 \n  \t  \l 1043  </w:instrText>
          </w:r>
          <w:r w:rsidR="00DB780A">
            <w:fldChar w:fldCharType="separate"/>
          </w:r>
          <w:r w:rsidR="002B7AD5">
            <w:rPr>
              <w:noProof/>
              <w:lang w:val="en-US"/>
            </w:rPr>
            <w:t>(1999)</w:t>
          </w:r>
          <w:r w:rsidR="00DB780A">
            <w:fldChar w:fldCharType="end"/>
          </w:r>
        </w:sdtContent>
      </w:sdt>
      <w:r>
        <w:rPr>
          <w:lang w:val="en-US"/>
        </w:rPr>
        <w:t xml:space="preserve"> </w:t>
      </w:r>
      <w:r w:rsidRPr="00E63311">
        <w:rPr>
          <w:lang w:val="en-US"/>
        </w:rPr>
        <w:t>think so. Based on a survey of pract</w:t>
      </w:r>
      <w:r w:rsidR="00CE2BA2">
        <w:rPr>
          <w:lang w:val="en-US"/>
        </w:rPr>
        <w:t>it</w:t>
      </w:r>
      <w:r w:rsidRPr="00E63311">
        <w:rPr>
          <w:lang w:val="en-US"/>
        </w:rPr>
        <w:t xml:space="preserve">ioners in the United States interbank foreign exchange markets, they find that short-run exchange rate dynamics are believed to mainly depend on non-fundamental forces, rather than fundamentals. Another explanation, one more in line with deeply held beliefs by many economists, is that the theory behind these structural models is correct, yet the empirical implementation is not. Kilian and Taylor </w:t>
      </w:r>
      <w:sdt>
        <w:sdtPr>
          <w:rPr>
            <w:lang w:val="en-US"/>
          </w:rPr>
          <w:id w:val="651960033"/>
          <w:citation/>
        </w:sdtPr>
        <w:sdtContent>
          <w:r w:rsidR="00DB780A">
            <w:rPr>
              <w:lang w:val="en-US"/>
            </w:rPr>
            <w:fldChar w:fldCharType="begin"/>
          </w:r>
          <w:r w:rsidRPr="00E63311">
            <w:rPr>
              <w:lang w:val="en-US"/>
            </w:rPr>
            <w:instrText xml:space="preserve"> CITATION Lut01 \n  \t  \l 1043  </w:instrText>
          </w:r>
          <w:r w:rsidR="00DB780A">
            <w:rPr>
              <w:lang w:val="en-US"/>
            </w:rPr>
            <w:fldChar w:fldCharType="separate"/>
          </w:r>
          <w:r w:rsidR="002B7AD5">
            <w:rPr>
              <w:noProof/>
              <w:lang w:val="en-US"/>
            </w:rPr>
            <w:t>(2001)</w:t>
          </w:r>
          <w:r w:rsidR="00DB780A">
            <w:rPr>
              <w:lang w:val="en-US"/>
            </w:rPr>
            <w:fldChar w:fldCharType="end"/>
          </w:r>
        </w:sdtContent>
      </w:sdt>
      <w:r>
        <w:rPr>
          <w:lang w:val="en-US"/>
        </w:rPr>
        <w:t xml:space="preserve"> </w:t>
      </w:r>
      <w:r w:rsidRPr="00E63311">
        <w:rPr>
          <w:lang w:val="en-US"/>
        </w:rPr>
        <w:t xml:space="preserve">propose that these structural models are likely to be misspecified as linear long-run equilibrium conditions.  </w:t>
      </w:r>
    </w:p>
    <w:p w:rsidR="00E63311" w:rsidRPr="00E63311" w:rsidRDefault="00E63311" w:rsidP="00443B38">
      <w:pPr>
        <w:spacing w:line="360" w:lineRule="auto"/>
        <w:jc w:val="both"/>
        <w:rPr>
          <w:lang w:val="en-US"/>
        </w:rPr>
      </w:pPr>
      <w:r w:rsidRPr="00E63311">
        <w:rPr>
          <w:lang w:val="en-US"/>
        </w:rPr>
        <w:t xml:space="preserve">However, there are exceptions. Woo </w:t>
      </w:r>
      <w:sdt>
        <w:sdtPr>
          <w:rPr>
            <w:lang w:val="en-US"/>
          </w:rPr>
          <w:id w:val="651960034"/>
          <w:citation/>
        </w:sdtPr>
        <w:sdtContent>
          <w:r w:rsidR="00DB780A">
            <w:rPr>
              <w:lang w:val="en-US"/>
            </w:rPr>
            <w:fldChar w:fldCharType="begin"/>
          </w:r>
          <w:r w:rsidR="00967B1A" w:rsidRPr="00170695">
            <w:rPr>
              <w:lang w:val="en-US"/>
            </w:rPr>
            <w:instrText xml:space="preserve"> CITATION Win85 \n  \t  \l 1043  </w:instrText>
          </w:r>
          <w:r w:rsidR="00DB780A">
            <w:rPr>
              <w:lang w:val="en-US"/>
            </w:rPr>
            <w:fldChar w:fldCharType="separate"/>
          </w:r>
          <w:r w:rsidR="002B7AD5">
            <w:rPr>
              <w:noProof/>
              <w:lang w:val="en-US"/>
            </w:rPr>
            <w:t>(1985)</w:t>
          </w:r>
          <w:r w:rsidR="00DB780A">
            <w:rPr>
              <w:lang w:val="en-US"/>
            </w:rPr>
            <w:fldChar w:fldCharType="end"/>
          </w:r>
        </w:sdtContent>
      </w:sdt>
      <w:r>
        <w:rPr>
          <w:lang w:val="en-US"/>
        </w:rPr>
        <w:t xml:space="preserve"> </w:t>
      </w:r>
      <w:r w:rsidRPr="00E63311">
        <w:rPr>
          <w:lang w:val="en-US"/>
        </w:rPr>
        <w:t xml:space="preserve">reformulates the money demand function in the monetary model, incorporating a partial adjustment mechanism. He finds that this monetary approach does outperform a random-walk model. </w:t>
      </w:r>
    </w:p>
    <w:p w:rsidR="00E63311" w:rsidRPr="00E63311" w:rsidRDefault="00E63311" w:rsidP="00443B38">
      <w:pPr>
        <w:spacing w:line="360" w:lineRule="auto"/>
        <w:jc w:val="both"/>
        <w:rPr>
          <w:lang w:val="en-US"/>
        </w:rPr>
      </w:pPr>
      <w:r w:rsidRPr="00E63311">
        <w:rPr>
          <w:lang w:val="en-US"/>
        </w:rPr>
        <w:t xml:space="preserve">Hwang </w:t>
      </w:r>
      <w:sdt>
        <w:sdtPr>
          <w:rPr>
            <w:lang w:val="en-US"/>
          </w:rPr>
          <w:id w:val="651960035"/>
          <w:citation/>
        </w:sdtPr>
        <w:sdtContent>
          <w:r w:rsidR="00DB780A">
            <w:rPr>
              <w:lang w:val="en-US"/>
            </w:rPr>
            <w:fldChar w:fldCharType="begin"/>
          </w:r>
          <w:r w:rsidR="00967B1A" w:rsidRPr="00170695">
            <w:rPr>
              <w:lang w:val="en-US"/>
            </w:rPr>
            <w:instrText xml:space="preserve"> CITATION Jae03 \n  \t  \l 1043  </w:instrText>
          </w:r>
          <w:r w:rsidR="00DB780A">
            <w:rPr>
              <w:lang w:val="en-US"/>
            </w:rPr>
            <w:fldChar w:fldCharType="separate"/>
          </w:r>
          <w:r w:rsidR="002B7AD5">
            <w:rPr>
              <w:noProof/>
              <w:lang w:val="en-US"/>
            </w:rPr>
            <w:t>(2003)</w:t>
          </w:r>
          <w:r w:rsidR="00DB780A">
            <w:rPr>
              <w:lang w:val="en-US"/>
            </w:rPr>
            <w:fldChar w:fldCharType="end"/>
          </w:r>
        </w:sdtContent>
      </w:sdt>
      <w:r w:rsidR="00EB4257">
        <w:rPr>
          <w:lang w:val="en-US"/>
        </w:rPr>
        <w:t xml:space="preserve"> </w:t>
      </w:r>
      <w:r w:rsidRPr="00E63311">
        <w:rPr>
          <w:lang w:val="en-US"/>
        </w:rPr>
        <w:t xml:space="preserve">examines the forecasting performance of an adjusted Dornbusch-Frankel sticky-price monetary model as opposed to the forecasting performance of a random-walk model. The money demand function is adjusted to incorporate share prices. Yet, he finds that the adjusted Dornbusch-Frankel model is unable to outperform the random-walk model at any of the tested forecasting horizons (one, three, six and twelve months), on the basis of root-mean-square-error. </w:t>
      </w:r>
    </w:p>
    <w:p w:rsidR="00E63311" w:rsidRPr="00E63311" w:rsidRDefault="00E63311" w:rsidP="00443B38">
      <w:pPr>
        <w:spacing w:line="360" w:lineRule="auto"/>
        <w:jc w:val="both"/>
        <w:rPr>
          <w:lang w:val="en-US"/>
        </w:rPr>
      </w:pPr>
      <w:r w:rsidRPr="00E63311">
        <w:rPr>
          <w:lang w:val="en-US"/>
        </w:rPr>
        <w:t xml:space="preserve">Bjørnland </w:t>
      </w:r>
      <w:sdt>
        <w:sdtPr>
          <w:rPr>
            <w:lang w:val="en-US"/>
          </w:rPr>
          <w:id w:val="651960036"/>
          <w:citation/>
        </w:sdtPr>
        <w:sdtContent>
          <w:r w:rsidR="00DB780A">
            <w:rPr>
              <w:lang w:val="en-US"/>
            </w:rPr>
            <w:fldChar w:fldCharType="begin"/>
          </w:r>
          <w:r w:rsidR="00967B1A" w:rsidRPr="00170695">
            <w:rPr>
              <w:lang w:val="en-US"/>
            </w:rPr>
            <w:instrText xml:space="preserve"> CITATION Hil09 \n  \t  \l 1043  </w:instrText>
          </w:r>
          <w:r w:rsidR="00DB780A">
            <w:rPr>
              <w:lang w:val="en-US"/>
            </w:rPr>
            <w:fldChar w:fldCharType="separate"/>
          </w:r>
          <w:r w:rsidR="002B7AD5">
            <w:rPr>
              <w:noProof/>
              <w:lang w:val="en-US"/>
            </w:rPr>
            <w:t>(2009)</w:t>
          </w:r>
          <w:r w:rsidR="00DB780A">
            <w:rPr>
              <w:lang w:val="en-US"/>
            </w:rPr>
            <w:fldChar w:fldCharType="end"/>
          </w:r>
        </w:sdtContent>
      </w:sdt>
      <w:r w:rsidR="00AA41B0">
        <w:rPr>
          <w:lang w:val="en-US"/>
        </w:rPr>
        <w:t xml:space="preserve"> </w:t>
      </w:r>
      <w:r w:rsidRPr="00E63311">
        <w:rPr>
          <w:lang w:val="en-US"/>
        </w:rPr>
        <w:t xml:space="preserve">counters this, stating many researchers make mistakes when evaluating the Dornbusch model. When analyzing the open economy through structural vector autoregressive (VAR) models, most studies restrict either the exchange rate from reacting instantaneously to a change (a 'shock') in monetary policy or monetary policy from reacting instantaneously to a shock in the exchange rate.  </w:t>
      </w:r>
    </w:p>
    <w:p w:rsidR="00E63311" w:rsidRPr="00E63311" w:rsidRDefault="00E63311" w:rsidP="00443B38">
      <w:pPr>
        <w:spacing w:line="360" w:lineRule="auto"/>
        <w:jc w:val="both"/>
        <w:rPr>
          <w:lang w:val="en-US"/>
        </w:rPr>
      </w:pPr>
      <w:r w:rsidRPr="00E63311">
        <w:rPr>
          <w:lang w:val="en-US"/>
        </w:rPr>
        <w:t xml:space="preserve">The exchange rate is an asset price which inherently incorporates expectations of future returns. These expectations change as a result of news on monetary policy and thus, the exchange rate (the asset price) will react </w:t>
      </w:r>
      <w:r w:rsidR="009A58AA">
        <w:rPr>
          <w:lang w:val="en-US"/>
        </w:rPr>
        <w:t>immediately. (</w:t>
      </w:r>
      <w:r w:rsidR="00AA41B0" w:rsidRPr="00AA41B0">
        <w:rPr>
          <w:noProof/>
          <w:lang w:val="en-US"/>
        </w:rPr>
        <w:t>B</w:t>
      </w:r>
      <w:r w:rsidR="00AA41B0">
        <w:rPr>
          <w:noProof/>
          <w:lang w:val="en-US"/>
        </w:rPr>
        <w:t>onser-Neal, Roley, &amp; Sellon Jr.</w:t>
      </w:r>
      <w:sdt>
        <w:sdtPr>
          <w:rPr>
            <w:lang w:val="en-US"/>
          </w:rPr>
          <w:id w:val="651960040"/>
          <w:citation/>
        </w:sdtPr>
        <w:sdtContent>
          <w:r w:rsidR="00DB780A">
            <w:fldChar w:fldCharType="begin"/>
          </w:r>
          <w:r w:rsidR="00A220AA" w:rsidRPr="003F6AD1">
            <w:rPr>
              <w:lang w:val="en-US"/>
            </w:rPr>
            <w:instrText xml:space="preserve"> CITATION Bon98 \n  \t  \l 1043  </w:instrText>
          </w:r>
          <w:r w:rsidR="00DB780A">
            <w:fldChar w:fldCharType="separate"/>
          </w:r>
          <w:r w:rsidR="002B7AD5">
            <w:rPr>
              <w:noProof/>
              <w:lang w:val="en-US"/>
            </w:rPr>
            <w:t xml:space="preserve"> (1998)</w:t>
          </w:r>
          <w:r w:rsidR="00DB780A">
            <w:fldChar w:fldCharType="end"/>
          </w:r>
        </w:sdtContent>
      </w:sdt>
      <w:r w:rsidRPr="00E63311">
        <w:rPr>
          <w:lang w:val="en-US"/>
        </w:rPr>
        <w:t xml:space="preserve">, </w:t>
      </w:r>
      <w:proofErr w:type="spellStart"/>
      <w:r w:rsidRPr="00E63311">
        <w:rPr>
          <w:lang w:val="en-US"/>
        </w:rPr>
        <w:t>Zettelmeyer</w:t>
      </w:r>
      <w:proofErr w:type="spellEnd"/>
      <w:r w:rsidRPr="00E63311">
        <w:rPr>
          <w:lang w:val="en-US"/>
        </w:rPr>
        <w:t xml:space="preserve"> </w:t>
      </w:r>
      <w:sdt>
        <w:sdtPr>
          <w:rPr>
            <w:lang w:val="en-US"/>
          </w:rPr>
          <w:id w:val="651960043"/>
          <w:citation/>
        </w:sdtPr>
        <w:sdtContent>
          <w:r w:rsidR="00DB780A">
            <w:fldChar w:fldCharType="begin"/>
          </w:r>
          <w:r w:rsidR="00A220AA" w:rsidRPr="003F6AD1">
            <w:rPr>
              <w:lang w:val="en-US"/>
            </w:rPr>
            <w:instrText xml:space="preserve"> CITATION Zet04 \n  \t  \l 1043  </w:instrText>
          </w:r>
          <w:r w:rsidR="00DB780A">
            <w:fldChar w:fldCharType="separate"/>
          </w:r>
          <w:r w:rsidR="002B7AD5">
            <w:rPr>
              <w:noProof/>
              <w:lang w:val="en-US"/>
            </w:rPr>
            <w:t>(2004)</w:t>
          </w:r>
          <w:r w:rsidR="00DB780A">
            <w:fldChar w:fldCharType="end"/>
          </w:r>
        </w:sdtContent>
      </w:sdt>
      <w:r w:rsidRPr="00E63311">
        <w:rPr>
          <w:lang w:val="en-US"/>
        </w:rPr>
        <w:t xml:space="preserve">, Kearns and Manners </w:t>
      </w:r>
      <w:sdt>
        <w:sdtPr>
          <w:rPr>
            <w:lang w:val="en-US"/>
          </w:rPr>
          <w:id w:val="651960042"/>
          <w:citation/>
        </w:sdtPr>
        <w:sdtContent>
          <w:r w:rsidR="00DB780A">
            <w:fldChar w:fldCharType="begin"/>
          </w:r>
          <w:r w:rsidR="00A220AA" w:rsidRPr="003F6AD1">
            <w:rPr>
              <w:lang w:val="en-US"/>
            </w:rPr>
            <w:instrText xml:space="preserve"> CITATION Kea06 \n  \t  \l 1043  </w:instrText>
          </w:r>
          <w:r w:rsidR="00DB780A">
            <w:fldChar w:fldCharType="separate"/>
          </w:r>
          <w:r w:rsidR="002B7AD5">
            <w:rPr>
              <w:noProof/>
              <w:lang w:val="en-US"/>
            </w:rPr>
            <w:t>(2006)</w:t>
          </w:r>
          <w:r w:rsidR="00DB780A">
            <w:fldChar w:fldCharType="end"/>
          </w:r>
        </w:sdtContent>
      </w:sdt>
      <w:r w:rsidRPr="00E63311">
        <w:rPr>
          <w:lang w:val="en-US"/>
        </w:rPr>
        <w:t xml:space="preserve">.) Also, it is not unlikely that the central bank responds to a shock in the exchange rate within the month, or quarter. Since the frequency of most data on this subject is monthly or quarterly, these responses by the central bank, e.g. changes in monetary policy, will appear instantaneously. Restricting this would mean that the central bank ignores any (surprise) shock in exchange rates that occurs while deciding on monetary policy. </w:t>
      </w:r>
    </w:p>
    <w:p w:rsidR="00E63311" w:rsidRPr="00E63311" w:rsidRDefault="00AA41B0" w:rsidP="00443B38">
      <w:pPr>
        <w:spacing w:line="360" w:lineRule="auto"/>
        <w:jc w:val="both"/>
        <w:rPr>
          <w:lang w:val="en-US"/>
        </w:rPr>
      </w:pPr>
      <w:r w:rsidRPr="00E63311">
        <w:rPr>
          <w:lang w:val="en-US"/>
        </w:rPr>
        <w:lastRenderedPageBreak/>
        <w:t xml:space="preserve">Bjørnland </w:t>
      </w:r>
      <w:sdt>
        <w:sdtPr>
          <w:rPr>
            <w:lang w:val="en-US"/>
          </w:rPr>
          <w:id w:val="651960037"/>
          <w:citation/>
        </w:sdtPr>
        <w:sdtContent>
          <w:r w:rsidR="00DB780A">
            <w:rPr>
              <w:lang w:val="en-US"/>
            </w:rPr>
            <w:fldChar w:fldCharType="begin"/>
          </w:r>
          <w:r w:rsidR="00967B1A" w:rsidRPr="00967B1A">
            <w:rPr>
              <w:lang w:val="en-US"/>
            </w:rPr>
            <w:instrText xml:space="preserve"> CITATION Hil09 \n  \t  \l 1043  </w:instrText>
          </w:r>
          <w:r w:rsidR="00DB780A">
            <w:rPr>
              <w:lang w:val="en-US"/>
            </w:rPr>
            <w:fldChar w:fldCharType="separate"/>
          </w:r>
          <w:r w:rsidR="002B7AD5">
            <w:rPr>
              <w:noProof/>
              <w:lang w:val="en-US"/>
            </w:rPr>
            <w:t>(2009)</w:t>
          </w:r>
          <w:r w:rsidR="00DB780A">
            <w:rPr>
              <w:lang w:val="en-US"/>
            </w:rPr>
            <w:fldChar w:fldCharType="end"/>
          </w:r>
        </w:sdtContent>
      </w:sdt>
      <w:r w:rsidRPr="00E63311">
        <w:rPr>
          <w:lang w:val="en-US"/>
        </w:rPr>
        <w:t xml:space="preserve"> </w:t>
      </w:r>
      <w:r w:rsidR="00E63311" w:rsidRPr="00E63311">
        <w:rPr>
          <w:lang w:val="en-US"/>
        </w:rPr>
        <w:t>found that when one allows the exchange rate and monetary policy to affect one another instantaneously, but restricts monetary policy from having any long run effect on the exchange rate, the results are precisely as Dornbusch hypothesized: a contractionary monetary policy shock results in an immediate (within 1-2 quarters) appreciation of the exchange rate, after which it graduall</w:t>
      </w:r>
      <w:r w:rsidR="00AD2EA4">
        <w:rPr>
          <w:lang w:val="en-US"/>
        </w:rPr>
        <w:t>y depreciates back to baseline.</w:t>
      </w:r>
    </w:p>
    <w:p w:rsidR="001F7B0E" w:rsidRPr="001F7B0E" w:rsidRDefault="00E63311" w:rsidP="00443B38">
      <w:pPr>
        <w:spacing w:line="360" w:lineRule="auto"/>
        <w:jc w:val="both"/>
        <w:rPr>
          <w:rFonts w:ascii="Segoe UI" w:hAnsi="Segoe UI" w:cs="Segoe UI"/>
          <w:sz w:val="12"/>
          <w:szCs w:val="12"/>
          <w:lang w:val="en-US"/>
        </w:rPr>
      </w:pPr>
      <w:r w:rsidRPr="00E63311">
        <w:rPr>
          <w:lang w:val="en-US"/>
        </w:rPr>
        <w:t>Now, inspired by Hwang</w:t>
      </w:r>
      <w:r w:rsidR="00AA41B0">
        <w:rPr>
          <w:lang w:val="en-US"/>
        </w:rPr>
        <w:t xml:space="preserve"> </w:t>
      </w:r>
      <w:sdt>
        <w:sdtPr>
          <w:rPr>
            <w:lang w:val="en-US"/>
          </w:rPr>
          <w:id w:val="651960039"/>
          <w:citation/>
        </w:sdtPr>
        <w:sdtContent>
          <w:r w:rsidR="00DB780A">
            <w:rPr>
              <w:lang w:val="en-US"/>
            </w:rPr>
            <w:fldChar w:fldCharType="begin"/>
          </w:r>
          <w:r w:rsidR="00967B1A" w:rsidRPr="00967B1A">
            <w:rPr>
              <w:lang w:val="en-US"/>
            </w:rPr>
            <w:instrText xml:space="preserve"> CITATION Jae03 \n  \t  \l 1043  </w:instrText>
          </w:r>
          <w:r w:rsidR="00DB780A">
            <w:rPr>
              <w:lang w:val="en-US"/>
            </w:rPr>
            <w:fldChar w:fldCharType="separate"/>
          </w:r>
          <w:r w:rsidR="002B7AD5">
            <w:rPr>
              <w:noProof/>
              <w:lang w:val="en-US"/>
            </w:rPr>
            <w:t>(2003)</w:t>
          </w:r>
          <w:r w:rsidR="00DB780A">
            <w:rPr>
              <w:lang w:val="en-US"/>
            </w:rPr>
            <w:fldChar w:fldCharType="end"/>
          </w:r>
        </w:sdtContent>
      </w:sdt>
      <w:r w:rsidRPr="00E63311">
        <w:rPr>
          <w:lang w:val="en-US"/>
        </w:rPr>
        <w:t xml:space="preserve"> and led by </w:t>
      </w:r>
      <w:r w:rsidR="00AA41B0" w:rsidRPr="00E63311">
        <w:rPr>
          <w:lang w:val="en-US"/>
        </w:rPr>
        <w:t xml:space="preserve">Bjørnland </w:t>
      </w:r>
      <w:sdt>
        <w:sdtPr>
          <w:rPr>
            <w:lang w:val="en-US"/>
          </w:rPr>
          <w:id w:val="651960038"/>
          <w:citation/>
        </w:sdtPr>
        <w:sdtContent>
          <w:r w:rsidR="00DB780A">
            <w:rPr>
              <w:lang w:val="en-US"/>
            </w:rPr>
            <w:fldChar w:fldCharType="begin"/>
          </w:r>
          <w:r w:rsidR="00967B1A" w:rsidRPr="00967B1A">
            <w:rPr>
              <w:lang w:val="en-US"/>
            </w:rPr>
            <w:instrText xml:space="preserve"> CITATION Hil09 \n  \t  \l 1043  </w:instrText>
          </w:r>
          <w:r w:rsidR="00DB780A">
            <w:rPr>
              <w:lang w:val="en-US"/>
            </w:rPr>
            <w:fldChar w:fldCharType="separate"/>
          </w:r>
          <w:r w:rsidR="002B7AD5">
            <w:rPr>
              <w:noProof/>
              <w:lang w:val="en-US"/>
            </w:rPr>
            <w:t>(2009)</w:t>
          </w:r>
          <w:r w:rsidR="00DB780A">
            <w:rPr>
              <w:lang w:val="en-US"/>
            </w:rPr>
            <w:fldChar w:fldCharType="end"/>
          </w:r>
        </w:sdtContent>
      </w:sdt>
      <w:r w:rsidRPr="00E63311">
        <w:rPr>
          <w:lang w:val="en-US"/>
        </w:rPr>
        <w:t>, the purpose of this paper is to modify the Dornbusch model to make it a suitable tool for analyzing the behavior of the Bitcoin and to attempt to outperform a random walk model</w:t>
      </w:r>
      <w:r w:rsidR="00E8782E">
        <w:rPr>
          <w:lang w:val="en-US"/>
        </w:rPr>
        <w:t xml:space="preserve"> in forecasting the Bitcoin/US Dollar exchange rate on the basis of the Root Mean Squared Error and the Theil Inequality Coefficient.</w:t>
      </w:r>
    </w:p>
    <w:p w:rsidR="001F7B0E" w:rsidRDefault="001F7B0E" w:rsidP="008B54A2">
      <w:pPr>
        <w:pStyle w:val="Heading1"/>
        <w:rPr>
          <w:rStyle w:val="eop"/>
          <w:szCs w:val="32"/>
        </w:rPr>
      </w:pPr>
      <w:r w:rsidRPr="008B54A2">
        <w:rPr>
          <w:rStyle w:val="normaltextrun"/>
          <w:szCs w:val="32"/>
        </w:rPr>
        <w:t>Theoretical framework</w:t>
      </w:r>
      <w:r w:rsidRPr="008B54A2">
        <w:rPr>
          <w:rStyle w:val="eop"/>
          <w:szCs w:val="32"/>
        </w:rPr>
        <w:t> </w:t>
      </w:r>
    </w:p>
    <w:p w:rsidR="009A58AA" w:rsidRDefault="00CC116A" w:rsidP="00443B38">
      <w:pPr>
        <w:jc w:val="both"/>
        <w:rPr>
          <w:lang w:val="en-US" w:bidi="en-US"/>
        </w:rPr>
      </w:pPr>
      <w:r>
        <w:rPr>
          <w:lang w:val="en-US" w:bidi="en-US"/>
        </w:rPr>
        <w:t>Two hypotheses are formulated in accordance with the research problem of this paper:</w:t>
      </w:r>
    </w:p>
    <w:p w:rsidR="00E8782E" w:rsidRPr="00E8782E" w:rsidRDefault="00CC116A" w:rsidP="00443B38">
      <w:pPr>
        <w:pStyle w:val="ListParagraph"/>
        <w:numPr>
          <w:ilvl w:val="0"/>
          <w:numId w:val="14"/>
        </w:numPr>
        <w:spacing w:line="360" w:lineRule="auto"/>
        <w:jc w:val="both"/>
        <w:rPr>
          <w:i/>
          <w:lang w:val="en-US"/>
        </w:rPr>
      </w:pPr>
      <w:r w:rsidRPr="00E8782E">
        <w:rPr>
          <w:i/>
          <w:lang w:val="en-US" w:bidi="en-US"/>
        </w:rPr>
        <w:t>H</w:t>
      </w:r>
      <w:r w:rsidRPr="00E8782E">
        <w:rPr>
          <w:i/>
          <w:vertAlign w:val="subscript"/>
          <w:lang w:val="en-US" w:bidi="en-US"/>
        </w:rPr>
        <w:t>0</w:t>
      </w:r>
      <w:r w:rsidRPr="00E8782E">
        <w:rPr>
          <w:i/>
          <w:lang w:val="en-US" w:bidi="en-US"/>
        </w:rPr>
        <w:t xml:space="preserve">: It is not possible to </w:t>
      </w:r>
      <w:r w:rsidR="00346EC8">
        <w:rPr>
          <w:i/>
          <w:lang w:val="en-US" w:bidi="en-US"/>
        </w:rPr>
        <w:t>construct a</w:t>
      </w:r>
      <w:r w:rsidRPr="00E8782E">
        <w:rPr>
          <w:i/>
          <w:lang w:val="en-US" w:bidi="en-US"/>
        </w:rPr>
        <w:t xml:space="preserve"> Dornbusch model which </w:t>
      </w:r>
      <w:r w:rsidR="00E8782E" w:rsidRPr="00E8782E">
        <w:rPr>
          <w:i/>
          <w:lang w:val="en-US" w:bidi="en-US"/>
        </w:rPr>
        <w:t>outperforms a random walk model</w:t>
      </w:r>
      <w:r w:rsidRPr="00E8782E">
        <w:rPr>
          <w:i/>
          <w:lang w:val="en-US" w:bidi="en-US"/>
        </w:rPr>
        <w:t xml:space="preserve"> </w:t>
      </w:r>
      <w:r w:rsidR="00E8782E">
        <w:rPr>
          <w:i/>
          <w:lang w:val="en-US"/>
        </w:rPr>
        <w:t xml:space="preserve">in forecasting the Bitcoin/US Dollar exchange rate </w:t>
      </w:r>
      <w:r w:rsidR="00E8782E" w:rsidRPr="00E8782E">
        <w:rPr>
          <w:i/>
          <w:lang w:val="en-US"/>
        </w:rPr>
        <w:t>on the basis of the Root Mean Squared Error and the Theil Inequality Coefficient.</w:t>
      </w:r>
    </w:p>
    <w:p w:rsidR="00E8782E" w:rsidRPr="00E8782E" w:rsidRDefault="00CC116A" w:rsidP="00443B38">
      <w:pPr>
        <w:pStyle w:val="ListParagraph"/>
        <w:numPr>
          <w:ilvl w:val="0"/>
          <w:numId w:val="14"/>
        </w:numPr>
        <w:spacing w:line="360" w:lineRule="auto"/>
        <w:jc w:val="both"/>
        <w:rPr>
          <w:lang w:val="en-US" w:bidi="en-US"/>
        </w:rPr>
      </w:pPr>
      <w:r w:rsidRPr="00E8782E">
        <w:rPr>
          <w:i/>
          <w:lang w:val="en-US" w:bidi="en-US"/>
        </w:rPr>
        <w:t>H</w:t>
      </w:r>
      <w:r w:rsidRPr="00E8782E">
        <w:rPr>
          <w:i/>
          <w:vertAlign w:val="subscript"/>
          <w:lang w:val="en-US" w:bidi="en-US"/>
        </w:rPr>
        <w:t>a</w:t>
      </w:r>
      <w:r w:rsidRPr="00E8782E">
        <w:rPr>
          <w:i/>
          <w:lang w:val="en-US" w:bidi="en-US"/>
        </w:rPr>
        <w:t xml:space="preserve">: </w:t>
      </w:r>
      <w:r w:rsidR="00E8782E" w:rsidRPr="00E8782E">
        <w:rPr>
          <w:i/>
          <w:lang w:val="en-US" w:bidi="en-US"/>
        </w:rPr>
        <w:t xml:space="preserve">It is possible to </w:t>
      </w:r>
      <w:r w:rsidR="00346EC8">
        <w:rPr>
          <w:i/>
          <w:lang w:val="en-US" w:bidi="en-US"/>
        </w:rPr>
        <w:t>construct a</w:t>
      </w:r>
      <w:r w:rsidR="00E8782E" w:rsidRPr="00E8782E">
        <w:rPr>
          <w:i/>
          <w:lang w:val="en-US" w:bidi="en-US"/>
        </w:rPr>
        <w:t xml:space="preserve"> Dornbusch model which outperforms a random walk model </w:t>
      </w:r>
      <w:r w:rsidR="00E8782E" w:rsidRPr="00E8782E">
        <w:rPr>
          <w:i/>
          <w:lang w:val="en-US"/>
        </w:rPr>
        <w:t>in forecasting the Bitcoin/US Dollar exchange rate on the basis of the Root Mean Squared Error and the Theil Inequality Coefficient.</w:t>
      </w:r>
    </w:p>
    <w:p w:rsidR="009A58AA" w:rsidRPr="00E8782E" w:rsidRDefault="00082ECB" w:rsidP="00170695">
      <w:pPr>
        <w:pStyle w:val="Heading2"/>
        <w:rPr>
          <w:lang w:val="en-US" w:bidi="en-US"/>
        </w:rPr>
      </w:pPr>
      <w:r>
        <w:rPr>
          <w:lang w:val="en-US" w:bidi="en-US"/>
        </w:rPr>
        <w:t>Variables</w:t>
      </w:r>
    </w:p>
    <w:p w:rsidR="005E1E88" w:rsidRDefault="005E1E88" w:rsidP="00443B38">
      <w:pPr>
        <w:spacing w:line="360" w:lineRule="auto"/>
        <w:jc w:val="both"/>
        <w:rPr>
          <w:rStyle w:val="eop"/>
          <w:rFonts w:ascii="Calibri" w:hAnsi="Calibri" w:cs="Segoe UI"/>
          <w:lang w:val="en-US"/>
        </w:rPr>
      </w:pPr>
      <w:r>
        <w:rPr>
          <w:rStyle w:val="eop"/>
          <w:rFonts w:ascii="Calibri" w:hAnsi="Calibri" w:cs="Segoe UI"/>
          <w:lang w:val="en-US"/>
        </w:rPr>
        <w:t>Bitcoin's public ledger of past transactions is called the 'block chain', as it is a chain of blocks</w:t>
      </w:r>
      <w:r w:rsidR="00FD124F">
        <w:rPr>
          <w:rStyle w:val="eop"/>
          <w:rFonts w:ascii="Calibri" w:hAnsi="Calibri" w:cs="Segoe UI"/>
          <w:lang w:val="en-US"/>
        </w:rPr>
        <w:t xml:space="preserve"> </w:t>
      </w:r>
      <w:sdt>
        <w:sdtPr>
          <w:rPr>
            <w:rStyle w:val="eop"/>
            <w:rFonts w:ascii="Calibri" w:hAnsi="Calibri" w:cs="Segoe UI"/>
            <w:lang w:val="en-US"/>
          </w:rPr>
          <w:id w:val="1930909674"/>
          <w:citation/>
        </w:sdtPr>
        <w:sdtContent>
          <w:r w:rsidR="00DB780A">
            <w:rPr>
              <w:rStyle w:val="eop"/>
              <w:rFonts w:ascii="Calibri" w:hAnsi="Calibri" w:cs="Segoe UI"/>
              <w:lang w:val="en-US"/>
            </w:rPr>
            <w:fldChar w:fldCharType="begin"/>
          </w:r>
          <w:r w:rsidR="00FD124F" w:rsidRPr="00F1547A">
            <w:rPr>
              <w:rStyle w:val="eop"/>
              <w:rFonts w:ascii="Calibri" w:hAnsi="Calibri" w:cs="Segoe UI"/>
              <w:b/>
              <w:lang w:val="en-US"/>
            </w:rPr>
            <w:instrText xml:space="preserve"> CITATION Bit141 \l 1043 </w:instrText>
          </w:r>
          <w:r w:rsidR="00DB780A">
            <w:rPr>
              <w:rStyle w:val="eop"/>
              <w:rFonts w:ascii="Calibri" w:hAnsi="Calibri" w:cs="Segoe UI"/>
              <w:lang w:val="en-US"/>
            </w:rPr>
            <w:fldChar w:fldCharType="separate"/>
          </w:r>
          <w:r w:rsidR="002B7AD5" w:rsidRPr="002B7AD5">
            <w:rPr>
              <w:rFonts w:ascii="Calibri" w:hAnsi="Calibri" w:cs="Segoe UI"/>
              <w:noProof/>
              <w:lang w:val="en-US"/>
            </w:rPr>
            <w:t>(Bitcoin.it, 2014)</w:t>
          </w:r>
          <w:r w:rsidR="00DB780A">
            <w:rPr>
              <w:rStyle w:val="eop"/>
              <w:rFonts w:ascii="Calibri" w:hAnsi="Calibri" w:cs="Segoe UI"/>
              <w:lang w:val="en-US"/>
            </w:rPr>
            <w:fldChar w:fldCharType="end"/>
          </w:r>
        </w:sdtContent>
      </w:sdt>
      <w:r>
        <w:rPr>
          <w:rStyle w:val="eop"/>
          <w:rFonts w:ascii="Calibri" w:hAnsi="Calibri" w:cs="Segoe UI"/>
          <w:lang w:val="en-US"/>
        </w:rPr>
        <w:t>. A block is a record of recent Bitcoin transactions that have not been recorded in any blocks before. They can be thought of as pages in the ledger. If transactions occur, new blocks have to be added to the block chain. This is</w:t>
      </w:r>
      <w:r w:rsidR="00000B1E">
        <w:rPr>
          <w:rStyle w:val="eop"/>
          <w:rFonts w:ascii="Calibri" w:hAnsi="Calibri" w:cs="Segoe UI"/>
          <w:lang w:val="en-US"/>
        </w:rPr>
        <w:t xml:space="preserve"> done by people called 'miners', or actually by their computers. Every time a block needs to be added to the block chain, miners compete to be the first to solve a proof of work. Without a valid and solved proof of work, the block cannot be added. The proof of work can be thought of as a mathematical problem. It is difficult and time consuming to solve, but once it is solved it is trivial for the other participants in the network to verify that it is correct. When the proof of work is solved and verified, the block will be accepted by the other participants and added to the public block chain, the ledger. The </w:t>
      </w:r>
      <w:r w:rsidR="007C7C5F">
        <w:rPr>
          <w:rStyle w:val="eop"/>
          <w:rFonts w:ascii="Calibri" w:hAnsi="Calibri" w:cs="Segoe UI"/>
          <w:lang w:val="en-US"/>
        </w:rPr>
        <w:t xml:space="preserve">first </w:t>
      </w:r>
      <w:r w:rsidR="00000B1E">
        <w:rPr>
          <w:rStyle w:val="eop"/>
          <w:rFonts w:ascii="Calibri" w:hAnsi="Calibri" w:cs="Segoe UI"/>
          <w:lang w:val="en-US"/>
        </w:rPr>
        <w:t xml:space="preserve">miner </w:t>
      </w:r>
      <w:r w:rsidR="004205AA">
        <w:rPr>
          <w:rStyle w:val="eop"/>
          <w:rFonts w:ascii="Calibri" w:hAnsi="Calibri" w:cs="Segoe UI"/>
          <w:lang w:val="en-US"/>
        </w:rPr>
        <w:t>who</w:t>
      </w:r>
      <w:r w:rsidR="00000B1E">
        <w:rPr>
          <w:rStyle w:val="eop"/>
          <w:rFonts w:ascii="Calibri" w:hAnsi="Calibri" w:cs="Segoe UI"/>
          <w:lang w:val="en-US"/>
        </w:rPr>
        <w:t xml:space="preserve"> so</w:t>
      </w:r>
      <w:r w:rsidR="007C7C5F">
        <w:rPr>
          <w:rStyle w:val="eop"/>
          <w:rFonts w:ascii="Calibri" w:hAnsi="Calibri" w:cs="Segoe UI"/>
          <w:lang w:val="en-US"/>
        </w:rPr>
        <w:t xml:space="preserve">lved the proof of work </w:t>
      </w:r>
      <w:r w:rsidR="00000B1E">
        <w:rPr>
          <w:rStyle w:val="eop"/>
          <w:rFonts w:ascii="Calibri" w:hAnsi="Calibri" w:cs="Segoe UI"/>
          <w:lang w:val="en-US"/>
        </w:rPr>
        <w:t xml:space="preserve">will be awarded with newly generated Bitcoins. </w:t>
      </w:r>
      <w:r w:rsidR="007C7C5F">
        <w:rPr>
          <w:rStyle w:val="eop"/>
          <w:rFonts w:ascii="Calibri" w:hAnsi="Calibri" w:cs="Segoe UI"/>
          <w:lang w:val="en-US"/>
        </w:rPr>
        <w:t xml:space="preserve">(The others halt their efforts on this proof of work.) </w:t>
      </w:r>
      <w:r w:rsidR="00000B1E">
        <w:rPr>
          <w:rStyle w:val="eop"/>
          <w:rFonts w:ascii="Calibri" w:hAnsi="Calibri" w:cs="Segoe UI"/>
          <w:lang w:val="en-US"/>
        </w:rPr>
        <w:t>This increases the Bitcoin money supply. Every 2,016 blocks, the</w:t>
      </w:r>
      <w:r w:rsidR="00F4718C">
        <w:rPr>
          <w:rStyle w:val="eop"/>
          <w:rFonts w:ascii="Calibri" w:hAnsi="Calibri" w:cs="Segoe UI"/>
          <w:lang w:val="en-US"/>
        </w:rPr>
        <w:t xml:space="preserve"> Bitcoin</w:t>
      </w:r>
      <w:r w:rsidR="00000B1E">
        <w:rPr>
          <w:rStyle w:val="eop"/>
          <w:rFonts w:ascii="Calibri" w:hAnsi="Calibri" w:cs="Segoe UI"/>
          <w:lang w:val="en-US"/>
        </w:rPr>
        <w:t xml:space="preserve"> network adjusts the difficulty of the</w:t>
      </w:r>
      <w:r w:rsidR="004E6A7B">
        <w:rPr>
          <w:rStyle w:val="eop"/>
          <w:rFonts w:ascii="Calibri" w:hAnsi="Calibri" w:cs="Segoe UI"/>
          <w:lang w:val="en-US"/>
        </w:rPr>
        <w:t xml:space="preserve"> proof of work, so as to keep the rate at which new blocks are added roughly constant at one every 10 minutes. At that rate, 2,016 blocks are generated every 2 weeks and thus, roughly </w:t>
      </w:r>
      <w:r w:rsidR="004E6A7B">
        <w:rPr>
          <w:rStyle w:val="eop"/>
          <w:rFonts w:ascii="Calibri" w:hAnsi="Calibri" w:cs="Segoe UI"/>
          <w:lang w:val="en-US"/>
        </w:rPr>
        <w:lastRenderedPageBreak/>
        <w:t xml:space="preserve">every 2 weeks the difficulty is adjusted. The amount of newly generated Bitcoins rewarded for being the first to solve the proof of work is automatically halved every 210,000 blocks. At Bitcoin's introduction in 2009 this reward was 50 Bitcoins, currently it is 25 Bitcoins. </w:t>
      </w:r>
      <w:r w:rsidR="0034430D">
        <w:rPr>
          <w:rStyle w:val="eop"/>
          <w:rFonts w:ascii="Calibri" w:hAnsi="Calibri" w:cs="Segoe UI"/>
          <w:lang w:val="en-US"/>
        </w:rPr>
        <w:t>This design results in the fact that the number of Bitcoins in circulation will approach, but never exceed, 21 million Bitcoins</w:t>
      </w:r>
      <w:r w:rsidR="007C7C5F">
        <w:rPr>
          <w:rStyle w:val="eop"/>
          <w:rFonts w:ascii="Calibri" w:hAnsi="Calibri" w:cs="Segoe UI"/>
          <w:lang w:val="en-US"/>
        </w:rPr>
        <w:t xml:space="preserve"> </w:t>
      </w:r>
      <w:sdt>
        <w:sdtPr>
          <w:rPr>
            <w:rStyle w:val="eop"/>
            <w:rFonts w:ascii="Calibri" w:hAnsi="Calibri" w:cs="Segoe UI"/>
            <w:lang w:val="en-US"/>
          </w:rPr>
          <w:id w:val="1090864964"/>
          <w:citation/>
        </w:sdtPr>
        <w:sdtContent>
          <w:r w:rsidR="00DB780A">
            <w:rPr>
              <w:rStyle w:val="eop"/>
              <w:rFonts w:ascii="Calibri" w:hAnsi="Calibri" w:cs="Segoe UI"/>
              <w:lang w:val="en-US"/>
            </w:rPr>
            <w:fldChar w:fldCharType="begin"/>
          </w:r>
          <w:r w:rsidR="001839F8" w:rsidRPr="00F1547A">
            <w:rPr>
              <w:rStyle w:val="eop"/>
              <w:rFonts w:ascii="Calibri" w:hAnsi="Calibri" w:cs="Segoe UI"/>
              <w:b/>
              <w:lang w:val="en-US"/>
            </w:rPr>
            <w:instrText xml:space="preserve"> CITATION Bit141 \l 1043 </w:instrText>
          </w:r>
          <w:r w:rsidR="00DB780A">
            <w:rPr>
              <w:rStyle w:val="eop"/>
              <w:rFonts w:ascii="Calibri" w:hAnsi="Calibri" w:cs="Segoe UI"/>
              <w:lang w:val="en-US"/>
            </w:rPr>
            <w:fldChar w:fldCharType="separate"/>
          </w:r>
          <w:r w:rsidR="002B7AD5" w:rsidRPr="002B7AD5">
            <w:rPr>
              <w:rFonts w:ascii="Calibri" w:hAnsi="Calibri" w:cs="Segoe UI"/>
              <w:noProof/>
              <w:lang w:val="en-US"/>
            </w:rPr>
            <w:t>(Bitcoin.it, 2014)</w:t>
          </w:r>
          <w:r w:rsidR="00DB780A">
            <w:rPr>
              <w:rStyle w:val="eop"/>
              <w:rFonts w:ascii="Calibri" w:hAnsi="Calibri" w:cs="Segoe UI"/>
              <w:lang w:val="en-US"/>
            </w:rPr>
            <w:fldChar w:fldCharType="end"/>
          </w:r>
        </w:sdtContent>
      </w:sdt>
      <w:r w:rsidR="00CE2BA2">
        <w:rPr>
          <w:rStyle w:val="eop"/>
          <w:rFonts w:ascii="Calibri" w:hAnsi="Calibri" w:cs="Segoe UI"/>
          <w:lang w:val="en-US"/>
        </w:rPr>
        <w:t>.</w:t>
      </w:r>
      <w:r w:rsidR="001A2382">
        <w:rPr>
          <w:rStyle w:val="eop"/>
          <w:rFonts w:ascii="Calibri" w:hAnsi="Calibri" w:cs="Segoe UI"/>
          <w:lang w:val="en-US"/>
        </w:rPr>
        <w:t xml:space="preserve"> </w:t>
      </w:r>
      <w:r w:rsidR="007C7C5F">
        <w:rPr>
          <w:rStyle w:val="eop"/>
          <w:rFonts w:ascii="Calibri" w:hAnsi="Calibri" w:cs="Segoe UI"/>
          <w:lang w:val="en-US"/>
        </w:rPr>
        <w:t>Using the information of 1,008 blocks per week and an additional 50 Bitcoins per block which halves every 210,000 blocks, the Bitcoin money supply time series can easily be computed.</w:t>
      </w:r>
      <w:r w:rsidR="00FE1DDF">
        <w:rPr>
          <w:rStyle w:val="eop"/>
          <w:rFonts w:ascii="Calibri" w:hAnsi="Calibri" w:cs="Segoe UI"/>
          <w:lang w:val="en-US"/>
        </w:rPr>
        <w:t xml:space="preserve"> </w:t>
      </w:r>
    </w:p>
    <w:p w:rsidR="002F6565" w:rsidRPr="001E7A3E" w:rsidRDefault="002F6565" w:rsidP="00443B38">
      <w:pPr>
        <w:spacing w:line="360" w:lineRule="auto"/>
        <w:jc w:val="both"/>
        <w:rPr>
          <w:rStyle w:val="eop"/>
          <w:rFonts w:ascii="Calibri" w:hAnsi="Calibri" w:cs="Segoe UI"/>
          <w:b/>
          <w:lang w:val="en-US"/>
        </w:rPr>
      </w:pPr>
      <w:r>
        <w:rPr>
          <w:rStyle w:val="eop"/>
          <w:rFonts w:ascii="Calibri" w:hAnsi="Calibri" w:cs="Segoe UI"/>
          <w:lang w:val="en-US"/>
        </w:rPr>
        <w:t xml:space="preserve">The United States' money supply is defined as the M2 money stock. That is, it includes cash and checking deposits (M1) as well as savings deposits, money market mutual funds and other time deposits. </w:t>
      </w:r>
    </w:p>
    <w:p w:rsidR="001E7A3E" w:rsidRDefault="001E7A3E" w:rsidP="00443B38">
      <w:pPr>
        <w:spacing w:line="360" w:lineRule="auto"/>
        <w:jc w:val="both"/>
        <w:rPr>
          <w:rStyle w:val="eop"/>
          <w:rFonts w:ascii="Calibri" w:hAnsi="Calibri" w:cs="Segoe UI"/>
          <w:lang w:val="en-US"/>
        </w:rPr>
      </w:pPr>
      <w:r>
        <w:rPr>
          <w:rStyle w:val="eop"/>
          <w:rFonts w:ascii="Calibri" w:hAnsi="Calibri" w:cs="Segoe UI"/>
          <w:lang w:val="en-US"/>
        </w:rPr>
        <w:t xml:space="preserve">Since there is no such thing as a Bitcoin Bank, one can obtain Bitcoins by exchanging conventional currency at Bitcoin exchanges. However, these exchanges do not necessarily have equal prices. The Bitcoin Price Index, or BPI, attempts to form a unified price by calculating the simple average of several large exchanges, namely Bitfinex, Bitstamp and BTC-e. It is calculated live by CoinDesk </w:t>
      </w:r>
      <w:sdt>
        <w:sdtPr>
          <w:rPr>
            <w:rStyle w:val="eop"/>
            <w:rFonts w:ascii="Calibri" w:hAnsi="Calibri" w:cs="Segoe UI"/>
            <w:lang w:val="en-US"/>
          </w:rPr>
          <w:id w:val="917672434"/>
          <w:citation/>
        </w:sdtPr>
        <w:sdtContent>
          <w:r w:rsidR="00DB780A">
            <w:rPr>
              <w:rStyle w:val="eop"/>
              <w:rFonts w:ascii="Calibri" w:hAnsi="Calibri" w:cs="Segoe UI"/>
              <w:lang w:val="en-US"/>
            </w:rPr>
            <w:fldChar w:fldCharType="begin"/>
          </w:r>
          <w:r w:rsidRPr="001A3F3C">
            <w:rPr>
              <w:rStyle w:val="eop"/>
              <w:rFonts w:ascii="Calibri" w:hAnsi="Calibri" w:cs="Segoe UI"/>
              <w:lang w:val="en-US"/>
            </w:rPr>
            <w:instrText xml:space="preserve"> CITATION Coi14 \n  \t  \l 1043  </w:instrText>
          </w:r>
          <w:r w:rsidR="00DB780A">
            <w:rPr>
              <w:rStyle w:val="eop"/>
              <w:rFonts w:ascii="Calibri" w:hAnsi="Calibri" w:cs="Segoe UI"/>
              <w:lang w:val="en-US"/>
            </w:rPr>
            <w:fldChar w:fldCharType="separate"/>
          </w:r>
          <w:r w:rsidR="002B7AD5" w:rsidRPr="002B7AD5">
            <w:rPr>
              <w:rFonts w:ascii="Calibri" w:hAnsi="Calibri" w:cs="Segoe UI"/>
              <w:noProof/>
              <w:lang w:val="en-US"/>
            </w:rPr>
            <w:t>(2014)</w:t>
          </w:r>
          <w:r w:rsidR="00DB780A">
            <w:rPr>
              <w:rStyle w:val="eop"/>
              <w:rFonts w:ascii="Calibri" w:hAnsi="Calibri" w:cs="Segoe UI"/>
              <w:lang w:val="en-US"/>
            </w:rPr>
            <w:fldChar w:fldCharType="end"/>
          </w:r>
        </w:sdtContent>
      </w:sdt>
      <w:r>
        <w:rPr>
          <w:rStyle w:val="eop"/>
          <w:rFonts w:ascii="Calibri" w:hAnsi="Calibri" w:cs="Segoe UI"/>
          <w:lang w:val="en-US"/>
        </w:rPr>
        <w:t xml:space="preserve"> and is expressed as the midpoint of the bid/ask spread. For the US Dollar, it is defined as US Dollar/Bitcoin. </w:t>
      </w:r>
    </w:p>
    <w:p w:rsidR="001B14F6" w:rsidRDefault="001B14F6" w:rsidP="00443B38">
      <w:pPr>
        <w:spacing w:line="360" w:lineRule="auto"/>
        <w:jc w:val="both"/>
        <w:rPr>
          <w:rStyle w:val="eop"/>
          <w:rFonts w:ascii="Calibri" w:hAnsi="Calibri" w:cs="Segoe UI"/>
          <w:lang w:val="en-US"/>
        </w:rPr>
      </w:pPr>
      <w:r>
        <w:rPr>
          <w:rStyle w:val="eop"/>
          <w:rFonts w:ascii="Calibri" w:hAnsi="Calibri" w:cs="Segoe UI"/>
          <w:lang w:val="en-US"/>
        </w:rPr>
        <w:t xml:space="preserve">United States' Consumer Price Index </w:t>
      </w:r>
      <w:r w:rsidR="00803036">
        <w:rPr>
          <w:rStyle w:val="eop"/>
          <w:rFonts w:ascii="Calibri" w:hAnsi="Calibri" w:cs="Segoe UI"/>
          <w:lang w:val="en-US"/>
        </w:rPr>
        <w:t xml:space="preserve">(CPI) </w:t>
      </w:r>
      <w:r w:rsidR="00022620">
        <w:rPr>
          <w:rStyle w:val="eop"/>
          <w:rFonts w:ascii="Calibri" w:hAnsi="Calibri" w:cs="Segoe UI"/>
          <w:lang w:val="en-US"/>
        </w:rPr>
        <w:t xml:space="preserve">index </w:t>
      </w:r>
      <w:r>
        <w:rPr>
          <w:rStyle w:val="eop"/>
          <w:rFonts w:ascii="Calibri" w:hAnsi="Calibri" w:cs="Segoe UI"/>
          <w:lang w:val="en-US"/>
        </w:rPr>
        <w:t xml:space="preserve">data has been used to derive unobserved expected inflation figures. </w:t>
      </w:r>
      <w:r w:rsidR="00803036">
        <w:rPr>
          <w:rStyle w:val="eop"/>
          <w:rFonts w:ascii="Calibri" w:hAnsi="Calibri" w:cs="Segoe UI"/>
          <w:lang w:val="en-US"/>
        </w:rPr>
        <w:t>To obtain US Dollar expected inflation, CPI percentage change over the p</w:t>
      </w:r>
      <w:r w:rsidR="00CE2BA2">
        <w:rPr>
          <w:rStyle w:val="eop"/>
          <w:rFonts w:ascii="Calibri" w:hAnsi="Calibri" w:cs="Segoe UI"/>
          <w:lang w:val="en-US"/>
        </w:rPr>
        <w:t>receding 52 weeks has been used</w:t>
      </w:r>
      <w:r w:rsidR="001839F8">
        <w:rPr>
          <w:rStyle w:val="eop"/>
          <w:rFonts w:ascii="Calibri" w:hAnsi="Calibri" w:cs="Segoe UI"/>
          <w:lang w:val="en-US"/>
        </w:rPr>
        <w:t xml:space="preserve"> </w:t>
      </w:r>
      <w:sdt>
        <w:sdtPr>
          <w:rPr>
            <w:rStyle w:val="eop"/>
            <w:rFonts w:ascii="Calibri" w:hAnsi="Calibri" w:cs="Segoe UI"/>
            <w:lang w:val="en-US"/>
          </w:rPr>
          <w:id w:val="1090864966"/>
          <w:citation/>
        </w:sdtPr>
        <w:sdtContent>
          <w:r w:rsidR="00DB780A">
            <w:rPr>
              <w:rStyle w:val="eop"/>
              <w:rFonts w:ascii="Calibri" w:hAnsi="Calibri" w:cs="Segoe UI"/>
              <w:lang w:val="en-US"/>
            </w:rPr>
            <w:fldChar w:fldCharType="begin"/>
          </w:r>
          <w:r w:rsidR="00967B1A" w:rsidRPr="00967B1A">
            <w:rPr>
              <w:rStyle w:val="eop"/>
              <w:rFonts w:ascii="Calibri" w:hAnsi="Calibri" w:cs="Segoe UI"/>
              <w:lang w:val="en-US"/>
            </w:rPr>
            <w:instrText xml:space="preserve"> CITATION Jae03 \l 1043  </w:instrText>
          </w:r>
          <w:r w:rsidR="00DB780A">
            <w:rPr>
              <w:rStyle w:val="eop"/>
              <w:rFonts w:ascii="Calibri" w:hAnsi="Calibri" w:cs="Segoe UI"/>
              <w:lang w:val="en-US"/>
            </w:rPr>
            <w:fldChar w:fldCharType="separate"/>
          </w:r>
          <w:r w:rsidR="002B7AD5" w:rsidRPr="002B7AD5">
            <w:rPr>
              <w:rFonts w:ascii="Calibri" w:hAnsi="Calibri" w:cs="Segoe UI"/>
              <w:noProof/>
              <w:lang w:val="en-US"/>
            </w:rPr>
            <w:t>(Hwang, 2003)</w:t>
          </w:r>
          <w:r w:rsidR="00DB780A">
            <w:rPr>
              <w:rStyle w:val="eop"/>
              <w:rFonts w:ascii="Calibri" w:hAnsi="Calibri" w:cs="Segoe UI"/>
              <w:lang w:val="en-US"/>
            </w:rPr>
            <w:fldChar w:fldCharType="end"/>
          </w:r>
        </w:sdtContent>
      </w:sdt>
      <w:r w:rsidR="00CE2BA2">
        <w:rPr>
          <w:rStyle w:val="eop"/>
          <w:rFonts w:ascii="Calibri" w:hAnsi="Calibri" w:cs="Segoe UI"/>
          <w:lang w:val="en-US"/>
        </w:rPr>
        <w:t xml:space="preserve">. </w:t>
      </w:r>
      <w:r w:rsidR="001E7A3E">
        <w:rPr>
          <w:rStyle w:val="eop"/>
          <w:rFonts w:ascii="Calibri" w:hAnsi="Calibri" w:cs="Segoe UI"/>
          <w:lang w:val="en-US"/>
        </w:rPr>
        <w:t>To obtain Bitcoin expected inflation, US CPI data has been converted into Bitcoin CPI data using the exchange rate series.</w:t>
      </w:r>
      <w:r w:rsidR="00803036">
        <w:rPr>
          <w:rStyle w:val="eop"/>
          <w:rFonts w:ascii="Calibri" w:hAnsi="Calibri" w:cs="Segoe UI"/>
          <w:lang w:val="en-US"/>
        </w:rPr>
        <w:t xml:space="preserve"> However, since the Bitcoin is a lot more volatile and very sensitive to shocks, CPI percentage change over the preceding week has been used to obtain Bitcoin expected inflation </w:t>
      </w:r>
      <w:sdt>
        <w:sdtPr>
          <w:rPr>
            <w:rStyle w:val="eop"/>
            <w:rFonts w:ascii="Calibri" w:hAnsi="Calibri" w:cs="Segoe UI"/>
            <w:lang w:val="en-US"/>
          </w:rPr>
          <w:id w:val="1090864965"/>
          <w:citation/>
        </w:sdtPr>
        <w:sdtContent>
          <w:r w:rsidR="00DB780A">
            <w:rPr>
              <w:rStyle w:val="eop"/>
              <w:rFonts w:ascii="Calibri" w:hAnsi="Calibri" w:cs="Segoe UI"/>
              <w:lang w:val="en-US"/>
            </w:rPr>
            <w:fldChar w:fldCharType="begin"/>
          </w:r>
          <w:r w:rsidR="00967B1A" w:rsidRPr="00967B1A">
            <w:rPr>
              <w:rStyle w:val="eop"/>
              <w:rFonts w:ascii="Calibri" w:hAnsi="Calibri" w:cs="Segoe UI"/>
              <w:lang w:val="en-US"/>
            </w:rPr>
            <w:instrText xml:space="preserve"> CITATION Dav14 \l 1043  </w:instrText>
          </w:r>
          <w:r w:rsidR="00DB780A">
            <w:rPr>
              <w:rStyle w:val="eop"/>
              <w:rFonts w:ascii="Calibri" w:hAnsi="Calibri" w:cs="Segoe UI"/>
              <w:lang w:val="en-US"/>
            </w:rPr>
            <w:fldChar w:fldCharType="separate"/>
          </w:r>
          <w:r w:rsidR="002B7AD5" w:rsidRPr="002B7AD5">
            <w:rPr>
              <w:rFonts w:ascii="Calibri" w:hAnsi="Calibri" w:cs="Segoe UI"/>
              <w:noProof/>
              <w:lang w:val="en-US"/>
            </w:rPr>
            <w:t>(Yermack, 2014)</w:t>
          </w:r>
          <w:r w:rsidR="00DB780A">
            <w:rPr>
              <w:rStyle w:val="eop"/>
              <w:rFonts w:ascii="Calibri" w:hAnsi="Calibri" w:cs="Segoe UI"/>
              <w:lang w:val="en-US"/>
            </w:rPr>
            <w:fldChar w:fldCharType="end"/>
          </w:r>
        </w:sdtContent>
      </w:sdt>
      <w:r w:rsidR="00CE2BA2">
        <w:rPr>
          <w:rStyle w:val="eop"/>
          <w:rFonts w:ascii="Calibri" w:hAnsi="Calibri" w:cs="Segoe UI"/>
          <w:lang w:val="en-US"/>
        </w:rPr>
        <w:t>.</w:t>
      </w:r>
    </w:p>
    <w:p w:rsidR="007355EC" w:rsidRDefault="007355EC" w:rsidP="00443B38">
      <w:pPr>
        <w:spacing w:line="360" w:lineRule="auto"/>
        <w:jc w:val="both"/>
        <w:rPr>
          <w:rStyle w:val="eop"/>
          <w:rFonts w:ascii="Calibri" w:hAnsi="Calibri" w:cs="Segoe UI"/>
          <w:lang w:val="en-US"/>
        </w:rPr>
      </w:pPr>
      <w:r>
        <w:rPr>
          <w:rStyle w:val="eop"/>
          <w:rFonts w:ascii="Calibri" w:hAnsi="Calibri" w:cs="Segoe UI"/>
          <w:lang w:val="en-US"/>
        </w:rPr>
        <w:t xml:space="preserve">For United States' overall demand, US Gross Domestic Product data is used. </w:t>
      </w:r>
      <w:r w:rsidR="008F34F2">
        <w:rPr>
          <w:rStyle w:val="eop"/>
          <w:rFonts w:ascii="Calibri" w:hAnsi="Calibri" w:cs="Segoe UI"/>
          <w:lang w:val="en-US"/>
        </w:rPr>
        <w:t xml:space="preserve">Since the Bitcoin is a global currency, and no country exists with the Bitcoin as its national currency, the foreign demand should be a global variable. </w:t>
      </w:r>
      <w:r>
        <w:rPr>
          <w:rStyle w:val="eop"/>
          <w:rFonts w:ascii="Calibri" w:hAnsi="Calibri" w:cs="Segoe UI"/>
          <w:lang w:val="en-US"/>
        </w:rPr>
        <w:t>For foreign demand, a population weighted average of OECD countries' GDP has been constructed.</w:t>
      </w:r>
      <w:r w:rsidR="009A6F2E">
        <w:rPr>
          <w:rStyle w:val="FootnoteReference"/>
          <w:rFonts w:ascii="Calibri" w:hAnsi="Calibri" w:cs="Segoe UI"/>
          <w:lang w:val="en-US"/>
        </w:rPr>
        <w:footnoteReference w:id="2"/>
      </w:r>
    </w:p>
    <w:p w:rsidR="002A62CC" w:rsidRDefault="007355EC" w:rsidP="00443B38">
      <w:pPr>
        <w:spacing w:line="360" w:lineRule="auto"/>
        <w:jc w:val="both"/>
        <w:rPr>
          <w:rStyle w:val="eop"/>
          <w:rFonts w:ascii="Calibri" w:hAnsi="Calibri" w:cs="Segoe UI"/>
          <w:lang w:val="en-US"/>
        </w:rPr>
      </w:pPr>
      <w:r>
        <w:rPr>
          <w:rStyle w:val="eop"/>
          <w:rFonts w:ascii="Calibri" w:hAnsi="Calibri" w:cs="Segoe UI"/>
          <w:lang w:val="en-US"/>
        </w:rPr>
        <w:t xml:space="preserve">3 month Eurodollar interest rate has been used for the United States interest rate. </w:t>
      </w:r>
      <w:r w:rsidR="008F34F2">
        <w:rPr>
          <w:rStyle w:val="eop"/>
          <w:rFonts w:ascii="Calibri" w:hAnsi="Calibri" w:cs="Segoe UI"/>
          <w:lang w:val="en-US"/>
        </w:rPr>
        <w:t>Foreign interest rate should be a global variable, for the same reason foreign demand should be. Thus, f</w:t>
      </w:r>
      <w:r>
        <w:rPr>
          <w:rStyle w:val="eop"/>
          <w:rFonts w:ascii="Calibri" w:hAnsi="Calibri" w:cs="Segoe UI"/>
          <w:lang w:val="en-US"/>
        </w:rPr>
        <w:t xml:space="preserve">or foreign </w:t>
      </w:r>
      <w:r>
        <w:rPr>
          <w:rStyle w:val="eop"/>
          <w:rFonts w:ascii="Calibri" w:hAnsi="Calibri" w:cs="Segoe UI"/>
          <w:lang w:val="en-US"/>
        </w:rPr>
        <w:lastRenderedPageBreak/>
        <w:t xml:space="preserve">interest rate, a population weighted average of OECD countries' short-term interest rate has been constructed. </w:t>
      </w:r>
    </w:p>
    <w:p w:rsidR="009A58AA" w:rsidRPr="007355EC" w:rsidRDefault="009A58AA" w:rsidP="00170695">
      <w:pPr>
        <w:pStyle w:val="Heading2"/>
        <w:rPr>
          <w:rStyle w:val="eop"/>
          <w:rFonts w:ascii="Calibri" w:hAnsi="Calibri" w:cs="Segoe UI"/>
          <w:lang w:val="en-US"/>
        </w:rPr>
      </w:pPr>
      <w:r>
        <w:rPr>
          <w:rStyle w:val="eop"/>
          <w:rFonts w:ascii="Calibri" w:hAnsi="Calibri" w:cs="Segoe UI"/>
          <w:lang w:val="en-US"/>
        </w:rPr>
        <w:t>Conventions</w:t>
      </w:r>
    </w:p>
    <w:p w:rsidR="008B54A2" w:rsidRDefault="009A58AA" w:rsidP="00443B38">
      <w:pPr>
        <w:spacing w:line="360" w:lineRule="auto"/>
        <w:jc w:val="both"/>
        <w:rPr>
          <w:lang w:val="en-US"/>
        </w:rPr>
      </w:pPr>
      <w:r>
        <w:rPr>
          <w:lang w:val="en-US"/>
        </w:rPr>
        <w:t>Throughout</w:t>
      </w:r>
      <w:r w:rsidR="00C145D2">
        <w:rPr>
          <w:lang w:val="en-US"/>
        </w:rPr>
        <w:t xml:space="preserve"> this paper, </w:t>
      </w:r>
      <w:r w:rsidR="00262E9D">
        <w:rPr>
          <w:lang w:val="en-US"/>
        </w:rPr>
        <w:t>the following</w:t>
      </w:r>
      <w:r w:rsidR="00C145D2">
        <w:rPr>
          <w:lang w:val="en-US"/>
        </w:rPr>
        <w:t xml:space="preserve"> conventions are used:</w:t>
      </w:r>
    </w:p>
    <w:p w:rsidR="008B54A2" w:rsidRDefault="00C145D2" w:rsidP="00443B38">
      <w:pPr>
        <w:pStyle w:val="ListParagraph"/>
        <w:numPr>
          <w:ilvl w:val="0"/>
          <w:numId w:val="12"/>
        </w:numPr>
        <w:spacing w:line="360" w:lineRule="auto"/>
        <w:jc w:val="both"/>
        <w:rPr>
          <w:lang w:val="en-US"/>
        </w:rPr>
      </w:pPr>
      <w:r w:rsidRPr="008B54A2">
        <w:rPr>
          <w:lang w:val="en-US"/>
        </w:rPr>
        <w:t>A lower-case variable represents the natural logarithm of its upper-case counterpart.</w:t>
      </w:r>
    </w:p>
    <w:p w:rsidR="008B54A2" w:rsidRDefault="00C145D2" w:rsidP="00443B38">
      <w:pPr>
        <w:pStyle w:val="ListParagraph"/>
        <w:numPr>
          <w:ilvl w:val="0"/>
          <w:numId w:val="12"/>
        </w:numPr>
        <w:spacing w:line="360" w:lineRule="auto"/>
        <w:jc w:val="both"/>
        <w:rPr>
          <w:lang w:val="en-US"/>
        </w:rPr>
      </w:pPr>
      <w:r w:rsidRPr="008B54A2">
        <w:rPr>
          <w:lang w:val="en-US"/>
        </w:rPr>
        <w:t xml:space="preserve">A horizontal bar denotes </w:t>
      </w:r>
      <w:r w:rsidR="00484F01" w:rsidRPr="008B54A2">
        <w:rPr>
          <w:lang w:val="en-US"/>
        </w:rPr>
        <w:t xml:space="preserve">a </w:t>
      </w:r>
      <w:r w:rsidRPr="008B54A2">
        <w:rPr>
          <w:lang w:val="en-US"/>
        </w:rPr>
        <w:t>steady state value.</w:t>
      </w:r>
    </w:p>
    <w:p w:rsidR="008B54A2" w:rsidRDefault="00484F01" w:rsidP="00443B38">
      <w:pPr>
        <w:pStyle w:val="ListParagraph"/>
        <w:numPr>
          <w:ilvl w:val="0"/>
          <w:numId w:val="12"/>
        </w:numPr>
        <w:spacing w:line="360" w:lineRule="auto"/>
        <w:jc w:val="both"/>
        <w:rPr>
          <w:lang w:val="en-US"/>
        </w:rPr>
      </w:pPr>
      <w:r w:rsidRPr="008B54A2">
        <w:rPr>
          <w:lang w:val="en-US"/>
        </w:rPr>
        <w:t>An asterisk denotes a foreign variable.</w:t>
      </w:r>
    </w:p>
    <w:p w:rsidR="008B54A2" w:rsidRDefault="00484F01" w:rsidP="00443B38">
      <w:pPr>
        <w:pStyle w:val="ListParagraph"/>
        <w:numPr>
          <w:ilvl w:val="0"/>
          <w:numId w:val="12"/>
        </w:numPr>
        <w:spacing w:line="360" w:lineRule="auto"/>
        <w:jc w:val="both"/>
        <w:rPr>
          <w:lang w:val="en-US"/>
        </w:rPr>
      </w:pPr>
      <w:r w:rsidRPr="008B54A2">
        <w:rPr>
          <w:lang w:val="en-US"/>
        </w:rPr>
        <w:t>A tilde denotes the differential of that variable between domestic and foreign values.</w:t>
      </w:r>
    </w:p>
    <w:p w:rsidR="008B54A2" w:rsidRDefault="00DB6D50" w:rsidP="00443B38">
      <w:pPr>
        <w:pStyle w:val="ListParagraph"/>
        <w:numPr>
          <w:ilvl w:val="0"/>
          <w:numId w:val="12"/>
        </w:numPr>
        <w:spacing w:line="360" w:lineRule="auto"/>
        <w:jc w:val="both"/>
        <w:rPr>
          <w:lang w:val="en-US"/>
        </w:rPr>
      </w:pPr>
      <w:r w:rsidRPr="004205AA">
        <w:rPr>
          <w:rFonts w:ascii="Cambria Math" w:hAnsi="Cambria Math"/>
          <w:i/>
          <w:lang w:val="en-US"/>
        </w:rPr>
        <w:t>∆</w:t>
      </w:r>
      <w:proofErr w:type="spellStart"/>
      <w:r w:rsidRPr="004205AA">
        <w:rPr>
          <w:rFonts w:ascii="Cambria Math" w:hAnsi="Cambria Math"/>
          <w:i/>
          <w:vertAlign w:val="superscript"/>
          <w:lang w:val="en-US"/>
        </w:rPr>
        <w:t>i</w:t>
      </w:r>
      <w:proofErr w:type="spellEnd"/>
      <w:r w:rsidRPr="008B54A2">
        <w:rPr>
          <w:rFonts w:ascii="Cambria Math" w:hAnsi="Cambria Math"/>
          <w:i/>
          <w:lang w:val="en-US"/>
        </w:rPr>
        <w:t xml:space="preserve"> </w:t>
      </w:r>
      <w:r w:rsidRPr="008B54A2">
        <w:rPr>
          <w:lang w:val="en-US"/>
        </w:rPr>
        <w:t xml:space="preserve"> denotes the </w:t>
      </w:r>
      <w:proofErr w:type="spellStart"/>
      <w:r w:rsidRPr="008B54A2">
        <w:rPr>
          <w:rFonts w:ascii="Cambria Math" w:hAnsi="Cambria Math"/>
          <w:i/>
          <w:lang w:val="en-US"/>
        </w:rPr>
        <w:t>i</w:t>
      </w:r>
      <w:proofErr w:type="spellEnd"/>
      <w:r w:rsidR="00FE087C">
        <w:rPr>
          <w:rFonts w:ascii="Cambria Math" w:hAnsi="Cambria Math"/>
          <w:i/>
          <w:lang w:val="en-US"/>
        </w:rPr>
        <w:t xml:space="preserve"> </w:t>
      </w:r>
      <w:r w:rsidRPr="008B54A2">
        <w:rPr>
          <w:lang w:val="en-US"/>
        </w:rPr>
        <w:t>'</w:t>
      </w:r>
      <w:proofErr w:type="spellStart"/>
      <w:r w:rsidRPr="008B54A2">
        <w:rPr>
          <w:lang w:val="en-US"/>
        </w:rPr>
        <w:t>th</w:t>
      </w:r>
      <w:proofErr w:type="spellEnd"/>
      <w:r w:rsidRPr="008B54A2">
        <w:rPr>
          <w:lang w:val="en-US"/>
        </w:rPr>
        <w:t xml:space="preserve"> difference of this variable.</w:t>
      </w:r>
    </w:p>
    <w:p w:rsidR="002D6245" w:rsidRPr="008B54A2" w:rsidRDefault="002D6245" w:rsidP="00443B38">
      <w:pPr>
        <w:pStyle w:val="ListParagraph"/>
        <w:numPr>
          <w:ilvl w:val="0"/>
          <w:numId w:val="12"/>
        </w:numPr>
        <w:spacing w:line="360" w:lineRule="auto"/>
        <w:jc w:val="both"/>
        <w:rPr>
          <w:lang w:val="en-US"/>
        </w:rPr>
      </w:pPr>
      <w:r w:rsidRPr="008B54A2">
        <w:rPr>
          <w:lang w:val="en-US"/>
        </w:rPr>
        <w:t>The United States is assumed to be the domestic country</w:t>
      </w:r>
      <w:r w:rsidR="00DB6D50" w:rsidRPr="008B54A2">
        <w:rPr>
          <w:lang w:val="en-US"/>
        </w:rPr>
        <w:t>.</w:t>
      </w:r>
    </w:p>
    <w:p w:rsidR="00373A96" w:rsidRDefault="00373A96" w:rsidP="00170695">
      <w:pPr>
        <w:pStyle w:val="Heading2"/>
        <w:rPr>
          <w:rStyle w:val="normaltextrun"/>
          <w:rFonts w:ascii="Calibri" w:hAnsi="Calibri" w:cs="Segoe UI"/>
          <w:lang w:val="en-US"/>
        </w:rPr>
      </w:pPr>
      <w:r>
        <w:rPr>
          <w:rStyle w:val="normaltextrun"/>
          <w:rFonts w:ascii="Calibri" w:hAnsi="Calibri" w:cs="Segoe UI"/>
          <w:lang w:val="en-US"/>
        </w:rPr>
        <w:t>The Dornbusch model</w:t>
      </w:r>
    </w:p>
    <w:p w:rsidR="003360E1" w:rsidRPr="00C145D2" w:rsidRDefault="003360E1" w:rsidP="00443B38">
      <w:pPr>
        <w:spacing w:line="360" w:lineRule="auto"/>
        <w:jc w:val="both"/>
        <w:rPr>
          <w:sz w:val="12"/>
          <w:szCs w:val="12"/>
          <w:lang w:val="en-US"/>
        </w:rPr>
      </w:pPr>
      <w:r w:rsidRPr="00C145D2">
        <w:rPr>
          <w:rStyle w:val="normaltextrun"/>
          <w:rFonts w:cs="Segoe UI"/>
          <w:lang w:val="en-US"/>
        </w:rPr>
        <w:t>Developed by</w:t>
      </w:r>
      <w:r w:rsidRPr="00C145D2">
        <w:rPr>
          <w:rStyle w:val="apple-converted-space"/>
          <w:rFonts w:cs="Segoe UI"/>
          <w:lang w:val="en-US"/>
        </w:rPr>
        <w:t> </w:t>
      </w:r>
      <w:r w:rsidRPr="00C145D2">
        <w:rPr>
          <w:rStyle w:val="spellingerror"/>
          <w:rFonts w:cs="Segoe UI"/>
          <w:lang w:val="en-US"/>
        </w:rPr>
        <w:t>Dornbusch</w:t>
      </w:r>
      <w:r w:rsidRPr="00C145D2">
        <w:rPr>
          <w:rStyle w:val="apple-converted-space"/>
          <w:rFonts w:cs="Segoe UI"/>
          <w:lang w:val="en-US"/>
        </w:rPr>
        <w:t> </w:t>
      </w:r>
      <w:sdt>
        <w:sdtPr>
          <w:rPr>
            <w:rStyle w:val="apple-converted-space"/>
            <w:rFonts w:cs="Segoe UI"/>
            <w:lang w:val="en-US"/>
          </w:rPr>
          <w:id w:val="651960044"/>
          <w:citation/>
        </w:sdtPr>
        <w:sdtContent>
          <w:r w:rsidR="00DB780A">
            <w:rPr>
              <w:rStyle w:val="apple-converted-space"/>
              <w:rFonts w:cs="Segoe UI"/>
              <w:lang w:val="en-US"/>
            </w:rPr>
            <w:fldChar w:fldCharType="begin"/>
          </w:r>
          <w:r w:rsidR="00967B1A" w:rsidRPr="00967B1A">
            <w:rPr>
              <w:rStyle w:val="apple-converted-space"/>
              <w:rFonts w:cs="Segoe UI"/>
              <w:lang w:val="en-US"/>
            </w:rPr>
            <w:instrText xml:space="preserve"> CITATION Rud76 \n  \t  \l 1043  </w:instrText>
          </w:r>
          <w:r w:rsidR="00DB780A">
            <w:rPr>
              <w:rStyle w:val="apple-converted-space"/>
              <w:rFonts w:cs="Segoe UI"/>
              <w:lang w:val="en-US"/>
            </w:rPr>
            <w:fldChar w:fldCharType="separate"/>
          </w:r>
          <w:r w:rsidR="002B7AD5" w:rsidRPr="002B7AD5">
            <w:rPr>
              <w:rFonts w:cs="Segoe UI"/>
              <w:noProof/>
              <w:lang w:val="en-US"/>
            </w:rPr>
            <w:t>(1976)</w:t>
          </w:r>
          <w:r w:rsidR="00DB780A">
            <w:rPr>
              <w:rStyle w:val="apple-converted-space"/>
              <w:rFonts w:cs="Segoe UI"/>
              <w:lang w:val="en-US"/>
            </w:rPr>
            <w:fldChar w:fldCharType="end"/>
          </w:r>
        </w:sdtContent>
      </w:sdt>
      <w:r w:rsidRPr="00C145D2">
        <w:rPr>
          <w:rStyle w:val="normaltextrun"/>
          <w:rFonts w:cs="Segoe UI"/>
          <w:lang w:val="en-US"/>
        </w:rPr>
        <w:t>, the overshooting (or</w:t>
      </w:r>
      <w:r w:rsidRPr="00C145D2">
        <w:rPr>
          <w:rStyle w:val="apple-converted-space"/>
          <w:rFonts w:cs="Segoe UI"/>
          <w:lang w:val="en-US"/>
        </w:rPr>
        <w:t> </w:t>
      </w:r>
      <w:r w:rsidRPr="00C145D2">
        <w:rPr>
          <w:rStyle w:val="spellingerror"/>
          <w:rFonts w:cs="Segoe UI"/>
          <w:lang w:val="en-US"/>
        </w:rPr>
        <w:t>Dornbusch</w:t>
      </w:r>
      <w:r w:rsidRPr="00C145D2">
        <w:rPr>
          <w:rStyle w:val="normaltextrun"/>
          <w:rFonts w:cs="Segoe UI"/>
          <w:lang w:val="en-US"/>
        </w:rPr>
        <w:t>) model aims to explain high levels of exchange rate volatility.</w:t>
      </w:r>
      <w:r w:rsidRPr="00C145D2">
        <w:rPr>
          <w:rStyle w:val="eop"/>
          <w:rFonts w:cs="Segoe UI"/>
          <w:lang w:val="en-US"/>
        </w:rPr>
        <w:t> </w:t>
      </w:r>
    </w:p>
    <w:p w:rsidR="003360E1" w:rsidRPr="00C145D2" w:rsidRDefault="003360E1" w:rsidP="00443B38">
      <w:pPr>
        <w:spacing w:line="360" w:lineRule="auto"/>
        <w:jc w:val="both"/>
        <w:rPr>
          <w:rStyle w:val="eop"/>
          <w:rFonts w:cs="Segoe UI"/>
          <w:lang w:val="en-US"/>
        </w:rPr>
      </w:pPr>
      <w:r w:rsidRPr="00C145D2">
        <w:rPr>
          <w:rStyle w:val="normaltextrun"/>
          <w:rFonts w:cs="Segoe UI"/>
          <w:lang w:val="en-US"/>
        </w:rPr>
        <w:t>It assumes the following:</w:t>
      </w:r>
      <w:r w:rsidRPr="00C145D2">
        <w:rPr>
          <w:rStyle w:val="eop"/>
          <w:rFonts w:cs="Segoe UI"/>
          <w:lang w:val="en-US"/>
        </w:rPr>
        <w:t> </w:t>
      </w:r>
    </w:p>
    <w:p w:rsidR="003360E1" w:rsidRPr="00C145D2" w:rsidRDefault="003360E1" w:rsidP="00443B38">
      <w:pPr>
        <w:pStyle w:val="ListParagraph"/>
        <w:numPr>
          <w:ilvl w:val="0"/>
          <w:numId w:val="8"/>
        </w:numPr>
        <w:spacing w:line="360" w:lineRule="auto"/>
        <w:jc w:val="both"/>
        <w:rPr>
          <w:rStyle w:val="eop"/>
          <w:sz w:val="12"/>
          <w:szCs w:val="12"/>
          <w:lang w:val="en-US"/>
        </w:rPr>
      </w:pPr>
      <w:r w:rsidRPr="00C145D2">
        <w:rPr>
          <w:rStyle w:val="normaltextrun"/>
          <w:rFonts w:cs="Segoe UI"/>
          <w:lang w:val="en-US"/>
        </w:rPr>
        <w:t>The standard open economy IS-LM mechanism determines aggregate demand.</w:t>
      </w:r>
      <w:r w:rsidRPr="00C145D2">
        <w:rPr>
          <w:rStyle w:val="eop"/>
          <w:rFonts w:cs="Segoe UI"/>
          <w:lang w:val="en-US"/>
        </w:rPr>
        <w:t> </w:t>
      </w:r>
    </w:p>
    <w:p w:rsidR="003360E1" w:rsidRPr="00C145D2" w:rsidRDefault="003360E1" w:rsidP="00443B38">
      <w:pPr>
        <w:pStyle w:val="ListParagraph"/>
        <w:numPr>
          <w:ilvl w:val="0"/>
          <w:numId w:val="8"/>
        </w:numPr>
        <w:spacing w:line="360" w:lineRule="auto"/>
        <w:jc w:val="both"/>
        <w:rPr>
          <w:rStyle w:val="eop"/>
          <w:sz w:val="12"/>
          <w:szCs w:val="12"/>
          <w:lang w:val="en-US"/>
        </w:rPr>
      </w:pPr>
      <w:r w:rsidRPr="00C145D2">
        <w:rPr>
          <w:rStyle w:val="normaltextrun"/>
          <w:rFonts w:cs="Segoe UI"/>
          <w:lang w:val="en-US"/>
        </w:rPr>
        <w:t>Financial markets react and adjust instantaneously to shocks. Uncovered interest rate parity holds at all times, because investors are risk neutral.</w:t>
      </w:r>
      <w:r w:rsidRPr="00C145D2">
        <w:rPr>
          <w:rStyle w:val="eop"/>
          <w:rFonts w:cs="Segoe UI"/>
          <w:lang w:val="en-US"/>
        </w:rPr>
        <w:t> </w:t>
      </w:r>
    </w:p>
    <w:p w:rsidR="003360E1" w:rsidRPr="008F34F2" w:rsidRDefault="003360E1" w:rsidP="00443B38">
      <w:pPr>
        <w:pStyle w:val="ListParagraph"/>
        <w:numPr>
          <w:ilvl w:val="0"/>
          <w:numId w:val="8"/>
        </w:numPr>
        <w:spacing w:line="360" w:lineRule="auto"/>
        <w:jc w:val="both"/>
        <w:rPr>
          <w:rStyle w:val="eop"/>
          <w:sz w:val="12"/>
          <w:szCs w:val="12"/>
          <w:lang w:val="en-US"/>
        </w:rPr>
      </w:pPr>
      <w:r w:rsidRPr="00C145D2">
        <w:rPr>
          <w:rStyle w:val="normaltextrun"/>
          <w:rFonts w:cs="Segoe UI"/>
          <w:lang w:val="en-US"/>
        </w:rPr>
        <w:t>Prices are sticky, meaning that they are fixed in the short run and flexible in the long run. The aggregate supply curve is horizontal in the short run, getting steeper in the adjustment phase, and vertical in the long run.</w:t>
      </w:r>
      <w:r w:rsidRPr="00C145D2">
        <w:rPr>
          <w:rStyle w:val="eop"/>
          <w:rFonts w:cs="Segoe UI"/>
          <w:lang w:val="en-US"/>
        </w:rPr>
        <w:t> </w:t>
      </w:r>
    </w:p>
    <w:p w:rsidR="008F34F2" w:rsidRPr="008F34F2" w:rsidRDefault="00DB780A" w:rsidP="008F34F2">
      <w:pPr>
        <w:spacing w:line="360" w:lineRule="auto"/>
        <w:jc w:val="both"/>
        <w:rPr>
          <w:rStyle w:val="eop"/>
          <w:sz w:val="12"/>
          <w:szCs w:val="12"/>
          <w:lang w:val="en-US"/>
        </w:rPr>
      </w:pPr>
      <w:sdt>
        <w:sdtPr>
          <w:rPr>
            <w:b/>
            <w:lang w:val="en-US"/>
          </w:rPr>
          <w:id w:val="1930908686"/>
          <w:citation/>
        </w:sdtPr>
        <w:sdtContent>
          <w:r>
            <w:rPr>
              <w:b/>
              <w:lang w:val="en-US"/>
            </w:rPr>
            <w:fldChar w:fldCharType="begin"/>
          </w:r>
          <w:r w:rsidR="008F34F2" w:rsidRPr="00F1547A">
            <w:rPr>
              <w:b/>
              <w:lang w:val="en-US"/>
            </w:rPr>
            <w:instrText xml:space="preserve"> CITATION Lau081 \l 1043 </w:instrText>
          </w:r>
          <w:r>
            <w:rPr>
              <w:b/>
              <w:lang w:val="en-US"/>
            </w:rPr>
            <w:fldChar w:fldCharType="separate"/>
          </w:r>
          <w:r w:rsidR="002B7AD5">
            <w:rPr>
              <w:noProof/>
              <w:lang w:val="en-US"/>
            </w:rPr>
            <w:t>(Copeland, 2008)</w:t>
          </w:r>
          <w:r>
            <w:rPr>
              <w:b/>
              <w:lang w:val="en-US"/>
            </w:rPr>
            <w:fldChar w:fldCharType="end"/>
          </w:r>
        </w:sdtContent>
      </w:sdt>
    </w:p>
    <w:p w:rsidR="003360E1" w:rsidRPr="00C145D2" w:rsidRDefault="003360E1" w:rsidP="00443B38">
      <w:pPr>
        <w:spacing w:line="360" w:lineRule="auto"/>
        <w:jc w:val="both"/>
        <w:rPr>
          <w:rStyle w:val="eop"/>
          <w:rFonts w:cs="Segoe UI"/>
          <w:lang w:val="en-US"/>
        </w:rPr>
      </w:pPr>
      <w:r w:rsidRPr="00C145D2">
        <w:rPr>
          <w:rStyle w:val="normaltextrun"/>
          <w:rFonts w:cs="Segoe UI"/>
          <w:lang w:val="en-US"/>
        </w:rPr>
        <w:t>Formally, the model can be specified using the following equations</w:t>
      </w:r>
      <w:r w:rsidR="00C06A0E">
        <w:rPr>
          <w:rStyle w:val="normaltextrun"/>
          <w:rFonts w:cs="Segoe UI"/>
          <w:lang w:val="en-US"/>
        </w:rPr>
        <w:t xml:space="preserve"> (See Dornbusch, 1976)</w:t>
      </w:r>
      <w:r w:rsidRPr="00C145D2">
        <w:rPr>
          <w:rStyle w:val="normaltextrun"/>
          <w:rFonts w:cs="Segoe UI"/>
          <w:lang w:val="en-US"/>
        </w:rPr>
        <w:t>:</w:t>
      </w:r>
      <w:r w:rsidRPr="00C145D2">
        <w:rPr>
          <w:rStyle w:val="eop"/>
          <w:rFonts w:cs="Segoe UI"/>
          <w:lang w:val="en-US"/>
        </w:rPr>
        <w:t> </w:t>
      </w:r>
    </w:p>
    <w:p w:rsidR="00004357" w:rsidRPr="00C145D2" w:rsidRDefault="003360E1" w:rsidP="00443B38">
      <w:pPr>
        <w:spacing w:line="360" w:lineRule="auto"/>
        <w:jc w:val="both"/>
        <w:rPr>
          <w:rFonts w:eastAsiaTheme="minorEastAsia"/>
          <w:lang w:val="en-US"/>
        </w:rPr>
      </w:pPr>
      <m:oMath>
        <m:r>
          <w:rPr>
            <w:rFonts w:ascii="Cambria Math" w:hAnsi="Cambria Math"/>
            <w:lang w:val="en-US"/>
          </w:rPr>
          <m:t>r</m:t>
        </m:r>
        <m:r>
          <w:rPr>
            <w:rFonts w:ascii="Cambria Math"/>
            <w:lang w:val="en-US"/>
          </w:rPr>
          <m: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m:t>
            </m:r>
          </m:sup>
        </m:sSup>
        <m:r>
          <w:rPr>
            <w:rFonts w:ascii="Cambria Math"/>
            <w:lang w:val="en-US"/>
          </w:rPr>
          <m:t>+</m:t>
        </m:r>
        <m:r>
          <w:rPr>
            <w:rFonts w:ascii="Cambria Math"/>
            <w:lang w:val="en-US"/>
          </w:rPr>
          <m:t>∆</m:t>
        </m:r>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e</m:t>
            </m:r>
          </m:sup>
        </m:sSup>
      </m:oMath>
      <w:r w:rsidRPr="00C145D2">
        <w:rPr>
          <w:rFonts w:eastAsiaTheme="minorEastAsia"/>
          <w:lang w:val="en-US"/>
        </w:rPr>
        <w:tab/>
      </w:r>
      <w:r w:rsidRPr="00C145D2">
        <w:rPr>
          <w:rFonts w:eastAsiaTheme="minorEastAsia"/>
          <w:lang w:val="en-US"/>
        </w:rPr>
        <w:tab/>
      </w:r>
      <w:r w:rsidRPr="00C145D2">
        <w:rPr>
          <w:rFonts w:eastAsiaTheme="minorEastAsia"/>
          <w:lang w:val="en-US"/>
        </w:rPr>
        <w:tab/>
      </w:r>
      <w:r w:rsidRPr="00C145D2">
        <w:rPr>
          <w:rFonts w:eastAsiaTheme="minorEastAsia"/>
          <w:lang w:val="en-US"/>
        </w:rPr>
        <w:tab/>
        <w:t>Uncovered interest rate parity</w:t>
      </w:r>
      <w:r w:rsidRPr="00C145D2">
        <w:rPr>
          <w:rFonts w:eastAsiaTheme="minorEastAsia"/>
          <w:lang w:val="en-US"/>
        </w:rPr>
        <w:tab/>
      </w:r>
      <w:r w:rsidRPr="00C145D2">
        <w:rPr>
          <w:rFonts w:eastAsiaTheme="minorEastAsia"/>
          <w:lang w:val="en-US"/>
        </w:rPr>
        <w:tab/>
      </w:r>
      <w:r w:rsidRPr="00C145D2">
        <w:rPr>
          <w:rFonts w:eastAsiaTheme="minorEastAsia"/>
          <w:lang w:val="en-US"/>
        </w:rPr>
        <w:tab/>
      </w:r>
      <w:r w:rsidR="00004357" w:rsidRPr="00C145D2">
        <w:rPr>
          <w:rFonts w:eastAsiaTheme="minorEastAsia"/>
          <w:lang w:val="en-US"/>
        </w:rPr>
        <w:tab/>
      </w:r>
      <w:r w:rsidRPr="00C145D2">
        <w:rPr>
          <w:rFonts w:eastAsiaTheme="minorEastAsia"/>
          <w:lang w:val="en-US"/>
        </w:rPr>
        <w:t>(1.1)</w:t>
      </w:r>
      <w:r w:rsidRPr="00C145D2">
        <w:rPr>
          <w:rFonts w:eastAsiaTheme="minorEastAsia"/>
          <w:lang w:val="en-US"/>
        </w:rPr>
        <w:br/>
      </w:r>
      <m:oMath>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s</m:t>
            </m:r>
          </m:e>
          <m:sup>
            <m:r>
              <w:rPr>
                <w:rFonts w:ascii="Cambria Math" w:eastAsiaTheme="minorEastAsia" w:hAnsi="Cambria Math"/>
                <w:lang w:val="en-US"/>
              </w:rPr>
              <m:t>e</m:t>
            </m:r>
          </m:sup>
        </m:sSup>
        <m:r>
          <w:rPr>
            <w:rFonts w:ascii="Cambria Math" w:eastAsiaTheme="minorEastAsia"/>
            <w:lang w:val="en-US"/>
          </w:rPr>
          <m:t>=</m:t>
        </m:r>
        <m:r>
          <w:rPr>
            <w:rFonts w:ascii="Cambria Math" w:eastAsiaTheme="minorEastAsia" w:hAnsi="Cambria Math"/>
            <w:lang w:val="en-US"/>
          </w:rPr>
          <m:t>θ</m:t>
        </m:r>
        <m:r>
          <w:rPr>
            <w:rFonts w:ascii="Cambria Math" w:eastAsiaTheme="minorEastAsia"/>
            <w:lang w:val="en-US"/>
          </w:rPr>
          <m:t>(</m:t>
        </m:r>
        <m:acc>
          <m:accPr>
            <m:chr m:val="̅"/>
            <m:ctrlPr>
              <w:rPr>
                <w:rFonts w:ascii="Cambria Math" w:eastAsiaTheme="minorEastAsia" w:hAnsi="Cambria Math"/>
                <w:i/>
                <w:lang w:val="en-US"/>
              </w:rPr>
            </m:ctrlPr>
          </m:accPr>
          <m:e>
            <m:r>
              <w:rPr>
                <w:rFonts w:ascii="Cambria Math" w:eastAsiaTheme="minorEastAsia" w:hAnsi="Cambria Math"/>
                <w:lang w:val="en-US"/>
              </w:rPr>
              <m:t>s</m:t>
            </m:r>
          </m:e>
        </m:acc>
        <m:r>
          <w:rPr>
            <w:rFonts w:ascii="Cambria Math" w:eastAsiaTheme="minorEastAsia" w:hAnsi="Cambria Math"/>
            <w:lang w:val="en-US"/>
          </w:rPr>
          <m:t>-s</m:t>
        </m:r>
        <m:r>
          <w:rPr>
            <w:rFonts w:ascii="Cambria Math" w:eastAsiaTheme="minorEastAsia"/>
            <w:lang w:val="en-US"/>
          </w:rPr>
          <m:t>)</m:t>
        </m:r>
      </m:oMath>
      <w:r w:rsidRPr="00C145D2">
        <w:rPr>
          <w:rFonts w:eastAsiaTheme="minorEastAsia"/>
          <w:lang w:val="en-US"/>
        </w:rPr>
        <w:tab/>
      </w:r>
      <w:r w:rsidRPr="00C145D2">
        <w:rPr>
          <w:rFonts w:eastAsiaTheme="minorEastAsia"/>
          <w:lang w:val="en-US"/>
        </w:rPr>
        <w:tab/>
      </w:r>
      <w:r w:rsidRPr="00C145D2">
        <w:rPr>
          <w:rFonts w:eastAsiaTheme="minorEastAsia"/>
          <w:lang w:val="en-US"/>
        </w:rPr>
        <w:tab/>
      </w:r>
      <w:r w:rsidR="008F34F2">
        <w:rPr>
          <w:rFonts w:eastAsiaTheme="minorEastAsia"/>
          <w:lang w:val="en-US"/>
        </w:rPr>
        <w:t>Expected appreciation/depreciation</w:t>
      </w:r>
      <w:r w:rsidRPr="00C145D2">
        <w:rPr>
          <w:rFonts w:eastAsiaTheme="minorEastAsia"/>
          <w:lang w:val="en-US"/>
        </w:rPr>
        <w:tab/>
      </w:r>
      <w:r w:rsidRPr="00C145D2">
        <w:rPr>
          <w:rFonts w:eastAsiaTheme="minorEastAsia"/>
          <w:lang w:val="en-US"/>
        </w:rPr>
        <w:tab/>
      </w:r>
      <w:r w:rsidRPr="00C145D2">
        <w:rPr>
          <w:rFonts w:eastAsiaTheme="minorEastAsia"/>
          <w:lang w:val="en-US"/>
        </w:rPr>
        <w:tab/>
        <w:t>(1.2)</w:t>
      </w:r>
      <w:r w:rsidRPr="00C145D2">
        <w:rPr>
          <w:rFonts w:eastAsiaTheme="minorEastAsia"/>
          <w:lang w:val="en-US"/>
        </w:rPr>
        <w:br/>
      </w:r>
      <m:oMath>
        <m:r>
          <w:rPr>
            <w:rFonts w:ascii="Cambria Math" w:eastAsiaTheme="minorEastAsia" w:hAnsi="Cambria Math"/>
            <w:lang w:val="en-US"/>
          </w:rPr>
          <m:t>m-p</m:t>
        </m:r>
        <m:r>
          <w:rPr>
            <w:rFonts w:ascii="Cambria Math" w:eastAsiaTheme="minorEastAsia"/>
            <w:lang w:val="en-US"/>
          </w:rPr>
          <m:t>=</m:t>
        </m:r>
        <m:r>
          <w:rPr>
            <w:rFonts w:ascii="Cambria Math" w:eastAsiaTheme="minorEastAsia" w:hAnsi="Cambria Math"/>
            <w:lang w:val="en-US"/>
          </w:rPr>
          <m:t>ky-lr</m:t>
        </m:r>
      </m:oMath>
      <w:r w:rsidRPr="00C145D2">
        <w:rPr>
          <w:rFonts w:eastAsiaTheme="minorEastAsia"/>
          <w:lang w:val="en-US"/>
        </w:rPr>
        <w:tab/>
      </w:r>
      <w:r w:rsidRPr="00C145D2">
        <w:rPr>
          <w:rFonts w:eastAsiaTheme="minorEastAsia"/>
          <w:lang w:val="en-US"/>
        </w:rPr>
        <w:tab/>
      </w:r>
      <w:r w:rsidRPr="00C145D2">
        <w:rPr>
          <w:rFonts w:eastAsiaTheme="minorEastAsia"/>
          <w:lang w:val="en-US"/>
        </w:rPr>
        <w:tab/>
      </w:r>
      <w:r w:rsidR="008F34F2">
        <w:rPr>
          <w:rFonts w:eastAsiaTheme="minorEastAsia"/>
          <w:lang w:val="en-US"/>
        </w:rPr>
        <w:t>real money demand</w:t>
      </w:r>
      <w:r w:rsidRPr="00C145D2">
        <w:rPr>
          <w:rFonts w:eastAsiaTheme="minorEastAsia"/>
          <w:lang w:val="en-US"/>
        </w:rPr>
        <w:tab/>
      </w:r>
      <w:r w:rsidRPr="00C145D2">
        <w:rPr>
          <w:rFonts w:eastAsiaTheme="minorEastAsia"/>
          <w:lang w:val="en-US"/>
        </w:rPr>
        <w:tab/>
      </w:r>
      <w:r w:rsidRPr="00C145D2">
        <w:rPr>
          <w:rFonts w:eastAsiaTheme="minorEastAsia"/>
          <w:lang w:val="en-US"/>
        </w:rPr>
        <w:tab/>
      </w:r>
      <w:r w:rsidRPr="00C145D2">
        <w:rPr>
          <w:rFonts w:eastAsiaTheme="minorEastAsia"/>
          <w:lang w:val="en-US"/>
        </w:rPr>
        <w:tab/>
      </w:r>
      <w:r w:rsidR="00004357" w:rsidRPr="00C145D2">
        <w:rPr>
          <w:rFonts w:eastAsiaTheme="minorEastAsia"/>
          <w:lang w:val="en-US"/>
        </w:rPr>
        <w:tab/>
      </w:r>
      <w:r w:rsidRPr="00C145D2">
        <w:rPr>
          <w:rFonts w:eastAsiaTheme="minorEastAsia"/>
          <w:lang w:val="en-US"/>
        </w:rPr>
        <w:t>(1.3)</w:t>
      </w:r>
      <w:r w:rsidRPr="00C145D2">
        <w:rPr>
          <w:rFonts w:eastAsiaTheme="minorEastAsia"/>
          <w:lang w:val="en-US"/>
        </w:rPr>
        <w:br/>
      </w:r>
      <m:oMath>
        <m:sSup>
          <m:sSupPr>
            <m:ctrlPr>
              <w:rPr>
                <w:rFonts w:ascii="Cambria Math" w:eastAsiaTheme="minorEastAsia" w:hAnsi="Cambria Math"/>
                <w:i/>
                <w:lang w:val="en-US"/>
              </w:rPr>
            </m:ctrlPr>
          </m:sSupPr>
          <m:e>
            <m:r>
              <w:rPr>
                <w:rFonts w:ascii="Cambria Math" w:eastAsiaTheme="minorEastAsia" w:hAnsi="Cambria Math"/>
                <w:lang w:val="en-US"/>
              </w:rPr>
              <m:t>y</m:t>
            </m:r>
          </m:e>
          <m:sup>
            <m:r>
              <w:rPr>
                <w:rFonts w:ascii="Cambria Math" w:eastAsiaTheme="minorEastAsia" w:hAnsi="Cambria Math"/>
                <w:lang w:val="en-US"/>
              </w:rPr>
              <m:t>d</m:t>
            </m:r>
          </m:sup>
        </m:sSup>
        <m:r>
          <w:rPr>
            <w:rFonts w:ascii="Cambria Math" w:eastAsiaTheme="minorEastAsia"/>
            <w:lang w:val="en-US"/>
          </w:rPr>
          <m:t>=</m:t>
        </m:r>
        <m:r>
          <w:rPr>
            <w:rFonts w:ascii="Cambria Math" w:eastAsiaTheme="minorEastAsia" w:hAnsi="Cambria Math"/>
            <w:lang w:val="en-US"/>
          </w:rPr>
          <m:t>h</m:t>
        </m:r>
        <m:r>
          <w:rPr>
            <w:rFonts w:ascii="Cambria Math" w:eastAsiaTheme="minorEastAsia"/>
            <w:lang w:val="en-US"/>
          </w:rPr>
          <m:t>(</m:t>
        </m:r>
        <m:r>
          <w:rPr>
            <w:rFonts w:ascii="Cambria Math" w:eastAsiaTheme="minorEastAsia" w:hAnsi="Cambria Math"/>
            <w:lang w:val="en-US"/>
          </w:rPr>
          <m:t>s-p</m:t>
        </m:r>
        <m:r>
          <w:rPr>
            <w:rFonts w:ascii="Cambria Math" w:eastAsiaTheme="minorEastAsia"/>
            <w:lang w:val="en-US"/>
          </w:rPr>
          <m:t>)</m:t>
        </m:r>
      </m:oMath>
      <w:r w:rsidRPr="00C145D2">
        <w:rPr>
          <w:rFonts w:eastAsiaTheme="minorEastAsia"/>
          <w:lang w:val="en-US"/>
        </w:rPr>
        <w:tab/>
      </w:r>
      <w:r w:rsidRPr="00C145D2">
        <w:rPr>
          <w:rFonts w:eastAsiaTheme="minorEastAsia"/>
          <w:lang w:val="en-US"/>
        </w:rPr>
        <w:tab/>
      </w:r>
      <w:r w:rsidRPr="00C145D2">
        <w:rPr>
          <w:rFonts w:eastAsiaTheme="minorEastAsia"/>
          <w:lang w:val="en-US"/>
        </w:rPr>
        <w:tab/>
      </w:r>
      <w:r w:rsidRPr="00C145D2">
        <w:rPr>
          <w:rFonts w:eastAsiaTheme="minorEastAsia"/>
          <w:lang w:val="en-US"/>
        </w:rPr>
        <w:tab/>
        <w:t>Demand for domestic output</w:t>
      </w:r>
      <w:r w:rsidRPr="00C145D2">
        <w:rPr>
          <w:rFonts w:eastAsiaTheme="minorEastAsia"/>
          <w:lang w:val="en-US"/>
        </w:rPr>
        <w:tab/>
      </w:r>
      <w:r w:rsidRPr="00C145D2">
        <w:rPr>
          <w:rFonts w:eastAsiaTheme="minorEastAsia"/>
          <w:lang w:val="en-US"/>
        </w:rPr>
        <w:tab/>
      </w:r>
      <w:r w:rsidRPr="00C145D2">
        <w:rPr>
          <w:rFonts w:eastAsiaTheme="minorEastAsia"/>
          <w:lang w:val="en-US"/>
        </w:rPr>
        <w:tab/>
      </w:r>
      <w:r w:rsidR="00004357" w:rsidRPr="00C145D2">
        <w:rPr>
          <w:rFonts w:eastAsiaTheme="minorEastAsia"/>
          <w:lang w:val="en-US"/>
        </w:rPr>
        <w:tab/>
      </w:r>
      <w:r w:rsidRPr="00C145D2">
        <w:rPr>
          <w:rFonts w:eastAsiaTheme="minorEastAsia"/>
          <w:lang w:val="en-US"/>
        </w:rPr>
        <w:t>(1.4)</w:t>
      </w:r>
      <w:r w:rsidR="00004357" w:rsidRPr="00C145D2">
        <w:rPr>
          <w:rFonts w:eastAsiaTheme="minorEastAsia"/>
          <w:lang w:val="en-US"/>
        </w:rPr>
        <w:br/>
      </w:r>
      <m:oMath>
        <m:acc>
          <m:accPr>
            <m:chr m:val="̇"/>
            <m:ctrlPr>
              <w:rPr>
                <w:rFonts w:ascii="Cambria Math" w:eastAsiaTheme="minorEastAsia" w:hAnsi="Cambria Math"/>
                <w:i/>
                <w:lang w:val="en-US"/>
              </w:rPr>
            </m:ctrlPr>
          </m:accPr>
          <m:e>
            <m:r>
              <w:rPr>
                <w:rFonts w:ascii="Cambria Math" w:eastAsiaTheme="minorEastAsia" w:hAnsi="Cambria Math"/>
                <w:lang w:val="en-US"/>
              </w:rPr>
              <m:t>p</m:t>
            </m:r>
          </m:e>
        </m:acc>
        <m:r>
          <w:rPr>
            <w:rFonts w:ascii="Cambria Math" w:eastAsiaTheme="minorEastAsia"/>
            <w:lang w:val="en-US"/>
          </w:rPr>
          <m:t>=</m:t>
        </m:r>
        <m:r>
          <w:rPr>
            <w:rFonts w:ascii="Cambria Math" w:eastAsiaTheme="minorEastAsia" w:hAnsi="Cambria Math"/>
            <w:lang w:val="en-US"/>
          </w:rPr>
          <m:t>π</m:t>
        </m:r>
        <m:r>
          <w:rPr>
            <w:rFonts w:ascii="Cambria Math" w:eastAsiaTheme="minorEastAsia"/>
            <w:lang w:val="en-US"/>
          </w:rPr>
          <m:t>(</m:t>
        </m:r>
        <m:sSup>
          <m:sSupPr>
            <m:ctrlPr>
              <w:rPr>
                <w:rFonts w:ascii="Cambria Math" w:eastAsiaTheme="minorEastAsia" w:hAnsi="Cambria Math"/>
                <w:i/>
                <w:lang w:val="en-US"/>
              </w:rPr>
            </m:ctrlPr>
          </m:sSupPr>
          <m:e>
            <m:r>
              <w:rPr>
                <w:rFonts w:ascii="Cambria Math" w:eastAsiaTheme="minorEastAsia" w:hAnsi="Cambria Math"/>
                <w:lang w:val="en-US"/>
              </w:rPr>
              <m:t>y</m:t>
            </m:r>
          </m:e>
          <m:sup>
            <m:r>
              <w:rPr>
                <w:rFonts w:ascii="Cambria Math" w:eastAsiaTheme="minorEastAsia" w:hAnsi="Cambria Math"/>
                <w:lang w:val="en-US"/>
              </w:rPr>
              <m:t>d</m:t>
            </m:r>
          </m:sup>
        </m:sSup>
        <m:r>
          <w:rPr>
            <w:rFonts w:ascii="Cambria Math" w:eastAsiaTheme="minorEastAsia" w:hAnsi="Cambria Math"/>
            <w:lang w:val="en-US"/>
          </w:rPr>
          <m:t>-</m:t>
        </m:r>
        <m:acc>
          <m:accPr>
            <m:chr m:val="̅"/>
            <m:ctrlPr>
              <w:rPr>
                <w:rFonts w:ascii="Cambria Math" w:eastAsiaTheme="minorEastAsia" w:hAnsi="Cambria Math"/>
                <w:i/>
                <w:lang w:val="en-US"/>
              </w:rPr>
            </m:ctrlPr>
          </m:accPr>
          <m:e>
            <m:r>
              <w:rPr>
                <w:rFonts w:ascii="Cambria Math" w:eastAsiaTheme="minorEastAsia" w:hAnsi="Cambria Math"/>
                <w:lang w:val="en-US"/>
              </w:rPr>
              <m:t>y</m:t>
            </m:r>
          </m:e>
        </m:acc>
        <m:r>
          <w:rPr>
            <w:rFonts w:ascii="Cambria Math" w:eastAsiaTheme="minorEastAsia"/>
            <w:lang w:val="en-US"/>
          </w:rPr>
          <m:t>)</m:t>
        </m:r>
      </m:oMath>
      <w:r w:rsidR="00004357" w:rsidRPr="00C145D2">
        <w:rPr>
          <w:rFonts w:eastAsiaTheme="minorEastAsia"/>
          <w:lang w:val="en-US"/>
        </w:rPr>
        <w:t xml:space="preserve">    where   </w:t>
      </w:r>
      <m:oMath>
        <m:acc>
          <m:accPr>
            <m:chr m:val="̇"/>
            <m:ctrlPr>
              <w:rPr>
                <w:rFonts w:ascii="Cambria Math" w:eastAsiaTheme="minorEastAsia" w:hAnsi="Cambria Math"/>
                <w:i/>
                <w:lang w:val="en-US"/>
              </w:rPr>
            </m:ctrlPr>
          </m:accPr>
          <m:e>
            <m:r>
              <w:rPr>
                <w:rFonts w:ascii="Cambria Math" w:eastAsiaTheme="minorEastAsia" w:hAnsi="Cambria Math"/>
                <w:lang w:val="en-US"/>
              </w:rPr>
              <m:t>p</m:t>
            </m:r>
          </m:e>
        </m:acc>
        <m:r>
          <w:rPr>
            <w:rFonts w:ascii="Cambria Math" w:eastAsiaTheme="minorEastAsia"/>
            <w:lang w:val="en-US"/>
          </w:rPr>
          <m:t>≡</m:t>
        </m:r>
        <m:f>
          <m:fPr>
            <m:ctrlPr>
              <w:rPr>
                <w:rFonts w:ascii="Cambria Math" w:eastAsiaTheme="minorEastAsia" w:hAnsi="Cambria Math"/>
                <w:i/>
                <w:lang w:val="en-US"/>
              </w:rPr>
            </m:ctrlPr>
          </m:fPr>
          <m:num>
            <m:r>
              <w:rPr>
                <w:rFonts w:ascii="Cambria Math" w:eastAsiaTheme="minorEastAsia" w:hAnsi="Cambria Math"/>
                <w:lang w:val="en-US"/>
              </w:rPr>
              <m:t>d</m:t>
            </m:r>
            <m:func>
              <m:funcPr>
                <m:ctrlPr>
                  <w:rPr>
                    <w:rFonts w:ascii="Cambria Math" w:eastAsiaTheme="minorEastAsia" w:hAnsi="Cambria Math"/>
                    <w:i/>
                    <w:lang w:val="en-US"/>
                  </w:rPr>
                </m:ctrlPr>
              </m:funcPr>
              <m:fName>
                <m:r>
                  <m:rPr>
                    <m:sty m:val="p"/>
                  </m:rPr>
                  <w:rPr>
                    <w:rFonts w:ascii="Cambria Math"/>
                    <w:lang w:val="en-US"/>
                  </w:rPr>
                  <m:t>ln</m:t>
                </m:r>
              </m:fName>
              <m:e>
                <m:r>
                  <w:rPr>
                    <w:rFonts w:ascii="Cambria Math" w:eastAsiaTheme="minorEastAsia" w:hAnsi="Cambria Math"/>
                    <w:lang w:val="en-US"/>
                  </w:rPr>
                  <m:t>p</m:t>
                </m:r>
              </m:e>
            </m:func>
          </m:num>
          <m:den>
            <m:r>
              <w:rPr>
                <w:rFonts w:ascii="Cambria Math" w:eastAsiaTheme="minorEastAsia" w:hAnsi="Cambria Math"/>
                <w:lang w:val="en-US"/>
              </w:rPr>
              <m:t>dt</m:t>
            </m:r>
          </m:den>
        </m:f>
      </m:oMath>
      <w:r w:rsidR="00004357" w:rsidRPr="00C145D2">
        <w:rPr>
          <w:rFonts w:eastAsiaTheme="minorEastAsia"/>
          <w:lang w:val="en-US"/>
        </w:rPr>
        <w:tab/>
        <w:t>De-/inflation</w:t>
      </w:r>
      <w:r w:rsidR="00004357" w:rsidRPr="00C145D2">
        <w:rPr>
          <w:rFonts w:eastAsiaTheme="minorEastAsia"/>
          <w:lang w:val="en-US"/>
        </w:rPr>
        <w:tab/>
      </w:r>
      <w:r w:rsidR="00004357" w:rsidRPr="00C145D2">
        <w:rPr>
          <w:rFonts w:eastAsiaTheme="minorEastAsia"/>
          <w:lang w:val="en-US"/>
        </w:rPr>
        <w:tab/>
      </w:r>
      <w:r w:rsidR="00004357" w:rsidRPr="00C145D2">
        <w:rPr>
          <w:rFonts w:eastAsiaTheme="minorEastAsia"/>
          <w:lang w:val="en-US"/>
        </w:rPr>
        <w:tab/>
      </w:r>
      <w:r w:rsidR="00004357" w:rsidRPr="00C145D2">
        <w:rPr>
          <w:rFonts w:eastAsiaTheme="minorEastAsia"/>
          <w:lang w:val="en-US"/>
        </w:rPr>
        <w:tab/>
      </w:r>
      <w:r w:rsidR="00004357" w:rsidRPr="00C145D2">
        <w:rPr>
          <w:rFonts w:eastAsiaTheme="minorEastAsia"/>
          <w:lang w:val="en-US"/>
        </w:rPr>
        <w:tab/>
      </w:r>
      <w:r w:rsidR="00004357" w:rsidRPr="00C145D2">
        <w:rPr>
          <w:rFonts w:eastAsiaTheme="minorEastAsia"/>
          <w:lang w:val="en-US"/>
        </w:rPr>
        <w:tab/>
        <w:t>(1.5)</w:t>
      </w:r>
    </w:p>
    <w:p w:rsidR="002D6245" w:rsidRPr="00C56EC8" w:rsidRDefault="002D6245" w:rsidP="00443B38">
      <w:pPr>
        <w:spacing w:line="360" w:lineRule="auto"/>
        <w:rPr>
          <w:rStyle w:val="normaltextrun"/>
          <w:rFonts w:cs="Segoe UI"/>
          <w:sz w:val="18"/>
          <w:szCs w:val="18"/>
          <w:lang w:val="en-US"/>
        </w:rPr>
      </w:pPr>
      <w:r>
        <w:rPr>
          <w:rStyle w:val="normaltextrun"/>
          <w:rFonts w:cs="Segoe UI"/>
          <w:lang w:val="en-US"/>
        </w:rPr>
        <w:t>Where:</w:t>
      </w:r>
      <w:r>
        <w:rPr>
          <w:rStyle w:val="normaltextrun"/>
          <w:rFonts w:cs="Segoe UI"/>
          <w:lang w:val="en-US"/>
        </w:rPr>
        <w:br/>
      </w:r>
      <w:r w:rsidRPr="002D6245">
        <w:rPr>
          <w:rFonts w:ascii="Cambria Math" w:hAnsi="Cambria Math"/>
          <w:i/>
          <w:lang w:val="en-US"/>
        </w:rPr>
        <w:t>r</w:t>
      </w:r>
      <w:r w:rsidR="00443B38">
        <w:rPr>
          <w:rFonts w:ascii="Cambria Math" w:hAnsi="Cambria Math"/>
          <w:i/>
          <w:lang w:val="en-US"/>
        </w:rPr>
        <w:t xml:space="preserve"> </w:t>
      </w:r>
      <w:r w:rsidR="00C56EC8">
        <w:rPr>
          <w:rFonts w:ascii="Cambria Math" w:hAnsi="Cambria Math"/>
          <w:i/>
          <w:lang w:val="en-US"/>
        </w:rPr>
        <w:t xml:space="preserve"> </w:t>
      </w:r>
      <w:r>
        <w:rPr>
          <w:lang w:val="en-US"/>
        </w:rPr>
        <w:t>= Domestic interest rate</w:t>
      </w:r>
      <w:r>
        <w:rPr>
          <w:lang w:val="en-US"/>
        </w:rPr>
        <w:br/>
      </w:r>
      <w:r w:rsidRPr="002D6245">
        <w:rPr>
          <w:rFonts w:ascii="Cambria Math" w:hAnsi="Cambria Math"/>
          <w:i/>
          <w:lang w:val="en-US"/>
        </w:rPr>
        <w:t>r</w:t>
      </w:r>
      <w:r>
        <w:rPr>
          <w:rFonts w:ascii="Cambria Math" w:hAnsi="Cambria Math"/>
          <w:i/>
          <w:lang w:val="en-US"/>
        </w:rPr>
        <w:t>*</w:t>
      </w:r>
      <w:r w:rsidRPr="002D6245">
        <w:rPr>
          <w:rFonts w:ascii="Cambria Math" w:hAnsi="Cambria Math"/>
          <w:i/>
          <w:lang w:val="en-US"/>
        </w:rPr>
        <w:t xml:space="preserve"> </w:t>
      </w:r>
      <w:r>
        <w:rPr>
          <w:rFonts w:ascii="Cambria Math" w:hAnsi="Cambria Math"/>
          <w:lang w:val="en-US"/>
        </w:rPr>
        <w:t xml:space="preserve"> </w:t>
      </w:r>
      <w:r>
        <w:rPr>
          <w:lang w:val="en-US"/>
        </w:rPr>
        <w:t>= Foreign interest rate</w:t>
      </w:r>
      <w:r>
        <w:rPr>
          <w:lang w:val="en-US"/>
        </w:rPr>
        <w:br/>
      </w:r>
      <w:r>
        <w:rPr>
          <w:rFonts w:ascii="Cambria Math" w:hAnsi="Cambria Math"/>
          <w:i/>
          <w:lang w:val="en-US"/>
        </w:rPr>
        <w:lastRenderedPageBreak/>
        <w:t>∆s</w:t>
      </w:r>
      <w:r>
        <w:rPr>
          <w:rFonts w:ascii="Cambria Math" w:hAnsi="Cambria Math"/>
          <w:i/>
          <w:vertAlign w:val="superscript"/>
          <w:lang w:val="en-US"/>
        </w:rPr>
        <w:t>e</w:t>
      </w:r>
      <w:r>
        <w:rPr>
          <w:rFonts w:ascii="Cambria Math" w:hAnsi="Cambria Math"/>
          <w:lang w:val="en-US"/>
        </w:rPr>
        <w:t xml:space="preserve">  </w:t>
      </w:r>
      <w:r>
        <w:rPr>
          <w:lang w:val="en-US"/>
        </w:rPr>
        <w:t>= Expected depreciation</w:t>
      </w:r>
      <w:r>
        <w:rPr>
          <w:lang w:val="en-US"/>
        </w:rPr>
        <w:br/>
      </w:r>
      <w:r>
        <w:rPr>
          <w:rFonts w:ascii="Cambria Math" w:hAnsi="Cambria Math"/>
          <w:i/>
          <w:lang w:val="en-US"/>
        </w:rPr>
        <w:t>s</w:t>
      </w:r>
      <w:r w:rsidRPr="002D6245">
        <w:rPr>
          <w:rFonts w:ascii="Cambria Math" w:hAnsi="Cambria Math"/>
          <w:i/>
          <w:lang w:val="en-US"/>
        </w:rPr>
        <w:t xml:space="preserve"> </w:t>
      </w:r>
      <w:r>
        <w:rPr>
          <w:rFonts w:ascii="Cambria Math" w:hAnsi="Cambria Math"/>
          <w:lang w:val="en-US"/>
        </w:rPr>
        <w:t xml:space="preserve"> </w:t>
      </w:r>
      <w:r>
        <w:rPr>
          <w:lang w:val="en-US"/>
        </w:rPr>
        <w:t>= exchange rate</w:t>
      </w:r>
      <w:r w:rsidR="00757409">
        <w:rPr>
          <w:lang w:val="en-US"/>
        </w:rPr>
        <w:br/>
      </w:r>
      <w:r w:rsidR="00757409">
        <w:rPr>
          <w:rFonts w:ascii="Cambria Math" w:hAnsi="Cambria Math"/>
          <w:i/>
          <w:lang w:val="en-US"/>
        </w:rPr>
        <w:t>m</w:t>
      </w:r>
      <w:r w:rsidR="00757409" w:rsidRPr="002D6245">
        <w:rPr>
          <w:rFonts w:ascii="Cambria Math" w:hAnsi="Cambria Math"/>
          <w:i/>
          <w:lang w:val="en-US"/>
        </w:rPr>
        <w:t xml:space="preserve"> </w:t>
      </w:r>
      <w:r w:rsidR="00757409">
        <w:rPr>
          <w:rFonts w:ascii="Cambria Math" w:hAnsi="Cambria Math"/>
          <w:lang w:val="en-US"/>
        </w:rPr>
        <w:t xml:space="preserve"> </w:t>
      </w:r>
      <w:r w:rsidR="00757409">
        <w:rPr>
          <w:lang w:val="en-US"/>
        </w:rPr>
        <w:t xml:space="preserve">= </w:t>
      </w:r>
      <w:r w:rsidR="008F5E74">
        <w:rPr>
          <w:lang w:val="en-US"/>
        </w:rPr>
        <w:t>money supply</w:t>
      </w:r>
      <w:r w:rsidR="00757409">
        <w:rPr>
          <w:lang w:val="en-US"/>
        </w:rPr>
        <w:br/>
      </w:r>
      <w:r w:rsidR="00757409">
        <w:rPr>
          <w:rFonts w:ascii="Cambria Math" w:hAnsi="Cambria Math"/>
          <w:i/>
          <w:lang w:val="en-US"/>
        </w:rPr>
        <w:t>p</w:t>
      </w:r>
      <w:r w:rsidR="00757409" w:rsidRPr="002D6245">
        <w:rPr>
          <w:rFonts w:ascii="Cambria Math" w:hAnsi="Cambria Math"/>
          <w:i/>
          <w:lang w:val="en-US"/>
        </w:rPr>
        <w:t xml:space="preserve"> </w:t>
      </w:r>
      <w:r w:rsidR="00757409">
        <w:rPr>
          <w:rFonts w:ascii="Cambria Math" w:hAnsi="Cambria Math"/>
          <w:lang w:val="en-US"/>
        </w:rPr>
        <w:t xml:space="preserve"> </w:t>
      </w:r>
      <w:r w:rsidR="00757409">
        <w:rPr>
          <w:lang w:val="en-US"/>
        </w:rPr>
        <w:t xml:space="preserve">= </w:t>
      </w:r>
      <w:r w:rsidR="008F5E74">
        <w:rPr>
          <w:lang w:val="en-US"/>
        </w:rPr>
        <w:t>price level</w:t>
      </w:r>
      <w:r w:rsidR="00757409">
        <w:rPr>
          <w:lang w:val="en-US"/>
        </w:rPr>
        <w:br/>
      </w:r>
      <w:r w:rsidR="00757409">
        <w:rPr>
          <w:rFonts w:ascii="Cambria Math" w:hAnsi="Cambria Math"/>
          <w:i/>
          <w:lang w:val="en-US"/>
        </w:rPr>
        <w:t>y</w:t>
      </w:r>
      <w:r w:rsidR="00757409" w:rsidRPr="002D6245">
        <w:rPr>
          <w:rFonts w:ascii="Cambria Math" w:hAnsi="Cambria Math"/>
          <w:i/>
          <w:lang w:val="en-US"/>
        </w:rPr>
        <w:t xml:space="preserve"> </w:t>
      </w:r>
      <w:r w:rsidR="00757409">
        <w:rPr>
          <w:rFonts w:ascii="Cambria Math" w:hAnsi="Cambria Math"/>
          <w:lang w:val="en-US"/>
        </w:rPr>
        <w:t xml:space="preserve"> </w:t>
      </w:r>
      <w:r w:rsidR="00757409">
        <w:rPr>
          <w:lang w:val="en-US"/>
        </w:rPr>
        <w:t xml:space="preserve">= </w:t>
      </w:r>
      <w:r w:rsidR="008F5E74">
        <w:rPr>
          <w:lang w:val="en-US"/>
        </w:rPr>
        <w:t>income</w:t>
      </w:r>
      <w:r w:rsidR="00FD124F">
        <w:rPr>
          <w:lang w:val="en-US"/>
        </w:rPr>
        <w:br/>
      </w:r>
      <w:r w:rsidR="00FD124F" w:rsidRPr="00C56EC8">
        <w:rPr>
          <w:sz w:val="18"/>
          <w:szCs w:val="18"/>
          <w:lang w:val="en-US"/>
        </w:rPr>
        <w:t>Note that a horizontal bar denotes a steady state variable.</w:t>
      </w:r>
    </w:p>
    <w:p w:rsidR="0057681B" w:rsidRDefault="0057681B" w:rsidP="0057681B">
      <w:pPr>
        <w:pStyle w:val="Heading3"/>
        <w:rPr>
          <w:rStyle w:val="normaltextrun"/>
          <w:rFonts w:cs="Segoe UI"/>
          <w:lang w:val="en-US"/>
        </w:rPr>
      </w:pPr>
      <w:r>
        <w:rPr>
          <w:rStyle w:val="normaltextrun"/>
          <w:rFonts w:cs="Segoe UI"/>
          <w:lang w:val="en-US"/>
        </w:rPr>
        <w:t>The long run</w:t>
      </w:r>
    </w:p>
    <w:p w:rsidR="00C145D2" w:rsidRPr="00C145D2" w:rsidRDefault="003360E1" w:rsidP="00443B38">
      <w:pPr>
        <w:spacing w:line="360" w:lineRule="auto"/>
        <w:jc w:val="both"/>
        <w:rPr>
          <w:rStyle w:val="normaltextrun"/>
          <w:rFonts w:cs="Segoe UI"/>
          <w:lang w:val="en-US"/>
        </w:rPr>
      </w:pPr>
      <w:r w:rsidRPr="00C145D2">
        <w:rPr>
          <w:rStyle w:val="normaltextrun"/>
          <w:rFonts w:cs="Segoe UI"/>
          <w:lang w:val="en-US"/>
        </w:rPr>
        <w:t>When the economy is at its long run equilibrium state, aggregate demand is equal to aggregate supply</w:t>
      </w:r>
      <w:r w:rsidR="00426A0E">
        <w:rPr>
          <w:rStyle w:val="normaltextrun"/>
          <w:rFonts w:cs="Segoe UI"/>
          <w:lang w:val="en-US"/>
        </w:rPr>
        <w:t xml:space="preserve"> </w:t>
      </w:r>
      <w:sdt>
        <w:sdtPr>
          <w:rPr>
            <w:b/>
            <w:lang w:val="en-US"/>
          </w:rPr>
          <w:id w:val="1930908684"/>
          <w:citation/>
        </w:sdtPr>
        <w:sdtContent>
          <w:r w:rsidR="00DB780A">
            <w:rPr>
              <w:b/>
              <w:lang w:val="en-US"/>
            </w:rPr>
            <w:fldChar w:fldCharType="begin"/>
          </w:r>
          <w:r w:rsidR="00426A0E" w:rsidRPr="00F1547A">
            <w:rPr>
              <w:b/>
              <w:lang w:val="en-US"/>
            </w:rPr>
            <w:instrText xml:space="preserve"> CITATION Lau081 \l 1043 </w:instrText>
          </w:r>
          <w:r w:rsidR="00DB780A">
            <w:rPr>
              <w:b/>
              <w:lang w:val="en-US"/>
            </w:rPr>
            <w:fldChar w:fldCharType="separate"/>
          </w:r>
          <w:r w:rsidR="002B7AD5">
            <w:rPr>
              <w:noProof/>
              <w:lang w:val="en-US"/>
            </w:rPr>
            <w:t>(Copeland, 2008)</w:t>
          </w:r>
          <w:r w:rsidR="00DB780A">
            <w:rPr>
              <w:b/>
              <w:lang w:val="en-US"/>
            </w:rPr>
            <w:fldChar w:fldCharType="end"/>
          </w:r>
        </w:sdtContent>
      </w:sdt>
      <w:r w:rsidRPr="00C145D2">
        <w:rPr>
          <w:rStyle w:val="normaltextrun"/>
          <w:rFonts w:cs="Segoe UI"/>
          <w:lang w:val="en-US"/>
        </w:rPr>
        <w:t>. This means there is no pressure on the price level. Also, foreign and domestic interest rates are equal, resulting in a static exchange rate and no expected appreciation or depreciation. Lastly, the exchange rate is at its long run level. This eliminates any surplus or deficit in the current account of the balance of payments</w:t>
      </w:r>
      <w:r w:rsidR="008F34F2" w:rsidRPr="008F34F2">
        <w:rPr>
          <w:b/>
          <w:lang w:val="en-US"/>
        </w:rPr>
        <w:t xml:space="preserve"> </w:t>
      </w:r>
      <w:sdt>
        <w:sdtPr>
          <w:rPr>
            <w:b/>
            <w:lang w:val="en-US"/>
          </w:rPr>
          <w:id w:val="1930908685"/>
          <w:citation/>
        </w:sdtPr>
        <w:sdtContent>
          <w:r w:rsidR="00DB780A">
            <w:rPr>
              <w:b/>
              <w:lang w:val="en-US"/>
            </w:rPr>
            <w:fldChar w:fldCharType="begin"/>
          </w:r>
          <w:r w:rsidR="008F34F2" w:rsidRPr="00F1547A">
            <w:rPr>
              <w:b/>
              <w:lang w:val="en-US"/>
            </w:rPr>
            <w:instrText xml:space="preserve"> CITATION Lau081 \l 1043 </w:instrText>
          </w:r>
          <w:r w:rsidR="00DB780A">
            <w:rPr>
              <w:b/>
              <w:lang w:val="en-US"/>
            </w:rPr>
            <w:fldChar w:fldCharType="separate"/>
          </w:r>
          <w:r w:rsidR="002B7AD5">
            <w:rPr>
              <w:noProof/>
              <w:lang w:val="en-US"/>
            </w:rPr>
            <w:t>(Copeland, 2008)</w:t>
          </w:r>
          <w:r w:rsidR="00DB780A">
            <w:rPr>
              <w:b/>
              <w:lang w:val="en-US"/>
            </w:rPr>
            <w:fldChar w:fldCharType="end"/>
          </w:r>
        </w:sdtContent>
      </w:sdt>
      <w:r w:rsidRPr="00C145D2">
        <w:rPr>
          <w:rStyle w:val="normaltextrun"/>
          <w:rFonts w:cs="Segoe UI"/>
          <w:lang w:val="en-US"/>
        </w:rPr>
        <w:t>.</w:t>
      </w:r>
      <w:r w:rsidR="00443B38">
        <w:rPr>
          <w:rStyle w:val="normaltextrun"/>
          <w:rFonts w:cs="Segoe UI"/>
          <w:lang w:val="en-US"/>
        </w:rPr>
        <w:t xml:space="preserve"> </w:t>
      </w:r>
      <w:r w:rsidR="00373A96" w:rsidRPr="00C145D2">
        <w:rPr>
          <w:rStyle w:val="normaltextrun"/>
          <w:rFonts w:cs="Segoe UI"/>
          <w:lang w:val="en-US"/>
        </w:rPr>
        <w:t>Reflected in the equations, this looks as follows:</w:t>
      </w:r>
    </w:p>
    <w:p w:rsidR="00FE087C" w:rsidRPr="00FE087C" w:rsidRDefault="00373A96" w:rsidP="00FE087C">
      <w:pPr>
        <w:pStyle w:val="ListParagraph"/>
        <w:numPr>
          <w:ilvl w:val="0"/>
          <w:numId w:val="16"/>
        </w:numPr>
        <w:spacing w:line="360" w:lineRule="auto"/>
        <w:rPr>
          <w:sz w:val="18"/>
          <w:szCs w:val="18"/>
          <w:lang w:val="en-US"/>
        </w:rPr>
      </w:pPr>
      <w:r w:rsidRPr="00FE087C">
        <w:rPr>
          <w:rStyle w:val="normaltextrun"/>
          <w:rFonts w:cs="Segoe UI"/>
          <w:lang w:val="en-US"/>
        </w:rPr>
        <w:t xml:space="preserve">No inflation, so  </w:t>
      </w:r>
      <m:oMath>
        <m:acc>
          <m:accPr>
            <m:chr m:val="̇"/>
            <m:ctrlPr>
              <w:rPr>
                <w:rFonts w:ascii="Cambria Math" w:eastAsiaTheme="minorEastAsia" w:hAnsi="Cambria Math"/>
                <w:i/>
                <w:lang w:val="en-US"/>
              </w:rPr>
            </m:ctrlPr>
          </m:accPr>
          <m:e>
            <m:r>
              <w:rPr>
                <w:rFonts w:ascii="Cambria Math" w:eastAsiaTheme="minorEastAsia" w:hAnsi="Cambria Math"/>
                <w:lang w:val="en-US"/>
              </w:rPr>
              <m:t>p</m:t>
            </m:r>
          </m:e>
        </m:acc>
        <m:r>
          <w:rPr>
            <w:rFonts w:ascii="Cambria Math" w:eastAsiaTheme="minorEastAsia"/>
            <w:lang w:val="en-US"/>
          </w:rPr>
          <m:t>=</m:t>
        </m:r>
        <m:r>
          <w:rPr>
            <w:rFonts w:ascii="Cambria Math" w:eastAsiaTheme="minorEastAsia" w:hAnsi="Cambria Math"/>
            <w:lang w:val="en-US"/>
          </w:rPr>
          <m:t>π</m:t>
        </m:r>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y</m:t>
                </m:r>
              </m:e>
              <m:sup>
                <m:r>
                  <w:rPr>
                    <w:rFonts w:ascii="Cambria Math" w:eastAsiaTheme="minorEastAsia" w:hAnsi="Cambria Math"/>
                    <w:lang w:val="en-US"/>
                  </w:rPr>
                  <m:t>d</m:t>
                </m:r>
              </m:sup>
            </m:sSup>
            <m:r>
              <w:rPr>
                <w:rFonts w:ascii="Cambria Math" w:eastAsiaTheme="minorEastAsia" w:hAnsi="Cambria Math"/>
                <w:lang w:val="en-US"/>
              </w:rPr>
              <m:t>-</m:t>
            </m:r>
            <m:acc>
              <m:accPr>
                <m:chr m:val="̅"/>
                <m:ctrlPr>
                  <w:rPr>
                    <w:rFonts w:ascii="Cambria Math" w:eastAsiaTheme="minorEastAsia" w:hAnsi="Cambria Math"/>
                    <w:i/>
                    <w:lang w:val="en-US"/>
                  </w:rPr>
                </m:ctrlPr>
              </m:accPr>
              <m:e>
                <m:r>
                  <w:rPr>
                    <w:rFonts w:ascii="Cambria Math" w:eastAsiaTheme="minorEastAsia" w:hAnsi="Cambria Math"/>
                    <w:lang w:val="en-US"/>
                  </w:rPr>
                  <m:t>y</m:t>
                </m:r>
              </m:e>
            </m:acc>
          </m:e>
        </m:d>
        <m:r>
          <w:rPr>
            <w:rFonts w:ascii="Cambria Math" w:eastAsiaTheme="minorEastAsia"/>
            <w:lang w:val="en-US"/>
          </w:rPr>
          <m:t>=0</m:t>
        </m:r>
      </m:oMath>
      <w:r w:rsidRPr="00FE087C">
        <w:rPr>
          <w:rFonts w:eastAsiaTheme="minorEastAsia"/>
          <w:lang w:val="en-US"/>
        </w:rPr>
        <w:t xml:space="preserve">. This implies </w:t>
      </w:r>
      <m:oMath>
        <m:sSup>
          <m:sSupPr>
            <m:ctrlPr>
              <w:rPr>
                <w:rFonts w:ascii="Cambria Math" w:eastAsiaTheme="minorEastAsia" w:hAnsi="Cambria Math"/>
                <w:i/>
                <w:lang w:val="en-US"/>
              </w:rPr>
            </m:ctrlPr>
          </m:sSupPr>
          <m:e>
            <m:r>
              <w:rPr>
                <w:rFonts w:ascii="Cambria Math" w:eastAsiaTheme="minorEastAsia" w:hAnsi="Cambria Math"/>
                <w:lang w:val="en-US"/>
              </w:rPr>
              <m:t>y</m:t>
            </m:r>
          </m:e>
          <m:sup>
            <m:r>
              <w:rPr>
                <w:rFonts w:ascii="Cambria Math" w:eastAsiaTheme="minorEastAsia" w:hAnsi="Cambria Math"/>
                <w:lang w:val="en-US"/>
              </w:rPr>
              <m:t>d</m:t>
            </m:r>
          </m:sup>
        </m:sSup>
        <m:r>
          <w:rPr>
            <w:rFonts w:ascii="Cambria Math" w:eastAsiaTheme="minorEastAsia"/>
            <w:lang w:val="en-US"/>
          </w:rPr>
          <m:t>=</m:t>
        </m:r>
        <m:acc>
          <m:accPr>
            <m:chr m:val="̅"/>
            <m:ctrlPr>
              <w:rPr>
                <w:rFonts w:ascii="Cambria Math" w:eastAsiaTheme="minorEastAsia" w:hAnsi="Cambria Math"/>
                <w:i/>
                <w:lang w:val="en-US"/>
              </w:rPr>
            </m:ctrlPr>
          </m:accPr>
          <m:e>
            <m:r>
              <w:rPr>
                <w:rFonts w:ascii="Cambria Math" w:eastAsiaTheme="minorEastAsia" w:hAnsi="Cambria Math"/>
                <w:lang w:val="en-US"/>
              </w:rPr>
              <m:t>y</m:t>
            </m:r>
          </m:e>
        </m:acc>
      </m:oMath>
      <w:r w:rsidRPr="00FE087C">
        <w:rPr>
          <w:rFonts w:eastAsiaTheme="minorEastAsia"/>
          <w:lang w:val="en-US"/>
        </w:rPr>
        <w:t xml:space="preserve">  and thus  </w:t>
      </w:r>
      <m:oMath>
        <m:f>
          <m:fPr>
            <m:ctrlPr>
              <w:rPr>
                <w:rFonts w:ascii="Cambria Math" w:eastAsiaTheme="minorEastAsia" w:hAnsi="Cambria Math"/>
                <w:i/>
                <w:lang w:val="en-US"/>
              </w:rPr>
            </m:ctrlPr>
          </m:fPr>
          <m:num>
            <m:acc>
              <m:accPr>
                <m:chr m:val="̅"/>
                <m:ctrlPr>
                  <w:rPr>
                    <w:rFonts w:ascii="Cambria Math" w:eastAsiaTheme="minorEastAsia" w:hAnsi="Cambria Math"/>
                    <w:i/>
                    <w:lang w:val="en-US"/>
                  </w:rPr>
                </m:ctrlPr>
              </m:accPr>
              <m:e>
                <m:r>
                  <w:rPr>
                    <w:rFonts w:ascii="Cambria Math" w:eastAsiaTheme="minorEastAsia" w:hAnsi="Cambria Math"/>
                    <w:lang w:val="en-US"/>
                  </w:rPr>
                  <m:t>y</m:t>
                </m:r>
              </m:e>
            </m:acc>
          </m:num>
          <m:den>
            <m:r>
              <w:rPr>
                <w:rFonts w:ascii="Cambria Math" w:eastAsiaTheme="minorEastAsia" w:hAnsi="Cambria Math"/>
                <w:lang w:val="en-US"/>
              </w:rPr>
              <m:t>h</m:t>
            </m:r>
          </m:den>
        </m:f>
        <m:r>
          <w:rPr>
            <w:rFonts w:ascii="Cambria Math" w:eastAsiaTheme="minorEastAsia"/>
            <w:lang w:val="en-US"/>
          </w:rPr>
          <m:t>=</m:t>
        </m:r>
        <m:acc>
          <m:accPr>
            <m:chr m:val="̅"/>
            <m:ctrlPr>
              <w:rPr>
                <w:rFonts w:ascii="Cambria Math" w:eastAsiaTheme="minorEastAsia" w:hAnsi="Cambria Math"/>
                <w:i/>
                <w:lang w:val="en-US"/>
              </w:rPr>
            </m:ctrlPr>
          </m:accPr>
          <m:e>
            <m:r>
              <w:rPr>
                <w:rFonts w:ascii="Cambria Math" w:eastAsiaTheme="minorEastAsia" w:hAnsi="Cambria Math"/>
                <w:lang w:val="en-US"/>
              </w:rPr>
              <m:t>s</m:t>
            </m:r>
          </m:e>
        </m:acc>
        <m:r>
          <w:rPr>
            <w:rFonts w:ascii="Cambria Math" w:eastAsiaTheme="minorEastAsia" w:hAnsi="Cambria Math"/>
            <w:lang w:val="en-US"/>
          </w:rPr>
          <m:t>-</m:t>
        </m:r>
        <m:acc>
          <m:accPr>
            <m:chr m:val="̅"/>
            <m:ctrlPr>
              <w:rPr>
                <w:rFonts w:ascii="Cambria Math" w:eastAsiaTheme="minorEastAsia" w:hAnsi="Cambria Math"/>
                <w:i/>
                <w:lang w:val="en-US"/>
              </w:rPr>
            </m:ctrlPr>
          </m:accPr>
          <m:e>
            <m:r>
              <w:rPr>
                <w:rFonts w:ascii="Cambria Math" w:eastAsiaTheme="minorEastAsia" w:hAnsi="Cambria Math"/>
                <w:lang w:val="en-US"/>
              </w:rPr>
              <m:t>p</m:t>
            </m:r>
          </m:e>
        </m:acc>
      </m:oMath>
      <w:r w:rsidRPr="00FE087C">
        <w:rPr>
          <w:rFonts w:eastAsiaTheme="minorEastAsia"/>
          <w:lang w:val="en-US"/>
        </w:rPr>
        <w:t>.</w:t>
      </w:r>
    </w:p>
    <w:p w:rsidR="008F34F2" w:rsidRPr="00FE087C" w:rsidRDefault="00373A96" w:rsidP="00FE087C">
      <w:pPr>
        <w:pStyle w:val="ListParagraph"/>
        <w:numPr>
          <w:ilvl w:val="0"/>
          <w:numId w:val="16"/>
        </w:numPr>
        <w:spacing w:line="360" w:lineRule="auto"/>
        <w:rPr>
          <w:sz w:val="18"/>
          <w:szCs w:val="18"/>
          <w:lang w:val="en-US"/>
        </w:rPr>
      </w:pPr>
      <w:r w:rsidRPr="00FE087C">
        <w:rPr>
          <w:rFonts w:eastAsiaTheme="minorEastAsia"/>
          <w:lang w:val="en-US"/>
        </w:rPr>
        <w:t xml:space="preserve">No expectations, so </w:t>
      </w:r>
      <m:oMath>
        <m:r>
          <w:rPr>
            <w:rFonts w:ascii="Cambria Math" w:hAnsi="Cambria Math"/>
            <w:lang w:val="en-US"/>
          </w:rPr>
          <m:t>∆</m:t>
        </m:r>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e</m:t>
            </m:r>
          </m:sup>
        </m:sSup>
        <m:r>
          <w:rPr>
            <w:rFonts w:ascii="Cambria Math"/>
            <w:lang w:val="en-US"/>
          </w:rPr>
          <m:t>=0</m:t>
        </m:r>
      </m:oMath>
      <w:r w:rsidRPr="00FE087C">
        <w:rPr>
          <w:rFonts w:eastAsiaTheme="minorEastAsia"/>
          <w:lang w:val="en-US"/>
        </w:rPr>
        <w:t xml:space="preserve">. This implies </w:t>
      </w:r>
      <m:oMath>
        <m:r>
          <w:rPr>
            <w:rFonts w:ascii="Cambria Math" w:hAnsi="Cambria Math"/>
            <w:lang w:val="en-US"/>
          </w:rPr>
          <m:t>r</m:t>
        </m:r>
        <m:r>
          <w:rPr>
            <w:rFonts w:ascii="Cambria Math"/>
            <w:lang w:val="en-US"/>
          </w:rPr>
          <m: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m:t>
            </m:r>
          </m:sup>
        </m:sSup>
      </m:oMath>
      <w:r w:rsidRPr="00FE087C">
        <w:rPr>
          <w:rFonts w:eastAsiaTheme="minorEastAsia"/>
          <w:lang w:val="en-US"/>
        </w:rPr>
        <w:t xml:space="preserve">. Reformulating money demand gives </w:t>
      </w:r>
      <m:oMath>
        <m:acc>
          <m:accPr>
            <m:chr m:val="̅"/>
            <m:ctrlPr>
              <w:rPr>
                <w:rFonts w:ascii="Cambria Math" w:eastAsiaTheme="minorEastAsia" w:hAnsi="Cambria Math"/>
                <w:i/>
                <w:lang w:val="en-US"/>
              </w:rPr>
            </m:ctrlPr>
          </m:accPr>
          <m:e>
            <m:r>
              <w:rPr>
                <w:rFonts w:ascii="Cambria Math" w:eastAsiaTheme="minorEastAsia" w:hAnsi="Cambria Math"/>
                <w:lang w:val="en-US"/>
              </w:rPr>
              <m:t>p</m:t>
            </m:r>
          </m:e>
        </m:acc>
        <m:r>
          <w:rPr>
            <w:rFonts w:ascii="Cambria Math" w:eastAsiaTheme="minorEastAsia"/>
            <w:lang w:val="en-US"/>
          </w:rPr>
          <m:t>=</m:t>
        </m:r>
        <m:r>
          <w:rPr>
            <w:rFonts w:ascii="Cambria Math" w:eastAsiaTheme="minorEastAsia" w:hAnsi="Cambria Math"/>
            <w:lang w:val="en-US"/>
          </w:rPr>
          <m:t>m-k</m:t>
        </m:r>
        <m:acc>
          <m:accPr>
            <m:chr m:val="̅"/>
            <m:ctrlPr>
              <w:rPr>
                <w:rFonts w:ascii="Cambria Math" w:eastAsiaTheme="minorEastAsia" w:hAnsi="Cambria Math"/>
                <w:i/>
                <w:lang w:val="en-US"/>
              </w:rPr>
            </m:ctrlPr>
          </m:accPr>
          <m:e>
            <m:r>
              <w:rPr>
                <w:rFonts w:ascii="Cambria Math" w:eastAsiaTheme="minorEastAsia" w:hAnsi="Cambria Math"/>
                <w:lang w:val="en-US"/>
              </w:rPr>
              <m:t>y</m:t>
            </m:r>
          </m:e>
        </m:acc>
        <m:r>
          <w:rPr>
            <w:rFonts w:ascii="Cambria Math" w:eastAsiaTheme="minorEastAsia"/>
            <w:lang w:val="en-US"/>
          </w:rPr>
          <m:t>+</m:t>
        </m:r>
        <m:r>
          <w:rPr>
            <w:rFonts w:ascii="Cambria Math" w:eastAsiaTheme="minorEastAsia" w:hAnsi="Cambria Math"/>
            <w:lang w:val="en-US"/>
          </w:rPr>
          <m:t>l</m:t>
        </m:r>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lang w:val="en-US"/>
              </w:rPr>
              <m:t>*</m:t>
            </m:r>
          </m:sup>
        </m:sSup>
      </m:oMath>
      <w:r w:rsidR="00FE087C" w:rsidRPr="00FE087C">
        <w:rPr>
          <w:rFonts w:eastAsiaTheme="minorEastAsia"/>
          <w:lang w:val="en-US"/>
        </w:rPr>
        <w:br/>
      </w:r>
      <w:r w:rsidR="00FE087C">
        <w:rPr>
          <w:sz w:val="18"/>
          <w:szCs w:val="18"/>
          <w:lang w:val="en-US"/>
        </w:rPr>
        <w:tab/>
      </w:r>
      <w:r w:rsidR="00FE087C">
        <w:rPr>
          <w:sz w:val="18"/>
          <w:szCs w:val="18"/>
          <w:lang w:val="en-US"/>
        </w:rPr>
        <w:tab/>
      </w:r>
      <w:r w:rsidR="00FE087C">
        <w:rPr>
          <w:sz w:val="18"/>
          <w:szCs w:val="18"/>
          <w:lang w:val="en-US"/>
        </w:rPr>
        <w:tab/>
      </w:r>
      <w:r w:rsidR="00FE087C">
        <w:rPr>
          <w:sz w:val="18"/>
          <w:szCs w:val="18"/>
          <w:lang w:val="en-US"/>
        </w:rPr>
        <w:tab/>
        <w:t xml:space="preserve">     </w:t>
      </w:r>
      <w:r w:rsidR="008F34F2" w:rsidRPr="00FE087C">
        <w:rPr>
          <w:sz w:val="18"/>
          <w:szCs w:val="18"/>
          <w:lang w:val="en-US"/>
        </w:rPr>
        <w:t>Note that a horizontal bar above a variable denotes a steady state value.</w:t>
      </w:r>
    </w:p>
    <w:p w:rsidR="00C145D2" w:rsidRDefault="00C145D2" w:rsidP="00443B38">
      <w:pPr>
        <w:spacing w:line="360" w:lineRule="auto"/>
        <w:jc w:val="both"/>
        <w:rPr>
          <w:rStyle w:val="normaltextrun"/>
          <w:lang w:val="en-US"/>
        </w:rPr>
      </w:pPr>
      <w:r>
        <w:rPr>
          <w:rStyle w:val="normaltextrun"/>
          <w:lang w:val="en-US"/>
        </w:rPr>
        <w:t>Combining these two results in the expression for the long-run exchange rate:</w:t>
      </w:r>
    </w:p>
    <w:p w:rsidR="00C145D2" w:rsidRPr="00A411AD" w:rsidRDefault="00DB780A" w:rsidP="00443B38">
      <w:pPr>
        <w:spacing w:line="360" w:lineRule="auto"/>
        <w:jc w:val="right"/>
        <w:rPr>
          <w:rStyle w:val="normaltextrun"/>
        </w:rPr>
      </w:pPr>
      <m:oMath>
        <m:acc>
          <m:accPr>
            <m:chr m:val="̅"/>
            <m:ctrlPr>
              <w:rPr>
                <w:rFonts w:ascii="Cambria Math" w:hAnsi="Cambria Math"/>
                <w:i/>
                <w:lang w:val="en-US"/>
              </w:rPr>
            </m:ctrlPr>
          </m:accPr>
          <m:e>
            <m:r>
              <w:rPr>
                <w:rFonts w:ascii="Cambria Math" w:hAnsi="Cambria Math"/>
                <w:lang w:val="en-US"/>
              </w:rPr>
              <m:t>s</m:t>
            </m:r>
          </m:e>
        </m:acc>
        <m:r>
          <w:rPr>
            <w:rFonts w:ascii="Cambria Math" w:hAnsi="Cambria Math"/>
          </w:rPr>
          <m:t>=</m:t>
        </m:r>
        <m:d>
          <m:dPr>
            <m:ctrlPr>
              <w:rPr>
                <w:rFonts w:ascii="Cambria Math" w:hAnsi="Cambria Math"/>
                <w:i/>
                <w:lang w:val="en-US"/>
              </w:rPr>
            </m:ctrlPr>
          </m:dPr>
          <m:e>
            <m:f>
              <m:fPr>
                <m:ctrlPr>
                  <w:rPr>
                    <w:rFonts w:ascii="Cambria Math" w:hAnsi="Cambria Math"/>
                    <w:i/>
                    <w:lang w:val="en-US"/>
                  </w:rPr>
                </m:ctrlPr>
              </m:fPr>
              <m:num>
                <m:r>
                  <w:rPr>
                    <w:rFonts w:ascii="Cambria Math" w:hAnsi="Cambria Math"/>
                  </w:rPr>
                  <m:t>1</m:t>
                </m:r>
              </m:num>
              <m:den>
                <m:r>
                  <w:rPr>
                    <w:rFonts w:ascii="Cambria Math" w:hAnsi="Cambria Math"/>
                  </w:rPr>
                  <m:t>h</m:t>
                </m:r>
              </m:den>
            </m:f>
            <m:r>
              <w:rPr>
                <w:rFonts w:ascii="Cambria Math" w:hAnsi="Cambria Math"/>
              </w:rPr>
              <m:t>-</m:t>
            </m:r>
            <m:r>
              <w:rPr>
                <w:rFonts w:ascii="Cambria Math" w:hAnsi="Cambria Math"/>
                <w:lang w:val="en-US"/>
              </w:rPr>
              <m:t>k</m:t>
            </m:r>
          </m:e>
        </m:d>
        <m:acc>
          <m:accPr>
            <m:chr m:val="̅"/>
            <m:ctrlPr>
              <w:rPr>
                <w:rFonts w:ascii="Cambria Math" w:hAnsi="Cambria Math"/>
                <w:i/>
                <w:lang w:val="en-US"/>
              </w:rPr>
            </m:ctrlPr>
          </m:accPr>
          <m:e>
            <m:r>
              <w:rPr>
                <w:rFonts w:ascii="Cambria Math" w:hAnsi="Cambria Math"/>
                <w:lang w:val="en-US"/>
              </w:rPr>
              <m:t>y</m:t>
            </m:r>
          </m:e>
        </m:acc>
        <m:r>
          <w:rPr>
            <w:rFonts w:ascii="Cambria Math" w:hAnsi="Cambria Math"/>
          </w:rPr>
          <m:t>+</m:t>
        </m:r>
        <m:r>
          <w:rPr>
            <w:rFonts w:ascii="Cambria Math" w:hAnsi="Cambria Math"/>
            <w:lang w:val="en-US"/>
          </w:rPr>
          <m:t>m</m:t>
        </m:r>
        <m:r>
          <w:rPr>
            <w:rFonts w:ascii="Cambria Math" w:hAnsi="Cambria Math"/>
          </w:rPr>
          <m:t>+</m:t>
        </m:r>
        <m:r>
          <w:rPr>
            <w:rFonts w:ascii="Cambria Math" w:hAnsi="Cambria Math"/>
            <w:lang w:val="en-US"/>
          </w:rPr>
          <m:t>l</m:t>
        </m:r>
        <m:sSup>
          <m:sSupPr>
            <m:ctrlPr>
              <w:rPr>
                <w:rFonts w:ascii="Cambria Math" w:hAnsi="Cambria Math"/>
                <w:i/>
                <w:lang w:val="en-US"/>
              </w:rPr>
            </m:ctrlPr>
          </m:sSupPr>
          <m:e>
            <m:r>
              <w:rPr>
                <w:rFonts w:ascii="Cambria Math" w:hAnsi="Cambria Math"/>
                <w:lang w:val="en-US"/>
              </w:rPr>
              <m:t>r</m:t>
            </m:r>
          </m:e>
          <m:sup>
            <m:r>
              <w:rPr>
                <w:rFonts w:ascii="Cambria Math" w:hAnsi="Cambria Math"/>
              </w:rPr>
              <m:t>*</m:t>
            </m:r>
          </m:sup>
        </m:sSup>
      </m:oMath>
      <w:r w:rsidR="00C145D2" w:rsidRPr="00A411AD">
        <w:rPr>
          <w:rFonts w:eastAsiaTheme="minorEastAsia"/>
        </w:rPr>
        <w:tab/>
      </w:r>
      <w:r w:rsidR="00C145D2" w:rsidRPr="00A411AD">
        <w:rPr>
          <w:rFonts w:eastAsiaTheme="minorEastAsia"/>
        </w:rPr>
        <w:tab/>
      </w:r>
      <w:r w:rsidR="00C145D2" w:rsidRPr="00A411AD">
        <w:rPr>
          <w:rFonts w:eastAsiaTheme="minorEastAsia"/>
        </w:rPr>
        <w:tab/>
      </w:r>
      <w:r w:rsidR="00C145D2" w:rsidRPr="00A411AD">
        <w:rPr>
          <w:rFonts w:eastAsiaTheme="minorEastAsia"/>
        </w:rPr>
        <w:tab/>
        <w:t xml:space="preserve">     (1.6)</w:t>
      </w:r>
    </w:p>
    <w:p w:rsidR="003360E1" w:rsidRPr="003F6AD1" w:rsidRDefault="003360E1" w:rsidP="00443B38">
      <w:pPr>
        <w:spacing w:line="360" w:lineRule="auto"/>
        <w:jc w:val="both"/>
        <w:rPr>
          <w:b/>
        </w:rPr>
      </w:pPr>
      <w:r w:rsidRPr="00A411AD">
        <w:rPr>
          <w:rStyle w:val="normaltextrun"/>
          <w:rFonts w:cs="Segoe UI"/>
        </w:rPr>
        <w:t xml:space="preserve"> </w:t>
      </w:r>
      <w:sdt>
        <w:sdtPr>
          <w:rPr>
            <w:rStyle w:val="normaltextrun"/>
            <w:rFonts w:cs="Segoe UI"/>
            <w:lang w:val="en-US"/>
          </w:rPr>
          <w:id w:val="651960045"/>
          <w:citation/>
        </w:sdtPr>
        <w:sdtContent>
          <w:r w:rsidR="00DB780A">
            <w:rPr>
              <w:rStyle w:val="normaltextrun"/>
              <w:rFonts w:cs="Segoe UI"/>
              <w:lang w:val="en-US"/>
            </w:rPr>
            <w:fldChar w:fldCharType="begin"/>
          </w:r>
          <w:r w:rsidR="00967B1A">
            <w:rPr>
              <w:rStyle w:val="normaltextrun"/>
              <w:rFonts w:cs="Segoe UI"/>
            </w:rPr>
            <w:instrText xml:space="preserve"> CITATION Rud76 \l 1043  </w:instrText>
          </w:r>
          <w:r w:rsidR="00DB780A">
            <w:rPr>
              <w:rStyle w:val="normaltextrun"/>
              <w:rFonts w:cs="Segoe UI"/>
              <w:lang w:val="en-US"/>
            </w:rPr>
            <w:fldChar w:fldCharType="separate"/>
          </w:r>
          <w:r w:rsidR="002B7AD5" w:rsidRPr="002B7AD5">
            <w:rPr>
              <w:rFonts w:cs="Segoe UI"/>
              <w:noProof/>
            </w:rPr>
            <w:t>(Dornbusch, 1976)</w:t>
          </w:r>
          <w:r w:rsidR="00DB780A">
            <w:rPr>
              <w:rStyle w:val="normaltextrun"/>
              <w:rFonts w:cs="Segoe UI"/>
              <w:lang w:val="en-US"/>
            </w:rPr>
            <w:fldChar w:fldCharType="end"/>
          </w:r>
        </w:sdtContent>
      </w:sdt>
    </w:p>
    <w:p w:rsidR="0057681B" w:rsidRDefault="0057681B" w:rsidP="0057681B">
      <w:pPr>
        <w:pStyle w:val="Heading3"/>
      </w:pPr>
      <w:r>
        <w:t>The short run</w:t>
      </w:r>
    </w:p>
    <w:p w:rsidR="00BA0575" w:rsidRDefault="00833DF2" w:rsidP="00BA0575">
      <w:pPr>
        <w:spacing w:line="360" w:lineRule="auto"/>
        <w:rPr>
          <w:rFonts w:eastAsiaTheme="minorEastAsia"/>
          <w:lang w:val="en-US"/>
        </w:rPr>
      </w:pPr>
      <w:r w:rsidRPr="00833DF2">
        <w:rPr>
          <w:lang w:val="en-US"/>
        </w:rPr>
        <w:t>When expectations change</w:t>
      </w:r>
      <w:r>
        <w:rPr>
          <w:lang w:val="en-US"/>
        </w:rPr>
        <w:t>, demand for domestic currency changes. In the case of an expected depreciation of domestic currency, the currency's demand decreases because of the prospect of low purchasing power</w:t>
      </w:r>
      <w:r w:rsidR="00426A0E">
        <w:rPr>
          <w:lang w:val="en-US"/>
        </w:rPr>
        <w:t xml:space="preserve"> </w:t>
      </w:r>
      <w:sdt>
        <w:sdtPr>
          <w:rPr>
            <w:rStyle w:val="normaltextrun"/>
            <w:rFonts w:cs="Segoe UI"/>
            <w:lang w:val="en-US"/>
          </w:rPr>
          <w:id w:val="1930910834"/>
          <w:citation/>
        </w:sdtPr>
        <w:sdtContent>
          <w:r w:rsidR="00DB780A">
            <w:rPr>
              <w:rStyle w:val="normaltextrun"/>
              <w:rFonts w:cs="Segoe UI"/>
              <w:lang w:val="en-US"/>
            </w:rPr>
            <w:fldChar w:fldCharType="begin"/>
          </w:r>
          <w:r w:rsidR="00426A0E" w:rsidRPr="00426A0E">
            <w:rPr>
              <w:rStyle w:val="normaltextrun"/>
              <w:rFonts w:cs="Segoe UI"/>
              <w:lang w:val="en-US"/>
            </w:rPr>
            <w:instrText xml:space="preserve"> CITATION Rud76 \l 1043  </w:instrText>
          </w:r>
          <w:r w:rsidR="00DB780A">
            <w:rPr>
              <w:rStyle w:val="normaltextrun"/>
              <w:rFonts w:cs="Segoe UI"/>
              <w:lang w:val="en-US"/>
            </w:rPr>
            <w:fldChar w:fldCharType="separate"/>
          </w:r>
          <w:r w:rsidR="002B7AD5" w:rsidRPr="002B7AD5">
            <w:rPr>
              <w:rFonts w:cs="Segoe UI"/>
              <w:noProof/>
              <w:lang w:val="en-US"/>
            </w:rPr>
            <w:t>(Dornbusch, 1976)</w:t>
          </w:r>
          <w:r w:rsidR="00DB780A">
            <w:rPr>
              <w:rStyle w:val="normaltextrun"/>
              <w:rFonts w:cs="Segoe UI"/>
              <w:lang w:val="en-US"/>
            </w:rPr>
            <w:fldChar w:fldCharType="end"/>
          </w:r>
        </w:sdtContent>
      </w:sdt>
      <w:r>
        <w:rPr>
          <w:lang w:val="en-US"/>
        </w:rPr>
        <w:t xml:space="preserve">. In the equations, an expected depreciation is reflected by an increase in </w:t>
      </w:r>
      <m:oMath>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s</m:t>
            </m:r>
          </m:e>
          <m:sup>
            <m:r>
              <w:rPr>
                <w:rFonts w:ascii="Cambria Math" w:eastAsiaTheme="minorEastAsia" w:hAnsi="Cambria Math"/>
                <w:lang w:val="en-US"/>
              </w:rPr>
              <m:t>e</m:t>
            </m:r>
          </m:sup>
        </m:sSup>
      </m:oMath>
      <w:r>
        <w:rPr>
          <w:rFonts w:eastAsiaTheme="minorEastAsia"/>
          <w:lang w:val="en-US"/>
        </w:rPr>
        <w:t>. From equation 1.1 we can see that this</w:t>
      </w:r>
      <w:r w:rsidR="00BA0575">
        <w:rPr>
          <w:rFonts w:eastAsiaTheme="minorEastAsia"/>
          <w:lang w:val="en-US"/>
        </w:rPr>
        <w:t>,</w:t>
      </w:r>
      <w:r>
        <w:rPr>
          <w:rFonts w:eastAsiaTheme="minorEastAsia"/>
          <w:lang w:val="en-US"/>
        </w:rPr>
        <w:t xml:space="preserve"> in turn</w:t>
      </w:r>
      <w:r w:rsidR="00BA0575">
        <w:rPr>
          <w:rFonts w:eastAsiaTheme="minorEastAsia"/>
          <w:lang w:val="en-US"/>
        </w:rPr>
        <w:t>,</w:t>
      </w:r>
      <w:r>
        <w:rPr>
          <w:rFonts w:eastAsiaTheme="minorEastAsia"/>
          <w:lang w:val="en-US"/>
        </w:rPr>
        <w:t xml:space="preserve"> leads to an increase in domestic interest rate. A higher domestic interest rate results in lower real money demand, as can be seen in equation 1.3. </w:t>
      </w:r>
      <w:r w:rsidR="00BA0575">
        <w:rPr>
          <w:rFonts w:eastAsiaTheme="minorEastAsia"/>
          <w:lang w:val="en-US"/>
        </w:rPr>
        <w:t>This leads to an actual depreciation of the exchange rate. This is then followed by an increased demand for domestic goods, as is reflected in equation 1.4. The increase in demand will increase prices, but only in the long run as prices are sticky in the short run. Higher prices decrease the real money supply and that increases domestic real interest rate. The higher interest rate increases demand for the domestic currency. Finally, this leads to an appreciation of the domestic currency.</w:t>
      </w:r>
    </w:p>
    <w:p w:rsidR="0057681B" w:rsidRPr="0057681B" w:rsidRDefault="0057681B" w:rsidP="00FE087C">
      <w:pPr>
        <w:spacing w:line="360" w:lineRule="auto"/>
        <w:rPr>
          <w:lang w:val="en-US"/>
        </w:rPr>
      </w:pPr>
      <w:r w:rsidRPr="0057681B">
        <w:rPr>
          <w:lang w:val="en-US"/>
        </w:rPr>
        <w:lastRenderedPageBreak/>
        <w:t>Combining equation 1.1, 1.2 and 1.3 we ca</w:t>
      </w:r>
      <w:r>
        <w:rPr>
          <w:lang w:val="en-US"/>
        </w:rPr>
        <w:t>n derive an equation describing the short-run dynamics of the exchange rate</w:t>
      </w:r>
      <w:r w:rsidR="00426A0E" w:rsidRPr="00426A0E">
        <w:rPr>
          <w:b/>
          <w:lang w:val="en-US"/>
        </w:rPr>
        <w:t xml:space="preserve"> </w:t>
      </w:r>
      <w:sdt>
        <w:sdtPr>
          <w:rPr>
            <w:b/>
            <w:lang w:val="en-US"/>
          </w:rPr>
          <w:id w:val="1930910835"/>
          <w:citation/>
        </w:sdtPr>
        <w:sdtContent>
          <w:r w:rsidR="00DB780A">
            <w:rPr>
              <w:b/>
              <w:lang w:val="en-US"/>
            </w:rPr>
            <w:fldChar w:fldCharType="begin"/>
          </w:r>
          <w:r w:rsidR="00426A0E" w:rsidRPr="00F1547A">
            <w:rPr>
              <w:b/>
              <w:lang w:val="en-US"/>
            </w:rPr>
            <w:instrText xml:space="preserve"> CITATION Lau081 \l 1043 </w:instrText>
          </w:r>
          <w:r w:rsidR="00DB780A">
            <w:rPr>
              <w:b/>
              <w:lang w:val="en-US"/>
            </w:rPr>
            <w:fldChar w:fldCharType="separate"/>
          </w:r>
          <w:r w:rsidR="002B7AD5">
            <w:rPr>
              <w:noProof/>
              <w:lang w:val="en-US"/>
            </w:rPr>
            <w:t>(Copeland, 2008)</w:t>
          </w:r>
          <w:r w:rsidR="00DB780A">
            <w:rPr>
              <w:b/>
              <w:lang w:val="en-US"/>
            </w:rPr>
            <w:fldChar w:fldCharType="end"/>
          </w:r>
        </w:sdtContent>
      </w:sdt>
      <w:r>
        <w:rPr>
          <w:lang w:val="en-US"/>
        </w:rPr>
        <w:t xml:space="preserve">. Combining 1.1 and 1.3 gives us </w:t>
      </w:r>
      <m:oMath>
        <m:r>
          <w:rPr>
            <w:rFonts w:ascii="Cambria Math" w:eastAsiaTheme="minorEastAsia" w:hAnsi="Cambria Math"/>
            <w:lang w:val="en-US"/>
          </w:rPr>
          <m:t>m-p</m:t>
        </m:r>
        <m:r>
          <w:rPr>
            <w:rFonts w:ascii="Cambria Math" w:eastAsiaTheme="minorEastAsia"/>
            <w:lang w:val="en-US"/>
          </w:rPr>
          <m:t>=</m:t>
        </m:r>
        <m:r>
          <w:rPr>
            <w:rFonts w:ascii="Cambria Math" w:eastAsiaTheme="minorEastAsia" w:hAnsi="Cambria Math"/>
            <w:lang w:val="en-US"/>
          </w:rPr>
          <m:t>ky-l(</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m:t>
            </m:r>
          </m:sup>
        </m:sSup>
        <m:r>
          <w:rPr>
            <w:rFonts w:ascii="Cambria Math"/>
            <w:lang w:val="en-US"/>
          </w:rPr>
          <m:t>+</m:t>
        </m:r>
        <m:r>
          <w:rPr>
            <w:rFonts w:ascii="Cambria Math"/>
            <w:lang w:val="en-US"/>
          </w:rPr>
          <m:t>∆</m:t>
        </m:r>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e</m:t>
            </m:r>
          </m:sup>
        </m:sSup>
        <m:r>
          <w:rPr>
            <w:rFonts w:ascii="Cambria Math" w:eastAsiaTheme="minorEastAsia" w:hAnsi="Cambria Math"/>
            <w:lang w:val="en-US"/>
          </w:rPr>
          <m:t>)</m:t>
        </m:r>
      </m:oMath>
      <w:r>
        <w:rPr>
          <w:rFonts w:eastAsiaTheme="minorEastAsia"/>
          <w:lang w:val="en-US"/>
        </w:rPr>
        <w:t xml:space="preserve">. Now, when adding 1.2 to the equation, we obtain </w:t>
      </w:r>
      <m:oMath>
        <m:r>
          <w:rPr>
            <w:rFonts w:ascii="Cambria Math" w:eastAsiaTheme="minorEastAsia" w:hAnsi="Cambria Math"/>
            <w:lang w:val="en-US"/>
          </w:rPr>
          <m:t>m-p</m:t>
        </m:r>
        <m:r>
          <w:rPr>
            <w:rFonts w:ascii="Cambria Math" w:eastAsiaTheme="minorEastAsia"/>
            <w:lang w:val="en-US"/>
          </w:rPr>
          <m:t>=</m:t>
        </m:r>
        <m:r>
          <w:rPr>
            <w:rFonts w:ascii="Cambria Math" w:eastAsiaTheme="minorEastAsia" w:hAnsi="Cambria Math"/>
            <w:lang w:val="en-US"/>
          </w:rPr>
          <m:t>ky-l(</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m:t>
            </m:r>
          </m:sup>
        </m:sSup>
        <m:r>
          <w:rPr>
            <w:rFonts w:ascii="Cambria Math"/>
            <w:lang w:val="en-US"/>
          </w:rPr>
          <m:t>+</m:t>
        </m:r>
        <m:r>
          <w:rPr>
            <w:rFonts w:ascii="Cambria Math" w:eastAsiaTheme="minorEastAsia" w:hAnsi="Cambria Math"/>
            <w:lang w:val="en-US"/>
          </w:rPr>
          <m:t>θ</m:t>
        </m:r>
        <m:r>
          <w:rPr>
            <w:rFonts w:ascii="Cambria Math" w:eastAsiaTheme="minorEastAsia"/>
            <w:lang w:val="en-US"/>
          </w:rPr>
          <m:t>(</m:t>
        </m:r>
        <m:acc>
          <m:accPr>
            <m:chr m:val="̅"/>
            <m:ctrlPr>
              <w:rPr>
                <w:rFonts w:ascii="Cambria Math" w:eastAsiaTheme="minorEastAsia" w:hAnsi="Cambria Math"/>
                <w:i/>
                <w:lang w:val="en-US"/>
              </w:rPr>
            </m:ctrlPr>
          </m:accPr>
          <m:e>
            <m:r>
              <w:rPr>
                <w:rFonts w:ascii="Cambria Math" w:eastAsiaTheme="minorEastAsia" w:hAnsi="Cambria Math"/>
                <w:lang w:val="en-US"/>
              </w:rPr>
              <m:t>s</m:t>
            </m:r>
          </m:e>
        </m:acc>
        <m:r>
          <w:rPr>
            <w:rFonts w:ascii="Cambria Math" w:eastAsiaTheme="minorEastAsia" w:hAnsi="Cambria Math"/>
            <w:lang w:val="en-US"/>
          </w:rPr>
          <m:t>-s</m:t>
        </m:r>
        <m:r>
          <w:rPr>
            <w:rFonts w:ascii="Cambria Math" w:eastAsiaTheme="minorEastAsia"/>
            <w:lang w:val="en-US"/>
          </w:rPr>
          <m:t>)</m:t>
        </m:r>
        <m:r>
          <w:rPr>
            <w:rFonts w:ascii="Cambria Math" w:eastAsiaTheme="minorEastAsia" w:hAnsi="Cambria Math"/>
            <w:lang w:val="en-US"/>
          </w:rPr>
          <m:t>)</m:t>
        </m:r>
      </m:oMath>
      <w:r>
        <w:rPr>
          <w:rFonts w:eastAsiaTheme="minorEastAsia"/>
          <w:lang w:val="en-US"/>
        </w:rPr>
        <w:t xml:space="preserve">. Solving for </w:t>
      </w:r>
      <m:oMath>
        <m:r>
          <w:rPr>
            <w:rFonts w:ascii="Cambria Math" w:eastAsiaTheme="minorEastAsia" w:hAnsi="Cambria Math"/>
            <w:lang w:val="en-US"/>
          </w:rPr>
          <m:t>s</m:t>
        </m:r>
      </m:oMath>
      <w:r>
        <w:rPr>
          <w:rFonts w:eastAsiaTheme="minorEastAsia"/>
          <w:lang w:val="en-US"/>
        </w:rPr>
        <w:t xml:space="preserve"> results in:</w:t>
      </w:r>
      <w:r w:rsidR="00FE087C">
        <w:rPr>
          <w:rFonts w:eastAsiaTheme="minorEastAsia"/>
          <w:lang w:val="en-US"/>
        </w:rPr>
        <w:br/>
      </w:r>
      <w:r w:rsidR="00FE087C">
        <w:rPr>
          <w:rFonts w:eastAsiaTheme="minorEastAsia"/>
          <w:lang w:val="en-US"/>
        </w:rPr>
        <w:tab/>
      </w:r>
      <w:r w:rsidR="00FE087C">
        <w:rPr>
          <w:rFonts w:eastAsiaTheme="minorEastAsia"/>
          <w:lang w:val="en-US"/>
        </w:rPr>
        <w:tab/>
      </w:r>
      <w:r w:rsidR="00FE087C">
        <w:rPr>
          <w:rFonts w:eastAsiaTheme="minorEastAsia"/>
          <w:lang w:val="en-US"/>
        </w:rPr>
        <w:tab/>
      </w:r>
      <w:r w:rsidR="00FE087C">
        <w:rPr>
          <w:rFonts w:eastAsiaTheme="minorEastAsia"/>
          <w:lang w:val="en-US"/>
        </w:rPr>
        <w:tab/>
        <w:t xml:space="preserve">     </w:t>
      </w:r>
      <m:oMath>
        <m:r>
          <w:rPr>
            <w:rFonts w:ascii="Cambria Math" w:hAnsi="Cambria Math"/>
            <w:lang w:val="en-US"/>
          </w:rPr>
          <m:t xml:space="preserve">s= </m:t>
        </m:r>
        <m:acc>
          <m:accPr>
            <m:chr m:val="̅"/>
            <m:ctrlPr>
              <w:rPr>
                <w:rFonts w:ascii="Cambria Math" w:hAnsi="Cambria Math"/>
                <w:i/>
                <w:lang w:val="en-US"/>
              </w:rPr>
            </m:ctrlPr>
          </m:accPr>
          <m:e>
            <m:r>
              <w:rPr>
                <w:rFonts w:ascii="Cambria Math" w:hAnsi="Cambria Math"/>
                <w:lang w:val="en-US"/>
              </w:rPr>
              <m:t>s</m:t>
            </m:r>
          </m:e>
        </m:acc>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lθ</m:t>
            </m:r>
          </m:den>
        </m:f>
        <m:r>
          <w:rPr>
            <w:rFonts w:ascii="Cambria Math" w:hAnsi="Cambria Math"/>
            <w:lang w:val="en-US"/>
          </w:rPr>
          <m:t>m-</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lθ</m:t>
            </m:r>
          </m:den>
        </m:f>
        <m:r>
          <w:rPr>
            <w:rFonts w:ascii="Cambria Math" w:hAnsi="Cambria Math"/>
            <w:lang w:val="en-US"/>
          </w:rPr>
          <m:t>p-</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lθ</m:t>
            </m:r>
          </m:den>
        </m:f>
        <m:r>
          <w:rPr>
            <w:rFonts w:ascii="Cambria Math" w:hAnsi="Cambria Math"/>
            <w:lang w:val="en-US"/>
          </w:rPr>
          <m:t>y+</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θ</m:t>
            </m:r>
          </m:den>
        </m:f>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m:t>
            </m:r>
          </m:sup>
        </m:sSup>
      </m:oMath>
      <w:r w:rsidR="00EF4234">
        <w:rPr>
          <w:rFonts w:eastAsiaTheme="minorEastAsia"/>
          <w:lang w:val="en-US"/>
        </w:rPr>
        <w:tab/>
      </w:r>
      <w:r w:rsidR="00EF4234">
        <w:rPr>
          <w:rFonts w:eastAsiaTheme="minorEastAsia"/>
          <w:lang w:val="en-US"/>
        </w:rPr>
        <w:tab/>
      </w:r>
      <w:r w:rsidR="00EF4234">
        <w:rPr>
          <w:rFonts w:eastAsiaTheme="minorEastAsia"/>
          <w:lang w:val="en-US"/>
        </w:rPr>
        <w:tab/>
        <w:t xml:space="preserve">        </w:t>
      </w:r>
      <w:r w:rsidR="00FE087C">
        <w:rPr>
          <w:rFonts w:eastAsiaTheme="minorEastAsia"/>
          <w:lang w:val="en-US"/>
        </w:rPr>
        <w:t xml:space="preserve">      </w:t>
      </w:r>
      <w:r w:rsidR="00EF4234">
        <w:rPr>
          <w:rFonts w:eastAsiaTheme="minorEastAsia"/>
          <w:lang w:val="en-US"/>
        </w:rPr>
        <w:t xml:space="preserve">   (1.7)</w:t>
      </w:r>
    </w:p>
    <w:p w:rsidR="00555600" w:rsidRDefault="00555600" w:rsidP="00170695">
      <w:pPr>
        <w:pStyle w:val="Heading2"/>
        <w:rPr>
          <w:rStyle w:val="eop"/>
          <w:rFonts w:ascii="Calibri" w:hAnsi="Calibri" w:cs="Segoe UI"/>
          <w:lang w:val="en-US"/>
        </w:rPr>
      </w:pPr>
      <w:r w:rsidRPr="00555600">
        <w:rPr>
          <w:rStyle w:val="eop"/>
          <w:rFonts w:ascii="Calibri" w:hAnsi="Calibri" w:cs="Segoe UI"/>
          <w:lang w:val="en-US"/>
        </w:rPr>
        <w:t>An extension to the Dornbusch model by Frankel</w:t>
      </w:r>
    </w:p>
    <w:p w:rsidR="00555600" w:rsidRDefault="00555600" w:rsidP="00443B38">
      <w:pPr>
        <w:spacing w:line="360" w:lineRule="auto"/>
        <w:jc w:val="both"/>
        <w:rPr>
          <w:lang w:val="en-US"/>
        </w:rPr>
      </w:pPr>
      <w:r>
        <w:rPr>
          <w:lang w:val="en-US"/>
        </w:rPr>
        <w:t>Jeffrey Frankel has developed a model which extends Dornbusch' model: the real interest differential model.</w:t>
      </w:r>
      <w:r w:rsidR="00AF6B3D">
        <w:rPr>
          <w:lang w:val="en-US"/>
        </w:rPr>
        <w:br/>
        <w:t>An adjustment is made to the expectations mechanism. Frankel believes that when the exchange rate is at its equilibrium level, it does not stay constant. Instead it is expected to depreciate by the difference in expected domestic and foreign inflation rates. This leads to the following equation:</w:t>
      </w:r>
    </w:p>
    <w:p w:rsidR="00AF6B3D" w:rsidRDefault="00AF6B3D" w:rsidP="00443B38">
      <w:pPr>
        <w:spacing w:line="360" w:lineRule="auto"/>
        <w:jc w:val="right"/>
        <w:rPr>
          <w:rFonts w:eastAsiaTheme="minorEastAsia"/>
          <w:lang w:val="en-US"/>
        </w:rPr>
      </w:pPr>
      <m:oMath>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s</m:t>
            </m:r>
          </m:e>
          <m:sup>
            <m:r>
              <w:rPr>
                <w:rFonts w:ascii="Cambria Math" w:eastAsiaTheme="minorEastAsia" w:hAnsi="Cambria Math"/>
                <w:lang w:val="en-US"/>
              </w:rPr>
              <m:t>e</m:t>
            </m:r>
          </m:sup>
        </m:sSup>
        <m:r>
          <w:rPr>
            <w:rFonts w:ascii="Cambria Math" w:eastAsiaTheme="minorEastAsia"/>
            <w:lang w:val="en-US"/>
          </w:rPr>
          <m:t>=</m:t>
        </m:r>
        <m:r>
          <w:rPr>
            <w:rFonts w:ascii="Cambria Math" w:eastAsiaTheme="minorEastAsia" w:hAnsi="Cambria Math"/>
            <w:lang w:val="en-US"/>
          </w:rPr>
          <m:t>θ</m:t>
        </m:r>
        <m:d>
          <m:dPr>
            <m:ctrlPr>
              <w:rPr>
                <w:rFonts w:ascii="Cambria Math" w:eastAsiaTheme="minorEastAsia" w:hAnsi="Cambria Math"/>
                <w:i/>
                <w:lang w:val="en-US"/>
              </w:rPr>
            </m:ctrlPr>
          </m:dPr>
          <m:e>
            <m:acc>
              <m:accPr>
                <m:chr m:val="̅"/>
                <m:ctrlPr>
                  <w:rPr>
                    <w:rFonts w:ascii="Cambria Math" w:eastAsiaTheme="minorEastAsia" w:hAnsi="Cambria Math"/>
                    <w:i/>
                    <w:lang w:val="en-US"/>
                  </w:rPr>
                </m:ctrlPr>
              </m:accPr>
              <m:e>
                <m:r>
                  <w:rPr>
                    <w:rFonts w:ascii="Cambria Math" w:eastAsiaTheme="minorEastAsia" w:hAnsi="Cambria Math"/>
                    <w:lang w:val="en-US"/>
                  </w:rPr>
                  <m:t>s</m:t>
                </m:r>
              </m:e>
            </m:acc>
            <m:r>
              <w:rPr>
                <w:rFonts w:ascii="Cambria Math" w:eastAsiaTheme="minorEastAsia" w:hAnsi="Cambria Math"/>
                <w:lang w:val="en-US"/>
              </w:rPr>
              <m:t>-s</m:t>
            </m:r>
          </m:e>
        </m:d>
        <m:r>
          <w:rPr>
            <w:rFonts w:ascii="Cambria Math" w:eastAsiaTheme="minorEastAsia"/>
            <w:lang w:val="en-US"/>
          </w:rPr>
          <m:t xml:space="preserve">+ </m:t>
        </m:r>
        <m:r>
          <w:rPr>
            <w:rFonts w:ascii="Cambria Math" w:eastAsiaTheme="minorEastAsia" w:hAnsi="Cambria Math"/>
            <w:lang w:val="en-US"/>
          </w:rPr>
          <m:t>∆</m:t>
        </m:r>
        <m:sSup>
          <m:sSupPr>
            <m:ctrlPr>
              <w:rPr>
                <w:rFonts w:ascii="Cambria Math" w:eastAsiaTheme="minorEastAsia" w:hAnsi="Cambria Math"/>
                <w:i/>
                <w:lang w:val="en-US"/>
              </w:rPr>
            </m:ctrlPr>
          </m:sSupPr>
          <m:e>
            <m:acc>
              <m:accPr>
                <m:chr m:val="̃"/>
                <m:ctrlPr>
                  <w:rPr>
                    <w:rFonts w:ascii="Cambria Math" w:eastAsiaTheme="minorEastAsia" w:hAnsi="Cambria Math"/>
                    <w:i/>
                    <w:lang w:val="en-US"/>
                  </w:rPr>
                </m:ctrlPr>
              </m:accPr>
              <m:e>
                <m:r>
                  <w:rPr>
                    <w:rFonts w:ascii="Cambria Math" w:eastAsiaTheme="minorEastAsia"/>
                    <w:lang w:val="en-US"/>
                  </w:rPr>
                  <m:t>p</m:t>
                </m:r>
              </m:e>
            </m:acc>
          </m:e>
          <m:sup>
            <m:r>
              <w:rPr>
                <w:rFonts w:ascii="Cambria Math" w:eastAsiaTheme="minorEastAsia"/>
                <w:lang w:val="en-US"/>
              </w:rPr>
              <m:t>e</m:t>
            </m:r>
          </m:sup>
        </m:sSup>
      </m:oMath>
      <w:r w:rsidRPr="00C145D2">
        <w:rPr>
          <w:rFonts w:eastAsiaTheme="minorEastAsia"/>
          <w:lang w:val="en-US"/>
        </w:rPr>
        <w:tab/>
      </w:r>
      <w:r w:rsidRPr="00C145D2">
        <w:rPr>
          <w:rFonts w:eastAsiaTheme="minorEastAsia"/>
          <w:lang w:val="en-US"/>
        </w:rPr>
        <w:tab/>
      </w:r>
      <w:r>
        <w:rPr>
          <w:rFonts w:eastAsiaTheme="minorEastAsia"/>
          <w:lang w:val="en-US"/>
        </w:rPr>
        <w:t xml:space="preserve">                </w:t>
      </w:r>
      <w:r w:rsidRPr="00C145D2">
        <w:rPr>
          <w:rFonts w:eastAsiaTheme="minorEastAsia"/>
          <w:lang w:val="en-US"/>
        </w:rPr>
        <w:tab/>
      </w:r>
      <w:r>
        <w:rPr>
          <w:rFonts w:eastAsiaTheme="minorEastAsia"/>
          <w:lang w:val="en-US"/>
        </w:rPr>
        <w:t xml:space="preserve">         </w:t>
      </w:r>
      <w:r w:rsidR="00EF4234">
        <w:rPr>
          <w:rFonts w:eastAsiaTheme="minorEastAsia"/>
          <w:lang w:val="en-US"/>
        </w:rPr>
        <w:tab/>
        <w:t xml:space="preserve">    </w:t>
      </w:r>
      <w:r w:rsidRPr="00C145D2">
        <w:rPr>
          <w:rFonts w:eastAsiaTheme="minorEastAsia"/>
          <w:lang w:val="en-US"/>
        </w:rPr>
        <w:t>(1.</w:t>
      </w:r>
      <w:r w:rsidR="0057681B">
        <w:rPr>
          <w:rFonts w:eastAsiaTheme="minorEastAsia"/>
          <w:lang w:val="en-US"/>
        </w:rPr>
        <w:t>8</w:t>
      </w:r>
      <w:r w:rsidRPr="00C145D2">
        <w:rPr>
          <w:rFonts w:eastAsiaTheme="minorEastAsia"/>
          <w:lang w:val="en-US"/>
        </w:rPr>
        <w:t>)</w:t>
      </w:r>
    </w:p>
    <w:p w:rsidR="00FD124F" w:rsidRDefault="00FD124F" w:rsidP="00FD124F">
      <w:pPr>
        <w:spacing w:line="360" w:lineRule="auto"/>
        <w:rPr>
          <w:rFonts w:eastAsiaTheme="minorEastAsia"/>
          <w:lang w:val="en-US"/>
        </w:rPr>
      </w:pPr>
      <w:r>
        <w:rPr>
          <w:rFonts w:eastAsiaTheme="minorEastAsia"/>
          <w:lang w:val="en-US"/>
        </w:rPr>
        <w:t>Where:</w:t>
      </w:r>
      <w:r>
        <w:rPr>
          <w:rFonts w:eastAsiaTheme="minorEastAsia"/>
          <w:lang w:val="en-US"/>
        </w:rPr>
        <w:br/>
      </w:r>
      <m:oMath>
        <m:r>
          <w:rPr>
            <w:rFonts w:ascii="Cambria Math" w:eastAsiaTheme="minorEastAsia" w:hAnsi="Cambria Math"/>
            <w:lang w:val="en-US"/>
          </w:rPr>
          <m:t>∆</m:t>
        </m:r>
        <m:sSup>
          <m:sSupPr>
            <m:ctrlPr>
              <w:rPr>
                <w:rFonts w:ascii="Cambria Math" w:eastAsiaTheme="minorEastAsia" w:hAnsi="Cambria Math"/>
                <w:i/>
                <w:lang w:val="en-US"/>
              </w:rPr>
            </m:ctrlPr>
          </m:sSupPr>
          <m:e>
            <m:acc>
              <m:accPr>
                <m:chr m:val="̃"/>
                <m:ctrlPr>
                  <w:rPr>
                    <w:rFonts w:ascii="Cambria Math" w:eastAsiaTheme="minorEastAsia" w:hAnsi="Cambria Math"/>
                    <w:i/>
                    <w:lang w:val="en-US"/>
                  </w:rPr>
                </m:ctrlPr>
              </m:accPr>
              <m:e>
                <m:r>
                  <w:rPr>
                    <w:rFonts w:ascii="Cambria Math" w:eastAsiaTheme="minorEastAsia"/>
                    <w:lang w:val="en-US"/>
                  </w:rPr>
                  <m:t>p</m:t>
                </m:r>
              </m:e>
            </m:acc>
          </m:e>
          <m:sup>
            <m:r>
              <w:rPr>
                <w:rFonts w:ascii="Cambria Math" w:eastAsiaTheme="minorEastAsia"/>
                <w:lang w:val="en-US"/>
              </w:rPr>
              <m:t>e</m:t>
            </m:r>
          </m:sup>
        </m:sSup>
      </m:oMath>
      <w:r>
        <w:rPr>
          <w:rFonts w:eastAsiaTheme="minorEastAsia"/>
          <w:lang w:val="en-US"/>
        </w:rPr>
        <w:t xml:space="preserve"> = the expected change between the domestic and foreign price level</w:t>
      </w:r>
    </w:p>
    <w:p w:rsidR="00AF6B3D" w:rsidRDefault="00515FFD" w:rsidP="00443B38">
      <w:pPr>
        <w:spacing w:line="360" w:lineRule="auto"/>
        <w:jc w:val="both"/>
        <w:rPr>
          <w:lang w:val="en-US"/>
        </w:rPr>
      </w:pPr>
      <w:r>
        <w:rPr>
          <w:lang w:val="en-US"/>
        </w:rPr>
        <w:t>This basically adjusts equation 1.2 to allow for long run inflation.</w:t>
      </w:r>
      <w:r w:rsidR="00D05D86">
        <w:rPr>
          <w:lang w:val="en-US"/>
        </w:rPr>
        <w:t xml:space="preserve"> </w:t>
      </w:r>
      <w:r w:rsidR="00650F14">
        <w:rPr>
          <w:lang w:val="en-US"/>
        </w:rPr>
        <w:t>Now, implementing uncovered interest rate parity by combining equation 1.1 and 1.</w:t>
      </w:r>
      <w:r w:rsidR="0057681B">
        <w:rPr>
          <w:lang w:val="en-US"/>
        </w:rPr>
        <w:t>8</w:t>
      </w:r>
      <w:r w:rsidR="00650F14">
        <w:rPr>
          <w:lang w:val="en-US"/>
        </w:rPr>
        <w:t>, we have:</w:t>
      </w:r>
    </w:p>
    <w:p w:rsidR="00650F14" w:rsidRDefault="00DB780A" w:rsidP="00443B38">
      <w:pPr>
        <w:spacing w:line="360" w:lineRule="auto"/>
        <w:jc w:val="right"/>
        <w:rPr>
          <w:rFonts w:eastAsiaTheme="minorEastAsia"/>
          <w:lang w:val="en-US"/>
        </w:rPr>
      </w:pPr>
      <m:oMath>
        <m:acc>
          <m:accPr>
            <m:chr m:val="̅"/>
            <m:ctrlPr>
              <w:rPr>
                <w:rFonts w:ascii="Cambria Math" w:eastAsiaTheme="minorEastAsia" w:hAnsi="Cambria Math"/>
                <w:i/>
                <w:lang w:val="en-US"/>
              </w:rPr>
            </m:ctrlPr>
          </m:accPr>
          <m:e>
            <m:r>
              <w:rPr>
                <w:rFonts w:ascii="Cambria Math" w:eastAsiaTheme="minorEastAsia" w:hAnsi="Cambria Math"/>
                <w:lang w:val="en-US"/>
              </w:rPr>
              <m:t>s</m:t>
            </m:r>
          </m:e>
        </m:acc>
        <m:r>
          <w:rPr>
            <w:rFonts w:ascii="Cambria Math" w:eastAsiaTheme="minorEastAsia"/>
            <w:lang w:val="en-US"/>
          </w:rPr>
          <m:t>=</m:t>
        </m:r>
        <m:r>
          <w:rPr>
            <w:rFonts w:ascii="Cambria Math" w:eastAsiaTheme="minorEastAsia" w:hAnsi="Cambria Math"/>
            <w:lang w:val="en-US"/>
          </w:rPr>
          <m:t>s+</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θ</m:t>
            </m:r>
          </m:den>
        </m:f>
        <m:d>
          <m:dPr>
            <m:ctrlPr>
              <w:rPr>
                <w:rFonts w:ascii="Cambria Math" w:eastAsiaTheme="minorEastAsia" w:hAnsi="Cambria Math"/>
                <w:i/>
                <w:lang w:val="en-US"/>
              </w:rPr>
            </m:ctrlPr>
          </m:dPr>
          <m:e>
            <m:acc>
              <m:accPr>
                <m:chr m:val="̃"/>
                <m:ctrlPr>
                  <w:rPr>
                    <w:rFonts w:ascii="Cambria Math" w:eastAsiaTheme="minorEastAsia" w:hAnsi="Cambria Math"/>
                    <w:i/>
                    <w:lang w:val="en-US"/>
                  </w:rPr>
                </m:ctrlPr>
              </m:accPr>
              <m:e>
                <m:r>
                  <w:rPr>
                    <w:rFonts w:ascii="Cambria Math" w:eastAsiaTheme="minorEastAsia"/>
                    <w:lang w:val="en-US"/>
                  </w:rPr>
                  <m:t>r</m:t>
                </m:r>
              </m:e>
            </m:acc>
            <m:r>
              <w:rPr>
                <w:rFonts w:ascii="Cambria Math" w:eastAsiaTheme="minorEastAsia"/>
                <w:lang w:val="en-US"/>
              </w:rPr>
              <m:t xml:space="preserve">+ </m:t>
            </m:r>
            <m:r>
              <w:rPr>
                <w:rFonts w:ascii="Cambria Math" w:eastAsiaTheme="minorEastAsia" w:hAnsi="Cambria Math"/>
                <w:lang w:val="en-US"/>
              </w:rPr>
              <m:t>∆</m:t>
            </m:r>
            <m:sSup>
              <m:sSupPr>
                <m:ctrlPr>
                  <w:rPr>
                    <w:rFonts w:ascii="Cambria Math" w:eastAsiaTheme="minorEastAsia" w:hAnsi="Cambria Math"/>
                    <w:i/>
                    <w:lang w:val="en-US"/>
                  </w:rPr>
                </m:ctrlPr>
              </m:sSupPr>
              <m:e>
                <m:acc>
                  <m:accPr>
                    <m:chr m:val="̃"/>
                    <m:ctrlPr>
                      <w:rPr>
                        <w:rFonts w:ascii="Cambria Math" w:eastAsiaTheme="minorEastAsia" w:hAnsi="Cambria Math"/>
                        <w:i/>
                        <w:lang w:val="en-US"/>
                      </w:rPr>
                    </m:ctrlPr>
                  </m:accPr>
                  <m:e>
                    <m:r>
                      <w:rPr>
                        <w:rFonts w:ascii="Cambria Math" w:eastAsiaTheme="minorEastAsia"/>
                        <w:lang w:val="en-US"/>
                      </w:rPr>
                      <m:t>p</m:t>
                    </m:r>
                  </m:e>
                </m:acc>
              </m:e>
              <m:sup>
                <m:r>
                  <w:rPr>
                    <w:rFonts w:ascii="Cambria Math" w:eastAsiaTheme="minorEastAsia"/>
                    <w:lang w:val="en-US"/>
                  </w:rPr>
                  <m:t>e</m:t>
                </m:r>
              </m:sup>
            </m:sSup>
          </m:e>
        </m:d>
      </m:oMath>
      <w:r w:rsidR="00650F14" w:rsidRPr="00C145D2">
        <w:rPr>
          <w:rFonts w:eastAsiaTheme="minorEastAsia"/>
          <w:lang w:val="en-US"/>
        </w:rPr>
        <w:tab/>
      </w:r>
      <w:r w:rsidR="00650F14" w:rsidRPr="00C145D2">
        <w:rPr>
          <w:rFonts w:eastAsiaTheme="minorEastAsia"/>
          <w:lang w:val="en-US"/>
        </w:rPr>
        <w:tab/>
      </w:r>
      <w:r w:rsidR="00650F14">
        <w:rPr>
          <w:rFonts w:eastAsiaTheme="minorEastAsia"/>
          <w:lang w:val="en-US"/>
        </w:rPr>
        <w:t xml:space="preserve">                     </w:t>
      </w:r>
      <w:r w:rsidR="00650F14" w:rsidRPr="00C145D2">
        <w:rPr>
          <w:rFonts w:eastAsiaTheme="minorEastAsia"/>
          <w:lang w:val="en-US"/>
        </w:rPr>
        <w:tab/>
      </w:r>
      <w:r w:rsidR="00650F14" w:rsidRPr="00C145D2">
        <w:rPr>
          <w:rFonts w:eastAsiaTheme="minorEastAsia"/>
          <w:lang w:val="en-US"/>
        </w:rPr>
        <w:tab/>
        <w:t>(1.</w:t>
      </w:r>
      <w:r w:rsidR="0057681B">
        <w:rPr>
          <w:rFonts w:eastAsiaTheme="minorEastAsia"/>
          <w:lang w:val="en-US"/>
        </w:rPr>
        <w:t>9</w:t>
      </w:r>
      <w:r w:rsidR="00650F14" w:rsidRPr="00C145D2">
        <w:rPr>
          <w:rFonts w:eastAsiaTheme="minorEastAsia"/>
          <w:lang w:val="en-US"/>
        </w:rPr>
        <w:t>)</w:t>
      </w:r>
    </w:p>
    <w:p w:rsidR="00650F14" w:rsidRDefault="00FD124F" w:rsidP="00443B38">
      <w:pPr>
        <w:spacing w:line="360" w:lineRule="auto"/>
        <w:jc w:val="both"/>
        <w:rPr>
          <w:lang w:val="en-US"/>
        </w:rPr>
      </w:pPr>
      <w:r w:rsidRPr="00DF726F">
        <w:rPr>
          <w:lang w:val="en-US"/>
        </w:rPr>
        <w:t>Note that a tilde above a variable denotes the difference between its domestic and foreign counterpart</w:t>
      </w:r>
      <w:r>
        <w:rPr>
          <w:lang w:val="en-US"/>
        </w:rPr>
        <w:t xml:space="preserve">. </w:t>
      </w:r>
      <w:r w:rsidR="00652741">
        <w:rPr>
          <w:lang w:val="en-US"/>
        </w:rPr>
        <w:t xml:space="preserve">Frankel believes that real interest rates diverge, because there is no purchasing power parity. </w:t>
      </w:r>
      <w:r w:rsidR="00484F01">
        <w:rPr>
          <w:lang w:val="en-US"/>
        </w:rPr>
        <w:t>It follows that the inflation rates are only reflected in the long run interest rates and not in the short run ones. Now, following Dornbusch assumption that the monetary model does not determine the actual exchange rate, but only the equilibrium, we have:</w:t>
      </w:r>
    </w:p>
    <w:p w:rsidR="00484F01" w:rsidRDefault="00DB780A" w:rsidP="00443B38">
      <w:pPr>
        <w:spacing w:line="360" w:lineRule="auto"/>
        <w:jc w:val="right"/>
        <w:rPr>
          <w:rFonts w:eastAsiaTheme="minorEastAsia"/>
          <w:lang w:val="en-US"/>
        </w:rPr>
      </w:pPr>
      <m:oMath>
        <m:acc>
          <m:accPr>
            <m:chr m:val="̅"/>
            <m:ctrlPr>
              <w:rPr>
                <w:rFonts w:ascii="Cambria Math" w:eastAsiaTheme="minorEastAsia" w:hAnsi="Cambria Math"/>
                <w:i/>
                <w:lang w:val="en-US"/>
              </w:rPr>
            </m:ctrlPr>
          </m:accPr>
          <m:e>
            <m:r>
              <w:rPr>
                <w:rFonts w:ascii="Cambria Math" w:eastAsiaTheme="minorEastAsia" w:hAnsi="Cambria Math"/>
                <w:lang w:val="en-US"/>
              </w:rPr>
              <m:t>s</m:t>
            </m:r>
          </m:e>
        </m:acc>
        <m:r>
          <w:rPr>
            <w:rFonts w:ascii="Cambria Math" w:eastAsiaTheme="minorEastAsia"/>
            <w:lang w:val="en-US"/>
          </w:rPr>
          <m:t>=</m:t>
        </m:r>
        <m:acc>
          <m:accPr>
            <m:chr m:val="̃"/>
            <m:ctrlPr>
              <w:rPr>
                <w:rFonts w:ascii="Cambria Math" w:eastAsiaTheme="minorEastAsia" w:hAnsi="Cambria Math"/>
                <w:i/>
                <w:lang w:val="en-US"/>
              </w:rPr>
            </m:ctrlPr>
          </m:accPr>
          <m:e>
            <m:r>
              <w:rPr>
                <w:rFonts w:ascii="Cambria Math" w:eastAsiaTheme="minorEastAsia" w:hAnsi="Cambria Math"/>
                <w:lang w:val="en-US"/>
              </w:rPr>
              <m:t>m</m:t>
            </m:r>
          </m:e>
        </m:acc>
        <m:r>
          <w:rPr>
            <w:rFonts w:ascii="Cambria Math" w:eastAsiaTheme="minorEastAsia" w:hAnsi="Cambria Math"/>
            <w:lang w:val="en-US"/>
          </w:rPr>
          <m:t>-k</m:t>
        </m:r>
        <m:acc>
          <m:accPr>
            <m:chr m:val="̃"/>
            <m:ctrlPr>
              <w:rPr>
                <w:rFonts w:ascii="Cambria Math" w:eastAsiaTheme="minorEastAsia" w:hAnsi="Cambria Math"/>
                <w:i/>
                <w:lang w:val="en-US"/>
              </w:rPr>
            </m:ctrlPr>
          </m:accPr>
          <m:e>
            <m:r>
              <w:rPr>
                <w:rFonts w:ascii="Cambria Math" w:eastAsiaTheme="minorEastAsia" w:hAnsi="Cambria Math"/>
                <w:lang w:val="en-US"/>
              </w:rPr>
              <m:t>y</m:t>
            </m:r>
          </m:e>
        </m:acc>
        <m:r>
          <w:rPr>
            <w:rFonts w:ascii="Cambria Math" w:eastAsiaTheme="minorEastAsia" w:hAnsi="Cambria Math"/>
            <w:lang w:val="en-US"/>
          </w:rPr>
          <m:t>+l∆</m:t>
        </m:r>
        <m:sSup>
          <m:sSupPr>
            <m:ctrlPr>
              <w:rPr>
                <w:rFonts w:ascii="Cambria Math" w:eastAsiaTheme="minorEastAsia" w:hAnsi="Cambria Math"/>
                <w:i/>
                <w:lang w:val="en-US"/>
              </w:rPr>
            </m:ctrlPr>
          </m:sSupPr>
          <m:e>
            <m:acc>
              <m:accPr>
                <m:chr m:val="̃"/>
                <m:ctrlPr>
                  <w:rPr>
                    <w:rFonts w:ascii="Cambria Math" w:eastAsiaTheme="minorEastAsia" w:hAnsi="Cambria Math"/>
                    <w:i/>
                    <w:lang w:val="en-US"/>
                  </w:rPr>
                </m:ctrlPr>
              </m:accPr>
              <m:e>
                <m:r>
                  <w:rPr>
                    <w:rFonts w:ascii="Cambria Math" w:eastAsiaTheme="minorEastAsia" w:hAnsi="Cambria Math"/>
                    <w:lang w:val="en-US"/>
                  </w:rPr>
                  <m:t>p</m:t>
                </m:r>
              </m:e>
            </m:acc>
          </m:e>
          <m:sup>
            <m:r>
              <w:rPr>
                <w:rFonts w:ascii="Cambria Math" w:eastAsiaTheme="minorEastAsia" w:hAnsi="Cambria Math"/>
                <w:lang w:val="en-US"/>
              </w:rPr>
              <m:t>e</m:t>
            </m:r>
          </m:sup>
        </m:sSup>
      </m:oMath>
      <w:r w:rsidR="00484F01" w:rsidRPr="00C145D2">
        <w:rPr>
          <w:rFonts w:eastAsiaTheme="minorEastAsia"/>
          <w:lang w:val="en-US"/>
        </w:rPr>
        <w:tab/>
      </w:r>
      <w:r w:rsidR="00484F01" w:rsidRPr="00C145D2">
        <w:rPr>
          <w:rFonts w:eastAsiaTheme="minorEastAsia"/>
          <w:lang w:val="en-US"/>
        </w:rPr>
        <w:tab/>
      </w:r>
      <w:r w:rsidR="00C56EC8">
        <w:rPr>
          <w:rFonts w:eastAsiaTheme="minorEastAsia"/>
          <w:lang w:val="en-US"/>
        </w:rPr>
        <w:t xml:space="preserve">               </w:t>
      </w:r>
      <w:r w:rsidR="00484F01">
        <w:rPr>
          <w:rFonts w:eastAsiaTheme="minorEastAsia"/>
          <w:lang w:val="en-US"/>
        </w:rPr>
        <w:t xml:space="preserve">   </w:t>
      </w:r>
      <w:r w:rsidR="00484F01" w:rsidRPr="00C145D2">
        <w:rPr>
          <w:rFonts w:eastAsiaTheme="minorEastAsia"/>
          <w:lang w:val="en-US"/>
        </w:rPr>
        <w:tab/>
      </w:r>
      <w:r w:rsidR="00484F01" w:rsidRPr="00C145D2">
        <w:rPr>
          <w:rFonts w:eastAsiaTheme="minorEastAsia"/>
          <w:lang w:val="en-US"/>
        </w:rPr>
        <w:tab/>
        <w:t>(1.</w:t>
      </w:r>
      <w:r w:rsidR="0057681B">
        <w:rPr>
          <w:rFonts w:eastAsiaTheme="minorEastAsia"/>
          <w:lang w:val="en-US"/>
        </w:rPr>
        <w:t>10</w:t>
      </w:r>
      <w:r w:rsidR="00484F01" w:rsidRPr="00C145D2">
        <w:rPr>
          <w:rFonts w:eastAsiaTheme="minorEastAsia"/>
          <w:lang w:val="en-US"/>
        </w:rPr>
        <w:t>)</w:t>
      </w:r>
    </w:p>
    <w:p w:rsidR="00484F01" w:rsidRDefault="004C2255" w:rsidP="00443B38">
      <w:pPr>
        <w:spacing w:line="360" w:lineRule="auto"/>
        <w:jc w:val="both"/>
        <w:rPr>
          <w:lang w:val="en-US"/>
        </w:rPr>
      </w:pPr>
      <w:r>
        <w:rPr>
          <w:lang w:val="en-US"/>
        </w:rPr>
        <w:t>This is of course an adjustment of equation 1.3. If we now combine equation 1.</w:t>
      </w:r>
      <w:r w:rsidR="0057681B">
        <w:rPr>
          <w:lang w:val="en-US"/>
        </w:rPr>
        <w:t>9</w:t>
      </w:r>
      <w:r>
        <w:rPr>
          <w:lang w:val="en-US"/>
        </w:rPr>
        <w:t xml:space="preserve"> and 1.</w:t>
      </w:r>
      <w:r w:rsidR="0057681B">
        <w:rPr>
          <w:lang w:val="en-US"/>
        </w:rPr>
        <w:t>10</w:t>
      </w:r>
      <w:r>
        <w:rPr>
          <w:lang w:val="en-US"/>
        </w:rPr>
        <w:t>, we get a very empirically test-able equation for the exchange rate:</w:t>
      </w:r>
    </w:p>
    <w:p w:rsidR="004C2255" w:rsidRDefault="00DB780A" w:rsidP="00443B38">
      <w:pPr>
        <w:spacing w:line="360" w:lineRule="auto"/>
        <w:jc w:val="right"/>
        <w:rPr>
          <w:rFonts w:eastAsiaTheme="minorEastAsia"/>
          <w:lang w:val="en-US"/>
        </w:rPr>
      </w:pPr>
      <m:oMath>
        <m:acc>
          <m:accPr>
            <m:chr m:val="̅"/>
            <m:ctrlPr>
              <w:rPr>
                <w:rFonts w:ascii="Cambria Math" w:eastAsiaTheme="minorEastAsia" w:hAnsi="Cambria Math"/>
                <w:i/>
                <w:lang w:val="en-US"/>
              </w:rPr>
            </m:ctrlPr>
          </m:accPr>
          <m:e>
            <m:r>
              <w:rPr>
                <w:rFonts w:ascii="Cambria Math" w:eastAsiaTheme="minorEastAsia" w:hAnsi="Cambria Math"/>
                <w:lang w:val="en-US"/>
              </w:rPr>
              <m:t>s</m:t>
            </m:r>
          </m:e>
        </m:acc>
        <m:r>
          <w:rPr>
            <w:rFonts w:ascii="Cambria Math" w:eastAsiaTheme="minorEastAsia"/>
            <w:lang w:val="en-US"/>
          </w:rPr>
          <m:t>=</m:t>
        </m:r>
        <m:acc>
          <m:accPr>
            <m:chr m:val="̃"/>
            <m:ctrlPr>
              <w:rPr>
                <w:rFonts w:ascii="Cambria Math" w:eastAsiaTheme="minorEastAsia" w:hAnsi="Cambria Math"/>
                <w:i/>
                <w:lang w:val="en-US"/>
              </w:rPr>
            </m:ctrlPr>
          </m:accPr>
          <m:e>
            <m:r>
              <w:rPr>
                <w:rFonts w:ascii="Cambria Math" w:eastAsiaTheme="minorEastAsia" w:hAnsi="Cambria Math"/>
                <w:lang w:val="en-US"/>
              </w:rPr>
              <m:t>m</m:t>
            </m:r>
          </m:e>
        </m:acc>
        <m:r>
          <w:rPr>
            <w:rFonts w:ascii="Cambria Math" w:eastAsiaTheme="minorEastAsia" w:hAnsi="Cambria Math"/>
            <w:lang w:val="en-US"/>
          </w:rPr>
          <m:t>-k</m:t>
        </m:r>
        <m:acc>
          <m:accPr>
            <m:chr m:val="̃"/>
            <m:ctrlPr>
              <w:rPr>
                <w:rFonts w:ascii="Cambria Math" w:eastAsiaTheme="minorEastAsia" w:hAnsi="Cambria Math"/>
                <w:i/>
                <w:lang w:val="en-US"/>
              </w:rPr>
            </m:ctrlPr>
          </m:accPr>
          <m:e>
            <m:r>
              <w:rPr>
                <w:rFonts w:ascii="Cambria Math" w:eastAsiaTheme="minorEastAsia" w:hAnsi="Cambria Math"/>
                <w:lang w:val="en-US"/>
              </w:rPr>
              <m:t>y</m:t>
            </m:r>
          </m:e>
        </m:acc>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θ</m:t>
            </m:r>
          </m:den>
        </m:f>
        <m:acc>
          <m:accPr>
            <m:chr m:val="̃"/>
            <m:ctrlPr>
              <w:rPr>
                <w:rFonts w:ascii="Cambria Math" w:eastAsiaTheme="minorEastAsia" w:hAnsi="Cambria Math"/>
                <w:i/>
                <w:lang w:val="en-US"/>
              </w:rPr>
            </m:ctrlPr>
          </m:accPr>
          <m:e>
            <m:r>
              <w:rPr>
                <w:rFonts w:ascii="Cambria Math" w:eastAsiaTheme="minorEastAsia"/>
                <w:lang w:val="en-US"/>
              </w:rPr>
              <m:t>r</m:t>
            </m:r>
          </m:e>
        </m:acc>
        <m:r>
          <w:rPr>
            <w:rFonts w:ascii="Cambria Math" w:eastAsiaTheme="minorEastAsia"/>
            <w:lang w:val="en-US"/>
          </w:rPr>
          <m:t>+</m:t>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θ</m:t>
                </m:r>
              </m:den>
            </m:f>
            <m:r>
              <w:rPr>
                <w:rFonts w:ascii="Cambria Math" w:eastAsiaTheme="minorEastAsia"/>
                <w:lang w:val="en-US"/>
              </w:rPr>
              <m:t>+ l</m:t>
            </m:r>
          </m:e>
        </m:d>
        <m:r>
          <w:rPr>
            <w:rFonts w:ascii="Cambria Math" w:eastAsiaTheme="minorEastAsia" w:hAnsi="Cambria Math"/>
            <w:lang w:val="en-US"/>
          </w:rPr>
          <m:t>∆</m:t>
        </m:r>
        <m:sSup>
          <m:sSupPr>
            <m:ctrlPr>
              <w:rPr>
                <w:rFonts w:ascii="Cambria Math" w:eastAsiaTheme="minorEastAsia" w:hAnsi="Cambria Math"/>
                <w:i/>
                <w:lang w:val="en-US"/>
              </w:rPr>
            </m:ctrlPr>
          </m:sSupPr>
          <m:e>
            <m:acc>
              <m:accPr>
                <m:chr m:val="̃"/>
                <m:ctrlPr>
                  <w:rPr>
                    <w:rFonts w:ascii="Cambria Math" w:eastAsiaTheme="minorEastAsia" w:hAnsi="Cambria Math"/>
                    <w:i/>
                    <w:lang w:val="en-US"/>
                  </w:rPr>
                </m:ctrlPr>
              </m:accPr>
              <m:e>
                <m:r>
                  <w:rPr>
                    <w:rFonts w:ascii="Cambria Math" w:eastAsiaTheme="minorEastAsia"/>
                    <w:lang w:val="en-US"/>
                  </w:rPr>
                  <m:t>p</m:t>
                </m:r>
              </m:e>
            </m:acc>
          </m:e>
          <m:sup>
            <m:r>
              <w:rPr>
                <w:rFonts w:ascii="Cambria Math" w:eastAsiaTheme="minorEastAsia"/>
                <w:lang w:val="en-US"/>
              </w:rPr>
              <m:t>e</m:t>
            </m:r>
          </m:sup>
        </m:sSup>
      </m:oMath>
      <w:r w:rsidR="004C2255" w:rsidRPr="00C145D2">
        <w:rPr>
          <w:rFonts w:eastAsiaTheme="minorEastAsia"/>
          <w:lang w:val="en-US"/>
        </w:rPr>
        <w:tab/>
      </w:r>
      <w:r w:rsidR="004C2255">
        <w:rPr>
          <w:rFonts w:eastAsiaTheme="minorEastAsia"/>
          <w:lang w:val="en-US"/>
        </w:rPr>
        <w:t xml:space="preserve">       </w:t>
      </w:r>
      <w:r w:rsidR="006F1825">
        <w:rPr>
          <w:rFonts w:eastAsiaTheme="minorEastAsia"/>
          <w:lang w:val="en-US"/>
        </w:rPr>
        <w:t xml:space="preserve">  </w:t>
      </w:r>
      <w:r w:rsidR="004C2255">
        <w:rPr>
          <w:rFonts w:eastAsiaTheme="minorEastAsia"/>
          <w:lang w:val="en-US"/>
        </w:rPr>
        <w:t xml:space="preserve">       </w:t>
      </w:r>
      <w:r w:rsidR="004C2255" w:rsidRPr="00C145D2">
        <w:rPr>
          <w:rFonts w:eastAsiaTheme="minorEastAsia"/>
          <w:lang w:val="en-US"/>
        </w:rPr>
        <w:tab/>
      </w:r>
      <w:r w:rsidR="004C2255">
        <w:rPr>
          <w:rFonts w:eastAsiaTheme="minorEastAsia"/>
          <w:lang w:val="en-US"/>
        </w:rPr>
        <w:t xml:space="preserve">           </w:t>
      </w:r>
      <w:r w:rsidR="004C2255" w:rsidRPr="00C145D2">
        <w:rPr>
          <w:rFonts w:eastAsiaTheme="minorEastAsia"/>
          <w:lang w:val="en-US"/>
        </w:rPr>
        <w:t>(1.</w:t>
      </w:r>
      <w:r w:rsidR="004C2255">
        <w:rPr>
          <w:rFonts w:eastAsiaTheme="minorEastAsia"/>
          <w:lang w:val="en-US"/>
        </w:rPr>
        <w:t>1</w:t>
      </w:r>
      <w:r w:rsidR="00EF4234">
        <w:rPr>
          <w:rFonts w:eastAsiaTheme="minorEastAsia"/>
          <w:lang w:val="en-US"/>
        </w:rPr>
        <w:t>1</w:t>
      </w:r>
      <w:r w:rsidR="004C2255" w:rsidRPr="00C145D2">
        <w:rPr>
          <w:rFonts w:eastAsiaTheme="minorEastAsia"/>
          <w:lang w:val="en-US"/>
        </w:rPr>
        <w:t>)</w:t>
      </w:r>
    </w:p>
    <w:p w:rsidR="004C2255" w:rsidRPr="00547E1E" w:rsidRDefault="00DB780A" w:rsidP="00443B38">
      <w:pPr>
        <w:spacing w:line="360" w:lineRule="auto"/>
        <w:jc w:val="both"/>
        <w:rPr>
          <w:b/>
          <w:lang w:val="en-US"/>
        </w:rPr>
      </w:pPr>
      <w:sdt>
        <w:sdtPr>
          <w:rPr>
            <w:b/>
            <w:lang w:val="en-US"/>
          </w:rPr>
          <w:id w:val="1090865641"/>
          <w:citation/>
        </w:sdtPr>
        <w:sdtContent>
          <w:r>
            <w:rPr>
              <w:b/>
              <w:lang w:val="en-US"/>
            </w:rPr>
            <w:fldChar w:fldCharType="begin"/>
          </w:r>
          <w:r w:rsidR="00967B1A">
            <w:rPr>
              <w:b/>
            </w:rPr>
            <w:instrText xml:space="preserve"> CITATION Jef79 \l 1043  </w:instrText>
          </w:r>
          <w:r>
            <w:rPr>
              <w:b/>
              <w:lang w:val="en-US"/>
            </w:rPr>
            <w:fldChar w:fldCharType="separate"/>
          </w:r>
          <w:r w:rsidR="002B7AD5" w:rsidRPr="002B7AD5">
            <w:rPr>
              <w:noProof/>
            </w:rPr>
            <w:t>(Frankel, 1979)</w:t>
          </w:r>
          <w:r>
            <w:rPr>
              <w:b/>
              <w:lang w:val="en-US"/>
            </w:rPr>
            <w:fldChar w:fldCharType="end"/>
          </w:r>
        </w:sdtContent>
      </w:sdt>
      <w:r w:rsidR="00033F15">
        <w:rPr>
          <w:b/>
          <w:lang w:val="en-US"/>
        </w:rPr>
        <w:t>,</w:t>
      </w:r>
      <w:r w:rsidR="00AC391D">
        <w:rPr>
          <w:b/>
          <w:lang w:val="en-US"/>
        </w:rPr>
        <w:t xml:space="preserve"> </w:t>
      </w:r>
      <w:sdt>
        <w:sdtPr>
          <w:rPr>
            <w:b/>
            <w:lang w:val="en-US"/>
          </w:rPr>
          <w:id w:val="1090866197"/>
          <w:citation/>
        </w:sdtPr>
        <w:sdtContent>
          <w:r>
            <w:rPr>
              <w:b/>
              <w:lang w:val="en-US"/>
            </w:rPr>
            <w:fldChar w:fldCharType="begin"/>
          </w:r>
          <w:r w:rsidR="00AC391D" w:rsidRPr="00F1547A">
            <w:rPr>
              <w:b/>
              <w:lang w:val="en-US"/>
            </w:rPr>
            <w:instrText xml:space="preserve"> CITATION Lau081 \l 1043 </w:instrText>
          </w:r>
          <w:r>
            <w:rPr>
              <w:b/>
              <w:lang w:val="en-US"/>
            </w:rPr>
            <w:fldChar w:fldCharType="separate"/>
          </w:r>
          <w:r w:rsidR="002B7AD5">
            <w:rPr>
              <w:noProof/>
              <w:lang w:val="en-US"/>
            </w:rPr>
            <w:t>(Copeland, 2008)</w:t>
          </w:r>
          <w:r>
            <w:rPr>
              <w:b/>
              <w:lang w:val="en-US"/>
            </w:rPr>
            <w:fldChar w:fldCharType="end"/>
          </w:r>
        </w:sdtContent>
      </w:sdt>
    </w:p>
    <w:p w:rsidR="00211731" w:rsidRPr="00211731" w:rsidRDefault="00211731" w:rsidP="00547E1E">
      <w:pPr>
        <w:pStyle w:val="Heading1"/>
        <w:spacing w:line="360" w:lineRule="auto"/>
        <w:rPr>
          <w:sz w:val="32"/>
          <w:szCs w:val="32"/>
        </w:rPr>
      </w:pPr>
      <w:r w:rsidRPr="00211731">
        <w:rPr>
          <w:sz w:val="32"/>
          <w:szCs w:val="32"/>
        </w:rPr>
        <w:lastRenderedPageBreak/>
        <w:t xml:space="preserve">Data </w:t>
      </w:r>
    </w:p>
    <w:p w:rsidR="000A2CE8" w:rsidRDefault="00DD28F9" w:rsidP="00443B38">
      <w:pPr>
        <w:spacing w:line="360" w:lineRule="auto"/>
        <w:jc w:val="both"/>
        <w:rPr>
          <w:rStyle w:val="eop"/>
          <w:rFonts w:ascii="Calibri" w:hAnsi="Calibri" w:cs="Segoe UI"/>
          <w:lang w:val="en-US"/>
        </w:rPr>
      </w:pPr>
      <w:r>
        <w:rPr>
          <w:rStyle w:val="eop"/>
          <w:rFonts w:ascii="Calibri" w:hAnsi="Calibri" w:cs="Segoe UI"/>
          <w:lang w:val="en-US"/>
        </w:rPr>
        <w:t xml:space="preserve">The Bitcoin has been around for roughly </w:t>
      </w:r>
      <w:r w:rsidR="00C56EC8">
        <w:rPr>
          <w:rStyle w:val="eop"/>
          <w:rFonts w:ascii="Calibri" w:hAnsi="Calibri" w:cs="Segoe UI"/>
          <w:lang w:val="en-US"/>
        </w:rPr>
        <w:t>5</w:t>
      </w:r>
      <w:r>
        <w:rPr>
          <w:rStyle w:val="eop"/>
          <w:rFonts w:ascii="Calibri" w:hAnsi="Calibri" w:cs="Segoe UI"/>
          <w:lang w:val="en-US"/>
        </w:rPr>
        <w:t xml:space="preserve"> and a half years now, and data is scarce.  Moreover, to obtain enough observations for analysis, high frequency data is needed. Using monthly data would result in having too few observations (less than 70) to conduct any meaningful research. For this reason, weekly data is used for this paper. </w:t>
      </w:r>
      <w:r w:rsidR="000A2CE8">
        <w:rPr>
          <w:rStyle w:val="eop"/>
          <w:rFonts w:ascii="Calibri" w:hAnsi="Calibri" w:cs="Segoe UI"/>
          <w:lang w:val="en-US"/>
        </w:rPr>
        <w:t>The time span used ranges from the week starting on Monday 19 July 2010 up to and including the week starting on Monday 2 June 2014.</w:t>
      </w:r>
      <w:r w:rsidR="00CA08EB">
        <w:rPr>
          <w:rStyle w:val="eop"/>
          <w:rFonts w:ascii="Calibri" w:hAnsi="Calibri" w:cs="Segoe UI"/>
          <w:lang w:val="en-US"/>
        </w:rPr>
        <w:t xml:space="preserve"> The estimation sample used ranges from the week starting Monday 19 July 2010 up to and including the week starting Monday 31 December 2012. The forecast sample ranges from the week starting Monday 7 January 2013 up to and including the week starting Monday 2 June 2014.</w:t>
      </w:r>
    </w:p>
    <w:tbl>
      <w:tblPr>
        <w:tblpPr w:leftFromText="141" w:rightFromText="141" w:vertAnchor="text" w:horzAnchor="margin" w:tblpY="158"/>
        <w:tblW w:w="5000" w:type="pct"/>
        <w:tblCellMar>
          <w:left w:w="70" w:type="dxa"/>
          <w:right w:w="70" w:type="dxa"/>
        </w:tblCellMar>
        <w:tblLook w:val="04A0"/>
      </w:tblPr>
      <w:tblGrid>
        <w:gridCol w:w="1055"/>
        <w:gridCol w:w="156"/>
        <w:gridCol w:w="227"/>
        <w:gridCol w:w="179"/>
        <w:gridCol w:w="179"/>
        <w:gridCol w:w="217"/>
        <w:gridCol w:w="214"/>
        <w:gridCol w:w="241"/>
        <w:gridCol w:w="227"/>
        <w:gridCol w:w="227"/>
        <w:gridCol w:w="190"/>
        <w:gridCol w:w="190"/>
        <w:gridCol w:w="184"/>
        <w:gridCol w:w="190"/>
        <w:gridCol w:w="190"/>
        <w:gridCol w:w="190"/>
        <w:gridCol w:w="190"/>
        <w:gridCol w:w="1214"/>
        <w:gridCol w:w="943"/>
        <w:gridCol w:w="219"/>
        <w:gridCol w:w="190"/>
        <w:gridCol w:w="190"/>
        <w:gridCol w:w="219"/>
        <w:gridCol w:w="219"/>
        <w:gridCol w:w="219"/>
        <w:gridCol w:w="190"/>
        <w:gridCol w:w="219"/>
        <w:gridCol w:w="223"/>
        <w:gridCol w:w="921"/>
      </w:tblGrid>
      <w:tr w:rsidR="00A03B6D" w:rsidRPr="00B57A96" w:rsidTr="00A03B6D">
        <w:trPr>
          <w:trHeight w:val="300"/>
        </w:trPr>
        <w:tc>
          <w:tcPr>
            <w:tcW w:w="573" w:type="pct"/>
            <w:tcBorders>
              <w:top w:val="nil"/>
              <w:left w:val="nil"/>
              <w:bottom w:val="nil"/>
              <w:right w:val="single" w:sz="4" w:space="0" w:color="auto"/>
            </w:tcBorders>
            <w:shd w:val="clear" w:color="auto" w:fill="auto"/>
            <w:noWrap/>
            <w:vAlign w:val="bottom"/>
            <w:hideMark/>
          </w:tcPr>
          <w:p w:rsidR="00A03B6D" w:rsidRPr="004648C4" w:rsidRDefault="00A03B6D" w:rsidP="00A03B6D">
            <w:pPr>
              <w:spacing w:after="0" w:line="240" w:lineRule="auto"/>
              <w:rPr>
                <w:rFonts w:ascii="Calibri" w:eastAsia="Times New Roman" w:hAnsi="Calibri" w:cs="Times New Roman"/>
                <w:color w:val="000000"/>
                <w:lang w:val="en-US" w:eastAsia="nl-NL"/>
              </w:rPr>
            </w:pPr>
          </w:p>
        </w:tc>
        <w:tc>
          <w:tcPr>
            <w:tcW w:w="2390" w:type="pct"/>
            <w:gridSpan w:val="17"/>
            <w:vMerge w:val="restart"/>
            <w:tcBorders>
              <w:top w:val="nil"/>
              <w:left w:val="single" w:sz="4" w:space="0" w:color="auto"/>
              <w:bottom w:val="nil"/>
              <w:right w:val="single" w:sz="4" w:space="0" w:color="auto"/>
            </w:tcBorders>
            <w:shd w:val="clear" w:color="000000" w:fill="538ED5"/>
            <w:noWrap/>
            <w:vAlign w:val="center"/>
            <w:hideMark/>
          </w:tcPr>
          <w:p w:rsidR="00A03B6D" w:rsidRPr="00630485" w:rsidRDefault="00A03B6D" w:rsidP="00A03B6D">
            <w:pPr>
              <w:spacing w:after="0" w:line="240" w:lineRule="auto"/>
              <w:jc w:val="center"/>
              <w:rPr>
                <w:rFonts w:ascii="Calibri" w:eastAsia="Times New Roman" w:hAnsi="Calibri" w:cs="Times New Roman"/>
                <w:b/>
                <w:bCs/>
                <w:color w:val="FFFFFF" w:themeColor="background1"/>
                <w:sz w:val="28"/>
                <w:szCs w:val="28"/>
                <w:lang w:eastAsia="nl-NL"/>
              </w:rPr>
            </w:pPr>
            <w:r w:rsidRPr="00630485">
              <w:rPr>
                <w:rFonts w:ascii="Calibri" w:eastAsia="Times New Roman" w:hAnsi="Calibri" w:cs="Times New Roman"/>
                <w:b/>
                <w:bCs/>
                <w:color w:val="FFFFFF" w:themeColor="background1"/>
                <w:sz w:val="28"/>
                <w:szCs w:val="28"/>
                <w:lang w:eastAsia="nl-NL"/>
              </w:rPr>
              <w:t>Estimation sample</w:t>
            </w:r>
          </w:p>
        </w:tc>
        <w:tc>
          <w:tcPr>
            <w:tcW w:w="1537" w:type="pct"/>
            <w:gridSpan w:val="10"/>
            <w:vMerge w:val="restart"/>
            <w:tcBorders>
              <w:top w:val="nil"/>
              <w:left w:val="single" w:sz="4" w:space="0" w:color="auto"/>
              <w:bottom w:val="nil"/>
              <w:right w:val="single" w:sz="4" w:space="0" w:color="auto"/>
            </w:tcBorders>
            <w:shd w:val="clear" w:color="000000" w:fill="8DB4E3"/>
            <w:noWrap/>
            <w:vAlign w:val="center"/>
            <w:hideMark/>
          </w:tcPr>
          <w:p w:rsidR="00A03B6D" w:rsidRPr="00630485" w:rsidRDefault="00A03B6D" w:rsidP="00A03B6D">
            <w:pPr>
              <w:spacing w:after="0" w:line="240" w:lineRule="auto"/>
              <w:jc w:val="center"/>
              <w:rPr>
                <w:rFonts w:ascii="Calibri" w:eastAsia="Times New Roman" w:hAnsi="Calibri" w:cs="Times New Roman"/>
                <w:b/>
                <w:bCs/>
                <w:color w:val="FFFFFF" w:themeColor="background1"/>
                <w:sz w:val="28"/>
                <w:szCs w:val="28"/>
                <w:lang w:eastAsia="nl-NL"/>
              </w:rPr>
            </w:pPr>
            <w:r w:rsidRPr="00630485">
              <w:rPr>
                <w:rFonts w:ascii="Calibri" w:eastAsia="Times New Roman" w:hAnsi="Calibri" w:cs="Times New Roman"/>
                <w:b/>
                <w:bCs/>
                <w:color w:val="FFFFFF" w:themeColor="background1"/>
                <w:sz w:val="28"/>
                <w:szCs w:val="28"/>
                <w:lang w:eastAsia="nl-NL"/>
              </w:rPr>
              <w:t>Forecast sample</w:t>
            </w:r>
          </w:p>
        </w:tc>
        <w:tc>
          <w:tcPr>
            <w:tcW w:w="501" w:type="pct"/>
            <w:tcBorders>
              <w:top w:val="nil"/>
              <w:left w:val="single" w:sz="4" w:space="0" w:color="auto"/>
              <w:bottom w:val="nil"/>
              <w:right w:val="nil"/>
            </w:tcBorders>
            <w:shd w:val="clear" w:color="auto" w:fill="auto"/>
            <w:noWrap/>
            <w:vAlign w:val="bottom"/>
            <w:hideMark/>
          </w:tcPr>
          <w:p w:rsidR="00A03B6D" w:rsidRPr="00B57A96" w:rsidRDefault="00A03B6D" w:rsidP="00A03B6D">
            <w:pPr>
              <w:spacing w:after="0" w:line="240" w:lineRule="auto"/>
              <w:rPr>
                <w:rFonts w:ascii="Calibri" w:eastAsia="Times New Roman" w:hAnsi="Calibri" w:cs="Times New Roman"/>
                <w:color w:val="000000"/>
                <w:lang w:eastAsia="nl-NL"/>
              </w:rPr>
            </w:pPr>
          </w:p>
        </w:tc>
      </w:tr>
      <w:tr w:rsidR="00A03B6D" w:rsidRPr="00B57A96" w:rsidTr="00A03B6D">
        <w:trPr>
          <w:trHeight w:val="300"/>
        </w:trPr>
        <w:tc>
          <w:tcPr>
            <w:tcW w:w="573" w:type="pct"/>
            <w:tcBorders>
              <w:top w:val="nil"/>
              <w:left w:val="nil"/>
              <w:right w:val="single" w:sz="4" w:space="0" w:color="auto"/>
            </w:tcBorders>
            <w:shd w:val="clear" w:color="auto" w:fill="auto"/>
            <w:noWrap/>
            <w:vAlign w:val="bottom"/>
            <w:hideMark/>
          </w:tcPr>
          <w:p w:rsidR="00A03B6D" w:rsidRPr="00B57A96" w:rsidRDefault="00A03B6D" w:rsidP="00A03B6D">
            <w:pPr>
              <w:spacing w:after="0" w:line="240" w:lineRule="auto"/>
              <w:rPr>
                <w:rFonts w:ascii="Calibri" w:eastAsia="Times New Roman" w:hAnsi="Calibri" w:cs="Times New Roman"/>
                <w:color w:val="000000"/>
                <w:lang w:eastAsia="nl-NL"/>
              </w:rPr>
            </w:pPr>
          </w:p>
        </w:tc>
        <w:tc>
          <w:tcPr>
            <w:tcW w:w="2390" w:type="pct"/>
            <w:gridSpan w:val="17"/>
            <w:vMerge/>
            <w:tcBorders>
              <w:top w:val="nil"/>
              <w:left w:val="single" w:sz="4" w:space="0" w:color="auto"/>
              <w:right w:val="single" w:sz="4" w:space="0" w:color="auto"/>
            </w:tcBorders>
            <w:vAlign w:val="center"/>
            <w:hideMark/>
          </w:tcPr>
          <w:p w:rsidR="00A03B6D" w:rsidRPr="00B57A96" w:rsidRDefault="00A03B6D" w:rsidP="00A03B6D">
            <w:pPr>
              <w:spacing w:after="0" w:line="240" w:lineRule="auto"/>
              <w:rPr>
                <w:rFonts w:ascii="Calibri" w:eastAsia="Times New Roman" w:hAnsi="Calibri" w:cs="Times New Roman"/>
                <w:b/>
                <w:bCs/>
                <w:color w:val="000000"/>
                <w:sz w:val="28"/>
                <w:szCs w:val="28"/>
                <w:lang w:eastAsia="nl-NL"/>
              </w:rPr>
            </w:pPr>
          </w:p>
        </w:tc>
        <w:tc>
          <w:tcPr>
            <w:tcW w:w="1537" w:type="pct"/>
            <w:gridSpan w:val="10"/>
            <w:vMerge/>
            <w:tcBorders>
              <w:top w:val="nil"/>
              <w:left w:val="single" w:sz="4" w:space="0" w:color="auto"/>
              <w:right w:val="single" w:sz="4" w:space="0" w:color="auto"/>
            </w:tcBorders>
            <w:vAlign w:val="center"/>
            <w:hideMark/>
          </w:tcPr>
          <w:p w:rsidR="00A03B6D" w:rsidRPr="00B57A96" w:rsidRDefault="00A03B6D" w:rsidP="00A03B6D">
            <w:pPr>
              <w:spacing w:after="0" w:line="240" w:lineRule="auto"/>
              <w:rPr>
                <w:rFonts w:ascii="Calibri" w:eastAsia="Times New Roman" w:hAnsi="Calibri" w:cs="Times New Roman"/>
                <w:b/>
                <w:bCs/>
                <w:color w:val="000000"/>
                <w:sz w:val="28"/>
                <w:szCs w:val="28"/>
                <w:lang w:eastAsia="nl-NL"/>
              </w:rPr>
            </w:pPr>
          </w:p>
        </w:tc>
        <w:tc>
          <w:tcPr>
            <w:tcW w:w="501" w:type="pct"/>
            <w:tcBorders>
              <w:top w:val="nil"/>
              <w:left w:val="single" w:sz="4" w:space="0" w:color="auto"/>
              <w:right w:val="nil"/>
            </w:tcBorders>
            <w:shd w:val="clear" w:color="auto" w:fill="auto"/>
            <w:noWrap/>
            <w:vAlign w:val="bottom"/>
            <w:hideMark/>
          </w:tcPr>
          <w:p w:rsidR="00A03B6D" w:rsidRPr="00B57A96" w:rsidRDefault="00A03B6D" w:rsidP="00A03B6D">
            <w:pPr>
              <w:spacing w:after="0" w:line="240" w:lineRule="auto"/>
              <w:rPr>
                <w:rFonts w:ascii="Calibri" w:eastAsia="Times New Roman" w:hAnsi="Calibri" w:cs="Times New Roman"/>
                <w:color w:val="000000"/>
                <w:lang w:eastAsia="nl-NL"/>
              </w:rPr>
            </w:pPr>
          </w:p>
        </w:tc>
      </w:tr>
      <w:tr w:rsidR="00A03B6D" w:rsidRPr="00B57A96" w:rsidTr="00A03B6D">
        <w:trPr>
          <w:cantSplit/>
          <w:trHeight w:val="1517"/>
        </w:trPr>
        <w:tc>
          <w:tcPr>
            <w:tcW w:w="658" w:type="pct"/>
            <w:gridSpan w:val="2"/>
            <w:shd w:val="clear" w:color="auto" w:fill="auto"/>
            <w:noWrap/>
            <w:textDirection w:val="btLr"/>
            <w:vAlign w:val="bottom"/>
            <w:hideMark/>
          </w:tcPr>
          <w:p w:rsidR="00A03B6D" w:rsidRPr="00B57A96" w:rsidRDefault="00A03B6D" w:rsidP="00A03B6D">
            <w:pPr>
              <w:spacing w:after="0" w:line="240" w:lineRule="auto"/>
              <w:ind w:left="113" w:right="113"/>
              <w:jc w:val="right"/>
              <w:rPr>
                <w:rFonts w:ascii="Calibri" w:eastAsia="Times New Roman" w:hAnsi="Calibri" w:cs="Times New Roman"/>
                <w:color w:val="000000"/>
                <w:lang w:eastAsia="nl-NL"/>
              </w:rPr>
            </w:pPr>
            <w:r w:rsidRPr="00B57A96">
              <w:rPr>
                <w:rFonts w:ascii="Calibri" w:eastAsia="Times New Roman" w:hAnsi="Calibri" w:cs="Times New Roman"/>
                <w:color w:val="000000"/>
                <w:lang w:eastAsia="nl-NL"/>
              </w:rPr>
              <w:t>19-7-2010</w:t>
            </w:r>
          </w:p>
        </w:tc>
        <w:tc>
          <w:tcPr>
            <w:tcW w:w="123"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97"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97"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18"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16"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31"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23"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23"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03"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03"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00"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03"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03"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03"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03"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657" w:type="pct"/>
            <w:shd w:val="clear" w:color="auto" w:fill="auto"/>
            <w:noWrap/>
            <w:textDirection w:val="btLr"/>
            <w:vAlign w:val="bottom"/>
            <w:hideMark/>
          </w:tcPr>
          <w:p w:rsidR="00A03B6D" w:rsidRPr="00B57A96" w:rsidRDefault="00A03B6D" w:rsidP="00A03B6D">
            <w:pPr>
              <w:spacing w:after="0" w:line="240" w:lineRule="auto"/>
              <w:ind w:left="113" w:right="113"/>
              <w:jc w:val="right"/>
              <w:rPr>
                <w:rFonts w:ascii="Calibri" w:eastAsia="Times New Roman" w:hAnsi="Calibri" w:cs="Times New Roman"/>
                <w:color w:val="000000"/>
                <w:lang w:eastAsia="nl-NL"/>
              </w:rPr>
            </w:pPr>
            <w:r w:rsidRPr="00B57A96">
              <w:rPr>
                <w:rFonts w:ascii="Calibri" w:eastAsia="Times New Roman" w:hAnsi="Calibri" w:cs="Times New Roman"/>
                <w:color w:val="000000"/>
                <w:lang w:eastAsia="nl-NL"/>
              </w:rPr>
              <w:t>31-12-2012</w:t>
            </w:r>
          </w:p>
        </w:tc>
        <w:tc>
          <w:tcPr>
            <w:tcW w:w="512" w:type="pct"/>
            <w:shd w:val="clear" w:color="auto" w:fill="auto"/>
            <w:noWrap/>
            <w:textDirection w:val="btLr"/>
            <w:hideMark/>
          </w:tcPr>
          <w:p w:rsidR="00A03B6D" w:rsidRPr="00B57A96" w:rsidRDefault="00A03B6D" w:rsidP="00A03B6D">
            <w:pPr>
              <w:spacing w:after="0" w:line="240" w:lineRule="auto"/>
              <w:ind w:left="113" w:right="113"/>
              <w:jc w:val="right"/>
              <w:rPr>
                <w:rFonts w:ascii="Calibri" w:eastAsia="Times New Roman" w:hAnsi="Calibri" w:cs="Times New Roman"/>
                <w:color w:val="000000"/>
                <w:lang w:eastAsia="nl-NL"/>
              </w:rPr>
            </w:pPr>
            <w:r w:rsidRPr="00B57A96">
              <w:rPr>
                <w:rFonts w:ascii="Calibri" w:eastAsia="Times New Roman" w:hAnsi="Calibri" w:cs="Times New Roman"/>
                <w:color w:val="000000"/>
                <w:lang w:eastAsia="nl-NL"/>
              </w:rPr>
              <w:t>7-1-2013</w:t>
            </w:r>
          </w:p>
        </w:tc>
        <w:tc>
          <w:tcPr>
            <w:tcW w:w="119"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03"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03"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19"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19"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19"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03"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119" w:type="pct"/>
            <w:shd w:val="clear" w:color="auto" w:fill="auto"/>
            <w:noWrap/>
            <w:textDirection w:val="btLr"/>
            <w:vAlign w:val="bottom"/>
            <w:hideMark/>
          </w:tcPr>
          <w:p w:rsidR="00A03B6D" w:rsidRPr="00B57A96" w:rsidRDefault="00A03B6D" w:rsidP="00A03B6D">
            <w:pPr>
              <w:spacing w:after="0" w:line="240" w:lineRule="auto"/>
              <w:ind w:left="113" w:right="113"/>
              <w:rPr>
                <w:rFonts w:ascii="Calibri" w:eastAsia="Times New Roman" w:hAnsi="Calibri" w:cs="Times New Roman"/>
                <w:color w:val="000000"/>
                <w:lang w:eastAsia="nl-NL"/>
              </w:rPr>
            </w:pPr>
          </w:p>
        </w:tc>
        <w:tc>
          <w:tcPr>
            <w:tcW w:w="622" w:type="pct"/>
            <w:gridSpan w:val="2"/>
            <w:shd w:val="clear" w:color="auto" w:fill="auto"/>
            <w:noWrap/>
            <w:textDirection w:val="btLr"/>
            <w:hideMark/>
          </w:tcPr>
          <w:p w:rsidR="00A03B6D" w:rsidRPr="00B57A96" w:rsidRDefault="00A03B6D" w:rsidP="00A03B6D">
            <w:pPr>
              <w:spacing w:after="0" w:line="240" w:lineRule="auto"/>
              <w:ind w:left="113" w:right="113"/>
              <w:jc w:val="right"/>
              <w:rPr>
                <w:rFonts w:ascii="Calibri" w:eastAsia="Times New Roman" w:hAnsi="Calibri" w:cs="Times New Roman"/>
                <w:color w:val="000000"/>
                <w:lang w:eastAsia="nl-NL"/>
              </w:rPr>
            </w:pPr>
            <w:r w:rsidRPr="00B57A96">
              <w:rPr>
                <w:rFonts w:ascii="Calibri" w:eastAsia="Times New Roman" w:hAnsi="Calibri" w:cs="Times New Roman"/>
                <w:color w:val="000000"/>
                <w:lang w:eastAsia="nl-NL"/>
              </w:rPr>
              <w:t>2-6-2014</w:t>
            </w:r>
          </w:p>
        </w:tc>
      </w:tr>
    </w:tbl>
    <w:p w:rsidR="00DD28F9" w:rsidRDefault="00DD28F9" w:rsidP="00443B38">
      <w:pPr>
        <w:spacing w:line="360" w:lineRule="auto"/>
        <w:jc w:val="both"/>
        <w:rPr>
          <w:rStyle w:val="eop"/>
          <w:rFonts w:ascii="Calibri" w:hAnsi="Calibri" w:cs="Segoe UI"/>
          <w:lang w:val="en-US"/>
        </w:rPr>
      </w:pPr>
      <w:r>
        <w:rPr>
          <w:rStyle w:val="eop"/>
          <w:rFonts w:ascii="Calibri" w:hAnsi="Calibri" w:cs="Segoe UI"/>
          <w:lang w:val="en-US"/>
        </w:rPr>
        <w:t>Daily Bitcoin supply data</w:t>
      </w:r>
      <w:r w:rsidR="00B818E5">
        <w:rPr>
          <w:rStyle w:val="eop"/>
          <w:rFonts w:ascii="Calibri" w:hAnsi="Calibri" w:cs="Segoe UI"/>
          <w:lang w:val="en-US"/>
        </w:rPr>
        <w:t xml:space="preserve"> (</w:t>
      </w:r>
      <w:r w:rsidR="00B818E5">
        <w:rPr>
          <w:rStyle w:val="eop"/>
          <w:rFonts w:ascii="Cambria Math" w:hAnsi="Cambria Math" w:cs="Segoe UI"/>
          <w:i/>
          <w:lang w:val="en-US"/>
        </w:rPr>
        <w:t>M</w:t>
      </w:r>
      <w:r w:rsidR="00B818E5">
        <w:rPr>
          <w:rStyle w:val="eop"/>
          <w:rFonts w:ascii="Cambria Math" w:hAnsi="Cambria Math" w:cs="Segoe UI"/>
          <w:i/>
          <w:vertAlign w:val="subscript"/>
          <w:lang w:val="en-US"/>
        </w:rPr>
        <w:t>t</w:t>
      </w:r>
      <w:r w:rsidR="00B818E5" w:rsidRPr="0026538F">
        <w:rPr>
          <w:rStyle w:val="eop"/>
          <w:rFonts w:ascii="Cambria Math" w:hAnsi="Cambria Math" w:cs="Segoe UI"/>
          <w:i/>
          <w:lang w:val="en-US"/>
        </w:rPr>
        <w:t>*</w:t>
      </w:r>
      <w:r w:rsidR="00B818E5">
        <w:rPr>
          <w:rStyle w:val="eop"/>
          <w:rFonts w:ascii="Calibri" w:hAnsi="Calibri" w:cs="Segoe UI"/>
          <w:lang w:val="en-US"/>
        </w:rPr>
        <w:t>)</w:t>
      </w:r>
      <w:r>
        <w:rPr>
          <w:rStyle w:val="eop"/>
          <w:rFonts w:ascii="Calibri" w:hAnsi="Calibri" w:cs="Segoe UI"/>
          <w:lang w:val="en-US"/>
        </w:rPr>
        <w:t xml:space="preserve"> is available from Blockchain</w:t>
      </w:r>
      <w:r w:rsidR="00C56EC8">
        <w:rPr>
          <w:rStyle w:val="eop"/>
          <w:rFonts w:ascii="Calibri" w:hAnsi="Calibri" w:cs="Segoe UI"/>
          <w:lang w:val="en-US"/>
        </w:rPr>
        <w:t>.info</w:t>
      </w:r>
      <w:sdt>
        <w:sdtPr>
          <w:rPr>
            <w:rStyle w:val="eop"/>
            <w:rFonts w:ascii="Calibri" w:hAnsi="Calibri" w:cs="Segoe UI"/>
            <w:lang w:val="en-US"/>
          </w:rPr>
          <w:id w:val="1090864967"/>
          <w:citation/>
        </w:sdtPr>
        <w:sdtContent>
          <w:r w:rsidR="00DB780A">
            <w:rPr>
              <w:rStyle w:val="eop"/>
              <w:rFonts w:ascii="Calibri" w:hAnsi="Calibri" w:cs="Segoe UI"/>
              <w:lang w:val="en-US"/>
            </w:rPr>
            <w:fldChar w:fldCharType="begin"/>
          </w:r>
          <w:r w:rsidR="001839F8" w:rsidRPr="001839F8">
            <w:rPr>
              <w:rStyle w:val="eop"/>
              <w:rFonts w:ascii="Calibri" w:hAnsi="Calibri" w:cs="Segoe UI"/>
              <w:lang w:val="en-US"/>
            </w:rPr>
            <w:instrText xml:space="preserve"> CITATION Blo14 \n  \t  \l 1043  </w:instrText>
          </w:r>
          <w:r w:rsidR="00DB780A">
            <w:rPr>
              <w:rStyle w:val="eop"/>
              <w:rFonts w:ascii="Calibri" w:hAnsi="Calibri" w:cs="Segoe UI"/>
              <w:lang w:val="en-US"/>
            </w:rPr>
            <w:fldChar w:fldCharType="separate"/>
          </w:r>
          <w:r w:rsidR="002B7AD5">
            <w:rPr>
              <w:rStyle w:val="eop"/>
              <w:rFonts w:ascii="Calibri" w:hAnsi="Calibri" w:cs="Segoe UI"/>
              <w:noProof/>
              <w:lang w:val="en-US"/>
            </w:rPr>
            <w:t xml:space="preserve"> </w:t>
          </w:r>
          <w:r w:rsidR="002B7AD5" w:rsidRPr="002B7AD5">
            <w:rPr>
              <w:rFonts w:ascii="Calibri" w:hAnsi="Calibri" w:cs="Segoe UI"/>
              <w:noProof/>
              <w:lang w:val="en-US"/>
            </w:rPr>
            <w:t>(2014)</w:t>
          </w:r>
          <w:r w:rsidR="00DB780A">
            <w:rPr>
              <w:rStyle w:val="eop"/>
              <w:rFonts w:ascii="Calibri" w:hAnsi="Calibri" w:cs="Segoe UI"/>
              <w:lang w:val="en-US"/>
            </w:rPr>
            <w:fldChar w:fldCharType="end"/>
          </w:r>
        </w:sdtContent>
      </w:sdt>
      <w:r w:rsidR="001839F8">
        <w:rPr>
          <w:rStyle w:val="eop"/>
          <w:rFonts w:ascii="Calibri" w:hAnsi="Calibri" w:cs="Segoe UI"/>
          <w:lang w:val="en-US"/>
        </w:rPr>
        <w:t>.</w:t>
      </w:r>
      <w:r>
        <w:rPr>
          <w:rStyle w:val="eop"/>
          <w:rFonts w:ascii="Calibri" w:hAnsi="Calibri" w:cs="Segoe UI"/>
          <w:b/>
          <w:lang w:val="en-US"/>
        </w:rPr>
        <w:t xml:space="preserve"> </w:t>
      </w:r>
      <w:r>
        <w:rPr>
          <w:rStyle w:val="eop"/>
          <w:rFonts w:ascii="Calibri" w:hAnsi="Calibri" w:cs="Segoe UI"/>
          <w:lang w:val="en-US"/>
        </w:rPr>
        <w:t xml:space="preserve">Every Monday value is used to convert the series to a weekly frequency. </w:t>
      </w:r>
    </w:p>
    <w:p w:rsidR="00DF726F" w:rsidRDefault="002F6565" w:rsidP="00443B38">
      <w:pPr>
        <w:spacing w:line="360" w:lineRule="auto"/>
        <w:jc w:val="both"/>
        <w:rPr>
          <w:rStyle w:val="eop"/>
          <w:rFonts w:ascii="Calibri" w:hAnsi="Calibri" w:cs="Segoe UI"/>
          <w:lang w:val="en-US"/>
        </w:rPr>
      </w:pPr>
      <w:r>
        <w:rPr>
          <w:rStyle w:val="eop"/>
          <w:rFonts w:ascii="Calibri" w:hAnsi="Calibri" w:cs="Segoe UI"/>
          <w:lang w:val="en-US"/>
        </w:rPr>
        <w:t>Weekly US money supply data</w:t>
      </w:r>
      <w:r w:rsidR="00B818E5">
        <w:rPr>
          <w:rStyle w:val="eop"/>
          <w:rFonts w:ascii="Calibri" w:hAnsi="Calibri" w:cs="Segoe UI"/>
          <w:lang w:val="en-US"/>
        </w:rPr>
        <w:t xml:space="preserve"> (</w:t>
      </w:r>
      <w:r w:rsidR="00B818E5">
        <w:rPr>
          <w:rStyle w:val="eop"/>
          <w:rFonts w:ascii="Cambria Math" w:hAnsi="Cambria Math" w:cs="Segoe UI"/>
          <w:i/>
          <w:lang w:val="en-US"/>
        </w:rPr>
        <w:t>M</w:t>
      </w:r>
      <w:r w:rsidR="00B818E5">
        <w:rPr>
          <w:rStyle w:val="eop"/>
          <w:rFonts w:ascii="Cambria Math" w:hAnsi="Cambria Math" w:cs="Segoe UI"/>
          <w:i/>
          <w:vertAlign w:val="subscript"/>
          <w:lang w:val="en-US"/>
        </w:rPr>
        <w:t>t</w:t>
      </w:r>
      <w:r w:rsidR="00B818E5">
        <w:rPr>
          <w:rStyle w:val="eop"/>
          <w:rFonts w:ascii="Calibri" w:hAnsi="Calibri" w:cs="Segoe UI"/>
          <w:lang w:val="en-US"/>
        </w:rPr>
        <w:t>)</w:t>
      </w:r>
      <w:r>
        <w:rPr>
          <w:rStyle w:val="eop"/>
          <w:rFonts w:ascii="Calibri" w:hAnsi="Calibri" w:cs="Segoe UI"/>
          <w:lang w:val="en-US"/>
        </w:rPr>
        <w:t xml:space="preserve"> is available from </w:t>
      </w:r>
      <w:r w:rsidR="00641180">
        <w:rPr>
          <w:rStyle w:val="eop"/>
          <w:rFonts w:ascii="Calibri" w:hAnsi="Calibri" w:cs="Segoe UI"/>
          <w:lang w:val="en-US"/>
        </w:rPr>
        <w:t xml:space="preserve">the Board of Governors of the Federal Reserve System </w:t>
      </w:r>
      <w:sdt>
        <w:sdtPr>
          <w:rPr>
            <w:rStyle w:val="eop"/>
            <w:rFonts w:ascii="Calibri" w:hAnsi="Calibri" w:cs="Segoe UI"/>
            <w:lang w:val="en-US"/>
          </w:rPr>
          <w:id w:val="1090864968"/>
          <w:citation/>
        </w:sdtPr>
        <w:sdtContent>
          <w:r w:rsidR="00DB780A">
            <w:rPr>
              <w:rStyle w:val="eop"/>
              <w:rFonts w:ascii="Calibri" w:hAnsi="Calibri" w:cs="Segoe UI"/>
              <w:lang w:val="en-US"/>
            </w:rPr>
            <w:fldChar w:fldCharType="begin"/>
          </w:r>
          <w:r w:rsidR="00641180" w:rsidRPr="00641180">
            <w:rPr>
              <w:rStyle w:val="eop"/>
              <w:rFonts w:ascii="Calibri" w:hAnsi="Calibri" w:cs="Segoe UI"/>
              <w:lang w:val="en-US"/>
            </w:rPr>
            <w:instrText xml:space="preserve"> CITATION Boa14 \n  \t  \l 1043  </w:instrText>
          </w:r>
          <w:r w:rsidR="00DB780A">
            <w:rPr>
              <w:rStyle w:val="eop"/>
              <w:rFonts w:ascii="Calibri" w:hAnsi="Calibri" w:cs="Segoe UI"/>
              <w:lang w:val="en-US"/>
            </w:rPr>
            <w:fldChar w:fldCharType="separate"/>
          </w:r>
          <w:r w:rsidR="002B7AD5" w:rsidRPr="002B7AD5">
            <w:rPr>
              <w:rFonts w:ascii="Calibri" w:hAnsi="Calibri" w:cs="Segoe UI"/>
              <w:noProof/>
              <w:lang w:val="en-US"/>
            </w:rPr>
            <w:t>(2014)</w:t>
          </w:r>
          <w:r w:rsidR="00DB780A">
            <w:rPr>
              <w:rStyle w:val="eop"/>
              <w:rFonts w:ascii="Calibri" w:hAnsi="Calibri" w:cs="Segoe UI"/>
              <w:lang w:val="en-US"/>
            </w:rPr>
            <w:fldChar w:fldCharType="end"/>
          </w:r>
        </w:sdtContent>
      </w:sdt>
      <w:r>
        <w:rPr>
          <w:rStyle w:val="eop"/>
          <w:rFonts w:ascii="Calibri" w:hAnsi="Calibri" w:cs="Segoe UI"/>
          <w:lang w:val="en-US"/>
        </w:rPr>
        <w:t>. No conversion is needed for this series.</w:t>
      </w:r>
      <w:r w:rsidR="0041240A">
        <w:rPr>
          <w:rStyle w:val="eop"/>
          <w:rFonts w:ascii="Calibri" w:hAnsi="Calibri" w:cs="Segoe UI"/>
          <w:lang w:val="en-US"/>
        </w:rPr>
        <w:t xml:space="preserve"> </w:t>
      </w:r>
    </w:p>
    <w:p w:rsidR="00DD28F9" w:rsidRDefault="00D41687" w:rsidP="00443B38">
      <w:pPr>
        <w:spacing w:line="360" w:lineRule="auto"/>
        <w:jc w:val="both"/>
        <w:rPr>
          <w:rStyle w:val="eop"/>
          <w:rFonts w:ascii="Calibri" w:hAnsi="Calibri" w:cs="Segoe UI"/>
          <w:lang w:val="en-US"/>
        </w:rPr>
      </w:pPr>
      <w:r>
        <w:rPr>
          <w:rStyle w:val="eop"/>
          <w:rFonts w:ascii="Calibri" w:hAnsi="Calibri" w:cs="Segoe UI"/>
          <w:lang w:val="en-US"/>
        </w:rPr>
        <w:t>Bitcoin Price Index</w:t>
      </w:r>
      <w:r w:rsidR="00DF726F">
        <w:rPr>
          <w:rStyle w:val="eop"/>
          <w:rFonts w:ascii="Calibri" w:hAnsi="Calibri" w:cs="Segoe UI"/>
          <w:lang w:val="en-US"/>
        </w:rPr>
        <w:t xml:space="preserve"> (the unified price of a Bitcoin in US Dollars, </w:t>
      </w:r>
      <w:r w:rsidR="00DF726F" w:rsidRPr="003A757B">
        <w:rPr>
          <w:rStyle w:val="eop"/>
          <w:rFonts w:ascii="Calibri" w:hAnsi="Calibri" w:cs="Segoe UI"/>
          <w:lang w:val="en-US"/>
        </w:rPr>
        <w:t>see page 7)</w:t>
      </w:r>
      <w:r>
        <w:rPr>
          <w:rStyle w:val="eop"/>
          <w:rFonts w:ascii="Calibri" w:hAnsi="Calibri" w:cs="Segoe UI"/>
          <w:lang w:val="en-US"/>
        </w:rPr>
        <w:t xml:space="preserve"> historical data is available from CoinDesk </w:t>
      </w:r>
      <w:sdt>
        <w:sdtPr>
          <w:rPr>
            <w:rStyle w:val="eop"/>
            <w:rFonts w:ascii="Calibri" w:hAnsi="Calibri" w:cs="Segoe UI"/>
            <w:lang w:val="en-US"/>
          </w:rPr>
          <w:id w:val="815902858"/>
          <w:citation/>
        </w:sdtPr>
        <w:sdtContent>
          <w:r w:rsidR="00DB780A">
            <w:rPr>
              <w:rStyle w:val="eop"/>
              <w:rFonts w:ascii="Calibri" w:hAnsi="Calibri" w:cs="Segoe UI"/>
              <w:lang w:val="en-US"/>
            </w:rPr>
            <w:fldChar w:fldCharType="begin"/>
          </w:r>
          <w:r w:rsidRPr="001A3F3C">
            <w:rPr>
              <w:rStyle w:val="eop"/>
              <w:rFonts w:ascii="Calibri" w:hAnsi="Calibri" w:cs="Segoe UI"/>
              <w:lang w:val="en-US"/>
            </w:rPr>
            <w:instrText xml:space="preserve"> CITATION Coi14 \n  \t  \l 1043  </w:instrText>
          </w:r>
          <w:r w:rsidR="00DB780A">
            <w:rPr>
              <w:rStyle w:val="eop"/>
              <w:rFonts w:ascii="Calibri" w:hAnsi="Calibri" w:cs="Segoe UI"/>
              <w:lang w:val="en-US"/>
            </w:rPr>
            <w:fldChar w:fldCharType="separate"/>
          </w:r>
          <w:r w:rsidR="002B7AD5" w:rsidRPr="002B7AD5">
            <w:rPr>
              <w:rFonts w:ascii="Calibri" w:hAnsi="Calibri" w:cs="Segoe UI"/>
              <w:noProof/>
              <w:lang w:val="en-US"/>
            </w:rPr>
            <w:t>(2014)</w:t>
          </w:r>
          <w:r w:rsidR="00DB780A">
            <w:rPr>
              <w:rStyle w:val="eop"/>
              <w:rFonts w:ascii="Calibri" w:hAnsi="Calibri" w:cs="Segoe UI"/>
              <w:lang w:val="en-US"/>
            </w:rPr>
            <w:fldChar w:fldCharType="end"/>
          </w:r>
        </w:sdtContent>
      </w:sdt>
      <w:r>
        <w:rPr>
          <w:rStyle w:val="eop"/>
          <w:rFonts w:ascii="Calibri" w:hAnsi="Calibri" w:cs="Segoe UI"/>
          <w:lang w:val="en-US"/>
        </w:rPr>
        <w:t>, with a daily frequency. Weekly averages of this data is used. For this paper, the exchange rate</w:t>
      </w:r>
      <w:r w:rsidR="00B818E5">
        <w:rPr>
          <w:rStyle w:val="eop"/>
          <w:rFonts w:ascii="Calibri" w:hAnsi="Calibri" w:cs="Segoe UI"/>
          <w:lang w:val="en-US"/>
        </w:rPr>
        <w:t xml:space="preserve"> (</w:t>
      </w:r>
      <w:r w:rsidR="00B818E5">
        <w:rPr>
          <w:rStyle w:val="eop"/>
          <w:rFonts w:ascii="Cambria Math" w:hAnsi="Cambria Math" w:cs="Segoe UI"/>
          <w:i/>
          <w:lang w:val="en-US"/>
        </w:rPr>
        <w:t>S</w:t>
      </w:r>
      <w:r w:rsidR="00B818E5">
        <w:rPr>
          <w:rStyle w:val="eop"/>
          <w:rFonts w:ascii="Cambria Math" w:hAnsi="Cambria Math" w:cs="Segoe UI"/>
          <w:i/>
          <w:vertAlign w:val="subscript"/>
          <w:lang w:val="en-US"/>
        </w:rPr>
        <w:t>t</w:t>
      </w:r>
      <w:r w:rsidR="00B818E5">
        <w:rPr>
          <w:rStyle w:val="eop"/>
          <w:rFonts w:ascii="Calibri" w:hAnsi="Calibri" w:cs="Segoe UI"/>
          <w:lang w:val="en-US"/>
        </w:rPr>
        <w:t>)</w:t>
      </w:r>
      <w:r>
        <w:rPr>
          <w:rStyle w:val="eop"/>
          <w:rFonts w:ascii="Calibri" w:hAnsi="Calibri" w:cs="Segoe UI"/>
          <w:lang w:val="en-US"/>
        </w:rPr>
        <w:t xml:space="preserve"> is defined as 1/BPI, so Bitcoin/US Dollar.</w:t>
      </w:r>
      <w:r w:rsidR="0041240A">
        <w:rPr>
          <w:rStyle w:val="eop"/>
          <w:rFonts w:ascii="Calibri" w:hAnsi="Calibri" w:cs="Segoe UI"/>
          <w:lang w:val="en-US"/>
        </w:rPr>
        <w:t xml:space="preserve"> </w:t>
      </w:r>
    </w:p>
    <w:p w:rsidR="00DD28F9" w:rsidRPr="007C6E94" w:rsidRDefault="00374E81" w:rsidP="00443B38">
      <w:pPr>
        <w:spacing w:line="360" w:lineRule="auto"/>
        <w:jc w:val="both"/>
        <w:rPr>
          <w:rStyle w:val="eop"/>
          <w:rFonts w:ascii="Calibri" w:hAnsi="Calibri" w:cs="Segoe UI"/>
          <w:lang w:val="en-US"/>
        </w:rPr>
      </w:pPr>
      <w:r>
        <w:rPr>
          <w:rStyle w:val="eop"/>
          <w:rFonts w:ascii="Calibri" w:hAnsi="Calibri" w:cs="Segoe UI"/>
          <w:lang w:val="en-US"/>
        </w:rPr>
        <w:t xml:space="preserve">For the unobserved </w:t>
      </w:r>
      <w:r w:rsidR="007C6E94">
        <w:rPr>
          <w:rStyle w:val="eop"/>
          <w:rFonts w:ascii="Calibri" w:hAnsi="Calibri" w:cs="Segoe UI"/>
          <w:lang w:val="en-US"/>
        </w:rPr>
        <w:t xml:space="preserve">United States </w:t>
      </w:r>
      <w:r>
        <w:rPr>
          <w:rStyle w:val="eop"/>
          <w:rFonts w:ascii="Calibri" w:hAnsi="Calibri" w:cs="Segoe UI"/>
          <w:lang w:val="en-US"/>
        </w:rPr>
        <w:t>expected inflation</w:t>
      </w:r>
      <w:r w:rsidR="00B818E5">
        <w:rPr>
          <w:rStyle w:val="eop"/>
          <w:rFonts w:ascii="Calibri" w:hAnsi="Calibri" w:cs="Segoe UI"/>
          <w:lang w:val="en-US"/>
        </w:rPr>
        <w:t xml:space="preserve"> (</w:t>
      </w:r>
      <w:r w:rsidR="00B818E5" w:rsidRPr="0041240A">
        <w:rPr>
          <w:rStyle w:val="eop"/>
          <w:rFonts w:ascii="Cambria Math" w:hAnsi="Cambria Math" w:cs="Segoe UI"/>
          <w:i/>
          <w:lang w:val="en-US"/>
        </w:rPr>
        <w:t>P</w:t>
      </w:r>
      <w:r w:rsidR="00B818E5">
        <w:rPr>
          <w:rStyle w:val="eop"/>
          <w:rFonts w:ascii="Cambria Math" w:hAnsi="Cambria Math" w:cs="Segoe UI"/>
          <w:i/>
          <w:vertAlign w:val="superscript"/>
          <w:lang w:val="en-US"/>
        </w:rPr>
        <w:t>e</w:t>
      </w:r>
      <w:r w:rsidR="00B818E5">
        <w:rPr>
          <w:rStyle w:val="eop"/>
          <w:rFonts w:ascii="Cambria Math" w:hAnsi="Cambria Math" w:cs="Segoe UI"/>
          <w:i/>
          <w:vertAlign w:val="subscript"/>
          <w:lang w:val="en-US"/>
        </w:rPr>
        <w:t>t</w:t>
      </w:r>
      <w:r w:rsidR="00B818E5">
        <w:rPr>
          <w:rStyle w:val="eop"/>
          <w:rFonts w:ascii="Calibri" w:hAnsi="Calibri" w:cs="Segoe UI"/>
          <w:lang w:val="en-US"/>
        </w:rPr>
        <w:t>)</w:t>
      </w:r>
      <w:r>
        <w:rPr>
          <w:rStyle w:val="eop"/>
          <w:rFonts w:ascii="Calibri" w:hAnsi="Calibri" w:cs="Segoe UI"/>
          <w:lang w:val="en-US"/>
        </w:rPr>
        <w:t xml:space="preserve">, US Consumer Price Index data has been used. CPI data is available from the US Bureau of Labor Statistics, but only on a monthly basis </w:t>
      </w:r>
      <w:sdt>
        <w:sdtPr>
          <w:rPr>
            <w:rStyle w:val="eop"/>
            <w:rFonts w:ascii="Calibri" w:hAnsi="Calibri" w:cs="Segoe UI"/>
            <w:lang w:val="en-US"/>
          </w:rPr>
          <w:id w:val="1090864969"/>
          <w:citation/>
        </w:sdtPr>
        <w:sdtContent>
          <w:r w:rsidR="00DB780A">
            <w:rPr>
              <w:rStyle w:val="eop"/>
              <w:rFonts w:ascii="Calibri" w:hAnsi="Calibri" w:cs="Segoe UI"/>
              <w:lang w:val="en-US"/>
            </w:rPr>
            <w:fldChar w:fldCharType="begin"/>
          </w:r>
          <w:r w:rsidR="00641180" w:rsidRPr="00F1547A">
            <w:rPr>
              <w:rStyle w:val="eop"/>
              <w:rFonts w:ascii="Calibri" w:hAnsi="Calibri" w:cs="Segoe UI"/>
              <w:lang w:val="en-US"/>
            </w:rPr>
            <w:instrText xml:space="preserve"> CITATION Uni14 \l 1043 </w:instrText>
          </w:r>
          <w:r w:rsidR="00DB780A">
            <w:rPr>
              <w:rStyle w:val="eop"/>
              <w:rFonts w:ascii="Calibri" w:hAnsi="Calibri" w:cs="Segoe UI"/>
              <w:lang w:val="en-US"/>
            </w:rPr>
            <w:fldChar w:fldCharType="separate"/>
          </w:r>
          <w:r w:rsidR="002B7AD5" w:rsidRPr="002B7AD5">
            <w:rPr>
              <w:rFonts w:ascii="Calibri" w:hAnsi="Calibri" w:cs="Segoe UI"/>
              <w:noProof/>
              <w:lang w:val="en-US"/>
            </w:rPr>
            <w:t>(United States Department of Labor, 2014)</w:t>
          </w:r>
          <w:r w:rsidR="00DB780A">
            <w:rPr>
              <w:rStyle w:val="eop"/>
              <w:rFonts w:ascii="Calibri" w:hAnsi="Calibri" w:cs="Segoe UI"/>
              <w:lang w:val="en-US"/>
            </w:rPr>
            <w:fldChar w:fldCharType="end"/>
          </w:r>
        </w:sdtContent>
      </w:sdt>
      <w:r w:rsidR="00415096">
        <w:rPr>
          <w:rStyle w:val="eop"/>
          <w:rFonts w:ascii="Calibri" w:hAnsi="Calibri" w:cs="Segoe UI"/>
          <w:lang w:val="en-US"/>
        </w:rPr>
        <w:t>.</w:t>
      </w:r>
      <w:r w:rsidR="00641180">
        <w:rPr>
          <w:rStyle w:val="eop"/>
          <w:rFonts w:ascii="Calibri" w:hAnsi="Calibri" w:cs="Segoe UI"/>
          <w:b/>
          <w:lang w:val="en-US"/>
        </w:rPr>
        <w:t xml:space="preserve"> </w:t>
      </w:r>
      <w:r>
        <w:rPr>
          <w:rStyle w:val="eop"/>
          <w:rFonts w:ascii="Calibri" w:hAnsi="Calibri" w:cs="Segoe UI"/>
          <w:lang w:val="en-US"/>
        </w:rPr>
        <w:t xml:space="preserve">Converting to weekly frequency has been done by assuming the monthly observations to be the month's first week observation </w:t>
      </w:r>
      <w:r w:rsidR="007C6E94">
        <w:rPr>
          <w:rStyle w:val="eop"/>
          <w:rFonts w:ascii="Calibri" w:hAnsi="Calibri" w:cs="Segoe UI"/>
          <w:lang w:val="en-US"/>
        </w:rPr>
        <w:t>and filling in missing values linearly. This CPI series is then used to construct the unobserved expected inflation by taking the percentage change over the past 12 months</w:t>
      </w:r>
      <w:r w:rsidR="00170695">
        <w:rPr>
          <w:rStyle w:val="eop"/>
          <w:rFonts w:ascii="Calibri" w:hAnsi="Calibri" w:cs="Segoe UI"/>
          <w:lang w:val="en-US"/>
        </w:rPr>
        <w:t xml:space="preserve">. </w:t>
      </w:r>
      <w:r w:rsidR="007C6E94">
        <w:rPr>
          <w:rStyle w:val="eop"/>
          <w:rFonts w:ascii="Calibri" w:hAnsi="Calibri" w:cs="Segoe UI"/>
          <w:lang w:val="en-US"/>
        </w:rPr>
        <w:t>For the unobserved Bitcoin expected inflation</w:t>
      </w:r>
      <w:r w:rsidR="00B818E5">
        <w:rPr>
          <w:rStyle w:val="eop"/>
          <w:rFonts w:ascii="Calibri" w:hAnsi="Calibri" w:cs="Segoe UI"/>
          <w:lang w:val="en-US"/>
        </w:rPr>
        <w:t xml:space="preserve"> (</w:t>
      </w:r>
      <w:r w:rsidR="00B818E5" w:rsidRPr="0041240A">
        <w:rPr>
          <w:rStyle w:val="eop"/>
          <w:rFonts w:ascii="Cambria Math" w:hAnsi="Cambria Math" w:cs="Segoe UI"/>
          <w:i/>
          <w:lang w:val="en-US"/>
        </w:rPr>
        <w:t>P</w:t>
      </w:r>
      <w:r w:rsidR="00B818E5">
        <w:rPr>
          <w:rStyle w:val="eop"/>
          <w:rFonts w:ascii="Cambria Math" w:hAnsi="Cambria Math" w:cs="Segoe UI"/>
          <w:i/>
          <w:vertAlign w:val="superscript"/>
          <w:lang w:val="en-US"/>
        </w:rPr>
        <w:t>e</w:t>
      </w:r>
      <w:r w:rsidR="00B818E5">
        <w:rPr>
          <w:rStyle w:val="eop"/>
          <w:rFonts w:ascii="Cambria Math" w:hAnsi="Cambria Math" w:cs="Segoe UI"/>
          <w:i/>
          <w:vertAlign w:val="subscript"/>
          <w:lang w:val="en-US"/>
        </w:rPr>
        <w:t>t</w:t>
      </w:r>
      <w:r w:rsidR="00B818E5">
        <w:rPr>
          <w:rStyle w:val="eop"/>
          <w:rFonts w:ascii="Cambria Math" w:hAnsi="Cambria Math" w:cs="Segoe UI"/>
          <w:i/>
          <w:lang w:val="en-US"/>
        </w:rPr>
        <w:t>*</w:t>
      </w:r>
      <w:r w:rsidR="00B818E5">
        <w:rPr>
          <w:rStyle w:val="eop"/>
          <w:rFonts w:ascii="Calibri" w:hAnsi="Calibri" w:cs="Segoe UI"/>
          <w:lang w:val="en-US"/>
        </w:rPr>
        <w:t>)</w:t>
      </w:r>
      <w:r w:rsidR="007C6E94">
        <w:rPr>
          <w:rStyle w:val="eop"/>
          <w:rFonts w:ascii="Calibri" w:hAnsi="Calibri" w:cs="Segoe UI"/>
          <w:lang w:val="en-US"/>
        </w:rPr>
        <w:t>, the US CPI data has been converted to Bitcoins using the exchange rate series. CPI percentage change over the past mont</w:t>
      </w:r>
      <w:r w:rsidR="00170695">
        <w:rPr>
          <w:rStyle w:val="eop"/>
          <w:rFonts w:ascii="Calibri" w:hAnsi="Calibri" w:cs="Segoe UI"/>
          <w:lang w:val="en-US"/>
        </w:rPr>
        <w:t>h is used as expected inflation.</w:t>
      </w:r>
      <w:r w:rsidR="0041240A">
        <w:rPr>
          <w:rStyle w:val="eop"/>
          <w:rFonts w:ascii="Calibri" w:hAnsi="Calibri" w:cs="Segoe UI"/>
          <w:lang w:val="en-US"/>
        </w:rPr>
        <w:t xml:space="preserve"> </w:t>
      </w:r>
      <w:r w:rsidR="007C6E94">
        <w:rPr>
          <w:rStyle w:val="eop"/>
          <w:rFonts w:ascii="Calibri" w:hAnsi="Calibri" w:cs="Segoe UI"/>
          <w:lang w:val="en-US"/>
        </w:rPr>
        <w:t>The conversion done, however, violates the Ordinary Least Squares assumption stating independent variables should not be linearly correlated (i.e. no collinearity</w:t>
      </w:r>
      <w:r w:rsidR="007C6E94" w:rsidRPr="003A757B">
        <w:rPr>
          <w:rStyle w:val="eop"/>
          <w:rFonts w:ascii="Calibri" w:hAnsi="Calibri" w:cs="Segoe UI"/>
          <w:lang w:val="en-US"/>
        </w:rPr>
        <w:t>). (See Page</w:t>
      </w:r>
      <w:r w:rsidR="00641180" w:rsidRPr="003A757B">
        <w:rPr>
          <w:rStyle w:val="eop"/>
          <w:rFonts w:ascii="Calibri" w:hAnsi="Calibri" w:cs="Segoe UI"/>
          <w:lang w:val="en-US"/>
        </w:rPr>
        <w:t xml:space="preserve"> </w:t>
      </w:r>
      <w:r w:rsidR="006E025D" w:rsidRPr="003A757B">
        <w:rPr>
          <w:rStyle w:val="eop"/>
          <w:rFonts w:ascii="Calibri" w:hAnsi="Calibri" w:cs="Segoe UI"/>
          <w:lang w:val="en-US"/>
        </w:rPr>
        <w:t>1</w:t>
      </w:r>
      <w:r w:rsidR="003A757B" w:rsidRPr="003A757B">
        <w:rPr>
          <w:rStyle w:val="eop"/>
          <w:rFonts w:ascii="Calibri" w:hAnsi="Calibri" w:cs="Segoe UI"/>
          <w:lang w:val="en-US"/>
        </w:rPr>
        <w:t>7</w:t>
      </w:r>
      <w:r w:rsidR="0046040D" w:rsidRPr="003A757B">
        <w:rPr>
          <w:rStyle w:val="eop"/>
          <w:rFonts w:ascii="Calibri" w:hAnsi="Calibri" w:cs="Segoe UI"/>
          <w:lang w:val="en-US"/>
        </w:rPr>
        <w:t>.)</w:t>
      </w:r>
      <w:r w:rsidR="007C6E94">
        <w:rPr>
          <w:rStyle w:val="eop"/>
          <w:rFonts w:ascii="Calibri" w:hAnsi="Calibri" w:cs="Segoe UI"/>
          <w:lang w:val="en-US"/>
        </w:rPr>
        <w:t xml:space="preserve"> </w:t>
      </w:r>
    </w:p>
    <w:p w:rsidR="007355EC" w:rsidRDefault="007355EC" w:rsidP="00443B38">
      <w:pPr>
        <w:spacing w:line="360" w:lineRule="auto"/>
        <w:jc w:val="both"/>
        <w:rPr>
          <w:rStyle w:val="eop"/>
          <w:rFonts w:ascii="Calibri" w:hAnsi="Calibri" w:cs="Segoe UI"/>
          <w:lang w:val="en-US"/>
        </w:rPr>
      </w:pPr>
      <w:r>
        <w:rPr>
          <w:rStyle w:val="eop"/>
          <w:rFonts w:ascii="Calibri" w:hAnsi="Calibri" w:cs="Segoe UI"/>
          <w:lang w:val="en-US"/>
        </w:rPr>
        <w:lastRenderedPageBreak/>
        <w:t>OECD population data has been used to construct sever</w:t>
      </w:r>
      <w:r w:rsidR="00415096">
        <w:rPr>
          <w:rStyle w:val="eop"/>
          <w:rFonts w:ascii="Calibri" w:hAnsi="Calibri" w:cs="Segoe UI"/>
          <w:lang w:val="en-US"/>
        </w:rPr>
        <w:t>al population weighted averages</w:t>
      </w:r>
      <w:r>
        <w:rPr>
          <w:rStyle w:val="eop"/>
          <w:rFonts w:ascii="Calibri" w:hAnsi="Calibri" w:cs="Segoe UI"/>
          <w:lang w:val="en-US"/>
        </w:rPr>
        <w:t xml:space="preserve"> </w:t>
      </w:r>
      <w:sdt>
        <w:sdtPr>
          <w:rPr>
            <w:rStyle w:val="eop"/>
            <w:rFonts w:ascii="Calibri" w:hAnsi="Calibri" w:cs="Segoe UI"/>
            <w:lang w:val="en-US"/>
          </w:rPr>
          <w:id w:val="1090864970"/>
          <w:citation/>
        </w:sdtPr>
        <w:sdtContent>
          <w:r w:rsidR="00DB780A">
            <w:rPr>
              <w:rStyle w:val="eop"/>
              <w:rFonts w:ascii="Calibri" w:hAnsi="Calibri" w:cs="Segoe UI"/>
              <w:lang w:val="en-US"/>
            </w:rPr>
            <w:fldChar w:fldCharType="begin"/>
          </w:r>
          <w:r w:rsidR="0026538F" w:rsidRPr="00F1547A">
            <w:rPr>
              <w:rStyle w:val="eop"/>
              <w:rFonts w:ascii="Calibri" w:hAnsi="Calibri" w:cs="Segoe UI"/>
              <w:lang w:val="en-US"/>
            </w:rPr>
            <w:instrText xml:space="preserve"> CITATION OEC14 \l 1043 </w:instrText>
          </w:r>
          <w:r w:rsidR="00DB780A">
            <w:rPr>
              <w:rStyle w:val="eop"/>
              <w:rFonts w:ascii="Calibri" w:hAnsi="Calibri" w:cs="Segoe UI"/>
              <w:lang w:val="en-US"/>
            </w:rPr>
            <w:fldChar w:fldCharType="separate"/>
          </w:r>
          <w:r w:rsidR="002B7AD5" w:rsidRPr="002B7AD5">
            <w:rPr>
              <w:rFonts w:ascii="Calibri" w:hAnsi="Calibri" w:cs="Segoe UI"/>
              <w:noProof/>
              <w:lang w:val="en-US"/>
            </w:rPr>
            <w:t>(OECD.StatExtracts, 2014)</w:t>
          </w:r>
          <w:r w:rsidR="00DB780A">
            <w:rPr>
              <w:rStyle w:val="eop"/>
              <w:rFonts w:ascii="Calibri" w:hAnsi="Calibri" w:cs="Segoe UI"/>
              <w:lang w:val="en-US"/>
            </w:rPr>
            <w:fldChar w:fldCharType="end"/>
          </w:r>
        </w:sdtContent>
      </w:sdt>
      <w:r w:rsidR="00415096">
        <w:rPr>
          <w:rStyle w:val="eop"/>
          <w:rFonts w:ascii="Calibri" w:hAnsi="Calibri" w:cs="Segoe UI"/>
          <w:lang w:val="en-US"/>
        </w:rPr>
        <w:t>.</w:t>
      </w:r>
      <w:r w:rsidR="000B4562">
        <w:rPr>
          <w:rStyle w:val="eop"/>
          <w:rFonts w:ascii="Calibri" w:hAnsi="Calibri" w:cs="Segoe UI"/>
          <w:lang w:val="en-US"/>
        </w:rPr>
        <w:t xml:space="preserve"> The yearly population data has been assumed to be the year's last month value. The remaining months have been filled linearly to obtain a monthly series. </w:t>
      </w:r>
    </w:p>
    <w:p w:rsidR="000B4562" w:rsidRDefault="000B4562" w:rsidP="00443B38">
      <w:pPr>
        <w:spacing w:line="360" w:lineRule="auto"/>
        <w:jc w:val="both"/>
        <w:rPr>
          <w:rStyle w:val="eop"/>
          <w:rFonts w:ascii="Calibri" w:hAnsi="Calibri" w:cs="Segoe UI"/>
          <w:lang w:val="en-US"/>
        </w:rPr>
      </w:pPr>
      <w:r>
        <w:rPr>
          <w:rStyle w:val="eop"/>
          <w:rFonts w:ascii="Calibri" w:hAnsi="Calibri" w:cs="Segoe UI"/>
          <w:lang w:val="en-US"/>
        </w:rPr>
        <w:t>Gross Domestic Product data is availa</w:t>
      </w:r>
      <w:r w:rsidR="0026538F">
        <w:rPr>
          <w:rStyle w:val="eop"/>
          <w:rFonts w:ascii="Calibri" w:hAnsi="Calibri" w:cs="Segoe UI"/>
          <w:lang w:val="en-US"/>
        </w:rPr>
        <w:t>ble on a yearly basis from OECD.</w:t>
      </w:r>
      <w:r>
        <w:rPr>
          <w:rStyle w:val="eop"/>
          <w:rFonts w:ascii="Calibri" w:hAnsi="Calibri" w:cs="Segoe UI"/>
          <w:lang w:val="en-US"/>
        </w:rPr>
        <w:t>Stat</w:t>
      </w:r>
      <w:r w:rsidR="0026538F">
        <w:rPr>
          <w:rStyle w:val="eop"/>
          <w:rFonts w:ascii="Calibri" w:hAnsi="Calibri" w:cs="Segoe UI"/>
          <w:lang w:val="en-US"/>
        </w:rPr>
        <w:t xml:space="preserve">Extracts </w:t>
      </w:r>
      <w:sdt>
        <w:sdtPr>
          <w:rPr>
            <w:rStyle w:val="eop"/>
            <w:rFonts w:ascii="Calibri" w:hAnsi="Calibri" w:cs="Segoe UI"/>
            <w:lang w:val="en-US"/>
          </w:rPr>
          <w:id w:val="1090864971"/>
          <w:citation/>
        </w:sdtPr>
        <w:sdtContent>
          <w:r w:rsidR="00DB780A">
            <w:rPr>
              <w:rStyle w:val="eop"/>
              <w:rFonts w:ascii="Calibri" w:hAnsi="Calibri" w:cs="Segoe UI"/>
              <w:lang w:val="en-US"/>
            </w:rPr>
            <w:fldChar w:fldCharType="begin"/>
          </w:r>
          <w:r w:rsidR="0026538F" w:rsidRPr="0026538F">
            <w:rPr>
              <w:rStyle w:val="eop"/>
              <w:rFonts w:ascii="Calibri" w:hAnsi="Calibri" w:cs="Segoe UI"/>
              <w:lang w:val="en-US"/>
            </w:rPr>
            <w:instrText xml:space="preserve"> CITATION OEC141 \n  \t  \l 1043  </w:instrText>
          </w:r>
          <w:r w:rsidR="00DB780A">
            <w:rPr>
              <w:rStyle w:val="eop"/>
              <w:rFonts w:ascii="Calibri" w:hAnsi="Calibri" w:cs="Segoe UI"/>
              <w:lang w:val="en-US"/>
            </w:rPr>
            <w:fldChar w:fldCharType="separate"/>
          </w:r>
          <w:r w:rsidR="002B7AD5" w:rsidRPr="002B7AD5">
            <w:rPr>
              <w:rFonts w:ascii="Calibri" w:hAnsi="Calibri" w:cs="Segoe UI"/>
              <w:noProof/>
              <w:lang w:val="en-US"/>
            </w:rPr>
            <w:t>(2014)</w:t>
          </w:r>
          <w:r w:rsidR="00DB780A">
            <w:rPr>
              <w:rStyle w:val="eop"/>
              <w:rFonts w:ascii="Calibri" w:hAnsi="Calibri" w:cs="Segoe UI"/>
              <w:lang w:val="en-US"/>
            </w:rPr>
            <w:fldChar w:fldCharType="end"/>
          </w:r>
        </w:sdtContent>
      </w:sdt>
      <w:r>
        <w:rPr>
          <w:rStyle w:val="eop"/>
          <w:rFonts w:ascii="Calibri" w:hAnsi="Calibri" w:cs="Segoe UI"/>
          <w:lang w:val="en-US"/>
        </w:rPr>
        <w:t>. The yearly data points have been assumed to be that year's last month value. The remaining months are filled in linearly. Afterwards, a monthly population weighted average is constructed to obtain a monthly foreign GDP series. Each month's data point is assumed to be that month's last week value. Remaining weeks are filled in linearly to obt</w:t>
      </w:r>
      <w:r w:rsidR="00B818E5">
        <w:rPr>
          <w:rStyle w:val="eop"/>
          <w:rFonts w:ascii="Calibri" w:hAnsi="Calibri" w:cs="Segoe UI"/>
          <w:lang w:val="en-US"/>
        </w:rPr>
        <w:t>ain a weekly foreign GDP series</w:t>
      </w:r>
      <w:r>
        <w:rPr>
          <w:rStyle w:val="eop"/>
          <w:rFonts w:ascii="Calibri" w:hAnsi="Calibri" w:cs="Segoe UI"/>
          <w:lang w:val="en-US"/>
        </w:rPr>
        <w:t xml:space="preserve"> (</w:t>
      </w:r>
      <w:r w:rsidR="0041240A">
        <w:rPr>
          <w:rStyle w:val="eop"/>
          <w:rFonts w:ascii="Cambria Math" w:hAnsi="Cambria Math" w:cs="Segoe UI"/>
          <w:i/>
          <w:lang w:val="en-US"/>
        </w:rPr>
        <w:t>Y</w:t>
      </w:r>
      <w:r w:rsidR="0026538F">
        <w:rPr>
          <w:rStyle w:val="eop"/>
          <w:rFonts w:ascii="Cambria Math" w:hAnsi="Cambria Math" w:cs="Segoe UI"/>
          <w:i/>
          <w:vertAlign w:val="subscript"/>
          <w:lang w:val="en-US"/>
        </w:rPr>
        <w:t>t</w:t>
      </w:r>
      <w:r w:rsidRPr="0026538F">
        <w:rPr>
          <w:rStyle w:val="eop"/>
          <w:rFonts w:ascii="Cambria Math" w:hAnsi="Cambria Math" w:cs="Segoe UI"/>
          <w:i/>
          <w:lang w:val="en-US"/>
        </w:rPr>
        <w:t>*</w:t>
      </w:r>
      <w:r>
        <w:rPr>
          <w:rStyle w:val="eop"/>
          <w:rFonts w:ascii="Calibri" w:hAnsi="Calibri" w:cs="Segoe UI"/>
          <w:lang w:val="en-US"/>
        </w:rPr>
        <w:t>)</w:t>
      </w:r>
      <w:r w:rsidR="00B818E5">
        <w:rPr>
          <w:rStyle w:val="eop"/>
          <w:rFonts w:ascii="Calibri" w:hAnsi="Calibri" w:cs="Segoe UI"/>
          <w:lang w:val="en-US"/>
        </w:rPr>
        <w:t>.</w:t>
      </w:r>
      <w:r>
        <w:rPr>
          <w:rStyle w:val="eop"/>
          <w:rFonts w:ascii="Calibri" w:hAnsi="Calibri" w:cs="Segoe UI"/>
          <w:lang w:val="en-US"/>
        </w:rPr>
        <w:t xml:space="preserve"> For United States GDP</w:t>
      </w:r>
      <w:r w:rsidR="00B818E5">
        <w:rPr>
          <w:rStyle w:val="eop"/>
          <w:rFonts w:ascii="Calibri" w:hAnsi="Calibri" w:cs="Segoe UI"/>
          <w:lang w:val="en-US"/>
        </w:rPr>
        <w:t xml:space="preserve"> (</w:t>
      </w:r>
      <w:r w:rsidR="00B818E5">
        <w:rPr>
          <w:rStyle w:val="eop"/>
          <w:rFonts w:ascii="Cambria Math" w:hAnsi="Cambria Math" w:cs="Segoe UI"/>
          <w:i/>
          <w:lang w:val="en-US"/>
        </w:rPr>
        <w:t>Y</w:t>
      </w:r>
      <w:r w:rsidR="00B818E5">
        <w:rPr>
          <w:rStyle w:val="eop"/>
          <w:rFonts w:ascii="Cambria Math" w:hAnsi="Cambria Math" w:cs="Segoe UI"/>
          <w:i/>
          <w:vertAlign w:val="subscript"/>
          <w:lang w:val="en-US"/>
        </w:rPr>
        <w:t>t</w:t>
      </w:r>
      <w:r w:rsidR="00B818E5">
        <w:rPr>
          <w:rStyle w:val="eop"/>
          <w:rFonts w:ascii="Calibri" w:hAnsi="Calibri" w:cs="Segoe UI"/>
          <w:lang w:val="en-US"/>
        </w:rPr>
        <w:t>)</w:t>
      </w:r>
      <w:r>
        <w:rPr>
          <w:rStyle w:val="eop"/>
          <w:rFonts w:ascii="Calibri" w:hAnsi="Calibri" w:cs="Segoe UI"/>
          <w:lang w:val="en-US"/>
        </w:rPr>
        <w:t>, no averaging is done. However, the conversion from a monthly to a weekly serie</w:t>
      </w:r>
      <w:r w:rsidR="0026538F">
        <w:rPr>
          <w:rStyle w:val="eop"/>
          <w:rFonts w:ascii="Calibri" w:hAnsi="Calibri" w:cs="Segoe UI"/>
          <w:lang w:val="en-US"/>
        </w:rPr>
        <w:t xml:space="preserve">s is done in the same manner. </w:t>
      </w:r>
    </w:p>
    <w:p w:rsidR="00222AA0" w:rsidRDefault="00222AA0" w:rsidP="00443B38">
      <w:pPr>
        <w:spacing w:line="360" w:lineRule="auto"/>
        <w:jc w:val="both"/>
        <w:rPr>
          <w:rStyle w:val="eop"/>
          <w:rFonts w:ascii="Calibri" w:hAnsi="Calibri" w:cs="Segoe UI"/>
          <w:lang w:val="en-US"/>
        </w:rPr>
      </w:pPr>
      <w:r>
        <w:rPr>
          <w:rStyle w:val="eop"/>
          <w:rFonts w:ascii="Calibri" w:hAnsi="Calibri" w:cs="Segoe UI"/>
          <w:lang w:val="en-US"/>
        </w:rPr>
        <w:t>Short-term interest rate data is availab</w:t>
      </w:r>
      <w:r w:rsidR="0005725E">
        <w:rPr>
          <w:rStyle w:val="eop"/>
          <w:rFonts w:ascii="Calibri" w:hAnsi="Calibri" w:cs="Segoe UI"/>
          <w:lang w:val="en-US"/>
        </w:rPr>
        <w:t>le on a monthly basis from OECD.StatExtracts</w:t>
      </w:r>
      <w:sdt>
        <w:sdtPr>
          <w:rPr>
            <w:rStyle w:val="eop"/>
            <w:rFonts w:ascii="Calibri" w:hAnsi="Calibri" w:cs="Segoe UI"/>
            <w:lang w:val="en-US"/>
          </w:rPr>
          <w:id w:val="1090864972"/>
          <w:citation/>
        </w:sdtPr>
        <w:sdtContent>
          <w:r w:rsidR="00DB780A">
            <w:rPr>
              <w:rStyle w:val="eop"/>
              <w:rFonts w:ascii="Calibri" w:hAnsi="Calibri" w:cs="Segoe UI"/>
              <w:lang w:val="en-US"/>
            </w:rPr>
            <w:fldChar w:fldCharType="begin"/>
          </w:r>
          <w:r w:rsidR="0005725E" w:rsidRPr="0005725E">
            <w:rPr>
              <w:rStyle w:val="eop"/>
              <w:rFonts w:ascii="Calibri" w:hAnsi="Calibri" w:cs="Segoe UI"/>
              <w:lang w:val="en-US"/>
            </w:rPr>
            <w:instrText xml:space="preserve"> CITATION OEC142 \n  \t  \l 1043  </w:instrText>
          </w:r>
          <w:r w:rsidR="00DB780A">
            <w:rPr>
              <w:rStyle w:val="eop"/>
              <w:rFonts w:ascii="Calibri" w:hAnsi="Calibri" w:cs="Segoe UI"/>
              <w:lang w:val="en-US"/>
            </w:rPr>
            <w:fldChar w:fldCharType="separate"/>
          </w:r>
          <w:r w:rsidR="002B7AD5">
            <w:rPr>
              <w:rStyle w:val="eop"/>
              <w:rFonts w:ascii="Calibri" w:hAnsi="Calibri" w:cs="Segoe UI"/>
              <w:noProof/>
              <w:lang w:val="en-US"/>
            </w:rPr>
            <w:t xml:space="preserve"> </w:t>
          </w:r>
          <w:r w:rsidR="002B7AD5" w:rsidRPr="002B7AD5">
            <w:rPr>
              <w:rFonts w:ascii="Calibri" w:hAnsi="Calibri" w:cs="Segoe UI"/>
              <w:noProof/>
              <w:lang w:val="en-US"/>
            </w:rPr>
            <w:t>(2014)</w:t>
          </w:r>
          <w:r w:rsidR="00DB780A">
            <w:rPr>
              <w:rStyle w:val="eop"/>
              <w:rFonts w:ascii="Calibri" w:hAnsi="Calibri" w:cs="Segoe UI"/>
              <w:lang w:val="en-US"/>
            </w:rPr>
            <w:fldChar w:fldCharType="end"/>
          </w:r>
        </w:sdtContent>
      </w:sdt>
      <w:r>
        <w:rPr>
          <w:rStyle w:val="eop"/>
          <w:rFonts w:ascii="Calibri" w:hAnsi="Calibri" w:cs="Segoe UI"/>
          <w:lang w:val="en-US"/>
        </w:rPr>
        <w:t>. A population weighted average is constructed using the monthly population series. Each month's data point is assumed to be that month's first week value. Remaining weeks are filled in linearly to obtain a weekly foreign interest rate series</w:t>
      </w:r>
      <w:r w:rsidR="00B818E5">
        <w:rPr>
          <w:rStyle w:val="eop"/>
          <w:rFonts w:ascii="Calibri" w:hAnsi="Calibri" w:cs="Segoe UI"/>
          <w:lang w:val="en-US"/>
        </w:rPr>
        <w:t xml:space="preserve"> (</w:t>
      </w:r>
      <w:r w:rsidR="00B818E5">
        <w:rPr>
          <w:rStyle w:val="eop"/>
          <w:rFonts w:ascii="Cambria Math" w:hAnsi="Cambria Math" w:cs="Segoe UI"/>
          <w:i/>
          <w:lang w:val="en-US"/>
        </w:rPr>
        <w:t>I</w:t>
      </w:r>
      <w:r w:rsidR="00B818E5">
        <w:rPr>
          <w:rStyle w:val="eop"/>
          <w:rFonts w:ascii="Cambria Math" w:hAnsi="Cambria Math" w:cs="Segoe UI"/>
          <w:i/>
          <w:vertAlign w:val="subscript"/>
          <w:lang w:val="en-US"/>
        </w:rPr>
        <w:t>t</w:t>
      </w:r>
      <w:r w:rsidR="00B818E5" w:rsidRPr="0026538F">
        <w:rPr>
          <w:rStyle w:val="eop"/>
          <w:rFonts w:ascii="Cambria Math" w:hAnsi="Cambria Math" w:cs="Segoe UI"/>
          <w:i/>
          <w:lang w:val="en-US"/>
        </w:rPr>
        <w:t>*</w:t>
      </w:r>
      <w:r w:rsidR="00B818E5">
        <w:rPr>
          <w:rStyle w:val="eop"/>
          <w:rFonts w:ascii="Calibri" w:hAnsi="Calibri" w:cs="Segoe UI"/>
          <w:lang w:val="en-US"/>
        </w:rPr>
        <w:t>)</w:t>
      </w:r>
      <w:r>
        <w:rPr>
          <w:rStyle w:val="eop"/>
          <w:rFonts w:ascii="Calibri" w:hAnsi="Calibri" w:cs="Segoe UI"/>
          <w:lang w:val="en-US"/>
        </w:rPr>
        <w:t>. For the United States interest rate</w:t>
      </w:r>
      <w:r w:rsidR="00B818E5">
        <w:rPr>
          <w:rStyle w:val="eop"/>
          <w:rFonts w:ascii="Calibri" w:hAnsi="Calibri" w:cs="Segoe UI"/>
          <w:lang w:val="en-US"/>
        </w:rPr>
        <w:t xml:space="preserve"> (</w:t>
      </w:r>
      <w:r w:rsidR="00B818E5">
        <w:rPr>
          <w:rStyle w:val="eop"/>
          <w:rFonts w:ascii="Cambria Math" w:hAnsi="Cambria Math" w:cs="Segoe UI"/>
          <w:i/>
          <w:lang w:val="en-US"/>
        </w:rPr>
        <w:t>I</w:t>
      </w:r>
      <w:r w:rsidR="00B818E5">
        <w:rPr>
          <w:rStyle w:val="eop"/>
          <w:rFonts w:ascii="Cambria Math" w:hAnsi="Cambria Math" w:cs="Segoe UI"/>
          <w:i/>
          <w:vertAlign w:val="subscript"/>
          <w:lang w:val="en-US"/>
        </w:rPr>
        <w:t>t</w:t>
      </w:r>
      <w:r w:rsidR="00B818E5">
        <w:rPr>
          <w:rStyle w:val="eop"/>
          <w:rFonts w:ascii="Calibri" w:hAnsi="Calibri" w:cs="Segoe UI"/>
          <w:lang w:val="en-US"/>
        </w:rPr>
        <w:t>)</w:t>
      </w:r>
      <w:r>
        <w:rPr>
          <w:rStyle w:val="eop"/>
          <w:rFonts w:ascii="Calibri" w:hAnsi="Calibri" w:cs="Segoe UI"/>
          <w:lang w:val="en-US"/>
        </w:rPr>
        <w:t xml:space="preserve">, no averaging is done. Weekly historical data on the 3 month Eurodollar rate </w:t>
      </w:r>
      <w:r w:rsidR="00E5052A">
        <w:rPr>
          <w:rStyle w:val="eop"/>
          <w:rFonts w:ascii="Calibri" w:hAnsi="Calibri" w:cs="Segoe UI"/>
          <w:lang w:val="en-US"/>
        </w:rPr>
        <w:t xml:space="preserve">has been used. This is available </w:t>
      </w:r>
      <w:r w:rsidR="0005725E">
        <w:rPr>
          <w:rStyle w:val="eop"/>
          <w:rFonts w:ascii="Calibri" w:hAnsi="Calibri" w:cs="Segoe UI"/>
          <w:lang w:val="en-US"/>
        </w:rPr>
        <w:t xml:space="preserve">from the Board of Governors of the Federal Reserve System </w:t>
      </w:r>
      <w:sdt>
        <w:sdtPr>
          <w:rPr>
            <w:rStyle w:val="eop"/>
            <w:rFonts w:ascii="Calibri" w:hAnsi="Calibri" w:cs="Segoe UI"/>
            <w:lang w:val="en-US"/>
          </w:rPr>
          <w:id w:val="1090864973"/>
          <w:citation/>
        </w:sdtPr>
        <w:sdtContent>
          <w:r w:rsidR="00DB780A">
            <w:rPr>
              <w:rStyle w:val="eop"/>
              <w:rFonts w:ascii="Calibri" w:hAnsi="Calibri" w:cs="Segoe UI"/>
              <w:lang w:val="en-US"/>
            </w:rPr>
            <w:fldChar w:fldCharType="begin"/>
          </w:r>
          <w:r w:rsidR="0005725E" w:rsidRPr="0005725E">
            <w:rPr>
              <w:rStyle w:val="eop"/>
              <w:rFonts w:ascii="Calibri" w:hAnsi="Calibri" w:cs="Segoe UI"/>
              <w:lang w:val="en-US"/>
            </w:rPr>
            <w:instrText xml:space="preserve"> CITATION Boa141 \n  \t  \l 1043  </w:instrText>
          </w:r>
          <w:r w:rsidR="00DB780A">
            <w:rPr>
              <w:rStyle w:val="eop"/>
              <w:rFonts w:ascii="Calibri" w:hAnsi="Calibri" w:cs="Segoe UI"/>
              <w:lang w:val="en-US"/>
            </w:rPr>
            <w:fldChar w:fldCharType="separate"/>
          </w:r>
          <w:r w:rsidR="002B7AD5" w:rsidRPr="002B7AD5">
            <w:rPr>
              <w:rFonts w:ascii="Calibri" w:hAnsi="Calibri" w:cs="Segoe UI"/>
              <w:noProof/>
              <w:lang w:val="en-US"/>
            </w:rPr>
            <w:t>(2014)</w:t>
          </w:r>
          <w:r w:rsidR="00DB780A">
            <w:rPr>
              <w:rStyle w:val="eop"/>
              <w:rFonts w:ascii="Calibri" w:hAnsi="Calibri" w:cs="Segoe UI"/>
              <w:lang w:val="en-US"/>
            </w:rPr>
            <w:fldChar w:fldCharType="end"/>
          </w:r>
        </w:sdtContent>
      </w:sdt>
      <w:r w:rsidR="0005725E">
        <w:rPr>
          <w:rStyle w:val="eop"/>
          <w:rFonts w:ascii="Calibri" w:hAnsi="Calibri" w:cs="Segoe UI"/>
          <w:lang w:val="en-US"/>
        </w:rPr>
        <w:t>.</w:t>
      </w:r>
      <w:r w:rsidR="00EF3B13">
        <w:rPr>
          <w:rStyle w:val="eop"/>
          <w:rFonts w:ascii="Calibri" w:hAnsi="Calibri" w:cs="Segoe UI"/>
          <w:lang w:val="en-US"/>
        </w:rPr>
        <w:t xml:space="preserve"> </w:t>
      </w:r>
    </w:p>
    <w:p w:rsidR="00EF3B13" w:rsidRPr="00B818E5" w:rsidRDefault="00EF3B13" w:rsidP="00B818E5">
      <w:pPr>
        <w:spacing w:line="360" w:lineRule="auto"/>
        <w:jc w:val="both"/>
        <w:rPr>
          <w:rFonts w:ascii="Arial" w:hAnsi="Arial" w:cs="Arial"/>
          <w:sz w:val="18"/>
          <w:szCs w:val="18"/>
          <w:lang w:val="en-US"/>
        </w:rPr>
      </w:pPr>
      <w:r>
        <w:rPr>
          <w:rStyle w:val="eop"/>
          <w:rFonts w:ascii="Calibri" w:hAnsi="Calibri" w:cs="Segoe UI"/>
          <w:lang w:val="en-US"/>
        </w:rPr>
        <w:t>Descriptive statistics of the variables are as follows:</w:t>
      </w:r>
    </w:p>
    <w:tbl>
      <w:tblPr>
        <w:tblStyle w:val="LightList-Accent11"/>
        <w:tblW w:w="0" w:type="auto"/>
        <w:tblLayout w:type="fixed"/>
        <w:tblLook w:val="00A0"/>
      </w:tblPr>
      <w:tblGrid>
        <w:gridCol w:w="1101"/>
        <w:gridCol w:w="850"/>
        <w:gridCol w:w="1088"/>
        <w:gridCol w:w="945"/>
        <w:gridCol w:w="899"/>
        <w:gridCol w:w="899"/>
        <w:gridCol w:w="945"/>
        <w:gridCol w:w="945"/>
        <w:gridCol w:w="808"/>
        <w:gridCol w:w="808"/>
      </w:tblGrid>
      <w:tr w:rsidR="00101832" w:rsidRPr="00EF3B13" w:rsidTr="00943E59">
        <w:trPr>
          <w:cnfStyle w:val="100000000000"/>
          <w:trHeight w:val="225"/>
        </w:trPr>
        <w:tc>
          <w:tcPr>
            <w:cnfStyle w:val="001000000000"/>
            <w:tcW w:w="1101" w:type="dxa"/>
            <w:vAlign w:val="center"/>
          </w:tcPr>
          <w:p w:rsidR="00D27663" w:rsidRPr="00172700" w:rsidRDefault="00D27663" w:rsidP="00943E59">
            <w:pPr>
              <w:autoSpaceDE w:val="0"/>
              <w:autoSpaceDN w:val="0"/>
              <w:adjustRightInd w:val="0"/>
              <w:jc w:val="center"/>
              <w:rPr>
                <w:rFonts w:cs="Arial"/>
                <w:color w:val="000000"/>
                <w:sz w:val="18"/>
                <w:szCs w:val="18"/>
                <w:lang w:val="en-US"/>
              </w:rPr>
            </w:pPr>
          </w:p>
        </w:tc>
        <w:tc>
          <w:tcPr>
            <w:cnfStyle w:val="000010000000"/>
            <w:tcW w:w="850" w:type="dxa"/>
            <w:vAlign w:val="center"/>
          </w:tcPr>
          <w:p w:rsidR="00D27663" w:rsidRPr="00EF3B13" w:rsidRDefault="00D27663" w:rsidP="00943E59">
            <w:pPr>
              <w:autoSpaceDE w:val="0"/>
              <w:autoSpaceDN w:val="0"/>
              <w:adjustRightInd w:val="0"/>
              <w:jc w:val="center"/>
              <w:rPr>
                <w:rFonts w:cs="Arial"/>
                <w:color w:val="000000"/>
                <w:sz w:val="18"/>
                <w:szCs w:val="18"/>
              </w:rPr>
            </w:pPr>
            <w:r w:rsidRPr="00D27663">
              <w:rPr>
                <w:rStyle w:val="eop"/>
                <w:rFonts w:cs="Segoe UI"/>
                <w:i/>
                <w:lang w:val="en-US"/>
              </w:rPr>
              <w:t>S</w:t>
            </w:r>
            <w:r w:rsidRPr="00D27663">
              <w:rPr>
                <w:rStyle w:val="eop"/>
                <w:rFonts w:cs="Segoe UI"/>
                <w:i/>
                <w:vertAlign w:val="subscript"/>
                <w:lang w:val="en-US"/>
              </w:rPr>
              <w:t>t</w:t>
            </w:r>
          </w:p>
        </w:tc>
        <w:tc>
          <w:tcPr>
            <w:tcW w:w="1088" w:type="dxa"/>
            <w:vAlign w:val="center"/>
          </w:tcPr>
          <w:p w:rsidR="00D27663" w:rsidRPr="00EF3B13" w:rsidRDefault="00D27663" w:rsidP="00943E59">
            <w:pPr>
              <w:autoSpaceDE w:val="0"/>
              <w:autoSpaceDN w:val="0"/>
              <w:adjustRightInd w:val="0"/>
              <w:jc w:val="center"/>
              <w:cnfStyle w:val="100000000000"/>
              <w:rPr>
                <w:rFonts w:cs="Arial"/>
                <w:color w:val="000000"/>
                <w:sz w:val="18"/>
                <w:szCs w:val="18"/>
              </w:rPr>
            </w:pPr>
            <w:r w:rsidRPr="00D27663">
              <w:rPr>
                <w:rStyle w:val="eop"/>
                <w:rFonts w:cs="Segoe UI"/>
                <w:i/>
                <w:lang w:val="en-US"/>
              </w:rPr>
              <w:t>M</w:t>
            </w:r>
            <w:r w:rsidRPr="00D27663">
              <w:rPr>
                <w:rStyle w:val="eop"/>
                <w:rFonts w:cs="Segoe UI"/>
                <w:i/>
                <w:vertAlign w:val="subscript"/>
                <w:lang w:val="en-US"/>
              </w:rPr>
              <w:t>t</w:t>
            </w:r>
          </w:p>
        </w:tc>
        <w:tc>
          <w:tcPr>
            <w:cnfStyle w:val="000010000000"/>
            <w:tcW w:w="945" w:type="dxa"/>
            <w:vAlign w:val="center"/>
          </w:tcPr>
          <w:p w:rsidR="00D27663" w:rsidRPr="00EF3B13" w:rsidRDefault="00D27663" w:rsidP="00943E59">
            <w:pPr>
              <w:autoSpaceDE w:val="0"/>
              <w:autoSpaceDN w:val="0"/>
              <w:adjustRightInd w:val="0"/>
              <w:jc w:val="center"/>
              <w:rPr>
                <w:rFonts w:cs="Arial"/>
                <w:color w:val="000000"/>
                <w:sz w:val="18"/>
                <w:szCs w:val="18"/>
              </w:rPr>
            </w:pPr>
            <w:r w:rsidRPr="00D27663">
              <w:rPr>
                <w:rStyle w:val="eop"/>
                <w:rFonts w:cs="Segoe UI"/>
                <w:i/>
                <w:lang w:val="en-US"/>
              </w:rPr>
              <w:t>M</w:t>
            </w:r>
            <w:r w:rsidRPr="00D27663">
              <w:rPr>
                <w:rStyle w:val="eop"/>
                <w:rFonts w:cs="Segoe UI"/>
                <w:i/>
                <w:vertAlign w:val="subscript"/>
                <w:lang w:val="en-US"/>
              </w:rPr>
              <w:t>t</w:t>
            </w:r>
            <w:r w:rsidRPr="00D27663">
              <w:rPr>
                <w:rStyle w:val="eop"/>
                <w:rFonts w:cs="Segoe UI"/>
                <w:i/>
                <w:lang w:val="en-US"/>
              </w:rPr>
              <w:t>*</w:t>
            </w:r>
          </w:p>
        </w:tc>
        <w:tc>
          <w:tcPr>
            <w:tcW w:w="899" w:type="dxa"/>
            <w:vAlign w:val="center"/>
          </w:tcPr>
          <w:p w:rsidR="00D27663" w:rsidRPr="00EF3B13" w:rsidRDefault="00D27663" w:rsidP="00943E59">
            <w:pPr>
              <w:autoSpaceDE w:val="0"/>
              <w:autoSpaceDN w:val="0"/>
              <w:adjustRightInd w:val="0"/>
              <w:jc w:val="center"/>
              <w:cnfStyle w:val="100000000000"/>
              <w:rPr>
                <w:rFonts w:cs="Arial"/>
                <w:color w:val="000000"/>
                <w:sz w:val="18"/>
                <w:szCs w:val="18"/>
              </w:rPr>
            </w:pPr>
            <w:r w:rsidRPr="00D27663">
              <w:rPr>
                <w:rStyle w:val="eop"/>
                <w:rFonts w:cs="Segoe UI"/>
                <w:i/>
                <w:lang w:val="en-US"/>
              </w:rPr>
              <w:t>P</w:t>
            </w:r>
            <w:r w:rsidRPr="00D27663">
              <w:rPr>
                <w:rStyle w:val="eop"/>
                <w:rFonts w:cs="Segoe UI"/>
                <w:i/>
                <w:vertAlign w:val="superscript"/>
                <w:lang w:val="en-US"/>
              </w:rPr>
              <w:t>e</w:t>
            </w:r>
            <w:r w:rsidRPr="00D27663">
              <w:rPr>
                <w:rStyle w:val="eop"/>
                <w:rFonts w:cs="Segoe UI"/>
                <w:i/>
                <w:vertAlign w:val="subscript"/>
                <w:lang w:val="en-US"/>
              </w:rPr>
              <w:t>t</w:t>
            </w:r>
          </w:p>
        </w:tc>
        <w:tc>
          <w:tcPr>
            <w:cnfStyle w:val="000010000000"/>
            <w:tcW w:w="899" w:type="dxa"/>
            <w:vAlign w:val="center"/>
          </w:tcPr>
          <w:p w:rsidR="00D27663" w:rsidRPr="00EF3B13" w:rsidRDefault="00D27663" w:rsidP="00943E59">
            <w:pPr>
              <w:autoSpaceDE w:val="0"/>
              <w:autoSpaceDN w:val="0"/>
              <w:adjustRightInd w:val="0"/>
              <w:jc w:val="center"/>
              <w:rPr>
                <w:rFonts w:cs="Arial"/>
                <w:color w:val="000000"/>
                <w:sz w:val="18"/>
                <w:szCs w:val="18"/>
              </w:rPr>
            </w:pPr>
            <w:r w:rsidRPr="00D27663">
              <w:rPr>
                <w:rStyle w:val="eop"/>
                <w:rFonts w:cs="Segoe UI"/>
                <w:i/>
                <w:lang w:val="en-US"/>
              </w:rPr>
              <w:t>P</w:t>
            </w:r>
            <w:r w:rsidRPr="00D27663">
              <w:rPr>
                <w:rStyle w:val="eop"/>
                <w:rFonts w:cs="Segoe UI"/>
                <w:i/>
                <w:vertAlign w:val="superscript"/>
                <w:lang w:val="en-US"/>
              </w:rPr>
              <w:t>e</w:t>
            </w:r>
            <w:r w:rsidRPr="00D27663">
              <w:rPr>
                <w:rStyle w:val="eop"/>
                <w:rFonts w:cs="Segoe UI"/>
                <w:i/>
                <w:vertAlign w:val="subscript"/>
                <w:lang w:val="en-US"/>
              </w:rPr>
              <w:t>t</w:t>
            </w:r>
            <w:r w:rsidRPr="00D27663">
              <w:rPr>
                <w:rStyle w:val="eop"/>
                <w:rFonts w:cs="Segoe UI"/>
                <w:i/>
                <w:lang w:val="en-US"/>
              </w:rPr>
              <w:t>*</w:t>
            </w:r>
          </w:p>
        </w:tc>
        <w:tc>
          <w:tcPr>
            <w:tcW w:w="945" w:type="dxa"/>
            <w:vAlign w:val="center"/>
          </w:tcPr>
          <w:p w:rsidR="00D27663" w:rsidRPr="00EF3B13" w:rsidRDefault="00D27663" w:rsidP="00943E59">
            <w:pPr>
              <w:autoSpaceDE w:val="0"/>
              <w:autoSpaceDN w:val="0"/>
              <w:adjustRightInd w:val="0"/>
              <w:jc w:val="center"/>
              <w:cnfStyle w:val="100000000000"/>
              <w:rPr>
                <w:rFonts w:cs="Arial"/>
                <w:color w:val="000000"/>
                <w:sz w:val="18"/>
                <w:szCs w:val="18"/>
              </w:rPr>
            </w:pPr>
            <w:r w:rsidRPr="00D27663">
              <w:rPr>
                <w:rStyle w:val="eop"/>
                <w:rFonts w:cs="Segoe UI"/>
                <w:i/>
                <w:lang w:val="en-US"/>
              </w:rPr>
              <w:t>Y</w:t>
            </w:r>
            <w:r w:rsidRPr="00D27663">
              <w:rPr>
                <w:rStyle w:val="eop"/>
                <w:rFonts w:cs="Segoe UI"/>
                <w:i/>
                <w:vertAlign w:val="subscript"/>
                <w:lang w:val="en-US"/>
              </w:rPr>
              <w:t>t</w:t>
            </w:r>
          </w:p>
        </w:tc>
        <w:tc>
          <w:tcPr>
            <w:cnfStyle w:val="000010000000"/>
            <w:tcW w:w="945" w:type="dxa"/>
            <w:vAlign w:val="center"/>
          </w:tcPr>
          <w:p w:rsidR="00D27663" w:rsidRPr="00EF3B13" w:rsidRDefault="00D27663" w:rsidP="00943E59">
            <w:pPr>
              <w:autoSpaceDE w:val="0"/>
              <w:autoSpaceDN w:val="0"/>
              <w:adjustRightInd w:val="0"/>
              <w:jc w:val="center"/>
              <w:rPr>
                <w:rFonts w:cs="Arial"/>
                <w:color w:val="000000"/>
                <w:sz w:val="18"/>
                <w:szCs w:val="18"/>
              </w:rPr>
            </w:pPr>
            <w:r w:rsidRPr="00D27663">
              <w:rPr>
                <w:rStyle w:val="eop"/>
                <w:rFonts w:cs="Segoe UI"/>
                <w:i/>
                <w:lang w:val="en-US"/>
              </w:rPr>
              <w:t>Y</w:t>
            </w:r>
            <w:r w:rsidRPr="00D27663">
              <w:rPr>
                <w:rStyle w:val="eop"/>
                <w:rFonts w:cs="Segoe UI"/>
                <w:i/>
                <w:vertAlign w:val="subscript"/>
                <w:lang w:val="en-US"/>
              </w:rPr>
              <w:t>t</w:t>
            </w:r>
            <w:r w:rsidRPr="00D27663">
              <w:rPr>
                <w:rStyle w:val="eop"/>
                <w:rFonts w:cs="Segoe UI"/>
                <w:i/>
                <w:lang w:val="en-US"/>
              </w:rPr>
              <w:t>*</w:t>
            </w:r>
          </w:p>
        </w:tc>
        <w:tc>
          <w:tcPr>
            <w:tcW w:w="808" w:type="dxa"/>
            <w:vAlign w:val="center"/>
          </w:tcPr>
          <w:p w:rsidR="00D27663" w:rsidRPr="00EF3B13" w:rsidRDefault="00D27663" w:rsidP="00943E59">
            <w:pPr>
              <w:autoSpaceDE w:val="0"/>
              <w:autoSpaceDN w:val="0"/>
              <w:adjustRightInd w:val="0"/>
              <w:jc w:val="center"/>
              <w:cnfStyle w:val="100000000000"/>
              <w:rPr>
                <w:rFonts w:cs="Arial"/>
                <w:color w:val="000000"/>
                <w:sz w:val="18"/>
                <w:szCs w:val="18"/>
              </w:rPr>
            </w:pPr>
            <w:r w:rsidRPr="00D27663">
              <w:rPr>
                <w:rStyle w:val="eop"/>
                <w:rFonts w:cs="Segoe UI"/>
                <w:i/>
                <w:lang w:val="en-US"/>
              </w:rPr>
              <w:t>I</w:t>
            </w:r>
            <w:r w:rsidRPr="00D27663">
              <w:rPr>
                <w:rStyle w:val="eop"/>
                <w:rFonts w:cs="Segoe UI"/>
                <w:i/>
                <w:vertAlign w:val="subscript"/>
                <w:lang w:val="en-US"/>
              </w:rPr>
              <w:t>t</w:t>
            </w:r>
          </w:p>
        </w:tc>
        <w:tc>
          <w:tcPr>
            <w:cnfStyle w:val="000010000000"/>
            <w:tcW w:w="808" w:type="dxa"/>
            <w:vAlign w:val="center"/>
          </w:tcPr>
          <w:p w:rsidR="00D27663" w:rsidRPr="00EF3B13" w:rsidRDefault="00D27663" w:rsidP="00943E59">
            <w:pPr>
              <w:autoSpaceDE w:val="0"/>
              <w:autoSpaceDN w:val="0"/>
              <w:adjustRightInd w:val="0"/>
              <w:jc w:val="center"/>
              <w:rPr>
                <w:rFonts w:cs="Arial"/>
                <w:color w:val="000000"/>
                <w:sz w:val="18"/>
                <w:szCs w:val="18"/>
              </w:rPr>
            </w:pPr>
            <w:r w:rsidRPr="00D27663">
              <w:rPr>
                <w:rStyle w:val="eop"/>
                <w:rFonts w:cs="Segoe UI"/>
                <w:i/>
                <w:lang w:val="en-US"/>
              </w:rPr>
              <w:t>I</w:t>
            </w:r>
            <w:r w:rsidRPr="00D27663">
              <w:rPr>
                <w:rStyle w:val="eop"/>
                <w:rFonts w:cs="Segoe UI"/>
                <w:i/>
                <w:vertAlign w:val="subscript"/>
                <w:lang w:val="en-US"/>
              </w:rPr>
              <w:t>t</w:t>
            </w:r>
            <w:r w:rsidRPr="00D27663">
              <w:rPr>
                <w:rStyle w:val="eop"/>
                <w:rFonts w:cs="Segoe UI"/>
                <w:i/>
                <w:lang w:val="en-US"/>
              </w:rPr>
              <w:t>*</w:t>
            </w:r>
          </w:p>
        </w:tc>
      </w:tr>
      <w:tr w:rsidR="00DC313B" w:rsidRPr="00EF3B13" w:rsidTr="00DC313B">
        <w:trPr>
          <w:cnfStyle w:val="000000100000"/>
          <w:trHeight w:val="225"/>
        </w:trPr>
        <w:tc>
          <w:tcPr>
            <w:cnfStyle w:val="001000000000"/>
            <w:tcW w:w="1101" w:type="dxa"/>
            <w:shd w:val="clear" w:color="auto" w:fill="4F81BD" w:themeFill="accent1"/>
            <w:vAlign w:val="center"/>
          </w:tcPr>
          <w:p w:rsidR="00DC313B" w:rsidRPr="00DC313B" w:rsidRDefault="00DC313B" w:rsidP="00943E59">
            <w:pPr>
              <w:autoSpaceDE w:val="0"/>
              <w:autoSpaceDN w:val="0"/>
              <w:adjustRightInd w:val="0"/>
              <w:jc w:val="center"/>
              <w:rPr>
                <w:rFonts w:cs="Arial"/>
                <w:color w:val="FFFFFF" w:themeColor="background1"/>
                <w:sz w:val="18"/>
                <w:szCs w:val="18"/>
                <w:lang w:val="en-US"/>
              </w:rPr>
            </w:pPr>
            <w:r w:rsidRPr="00DC313B">
              <w:rPr>
                <w:rFonts w:cs="Arial"/>
                <w:color w:val="FFFFFF" w:themeColor="background1"/>
                <w:sz w:val="18"/>
                <w:szCs w:val="18"/>
                <w:lang w:val="en-US"/>
              </w:rPr>
              <w:t>Unit</w:t>
            </w:r>
          </w:p>
        </w:tc>
        <w:tc>
          <w:tcPr>
            <w:cnfStyle w:val="000010000000"/>
            <w:tcW w:w="850" w:type="dxa"/>
            <w:vAlign w:val="center"/>
          </w:tcPr>
          <w:p w:rsidR="00DC313B" w:rsidRPr="00DC313B" w:rsidRDefault="00DC313B" w:rsidP="00DC313B">
            <w:pPr>
              <w:autoSpaceDE w:val="0"/>
              <w:autoSpaceDN w:val="0"/>
              <w:adjustRightInd w:val="0"/>
              <w:rPr>
                <w:rStyle w:val="eop"/>
                <w:rFonts w:cs="Segoe UI"/>
                <w:sz w:val="16"/>
                <w:szCs w:val="16"/>
                <w:lang w:val="en-US"/>
              </w:rPr>
            </w:pPr>
            <w:r w:rsidRPr="00DC313B">
              <w:rPr>
                <w:rStyle w:val="eop"/>
                <w:rFonts w:cs="Segoe UI"/>
                <w:sz w:val="16"/>
                <w:szCs w:val="16"/>
                <w:lang w:val="en-US"/>
              </w:rPr>
              <w:t>Bitcoins/US Dollar</w:t>
            </w:r>
          </w:p>
        </w:tc>
        <w:tc>
          <w:tcPr>
            <w:tcW w:w="1088" w:type="dxa"/>
            <w:vAlign w:val="center"/>
          </w:tcPr>
          <w:p w:rsidR="00DC313B" w:rsidRPr="00DC313B" w:rsidRDefault="00DC313B" w:rsidP="00DC313B">
            <w:pPr>
              <w:autoSpaceDE w:val="0"/>
              <w:autoSpaceDN w:val="0"/>
              <w:adjustRightInd w:val="0"/>
              <w:cnfStyle w:val="000000100000"/>
              <w:rPr>
                <w:rStyle w:val="eop"/>
                <w:rFonts w:cs="Segoe UI"/>
                <w:sz w:val="16"/>
                <w:szCs w:val="16"/>
                <w:lang w:val="en-US"/>
              </w:rPr>
            </w:pPr>
            <w:r w:rsidRPr="00DC313B">
              <w:rPr>
                <w:rStyle w:val="eop"/>
                <w:rFonts w:cs="Segoe UI"/>
                <w:sz w:val="16"/>
                <w:szCs w:val="16"/>
                <w:lang w:val="en-US"/>
              </w:rPr>
              <w:t>Billions of US Dollars</w:t>
            </w:r>
          </w:p>
        </w:tc>
        <w:tc>
          <w:tcPr>
            <w:cnfStyle w:val="000010000000"/>
            <w:tcW w:w="945" w:type="dxa"/>
            <w:vAlign w:val="center"/>
          </w:tcPr>
          <w:p w:rsidR="00DC313B" w:rsidRPr="00DC313B" w:rsidRDefault="00DC313B" w:rsidP="00DC313B">
            <w:pPr>
              <w:autoSpaceDE w:val="0"/>
              <w:autoSpaceDN w:val="0"/>
              <w:adjustRightInd w:val="0"/>
              <w:rPr>
                <w:rStyle w:val="eop"/>
                <w:rFonts w:cs="Segoe UI"/>
                <w:sz w:val="16"/>
                <w:szCs w:val="16"/>
                <w:lang w:val="en-US"/>
              </w:rPr>
            </w:pPr>
            <w:r w:rsidRPr="00DC313B">
              <w:rPr>
                <w:rStyle w:val="eop"/>
                <w:rFonts w:cs="Segoe UI"/>
                <w:sz w:val="16"/>
                <w:szCs w:val="16"/>
                <w:lang w:val="en-US"/>
              </w:rPr>
              <w:t>Bitcoins</w:t>
            </w:r>
          </w:p>
        </w:tc>
        <w:tc>
          <w:tcPr>
            <w:tcW w:w="899" w:type="dxa"/>
            <w:vAlign w:val="center"/>
          </w:tcPr>
          <w:p w:rsidR="00DC313B" w:rsidRPr="00DC313B" w:rsidRDefault="00DC313B" w:rsidP="00DC313B">
            <w:pPr>
              <w:autoSpaceDE w:val="0"/>
              <w:autoSpaceDN w:val="0"/>
              <w:adjustRightInd w:val="0"/>
              <w:ind w:left="-31" w:right="-153"/>
              <w:cnfStyle w:val="000000100000"/>
              <w:rPr>
                <w:rStyle w:val="eop"/>
                <w:rFonts w:cs="Segoe UI"/>
                <w:sz w:val="16"/>
                <w:szCs w:val="16"/>
                <w:lang w:val="en-US"/>
              </w:rPr>
            </w:pPr>
            <w:r w:rsidRPr="00DC313B">
              <w:rPr>
                <w:rStyle w:val="eop"/>
                <w:rFonts w:cs="Segoe UI"/>
                <w:sz w:val="16"/>
                <w:szCs w:val="16"/>
                <w:lang w:val="en-US"/>
              </w:rPr>
              <w:t>Percentage</w:t>
            </w:r>
          </w:p>
        </w:tc>
        <w:tc>
          <w:tcPr>
            <w:cnfStyle w:val="000010000000"/>
            <w:tcW w:w="899" w:type="dxa"/>
            <w:vAlign w:val="center"/>
          </w:tcPr>
          <w:p w:rsidR="00DC313B" w:rsidRPr="00DC313B" w:rsidRDefault="00DC313B" w:rsidP="00DC313B">
            <w:pPr>
              <w:autoSpaceDE w:val="0"/>
              <w:autoSpaceDN w:val="0"/>
              <w:adjustRightInd w:val="0"/>
              <w:ind w:left="-63"/>
              <w:rPr>
                <w:rStyle w:val="eop"/>
                <w:rFonts w:cs="Segoe UI"/>
                <w:sz w:val="16"/>
                <w:szCs w:val="16"/>
                <w:lang w:val="en-US"/>
              </w:rPr>
            </w:pPr>
            <w:r w:rsidRPr="00DC313B">
              <w:rPr>
                <w:rStyle w:val="eop"/>
                <w:rFonts w:cs="Segoe UI"/>
                <w:sz w:val="16"/>
                <w:szCs w:val="16"/>
                <w:lang w:val="en-US"/>
              </w:rPr>
              <w:t>Percentage</w:t>
            </w:r>
          </w:p>
        </w:tc>
        <w:tc>
          <w:tcPr>
            <w:tcW w:w="945" w:type="dxa"/>
            <w:vAlign w:val="center"/>
          </w:tcPr>
          <w:p w:rsidR="00DC313B" w:rsidRPr="00DC313B" w:rsidRDefault="00DC313B" w:rsidP="00DC313B">
            <w:pPr>
              <w:autoSpaceDE w:val="0"/>
              <w:autoSpaceDN w:val="0"/>
              <w:adjustRightInd w:val="0"/>
              <w:cnfStyle w:val="000000100000"/>
              <w:rPr>
                <w:rStyle w:val="eop"/>
                <w:rFonts w:cs="Segoe UI"/>
                <w:sz w:val="16"/>
                <w:szCs w:val="16"/>
                <w:lang w:val="en-US"/>
              </w:rPr>
            </w:pPr>
            <w:r w:rsidRPr="00DC313B">
              <w:rPr>
                <w:rStyle w:val="eop"/>
                <w:rFonts w:cs="Segoe UI"/>
                <w:sz w:val="16"/>
                <w:szCs w:val="16"/>
                <w:lang w:val="en-US"/>
              </w:rPr>
              <w:t>Millions of US Dollars</w:t>
            </w:r>
          </w:p>
        </w:tc>
        <w:tc>
          <w:tcPr>
            <w:cnfStyle w:val="000010000000"/>
            <w:tcW w:w="945" w:type="dxa"/>
            <w:vAlign w:val="center"/>
          </w:tcPr>
          <w:p w:rsidR="00DC313B" w:rsidRPr="00DC313B" w:rsidRDefault="00DC313B" w:rsidP="00DC313B">
            <w:pPr>
              <w:autoSpaceDE w:val="0"/>
              <w:autoSpaceDN w:val="0"/>
              <w:adjustRightInd w:val="0"/>
              <w:rPr>
                <w:rStyle w:val="eop"/>
                <w:rFonts w:cs="Segoe UI"/>
                <w:sz w:val="16"/>
                <w:szCs w:val="16"/>
                <w:lang w:val="en-US"/>
              </w:rPr>
            </w:pPr>
            <w:r w:rsidRPr="00DC313B">
              <w:rPr>
                <w:rStyle w:val="eop"/>
                <w:rFonts w:cs="Segoe UI"/>
                <w:sz w:val="16"/>
                <w:szCs w:val="16"/>
                <w:lang w:val="en-US"/>
              </w:rPr>
              <w:t>Millions of US Dollars</w:t>
            </w:r>
          </w:p>
        </w:tc>
        <w:tc>
          <w:tcPr>
            <w:tcW w:w="808" w:type="dxa"/>
            <w:vAlign w:val="center"/>
          </w:tcPr>
          <w:p w:rsidR="00DC313B" w:rsidRPr="00DC313B" w:rsidRDefault="00DC313B" w:rsidP="00DC313B">
            <w:pPr>
              <w:autoSpaceDE w:val="0"/>
              <w:autoSpaceDN w:val="0"/>
              <w:adjustRightInd w:val="0"/>
              <w:ind w:left="-58" w:right="-100"/>
              <w:cnfStyle w:val="000000100000"/>
              <w:rPr>
                <w:rStyle w:val="eop"/>
                <w:rFonts w:cs="Segoe UI"/>
                <w:sz w:val="16"/>
                <w:szCs w:val="16"/>
                <w:lang w:val="en-US"/>
              </w:rPr>
            </w:pPr>
            <w:r w:rsidRPr="00DC313B">
              <w:rPr>
                <w:rStyle w:val="eop"/>
                <w:rFonts w:cs="Segoe UI"/>
                <w:sz w:val="16"/>
                <w:szCs w:val="16"/>
                <w:lang w:val="en-US"/>
              </w:rPr>
              <w:t>Percentage</w:t>
            </w:r>
          </w:p>
        </w:tc>
        <w:tc>
          <w:tcPr>
            <w:cnfStyle w:val="000010000000"/>
            <w:tcW w:w="808" w:type="dxa"/>
            <w:vAlign w:val="center"/>
          </w:tcPr>
          <w:p w:rsidR="00DC313B" w:rsidRPr="00DC313B" w:rsidRDefault="00DC313B" w:rsidP="00DC313B">
            <w:pPr>
              <w:autoSpaceDE w:val="0"/>
              <w:autoSpaceDN w:val="0"/>
              <w:adjustRightInd w:val="0"/>
              <w:ind w:left="-116" w:right="-142"/>
              <w:rPr>
                <w:rStyle w:val="eop"/>
                <w:rFonts w:cs="Segoe UI"/>
                <w:sz w:val="16"/>
                <w:szCs w:val="16"/>
                <w:lang w:val="en-US"/>
              </w:rPr>
            </w:pPr>
            <w:r>
              <w:rPr>
                <w:rStyle w:val="eop"/>
                <w:rFonts w:cs="Segoe UI"/>
                <w:sz w:val="16"/>
                <w:szCs w:val="16"/>
                <w:lang w:val="en-US"/>
              </w:rPr>
              <w:t xml:space="preserve">  </w:t>
            </w:r>
            <w:r w:rsidRPr="00DC313B">
              <w:rPr>
                <w:rStyle w:val="eop"/>
                <w:rFonts w:cs="Segoe UI"/>
                <w:sz w:val="16"/>
                <w:szCs w:val="16"/>
                <w:lang w:val="en-US"/>
              </w:rPr>
              <w:t>Percentage</w:t>
            </w:r>
          </w:p>
        </w:tc>
      </w:tr>
      <w:tr w:rsidR="00943E59" w:rsidRPr="00EF3B13" w:rsidTr="00AC3B23">
        <w:trPr>
          <w:trHeight w:val="225"/>
        </w:trPr>
        <w:tc>
          <w:tcPr>
            <w:cnfStyle w:val="001000000000"/>
            <w:tcW w:w="1101" w:type="dxa"/>
            <w:shd w:val="clear" w:color="auto" w:fill="4F81BD" w:themeFill="accent1"/>
            <w:vAlign w:val="center"/>
          </w:tcPr>
          <w:p w:rsidR="00943E59" w:rsidRPr="00AC3B23" w:rsidRDefault="00943E59" w:rsidP="00943E59">
            <w:pPr>
              <w:autoSpaceDE w:val="0"/>
              <w:autoSpaceDN w:val="0"/>
              <w:adjustRightInd w:val="0"/>
              <w:ind w:left="-142" w:right="-108"/>
              <w:jc w:val="center"/>
              <w:rPr>
                <w:rFonts w:cs="Arial"/>
                <w:color w:val="FFFFFF" w:themeColor="background1"/>
                <w:sz w:val="18"/>
                <w:szCs w:val="18"/>
              </w:rPr>
            </w:pPr>
            <w:r w:rsidRPr="00AC3B23">
              <w:rPr>
                <w:rFonts w:cs="Arial"/>
                <w:color w:val="FFFFFF" w:themeColor="background1"/>
                <w:sz w:val="18"/>
                <w:szCs w:val="18"/>
              </w:rPr>
              <w:t>Mean</w:t>
            </w:r>
          </w:p>
        </w:tc>
        <w:tc>
          <w:tcPr>
            <w:cnfStyle w:val="000010000000"/>
            <w:tcW w:w="850" w:type="dxa"/>
            <w:vAlign w:val="center"/>
          </w:tcPr>
          <w:p w:rsidR="00943E59" w:rsidRPr="00EA03FE" w:rsidRDefault="00943E59" w:rsidP="00943E59">
            <w:pPr>
              <w:ind w:left="-108" w:right="-108"/>
              <w:jc w:val="center"/>
            </w:pPr>
            <w:r w:rsidRPr="00EA03FE">
              <w:t>1.422641</w:t>
            </w:r>
          </w:p>
        </w:tc>
        <w:tc>
          <w:tcPr>
            <w:tcW w:w="1088" w:type="dxa"/>
            <w:vAlign w:val="center"/>
          </w:tcPr>
          <w:p w:rsidR="00943E59" w:rsidRPr="00237174" w:rsidRDefault="00943E59" w:rsidP="00943E59">
            <w:pPr>
              <w:ind w:left="-108" w:right="-154"/>
              <w:jc w:val="center"/>
              <w:cnfStyle w:val="000000000000"/>
            </w:pPr>
            <w:r w:rsidRPr="00237174">
              <w:t>9902.741</w:t>
            </w:r>
          </w:p>
        </w:tc>
        <w:tc>
          <w:tcPr>
            <w:cnfStyle w:val="000010000000"/>
            <w:tcW w:w="945" w:type="dxa"/>
            <w:vAlign w:val="center"/>
          </w:tcPr>
          <w:p w:rsidR="00943E59" w:rsidRPr="008146FE" w:rsidRDefault="00943E59" w:rsidP="00943E59">
            <w:pPr>
              <w:ind w:left="-67" w:right="-60"/>
              <w:jc w:val="center"/>
            </w:pPr>
            <w:r w:rsidRPr="008146FE">
              <w:t>8781522</w:t>
            </w:r>
          </w:p>
        </w:tc>
        <w:tc>
          <w:tcPr>
            <w:tcW w:w="899" w:type="dxa"/>
            <w:vAlign w:val="center"/>
          </w:tcPr>
          <w:p w:rsidR="00943E59" w:rsidRPr="00FC58BE" w:rsidRDefault="00943E59" w:rsidP="00943E59">
            <w:pPr>
              <w:ind w:left="-156" w:right="-153"/>
              <w:jc w:val="center"/>
              <w:cnfStyle w:val="000000000000"/>
            </w:pPr>
            <w:r w:rsidRPr="00FC58BE">
              <w:t>0.020473</w:t>
            </w:r>
          </w:p>
        </w:tc>
        <w:tc>
          <w:tcPr>
            <w:cnfStyle w:val="000010000000"/>
            <w:tcW w:w="899" w:type="dxa"/>
            <w:vAlign w:val="center"/>
          </w:tcPr>
          <w:p w:rsidR="00943E59" w:rsidRPr="000E3D6A" w:rsidRDefault="00943E59" w:rsidP="00AC3B23">
            <w:pPr>
              <w:ind w:left="-63" w:right="-104"/>
              <w:jc w:val="center"/>
            </w:pPr>
            <w:r w:rsidRPr="000E3D6A">
              <w:t>-0.0311</w:t>
            </w:r>
            <w:r w:rsidR="00AC3B23">
              <w:t>5</w:t>
            </w:r>
          </w:p>
        </w:tc>
        <w:tc>
          <w:tcPr>
            <w:tcW w:w="945" w:type="dxa"/>
            <w:vAlign w:val="center"/>
          </w:tcPr>
          <w:p w:rsidR="00943E59" w:rsidRPr="00FE20DB" w:rsidRDefault="00943E59" w:rsidP="00AC3B23">
            <w:pPr>
              <w:ind w:left="-112" w:right="-152"/>
              <w:jc w:val="center"/>
              <w:cnfStyle w:val="000000000000"/>
            </w:pPr>
            <w:r w:rsidRPr="00FE20DB">
              <w:t>15879067</w:t>
            </w:r>
          </w:p>
        </w:tc>
        <w:tc>
          <w:tcPr>
            <w:cnfStyle w:val="000010000000"/>
            <w:tcW w:w="945" w:type="dxa"/>
            <w:vAlign w:val="center"/>
          </w:tcPr>
          <w:p w:rsidR="00943E59" w:rsidRPr="00B879DA" w:rsidRDefault="00943E59" w:rsidP="00AC3B23">
            <w:pPr>
              <w:ind w:left="-64" w:right="-57"/>
              <w:jc w:val="center"/>
            </w:pPr>
            <w:r w:rsidRPr="00B879DA">
              <w:t>1019028</w:t>
            </w:r>
          </w:p>
        </w:tc>
        <w:tc>
          <w:tcPr>
            <w:tcW w:w="808" w:type="dxa"/>
            <w:vAlign w:val="center"/>
          </w:tcPr>
          <w:p w:rsidR="00943E59" w:rsidRPr="00873A1B" w:rsidRDefault="00943E59" w:rsidP="00AC3B23">
            <w:pPr>
              <w:ind w:left="-159" w:right="-100"/>
              <w:jc w:val="center"/>
              <w:cnfStyle w:val="000000000000"/>
            </w:pPr>
            <w:r w:rsidRPr="00873A1B">
              <w:t>0.36876</w:t>
            </w:r>
          </w:p>
        </w:tc>
        <w:tc>
          <w:tcPr>
            <w:cnfStyle w:val="000010000000"/>
            <w:tcW w:w="808" w:type="dxa"/>
            <w:vAlign w:val="center"/>
          </w:tcPr>
          <w:p w:rsidR="00943E59" w:rsidRPr="008D21A5" w:rsidRDefault="00943E59" w:rsidP="00AC3B23">
            <w:pPr>
              <w:ind w:left="-116" w:right="-142"/>
              <w:jc w:val="center"/>
            </w:pPr>
            <w:r w:rsidRPr="008D21A5">
              <w:t>3.63307</w:t>
            </w:r>
          </w:p>
        </w:tc>
      </w:tr>
      <w:tr w:rsidR="00943E59" w:rsidRPr="00EF3B13" w:rsidTr="00AC3B23">
        <w:trPr>
          <w:cnfStyle w:val="000000100000"/>
          <w:trHeight w:val="225"/>
        </w:trPr>
        <w:tc>
          <w:tcPr>
            <w:cnfStyle w:val="001000000000"/>
            <w:tcW w:w="1101" w:type="dxa"/>
            <w:shd w:val="clear" w:color="auto" w:fill="4F81BD" w:themeFill="accent1"/>
            <w:vAlign w:val="center"/>
          </w:tcPr>
          <w:p w:rsidR="00943E59" w:rsidRPr="00AC3B23" w:rsidRDefault="00943E59" w:rsidP="00943E59">
            <w:pPr>
              <w:autoSpaceDE w:val="0"/>
              <w:autoSpaceDN w:val="0"/>
              <w:adjustRightInd w:val="0"/>
              <w:ind w:left="-142" w:right="-108"/>
              <w:jc w:val="center"/>
              <w:rPr>
                <w:rFonts w:cs="Arial"/>
                <w:color w:val="FFFFFF" w:themeColor="background1"/>
                <w:sz w:val="18"/>
                <w:szCs w:val="18"/>
              </w:rPr>
            </w:pPr>
            <w:r w:rsidRPr="00AC3B23">
              <w:rPr>
                <w:rFonts w:cs="Arial"/>
                <w:color w:val="FFFFFF" w:themeColor="background1"/>
                <w:sz w:val="18"/>
                <w:szCs w:val="18"/>
              </w:rPr>
              <w:t>Median</w:t>
            </w:r>
          </w:p>
        </w:tc>
        <w:tc>
          <w:tcPr>
            <w:cnfStyle w:val="000010000000"/>
            <w:tcW w:w="850" w:type="dxa"/>
            <w:vAlign w:val="center"/>
          </w:tcPr>
          <w:p w:rsidR="00943E59" w:rsidRPr="00EA03FE" w:rsidRDefault="00943E59" w:rsidP="00943E59">
            <w:pPr>
              <w:ind w:left="-108" w:right="-108"/>
              <w:jc w:val="center"/>
            </w:pPr>
            <w:r w:rsidRPr="00EA03FE">
              <w:t>0.096197</w:t>
            </w:r>
          </w:p>
        </w:tc>
        <w:tc>
          <w:tcPr>
            <w:tcW w:w="1088" w:type="dxa"/>
            <w:vAlign w:val="center"/>
          </w:tcPr>
          <w:p w:rsidR="00943E59" w:rsidRPr="00237174" w:rsidRDefault="00943E59" w:rsidP="00943E59">
            <w:pPr>
              <w:ind w:left="-108" w:right="-154"/>
              <w:jc w:val="center"/>
              <w:cnfStyle w:val="000000100000"/>
            </w:pPr>
            <w:r w:rsidRPr="00237174">
              <w:t>9898.450</w:t>
            </w:r>
          </w:p>
        </w:tc>
        <w:tc>
          <w:tcPr>
            <w:cnfStyle w:val="000010000000"/>
            <w:tcW w:w="945" w:type="dxa"/>
            <w:vAlign w:val="center"/>
          </w:tcPr>
          <w:p w:rsidR="00943E59" w:rsidRPr="008146FE" w:rsidRDefault="00943E59" w:rsidP="00943E59">
            <w:pPr>
              <w:ind w:left="-67" w:right="-60"/>
              <w:jc w:val="center"/>
            </w:pPr>
            <w:r w:rsidRPr="008146FE">
              <w:t>9125150</w:t>
            </w:r>
          </w:p>
        </w:tc>
        <w:tc>
          <w:tcPr>
            <w:tcW w:w="899" w:type="dxa"/>
            <w:vAlign w:val="center"/>
          </w:tcPr>
          <w:p w:rsidR="00943E59" w:rsidRPr="00FC58BE" w:rsidRDefault="00943E59" w:rsidP="00943E59">
            <w:pPr>
              <w:ind w:left="-156" w:right="-153"/>
              <w:jc w:val="center"/>
              <w:cnfStyle w:val="000000100000"/>
            </w:pPr>
            <w:r w:rsidRPr="00FC58BE">
              <w:t>0.017614</w:t>
            </w:r>
          </w:p>
        </w:tc>
        <w:tc>
          <w:tcPr>
            <w:cnfStyle w:val="000010000000"/>
            <w:tcW w:w="899" w:type="dxa"/>
            <w:vAlign w:val="center"/>
          </w:tcPr>
          <w:p w:rsidR="00943E59" w:rsidRPr="000E3D6A" w:rsidRDefault="00943E59" w:rsidP="00AC3B23">
            <w:pPr>
              <w:ind w:left="-63" w:right="-104"/>
              <w:jc w:val="center"/>
            </w:pPr>
            <w:r w:rsidRPr="000E3D6A">
              <w:t>-0.01996</w:t>
            </w:r>
          </w:p>
        </w:tc>
        <w:tc>
          <w:tcPr>
            <w:tcW w:w="945" w:type="dxa"/>
            <w:vAlign w:val="center"/>
          </w:tcPr>
          <w:p w:rsidR="00943E59" w:rsidRPr="00FE20DB" w:rsidRDefault="00943E59" w:rsidP="00AC3B23">
            <w:pPr>
              <w:ind w:left="-112" w:right="-152"/>
              <w:jc w:val="center"/>
              <w:cnfStyle w:val="000000100000"/>
            </w:pPr>
            <w:r w:rsidRPr="00FE20DB">
              <w:t>15881796</w:t>
            </w:r>
          </w:p>
        </w:tc>
        <w:tc>
          <w:tcPr>
            <w:cnfStyle w:val="000010000000"/>
            <w:tcW w:w="945" w:type="dxa"/>
            <w:vAlign w:val="center"/>
          </w:tcPr>
          <w:p w:rsidR="00943E59" w:rsidRPr="00B879DA" w:rsidRDefault="00943E59" w:rsidP="00AC3B23">
            <w:pPr>
              <w:ind w:left="-64" w:right="-57"/>
              <w:jc w:val="center"/>
            </w:pPr>
            <w:r w:rsidRPr="00B879DA">
              <w:t>1020681</w:t>
            </w:r>
          </w:p>
        </w:tc>
        <w:tc>
          <w:tcPr>
            <w:tcW w:w="808" w:type="dxa"/>
            <w:vAlign w:val="center"/>
          </w:tcPr>
          <w:p w:rsidR="00943E59" w:rsidRPr="00873A1B" w:rsidRDefault="00943E59" w:rsidP="00AC3B23">
            <w:pPr>
              <w:ind w:left="-159" w:right="-100"/>
              <w:jc w:val="center"/>
              <w:cnfStyle w:val="000000100000"/>
            </w:pPr>
            <w:r w:rsidRPr="00873A1B">
              <w:t>0.38000</w:t>
            </w:r>
          </w:p>
        </w:tc>
        <w:tc>
          <w:tcPr>
            <w:cnfStyle w:val="000010000000"/>
            <w:tcW w:w="808" w:type="dxa"/>
            <w:vAlign w:val="center"/>
          </w:tcPr>
          <w:p w:rsidR="00943E59" w:rsidRPr="008D21A5" w:rsidRDefault="00943E59" w:rsidP="00AC3B23">
            <w:pPr>
              <w:ind w:left="-116" w:right="-142"/>
              <w:jc w:val="center"/>
            </w:pPr>
            <w:r w:rsidRPr="008D21A5">
              <w:t>3.71135</w:t>
            </w:r>
          </w:p>
        </w:tc>
      </w:tr>
      <w:tr w:rsidR="00943E59" w:rsidRPr="00EF3B13" w:rsidTr="00AC3B23">
        <w:trPr>
          <w:trHeight w:val="225"/>
        </w:trPr>
        <w:tc>
          <w:tcPr>
            <w:cnfStyle w:val="001000000000"/>
            <w:tcW w:w="1101" w:type="dxa"/>
            <w:shd w:val="clear" w:color="auto" w:fill="4F81BD" w:themeFill="accent1"/>
            <w:vAlign w:val="center"/>
          </w:tcPr>
          <w:p w:rsidR="00943E59" w:rsidRPr="00AC3B23" w:rsidRDefault="00943E59" w:rsidP="00943E59">
            <w:pPr>
              <w:autoSpaceDE w:val="0"/>
              <w:autoSpaceDN w:val="0"/>
              <w:adjustRightInd w:val="0"/>
              <w:ind w:left="-142" w:right="-108"/>
              <w:jc w:val="center"/>
              <w:rPr>
                <w:rFonts w:cs="Arial"/>
                <w:color w:val="FFFFFF" w:themeColor="background1"/>
                <w:sz w:val="18"/>
                <w:szCs w:val="18"/>
              </w:rPr>
            </w:pPr>
            <w:r w:rsidRPr="00AC3B23">
              <w:rPr>
                <w:rFonts w:cs="Arial"/>
                <w:color w:val="FFFFFF" w:themeColor="background1"/>
                <w:sz w:val="18"/>
                <w:szCs w:val="18"/>
              </w:rPr>
              <w:t>Maximum</w:t>
            </w:r>
          </w:p>
        </w:tc>
        <w:tc>
          <w:tcPr>
            <w:cnfStyle w:val="000010000000"/>
            <w:tcW w:w="850" w:type="dxa"/>
            <w:vAlign w:val="center"/>
          </w:tcPr>
          <w:p w:rsidR="00943E59" w:rsidRPr="00EA03FE" w:rsidRDefault="00943E59" w:rsidP="00943E59">
            <w:pPr>
              <w:ind w:left="-108" w:right="-108"/>
              <w:jc w:val="center"/>
            </w:pPr>
            <w:r w:rsidRPr="00EA03FE">
              <w:t>16.66667</w:t>
            </w:r>
          </w:p>
        </w:tc>
        <w:tc>
          <w:tcPr>
            <w:tcW w:w="1088" w:type="dxa"/>
            <w:vAlign w:val="center"/>
          </w:tcPr>
          <w:p w:rsidR="00943E59" w:rsidRPr="00237174" w:rsidRDefault="00943E59" w:rsidP="00943E59">
            <w:pPr>
              <w:ind w:left="-108" w:right="-154"/>
              <w:jc w:val="center"/>
              <w:cnfStyle w:val="000000000000"/>
            </w:pPr>
            <w:r w:rsidRPr="00237174">
              <w:t>11191.90</w:t>
            </w:r>
          </w:p>
        </w:tc>
        <w:tc>
          <w:tcPr>
            <w:cnfStyle w:val="000010000000"/>
            <w:tcW w:w="945" w:type="dxa"/>
            <w:vAlign w:val="center"/>
          </w:tcPr>
          <w:p w:rsidR="00943E59" w:rsidRPr="008146FE" w:rsidRDefault="00943E59" w:rsidP="00943E59">
            <w:pPr>
              <w:ind w:left="-67" w:right="-60"/>
              <w:jc w:val="center"/>
            </w:pPr>
            <w:r w:rsidRPr="008146FE">
              <w:t>126168</w:t>
            </w:r>
            <w:r w:rsidR="00AC3B23">
              <w:t>3</w:t>
            </w:r>
          </w:p>
        </w:tc>
        <w:tc>
          <w:tcPr>
            <w:tcW w:w="899" w:type="dxa"/>
            <w:vAlign w:val="center"/>
          </w:tcPr>
          <w:p w:rsidR="00943E59" w:rsidRPr="00FC58BE" w:rsidRDefault="00943E59" w:rsidP="00943E59">
            <w:pPr>
              <w:ind w:left="-156" w:right="-153"/>
              <w:jc w:val="center"/>
              <w:cnfStyle w:val="000000000000"/>
            </w:pPr>
            <w:r w:rsidRPr="00FC58BE">
              <w:t>0.038450</w:t>
            </w:r>
          </w:p>
        </w:tc>
        <w:tc>
          <w:tcPr>
            <w:cnfStyle w:val="000010000000"/>
            <w:tcW w:w="899" w:type="dxa"/>
            <w:vAlign w:val="center"/>
          </w:tcPr>
          <w:p w:rsidR="00943E59" w:rsidRPr="000E3D6A" w:rsidRDefault="00943E59" w:rsidP="00AC3B23">
            <w:pPr>
              <w:ind w:left="-63" w:right="-104"/>
              <w:jc w:val="center"/>
            </w:pPr>
            <w:r w:rsidRPr="000E3D6A">
              <w:t>0.493467</w:t>
            </w:r>
          </w:p>
        </w:tc>
        <w:tc>
          <w:tcPr>
            <w:tcW w:w="945" w:type="dxa"/>
            <w:vAlign w:val="center"/>
          </w:tcPr>
          <w:p w:rsidR="00943E59" w:rsidRPr="00FE20DB" w:rsidRDefault="00943E59" w:rsidP="00AC3B23">
            <w:pPr>
              <w:ind w:left="-112" w:right="-152"/>
              <w:jc w:val="center"/>
              <w:cnfStyle w:val="000000000000"/>
            </w:pPr>
            <w:r w:rsidRPr="00FE20DB">
              <w:t>16985133</w:t>
            </w:r>
          </w:p>
        </w:tc>
        <w:tc>
          <w:tcPr>
            <w:cnfStyle w:val="000010000000"/>
            <w:tcW w:w="945" w:type="dxa"/>
            <w:vAlign w:val="center"/>
          </w:tcPr>
          <w:p w:rsidR="00943E59" w:rsidRPr="00B879DA" w:rsidRDefault="00943E59" w:rsidP="00AC3B23">
            <w:pPr>
              <w:ind w:left="-64" w:right="-57"/>
              <w:jc w:val="center"/>
            </w:pPr>
            <w:r w:rsidRPr="00B879DA">
              <w:t>1150732</w:t>
            </w:r>
          </w:p>
        </w:tc>
        <w:tc>
          <w:tcPr>
            <w:tcW w:w="808" w:type="dxa"/>
            <w:vAlign w:val="center"/>
          </w:tcPr>
          <w:p w:rsidR="00943E59" w:rsidRPr="00873A1B" w:rsidRDefault="00943E59" w:rsidP="00AC3B23">
            <w:pPr>
              <w:ind w:left="-159" w:right="-100"/>
              <w:jc w:val="center"/>
              <w:cnfStyle w:val="000000000000"/>
            </w:pPr>
            <w:r w:rsidRPr="00873A1B">
              <w:t>0.61000</w:t>
            </w:r>
          </w:p>
        </w:tc>
        <w:tc>
          <w:tcPr>
            <w:cnfStyle w:val="000010000000"/>
            <w:tcW w:w="808" w:type="dxa"/>
            <w:vAlign w:val="center"/>
          </w:tcPr>
          <w:p w:rsidR="00943E59" w:rsidRPr="008D21A5" w:rsidRDefault="00943E59" w:rsidP="00AC3B23">
            <w:pPr>
              <w:ind w:left="-116" w:right="-142"/>
              <w:jc w:val="center"/>
            </w:pPr>
            <w:r w:rsidRPr="008D21A5">
              <w:t>4.78196</w:t>
            </w:r>
          </w:p>
        </w:tc>
      </w:tr>
      <w:tr w:rsidR="00943E59" w:rsidRPr="00EF3B13" w:rsidTr="00AC3B23">
        <w:trPr>
          <w:cnfStyle w:val="000000100000"/>
          <w:trHeight w:val="225"/>
        </w:trPr>
        <w:tc>
          <w:tcPr>
            <w:cnfStyle w:val="001000000000"/>
            <w:tcW w:w="1101" w:type="dxa"/>
            <w:shd w:val="clear" w:color="auto" w:fill="4F81BD" w:themeFill="accent1"/>
            <w:vAlign w:val="center"/>
          </w:tcPr>
          <w:p w:rsidR="00943E59" w:rsidRPr="00AC3B23" w:rsidRDefault="00943E59" w:rsidP="00943E59">
            <w:pPr>
              <w:autoSpaceDE w:val="0"/>
              <w:autoSpaceDN w:val="0"/>
              <w:adjustRightInd w:val="0"/>
              <w:ind w:left="-142" w:right="-108"/>
              <w:jc w:val="center"/>
              <w:rPr>
                <w:rFonts w:cs="Arial"/>
                <w:color w:val="FFFFFF" w:themeColor="background1"/>
                <w:sz w:val="18"/>
                <w:szCs w:val="18"/>
              </w:rPr>
            </w:pPr>
            <w:r w:rsidRPr="00AC3B23">
              <w:rPr>
                <w:rFonts w:cs="Arial"/>
                <w:color w:val="FFFFFF" w:themeColor="background1"/>
                <w:sz w:val="18"/>
                <w:szCs w:val="18"/>
              </w:rPr>
              <w:t>Minimum</w:t>
            </w:r>
          </w:p>
        </w:tc>
        <w:tc>
          <w:tcPr>
            <w:cnfStyle w:val="000010000000"/>
            <w:tcW w:w="850" w:type="dxa"/>
            <w:vAlign w:val="center"/>
          </w:tcPr>
          <w:p w:rsidR="00943E59" w:rsidRPr="00EA03FE" w:rsidRDefault="00943E59" w:rsidP="00943E59">
            <w:pPr>
              <w:ind w:left="-108" w:right="-108"/>
              <w:jc w:val="center"/>
            </w:pPr>
            <w:r w:rsidRPr="00EA03FE">
              <w:t>0.001021</w:t>
            </w:r>
          </w:p>
        </w:tc>
        <w:tc>
          <w:tcPr>
            <w:tcW w:w="1088" w:type="dxa"/>
            <w:vAlign w:val="center"/>
          </w:tcPr>
          <w:p w:rsidR="00943E59" w:rsidRPr="00237174" w:rsidRDefault="00943E59" w:rsidP="00943E59">
            <w:pPr>
              <w:ind w:left="-108" w:right="-154"/>
              <w:jc w:val="center"/>
              <w:cnfStyle w:val="000000100000"/>
            </w:pPr>
            <w:r w:rsidRPr="00237174">
              <w:t>8608.700</w:t>
            </w:r>
          </w:p>
        </w:tc>
        <w:tc>
          <w:tcPr>
            <w:cnfStyle w:val="000010000000"/>
            <w:tcW w:w="945" w:type="dxa"/>
            <w:vAlign w:val="center"/>
          </w:tcPr>
          <w:p w:rsidR="00943E59" w:rsidRPr="008146FE" w:rsidRDefault="00943E59" w:rsidP="00943E59">
            <w:pPr>
              <w:ind w:left="-67" w:right="-60"/>
              <w:jc w:val="center"/>
            </w:pPr>
            <w:r w:rsidRPr="008146FE">
              <w:t>3525050</w:t>
            </w:r>
          </w:p>
        </w:tc>
        <w:tc>
          <w:tcPr>
            <w:tcW w:w="899" w:type="dxa"/>
            <w:vAlign w:val="center"/>
          </w:tcPr>
          <w:p w:rsidR="00943E59" w:rsidRPr="00FC58BE" w:rsidRDefault="00943E59" w:rsidP="00943E59">
            <w:pPr>
              <w:ind w:left="-156" w:right="-153"/>
              <w:jc w:val="center"/>
              <w:cnfStyle w:val="000000100000"/>
            </w:pPr>
            <w:r w:rsidRPr="00FC58BE">
              <w:t>0.009161</w:t>
            </w:r>
          </w:p>
        </w:tc>
        <w:tc>
          <w:tcPr>
            <w:cnfStyle w:val="000010000000"/>
            <w:tcW w:w="899" w:type="dxa"/>
            <w:vAlign w:val="center"/>
          </w:tcPr>
          <w:p w:rsidR="00943E59" w:rsidRPr="000E3D6A" w:rsidRDefault="00943E59" w:rsidP="00AC3B23">
            <w:pPr>
              <w:ind w:left="-63" w:right="-104"/>
              <w:jc w:val="center"/>
            </w:pPr>
            <w:r w:rsidRPr="000E3D6A">
              <w:t>-0.4460</w:t>
            </w:r>
            <w:r w:rsidR="00AC3B23">
              <w:t>9</w:t>
            </w:r>
          </w:p>
        </w:tc>
        <w:tc>
          <w:tcPr>
            <w:tcW w:w="945" w:type="dxa"/>
            <w:vAlign w:val="center"/>
          </w:tcPr>
          <w:p w:rsidR="00943E59" w:rsidRPr="00FE20DB" w:rsidRDefault="00943E59" w:rsidP="00AC3B23">
            <w:pPr>
              <w:ind w:left="-112" w:right="-152"/>
              <w:jc w:val="center"/>
              <w:cnfStyle w:val="000000100000"/>
            </w:pPr>
            <w:r w:rsidRPr="00FE20DB">
              <w:t>14766908</w:t>
            </w:r>
          </w:p>
        </w:tc>
        <w:tc>
          <w:tcPr>
            <w:cnfStyle w:val="000010000000"/>
            <w:tcW w:w="945" w:type="dxa"/>
            <w:vAlign w:val="center"/>
          </w:tcPr>
          <w:p w:rsidR="00943E59" w:rsidRPr="00B879DA" w:rsidRDefault="00943E59" w:rsidP="00AC3B23">
            <w:pPr>
              <w:ind w:left="-64" w:right="-57"/>
              <w:jc w:val="center"/>
            </w:pPr>
            <w:r w:rsidRPr="00B879DA">
              <w:t>8834468</w:t>
            </w:r>
          </w:p>
        </w:tc>
        <w:tc>
          <w:tcPr>
            <w:tcW w:w="808" w:type="dxa"/>
            <w:vAlign w:val="center"/>
          </w:tcPr>
          <w:p w:rsidR="00943E59" w:rsidRPr="00873A1B" w:rsidRDefault="00943E59" w:rsidP="00AC3B23">
            <w:pPr>
              <w:ind w:left="-159" w:right="-100"/>
              <w:jc w:val="center"/>
              <w:cnfStyle w:val="000000100000"/>
            </w:pPr>
            <w:r w:rsidRPr="00873A1B">
              <w:t>0.26000</w:t>
            </w:r>
          </w:p>
        </w:tc>
        <w:tc>
          <w:tcPr>
            <w:cnfStyle w:val="000010000000"/>
            <w:tcW w:w="808" w:type="dxa"/>
            <w:vAlign w:val="center"/>
          </w:tcPr>
          <w:p w:rsidR="00943E59" w:rsidRPr="008D21A5" w:rsidRDefault="00943E59" w:rsidP="00AC3B23">
            <w:pPr>
              <w:ind w:left="-116" w:right="-142"/>
              <w:jc w:val="center"/>
            </w:pPr>
            <w:r w:rsidRPr="008D21A5">
              <w:t>2.5531</w:t>
            </w:r>
            <w:r w:rsidR="00AC3B23">
              <w:t>1</w:t>
            </w:r>
          </w:p>
        </w:tc>
      </w:tr>
      <w:tr w:rsidR="00943E59" w:rsidRPr="00EF3B13" w:rsidTr="00AC3B23">
        <w:trPr>
          <w:trHeight w:val="225"/>
        </w:trPr>
        <w:tc>
          <w:tcPr>
            <w:cnfStyle w:val="001000000000"/>
            <w:tcW w:w="1101" w:type="dxa"/>
            <w:shd w:val="clear" w:color="auto" w:fill="4F81BD" w:themeFill="accent1"/>
            <w:vAlign w:val="center"/>
          </w:tcPr>
          <w:p w:rsidR="00943E59" w:rsidRPr="00AC3B23" w:rsidRDefault="00943E59" w:rsidP="00943E59">
            <w:pPr>
              <w:autoSpaceDE w:val="0"/>
              <w:autoSpaceDN w:val="0"/>
              <w:adjustRightInd w:val="0"/>
              <w:ind w:left="-142" w:right="-108"/>
              <w:jc w:val="center"/>
              <w:rPr>
                <w:rFonts w:cs="Arial"/>
                <w:color w:val="FFFFFF" w:themeColor="background1"/>
                <w:sz w:val="18"/>
                <w:szCs w:val="18"/>
              </w:rPr>
            </w:pPr>
            <w:r w:rsidRPr="00AC3B23">
              <w:rPr>
                <w:rFonts w:cs="Arial"/>
                <w:color w:val="FFFFFF" w:themeColor="background1"/>
                <w:sz w:val="18"/>
                <w:szCs w:val="18"/>
              </w:rPr>
              <w:t>Std. Dev.</w:t>
            </w:r>
          </w:p>
        </w:tc>
        <w:tc>
          <w:tcPr>
            <w:cnfStyle w:val="000010000000"/>
            <w:tcW w:w="850" w:type="dxa"/>
            <w:vAlign w:val="center"/>
          </w:tcPr>
          <w:p w:rsidR="00943E59" w:rsidRPr="00EA03FE" w:rsidRDefault="00943E59" w:rsidP="00943E59">
            <w:pPr>
              <w:ind w:left="-108" w:right="-108"/>
              <w:jc w:val="center"/>
            </w:pPr>
            <w:r w:rsidRPr="00EA03FE">
              <w:t>3.823155</w:t>
            </w:r>
          </w:p>
        </w:tc>
        <w:tc>
          <w:tcPr>
            <w:tcW w:w="1088" w:type="dxa"/>
            <w:vAlign w:val="center"/>
          </w:tcPr>
          <w:p w:rsidR="00943E59" w:rsidRPr="00237174" w:rsidRDefault="00943E59" w:rsidP="00943E59">
            <w:pPr>
              <w:ind w:left="-108" w:right="-154"/>
              <w:jc w:val="center"/>
              <w:cnfStyle w:val="000000000000"/>
            </w:pPr>
            <w:r w:rsidRPr="00237174">
              <w:t>789.5663</w:t>
            </w:r>
          </w:p>
        </w:tc>
        <w:tc>
          <w:tcPr>
            <w:cnfStyle w:val="000010000000"/>
            <w:tcW w:w="945" w:type="dxa"/>
            <w:vAlign w:val="center"/>
          </w:tcPr>
          <w:p w:rsidR="00943E59" w:rsidRPr="008146FE" w:rsidRDefault="00943E59" w:rsidP="00943E59">
            <w:pPr>
              <w:ind w:left="-67" w:right="-60"/>
              <w:jc w:val="center"/>
            </w:pPr>
            <w:r w:rsidRPr="008146FE">
              <w:t>2662035</w:t>
            </w:r>
          </w:p>
        </w:tc>
        <w:tc>
          <w:tcPr>
            <w:tcW w:w="899" w:type="dxa"/>
            <w:vAlign w:val="center"/>
          </w:tcPr>
          <w:p w:rsidR="00943E59" w:rsidRPr="00FC58BE" w:rsidRDefault="00943E59" w:rsidP="00943E59">
            <w:pPr>
              <w:ind w:left="-156" w:right="-153"/>
              <w:jc w:val="center"/>
              <w:cnfStyle w:val="000000000000"/>
            </w:pPr>
            <w:r w:rsidRPr="00FC58BE">
              <w:t>0.008508</w:t>
            </w:r>
          </w:p>
        </w:tc>
        <w:tc>
          <w:tcPr>
            <w:cnfStyle w:val="000010000000"/>
            <w:tcW w:w="899" w:type="dxa"/>
            <w:vAlign w:val="center"/>
          </w:tcPr>
          <w:p w:rsidR="00943E59" w:rsidRPr="000E3D6A" w:rsidRDefault="00943E59" w:rsidP="00AC3B23">
            <w:pPr>
              <w:ind w:left="-63" w:right="-104"/>
              <w:jc w:val="center"/>
            </w:pPr>
            <w:r w:rsidRPr="000E3D6A">
              <w:t>0.154369</w:t>
            </w:r>
          </w:p>
        </w:tc>
        <w:tc>
          <w:tcPr>
            <w:tcW w:w="945" w:type="dxa"/>
            <w:vAlign w:val="center"/>
          </w:tcPr>
          <w:p w:rsidR="00943E59" w:rsidRPr="00FE20DB" w:rsidRDefault="00943E59" w:rsidP="00AC3B23">
            <w:pPr>
              <w:ind w:left="-112" w:right="-152"/>
              <w:jc w:val="center"/>
              <w:cnfStyle w:val="000000000000"/>
            </w:pPr>
            <w:r w:rsidRPr="00FE20DB">
              <w:t>669523.0</w:t>
            </w:r>
          </w:p>
        </w:tc>
        <w:tc>
          <w:tcPr>
            <w:cnfStyle w:val="000010000000"/>
            <w:tcW w:w="945" w:type="dxa"/>
            <w:vAlign w:val="center"/>
          </w:tcPr>
          <w:p w:rsidR="00943E59" w:rsidRPr="00B879DA" w:rsidRDefault="00943E59" w:rsidP="00AC3B23">
            <w:pPr>
              <w:ind w:left="-64" w:right="-57"/>
              <w:jc w:val="center"/>
            </w:pPr>
            <w:r w:rsidRPr="00B879DA">
              <w:t>778297.1</w:t>
            </w:r>
          </w:p>
        </w:tc>
        <w:tc>
          <w:tcPr>
            <w:tcW w:w="808" w:type="dxa"/>
            <w:vAlign w:val="center"/>
          </w:tcPr>
          <w:p w:rsidR="00943E59" w:rsidRPr="00873A1B" w:rsidRDefault="00943E59" w:rsidP="00AC3B23">
            <w:pPr>
              <w:ind w:left="-159" w:right="-100"/>
              <w:jc w:val="center"/>
              <w:cnfStyle w:val="000000000000"/>
            </w:pPr>
            <w:r w:rsidRPr="00873A1B">
              <w:t>0.0822</w:t>
            </w:r>
            <w:r w:rsidR="00AC3B23">
              <w:t>3</w:t>
            </w:r>
          </w:p>
        </w:tc>
        <w:tc>
          <w:tcPr>
            <w:cnfStyle w:val="000010000000"/>
            <w:tcW w:w="808" w:type="dxa"/>
            <w:vAlign w:val="center"/>
          </w:tcPr>
          <w:p w:rsidR="00943E59" w:rsidRPr="008D21A5" w:rsidRDefault="00943E59" w:rsidP="00AC3B23">
            <w:pPr>
              <w:ind w:left="-116" w:right="-142"/>
              <w:jc w:val="center"/>
            </w:pPr>
            <w:r w:rsidRPr="008D21A5">
              <w:t>0.5535</w:t>
            </w:r>
            <w:r w:rsidR="00AC3B23">
              <w:t>1</w:t>
            </w:r>
          </w:p>
        </w:tc>
      </w:tr>
      <w:tr w:rsidR="00943E59" w:rsidRPr="00EF3B13" w:rsidTr="00AC3B23">
        <w:trPr>
          <w:cnfStyle w:val="000000100000"/>
          <w:trHeight w:val="225"/>
        </w:trPr>
        <w:tc>
          <w:tcPr>
            <w:cnfStyle w:val="001000000000"/>
            <w:tcW w:w="1101" w:type="dxa"/>
            <w:shd w:val="clear" w:color="auto" w:fill="4F81BD" w:themeFill="accent1"/>
            <w:vAlign w:val="center"/>
          </w:tcPr>
          <w:p w:rsidR="00943E59" w:rsidRPr="00AC3B23" w:rsidRDefault="00943E59" w:rsidP="00943E59">
            <w:pPr>
              <w:autoSpaceDE w:val="0"/>
              <w:autoSpaceDN w:val="0"/>
              <w:adjustRightInd w:val="0"/>
              <w:ind w:left="-142" w:right="-108"/>
              <w:jc w:val="center"/>
              <w:rPr>
                <w:rFonts w:cs="Arial"/>
                <w:color w:val="FFFFFF" w:themeColor="background1"/>
                <w:sz w:val="18"/>
                <w:szCs w:val="18"/>
              </w:rPr>
            </w:pPr>
            <w:r w:rsidRPr="00AC3B23">
              <w:rPr>
                <w:rFonts w:cs="Arial"/>
                <w:color w:val="FFFFFF" w:themeColor="background1"/>
                <w:sz w:val="18"/>
                <w:szCs w:val="18"/>
              </w:rPr>
              <w:t>Skewness</w:t>
            </w:r>
          </w:p>
        </w:tc>
        <w:tc>
          <w:tcPr>
            <w:cnfStyle w:val="000010000000"/>
            <w:tcW w:w="850" w:type="dxa"/>
            <w:vAlign w:val="center"/>
          </w:tcPr>
          <w:p w:rsidR="00943E59" w:rsidRPr="00EA03FE" w:rsidRDefault="00943E59" w:rsidP="00943E59">
            <w:pPr>
              <w:ind w:left="-108" w:right="-108"/>
              <w:jc w:val="center"/>
            </w:pPr>
            <w:r w:rsidRPr="00EA03FE">
              <w:t>3.254659</w:t>
            </w:r>
          </w:p>
        </w:tc>
        <w:tc>
          <w:tcPr>
            <w:tcW w:w="1088" w:type="dxa"/>
            <w:vAlign w:val="center"/>
          </w:tcPr>
          <w:p w:rsidR="00943E59" w:rsidRPr="00237174" w:rsidRDefault="00943E59" w:rsidP="00943E59">
            <w:pPr>
              <w:ind w:left="-108" w:right="-154"/>
              <w:jc w:val="center"/>
              <w:cnfStyle w:val="000000100000"/>
            </w:pPr>
            <w:r w:rsidRPr="00237174">
              <w:t>-0.129500</w:t>
            </w:r>
          </w:p>
        </w:tc>
        <w:tc>
          <w:tcPr>
            <w:cnfStyle w:val="000010000000"/>
            <w:tcW w:w="945" w:type="dxa"/>
            <w:vAlign w:val="center"/>
          </w:tcPr>
          <w:p w:rsidR="00943E59" w:rsidRPr="008146FE" w:rsidRDefault="00943E59" w:rsidP="00AC3B23">
            <w:pPr>
              <w:ind w:left="-67" w:right="-60"/>
              <w:jc w:val="center"/>
            </w:pPr>
            <w:r w:rsidRPr="008146FE">
              <w:t>-0.3437</w:t>
            </w:r>
            <w:r w:rsidR="00AC3B23">
              <w:t>6</w:t>
            </w:r>
          </w:p>
        </w:tc>
        <w:tc>
          <w:tcPr>
            <w:tcW w:w="899" w:type="dxa"/>
            <w:vAlign w:val="center"/>
          </w:tcPr>
          <w:p w:rsidR="00943E59" w:rsidRPr="00FC58BE" w:rsidRDefault="00943E59" w:rsidP="00943E59">
            <w:pPr>
              <w:ind w:left="-156" w:right="-153"/>
              <w:jc w:val="center"/>
              <w:cnfStyle w:val="000000100000"/>
            </w:pPr>
            <w:r w:rsidRPr="00FC58BE">
              <w:t>0.788702</w:t>
            </w:r>
          </w:p>
        </w:tc>
        <w:tc>
          <w:tcPr>
            <w:cnfStyle w:val="000010000000"/>
            <w:tcW w:w="899" w:type="dxa"/>
            <w:vAlign w:val="center"/>
          </w:tcPr>
          <w:p w:rsidR="00943E59" w:rsidRPr="000E3D6A" w:rsidRDefault="00943E59" w:rsidP="00AC3B23">
            <w:pPr>
              <w:ind w:left="-63" w:right="-104"/>
              <w:jc w:val="center"/>
            </w:pPr>
            <w:r w:rsidRPr="000E3D6A">
              <w:t>0.032659</w:t>
            </w:r>
          </w:p>
        </w:tc>
        <w:tc>
          <w:tcPr>
            <w:tcW w:w="945" w:type="dxa"/>
            <w:vAlign w:val="center"/>
          </w:tcPr>
          <w:p w:rsidR="00943E59" w:rsidRPr="00FE20DB" w:rsidRDefault="00943E59" w:rsidP="00AC3B23">
            <w:pPr>
              <w:ind w:left="-112" w:right="-152"/>
              <w:jc w:val="center"/>
              <w:cnfStyle w:val="000000100000"/>
            </w:pPr>
            <w:r w:rsidRPr="00FE20DB">
              <w:t>-0.011249</w:t>
            </w:r>
          </w:p>
        </w:tc>
        <w:tc>
          <w:tcPr>
            <w:cnfStyle w:val="000010000000"/>
            <w:tcW w:w="945" w:type="dxa"/>
            <w:vAlign w:val="center"/>
          </w:tcPr>
          <w:p w:rsidR="00943E59" w:rsidRPr="00B879DA" w:rsidRDefault="00943E59" w:rsidP="00AC3B23">
            <w:pPr>
              <w:ind w:left="-64" w:right="-57"/>
              <w:jc w:val="center"/>
            </w:pPr>
            <w:r w:rsidRPr="00B879DA">
              <w:t>-0.04909</w:t>
            </w:r>
          </w:p>
        </w:tc>
        <w:tc>
          <w:tcPr>
            <w:tcW w:w="808" w:type="dxa"/>
            <w:vAlign w:val="center"/>
          </w:tcPr>
          <w:p w:rsidR="00943E59" w:rsidRPr="00873A1B" w:rsidRDefault="00943E59" w:rsidP="00AC3B23">
            <w:pPr>
              <w:ind w:left="-159" w:right="-100"/>
              <w:jc w:val="center"/>
              <w:cnfStyle w:val="000000100000"/>
            </w:pPr>
            <w:r w:rsidRPr="00873A1B">
              <w:t>0.2475</w:t>
            </w:r>
            <w:r w:rsidR="00AC3B23">
              <w:t>4</w:t>
            </w:r>
          </w:p>
        </w:tc>
        <w:tc>
          <w:tcPr>
            <w:cnfStyle w:val="000010000000"/>
            <w:tcW w:w="808" w:type="dxa"/>
            <w:vAlign w:val="center"/>
          </w:tcPr>
          <w:p w:rsidR="00943E59" w:rsidRPr="008D21A5" w:rsidRDefault="00943E59" w:rsidP="00AC3B23">
            <w:pPr>
              <w:ind w:left="-116" w:right="-142"/>
              <w:jc w:val="center"/>
            </w:pPr>
            <w:r w:rsidRPr="008D21A5">
              <w:t>0.0371</w:t>
            </w:r>
            <w:r w:rsidR="00AC3B23">
              <w:t>7</w:t>
            </w:r>
          </w:p>
        </w:tc>
      </w:tr>
      <w:tr w:rsidR="00943E59" w:rsidRPr="00EF3B13" w:rsidTr="00AC3B23">
        <w:trPr>
          <w:trHeight w:val="225"/>
        </w:trPr>
        <w:tc>
          <w:tcPr>
            <w:cnfStyle w:val="001000000000"/>
            <w:tcW w:w="1101" w:type="dxa"/>
            <w:shd w:val="clear" w:color="auto" w:fill="4F81BD" w:themeFill="accent1"/>
            <w:vAlign w:val="center"/>
          </w:tcPr>
          <w:p w:rsidR="00943E59" w:rsidRPr="00AC3B23" w:rsidRDefault="00943E59" w:rsidP="00943E59">
            <w:pPr>
              <w:autoSpaceDE w:val="0"/>
              <w:autoSpaceDN w:val="0"/>
              <w:adjustRightInd w:val="0"/>
              <w:ind w:left="-142" w:right="-108"/>
              <w:jc w:val="center"/>
              <w:rPr>
                <w:rFonts w:cs="Arial"/>
                <w:color w:val="FFFFFF" w:themeColor="background1"/>
                <w:sz w:val="18"/>
                <w:szCs w:val="18"/>
              </w:rPr>
            </w:pPr>
            <w:r w:rsidRPr="00AC3B23">
              <w:rPr>
                <w:rFonts w:cs="Arial"/>
                <w:color w:val="FFFFFF" w:themeColor="background1"/>
                <w:sz w:val="18"/>
                <w:szCs w:val="18"/>
              </w:rPr>
              <w:t>Kurtosis</w:t>
            </w:r>
          </w:p>
        </w:tc>
        <w:tc>
          <w:tcPr>
            <w:cnfStyle w:val="000010000000"/>
            <w:tcW w:w="850" w:type="dxa"/>
            <w:vAlign w:val="center"/>
          </w:tcPr>
          <w:p w:rsidR="00943E59" w:rsidRDefault="00943E59" w:rsidP="00943E59">
            <w:pPr>
              <w:ind w:left="-108" w:right="-108"/>
              <w:jc w:val="center"/>
            </w:pPr>
            <w:r w:rsidRPr="00EA03FE">
              <w:t>12.44863</w:t>
            </w:r>
          </w:p>
        </w:tc>
        <w:tc>
          <w:tcPr>
            <w:tcW w:w="1088" w:type="dxa"/>
            <w:vAlign w:val="center"/>
          </w:tcPr>
          <w:p w:rsidR="00943E59" w:rsidRDefault="00943E59" w:rsidP="00943E59">
            <w:pPr>
              <w:ind w:left="-108" w:right="-154"/>
              <w:jc w:val="center"/>
              <w:cnfStyle w:val="000000000000"/>
            </w:pPr>
            <w:r w:rsidRPr="00237174">
              <w:t>1.767407</w:t>
            </w:r>
          </w:p>
        </w:tc>
        <w:tc>
          <w:tcPr>
            <w:cnfStyle w:val="000010000000"/>
            <w:tcW w:w="945" w:type="dxa"/>
            <w:vAlign w:val="center"/>
          </w:tcPr>
          <w:p w:rsidR="00943E59" w:rsidRDefault="00943E59" w:rsidP="00943E59">
            <w:pPr>
              <w:ind w:left="-67" w:right="-60"/>
              <w:jc w:val="center"/>
            </w:pPr>
            <w:r w:rsidRPr="008146FE">
              <w:t>1.879386</w:t>
            </w:r>
          </w:p>
        </w:tc>
        <w:tc>
          <w:tcPr>
            <w:tcW w:w="899" w:type="dxa"/>
            <w:vAlign w:val="center"/>
          </w:tcPr>
          <w:p w:rsidR="00943E59" w:rsidRDefault="00943E59" w:rsidP="00943E59">
            <w:pPr>
              <w:ind w:left="-156" w:right="-153"/>
              <w:jc w:val="center"/>
              <w:cnfStyle w:val="000000000000"/>
            </w:pPr>
            <w:r w:rsidRPr="00FC58BE">
              <w:t>2.278221</w:t>
            </w:r>
          </w:p>
        </w:tc>
        <w:tc>
          <w:tcPr>
            <w:cnfStyle w:val="000010000000"/>
            <w:tcW w:w="899" w:type="dxa"/>
            <w:vAlign w:val="center"/>
          </w:tcPr>
          <w:p w:rsidR="00943E59" w:rsidRDefault="00943E59" w:rsidP="00AC3B23">
            <w:pPr>
              <w:ind w:left="-63" w:right="-104"/>
              <w:jc w:val="center"/>
            </w:pPr>
            <w:r w:rsidRPr="000E3D6A">
              <w:t>4.586013</w:t>
            </w:r>
          </w:p>
        </w:tc>
        <w:tc>
          <w:tcPr>
            <w:tcW w:w="945" w:type="dxa"/>
            <w:vAlign w:val="center"/>
          </w:tcPr>
          <w:p w:rsidR="00943E59" w:rsidRDefault="00943E59" w:rsidP="00AC3B23">
            <w:pPr>
              <w:ind w:left="-112" w:right="-152"/>
              <w:jc w:val="center"/>
              <w:cnfStyle w:val="000000000000"/>
            </w:pPr>
            <w:r w:rsidRPr="00FE20DB">
              <w:t>1.699091</w:t>
            </w:r>
          </w:p>
        </w:tc>
        <w:tc>
          <w:tcPr>
            <w:cnfStyle w:val="000010000000"/>
            <w:tcW w:w="945" w:type="dxa"/>
            <w:vAlign w:val="center"/>
          </w:tcPr>
          <w:p w:rsidR="00943E59" w:rsidRDefault="00943E59" w:rsidP="00AC3B23">
            <w:pPr>
              <w:ind w:left="-64" w:right="-57"/>
              <w:jc w:val="center"/>
            </w:pPr>
            <w:r w:rsidRPr="00B879DA">
              <w:t>1.823807</w:t>
            </w:r>
          </w:p>
        </w:tc>
        <w:tc>
          <w:tcPr>
            <w:tcW w:w="808" w:type="dxa"/>
            <w:vAlign w:val="center"/>
          </w:tcPr>
          <w:p w:rsidR="00943E59" w:rsidRDefault="00943E59" w:rsidP="00AC3B23">
            <w:pPr>
              <w:ind w:left="-159" w:right="-100"/>
              <w:jc w:val="center"/>
              <w:cnfStyle w:val="000000000000"/>
            </w:pPr>
            <w:r w:rsidRPr="00873A1B">
              <w:t>2.01058</w:t>
            </w:r>
          </w:p>
        </w:tc>
        <w:tc>
          <w:tcPr>
            <w:cnfStyle w:val="000010000000"/>
            <w:tcW w:w="808" w:type="dxa"/>
            <w:vAlign w:val="center"/>
          </w:tcPr>
          <w:p w:rsidR="00943E59" w:rsidRDefault="00943E59" w:rsidP="00AC3B23">
            <w:pPr>
              <w:ind w:left="-116" w:right="-142"/>
              <w:jc w:val="center"/>
            </w:pPr>
            <w:r w:rsidRPr="008D21A5">
              <w:t>2.02498</w:t>
            </w:r>
          </w:p>
        </w:tc>
      </w:tr>
      <w:tr w:rsidR="00943E59" w:rsidRPr="00EF3B13" w:rsidTr="00AC3B23">
        <w:trPr>
          <w:cnfStyle w:val="000000100000"/>
          <w:trHeight w:val="225"/>
        </w:trPr>
        <w:tc>
          <w:tcPr>
            <w:cnfStyle w:val="001000000000"/>
            <w:tcW w:w="1101" w:type="dxa"/>
            <w:shd w:val="clear" w:color="auto" w:fill="4F81BD" w:themeFill="accent1"/>
            <w:vAlign w:val="center"/>
          </w:tcPr>
          <w:p w:rsidR="00943E59" w:rsidRPr="00AC3B23" w:rsidRDefault="00943E59" w:rsidP="00943E59">
            <w:pPr>
              <w:autoSpaceDE w:val="0"/>
              <w:autoSpaceDN w:val="0"/>
              <w:adjustRightInd w:val="0"/>
              <w:ind w:left="-142" w:right="-108"/>
              <w:jc w:val="center"/>
              <w:rPr>
                <w:rFonts w:cs="Arial"/>
                <w:color w:val="FFFFFF" w:themeColor="background1"/>
                <w:sz w:val="18"/>
                <w:szCs w:val="18"/>
              </w:rPr>
            </w:pPr>
            <w:r w:rsidRPr="00AC3B23">
              <w:rPr>
                <w:rFonts w:cs="Arial"/>
                <w:color w:val="FFFFFF" w:themeColor="background1"/>
                <w:sz w:val="18"/>
                <w:szCs w:val="18"/>
              </w:rPr>
              <w:t>Sum</w:t>
            </w:r>
          </w:p>
        </w:tc>
        <w:tc>
          <w:tcPr>
            <w:cnfStyle w:val="000010000000"/>
            <w:tcW w:w="850" w:type="dxa"/>
            <w:vAlign w:val="center"/>
          </w:tcPr>
          <w:p w:rsidR="00943E59" w:rsidRPr="004828A7" w:rsidRDefault="00943E59" w:rsidP="00943E59">
            <w:pPr>
              <w:ind w:left="-108" w:right="-108"/>
              <w:jc w:val="center"/>
            </w:pPr>
            <w:r w:rsidRPr="004828A7">
              <w:t>275.9924</w:t>
            </w:r>
          </w:p>
        </w:tc>
        <w:tc>
          <w:tcPr>
            <w:tcW w:w="1088" w:type="dxa"/>
            <w:vAlign w:val="center"/>
          </w:tcPr>
          <w:p w:rsidR="00943E59" w:rsidRPr="008B77B8" w:rsidRDefault="00943E59" w:rsidP="00943E59">
            <w:pPr>
              <w:ind w:left="-108" w:right="-154"/>
              <w:jc w:val="center"/>
              <w:cnfStyle w:val="000000100000"/>
            </w:pPr>
            <w:r w:rsidRPr="008B77B8">
              <w:t>1921132.</w:t>
            </w:r>
          </w:p>
        </w:tc>
        <w:tc>
          <w:tcPr>
            <w:cnfStyle w:val="000010000000"/>
            <w:tcW w:w="945" w:type="dxa"/>
            <w:vAlign w:val="center"/>
          </w:tcPr>
          <w:p w:rsidR="00943E59" w:rsidRPr="00596D10" w:rsidRDefault="00943E59" w:rsidP="00943E59">
            <w:pPr>
              <w:ind w:left="-67" w:right="-60"/>
              <w:jc w:val="center"/>
            </w:pPr>
            <w:r w:rsidRPr="00596D10">
              <w:t>1.70E+09</w:t>
            </w:r>
          </w:p>
        </w:tc>
        <w:tc>
          <w:tcPr>
            <w:tcW w:w="899" w:type="dxa"/>
            <w:vAlign w:val="center"/>
          </w:tcPr>
          <w:p w:rsidR="00943E59" w:rsidRPr="004B5BFB" w:rsidRDefault="00943E59" w:rsidP="00943E59">
            <w:pPr>
              <w:ind w:left="-156" w:right="-153"/>
              <w:jc w:val="center"/>
              <w:cnfStyle w:val="000000100000"/>
            </w:pPr>
            <w:r w:rsidRPr="004B5BFB">
              <w:t>3.971768</w:t>
            </w:r>
          </w:p>
        </w:tc>
        <w:tc>
          <w:tcPr>
            <w:cnfStyle w:val="000010000000"/>
            <w:tcW w:w="899" w:type="dxa"/>
            <w:vAlign w:val="center"/>
          </w:tcPr>
          <w:p w:rsidR="00943E59" w:rsidRPr="00303076" w:rsidRDefault="00943E59" w:rsidP="00AC3B23">
            <w:pPr>
              <w:ind w:left="-63" w:right="-104"/>
              <w:jc w:val="center"/>
            </w:pPr>
            <w:r w:rsidRPr="00303076">
              <w:t>-6.04250</w:t>
            </w:r>
          </w:p>
        </w:tc>
        <w:tc>
          <w:tcPr>
            <w:tcW w:w="945" w:type="dxa"/>
            <w:vAlign w:val="center"/>
          </w:tcPr>
          <w:p w:rsidR="00943E59" w:rsidRPr="00E45DDE" w:rsidRDefault="00943E59" w:rsidP="00AC3B23">
            <w:pPr>
              <w:ind w:left="-112" w:right="-152"/>
              <w:jc w:val="center"/>
              <w:cnfStyle w:val="000000100000"/>
            </w:pPr>
            <w:r w:rsidRPr="00E45DDE">
              <w:t>3.08E+09</w:t>
            </w:r>
          </w:p>
        </w:tc>
        <w:tc>
          <w:tcPr>
            <w:cnfStyle w:val="000010000000"/>
            <w:tcW w:w="945" w:type="dxa"/>
            <w:vAlign w:val="center"/>
          </w:tcPr>
          <w:p w:rsidR="00943E59" w:rsidRPr="00272522" w:rsidRDefault="00943E59" w:rsidP="00AC3B23">
            <w:pPr>
              <w:ind w:left="-64" w:right="-57"/>
              <w:jc w:val="center"/>
            </w:pPr>
            <w:r w:rsidRPr="00272522">
              <w:t>1.98E+09</w:t>
            </w:r>
          </w:p>
        </w:tc>
        <w:tc>
          <w:tcPr>
            <w:tcW w:w="808" w:type="dxa"/>
            <w:vAlign w:val="center"/>
          </w:tcPr>
          <w:p w:rsidR="00943E59" w:rsidRPr="003428BD" w:rsidRDefault="00943E59" w:rsidP="00AC3B23">
            <w:pPr>
              <w:ind w:left="-159" w:right="-100"/>
              <w:jc w:val="center"/>
              <w:cnfStyle w:val="000000100000"/>
            </w:pPr>
            <w:r w:rsidRPr="003428BD">
              <w:t>71.5400</w:t>
            </w:r>
          </w:p>
        </w:tc>
        <w:tc>
          <w:tcPr>
            <w:cnfStyle w:val="000010000000"/>
            <w:tcW w:w="808" w:type="dxa"/>
            <w:vAlign w:val="center"/>
          </w:tcPr>
          <w:p w:rsidR="00943E59" w:rsidRPr="003E3D9E" w:rsidRDefault="00943E59" w:rsidP="00AC3B23">
            <w:pPr>
              <w:ind w:left="-116" w:right="-142"/>
              <w:jc w:val="center"/>
            </w:pPr>
            <w:r w:rsidRPr="003E3D9E">
              <w:t>704.81</w:t>
            </w:r>
            <w:r w:rsidR="00AC3B23">
              <w:t>6</w:t>
            </w:r>
          </w:p>
        </w:tc>
      </w:tr>
      <w:tr w:rsidR="00943E59" w:rsidRPr="00EF3B13" w:rsidTr="00AC3B23">
        <w:trPr>
          <w:trHeight w:val="225"/>
        </w:trPr>
        <w:tc>
          <w:tcPr>
            <w:cnfStyle w:val="001000000000"/>
            <w:tcW w:w="1101" w:type="dxa"/>
            <w:shd w:val="clear" w:color="auto" w:fill="4F81BD" w:themeFill="accent1"/>
            <w:vAlign w:val="center"/>
          </w:tcPr>
          <w:p w:rsidR="00943E59" w:rsidRPr="00AC3B23" w:rsidRDefault="00943E59" w:rsidP="00943E59">
            <w:pPr>
              <w:autoSpaceDE w:val="0"/>
              <w:autoSpaceDN w:val="0"/>
              <w:adjustRightInd w:val="0"/>
              <w:ind w:left="-142" w:right="-108"/>
              <w:jc w:val="center"/>
              <w:rPr>
                <w:rFonts w:cs="Arial"/>
                <w:color w:val="FFFFFF" w:themeColor="background1"/>
                <w:sz w:val="18"/>
                <w:szCs w:val="18"/>
              </w:rPr>
            </w:pPr>
            <w:r w:rsidRPr="00AC3B23">
              <w:rPr>
                <w:rFonts w:cs="Arial"/>
                <w:color w:val="FFFFFF" w:themeColor="background1"/>
                <w:sz w:val="18"/>
                <w:szCs w:val="18"/>
              </w:rPr>
              <w:t>Sum Sq. Dev.</w:t>
            </w:r>
          </w:p>
        </w:tc>
        <w:tc>
          <w:tcPr>
            <w:cnfStyle w:val="000010000000"/>
            <w:tcW w:w="850" w:type="dxa"/>
            <w:vAlign w:val="center"/>
          </w:tcPr>
          <w:p w:rsidR="00943E59" w:rsidRDefault="00943E59" w:rsidP="00943E59">
            <w:pPr>
              <w:ind w:left="-108" w:right="-108"/>
              <w:jc w:val="center"/>
            </w:pPr>
            <w:r w:rsidRPr="004828A7">
              <w:t>2820.988</w:t>
            </w:r>
          </w:p>
        </w:tc>
        <w:tc>
          <w:tcPr>
            <w:tcW w:w="1088" w:type="dxa"/>
            <w:vAlign w:val="center"/>
          </w:tcPr>
          <w:p w:rsidR="00943E59" w:rsidRDefault="00943E59" w:rsidP="00943E59">
            <w:pPr>
              <w:ind w:left="-108" w:right="-154"/>
              <w:jc w:val="center"/>
              <w:cnfStyle w:val="000000000000"/>
            </w:pPr>
            <w:r w:rsidRPr="008B77B8">
              <w:t>1.20E+08</w:t>
            </w:r>
          </w:p>
        </w:tc>
        <w:tc>
          <w:tcPr>
            <w:cnfStyle w:val="000010000000"/>
            <w:tcW w:w="945" w:type="dxa"/>
            <w:vAlign w:val="center"/>
          </w:tcPr>
          <w:p w:rsidR="00943E59" w:rsidRDefault="00943E59" w:rsidP="00943E59">
            <w:pPr>
              <w:ind w:left="-67" w:right="-60"/>
              <w:jc w:val="center"/>
            </w:pPr>
            <w:r w:rsidRPr="00596D10">
              <w:t>1.37E+15</w:t>
            </w:r>
          </w:p>
        </w:tc>
        <w:tc>
          <w:tcPr>
            <w:tcW w:w="899" w:type="dxa"/>
            <w:vAlign w:val="center"/>
          </w:tcPr>
          <w:p w:rsidR="00943E59" w:rsidRDefault="00943E59" w:rsidP="00943E59">
            <w:pPr>
              <w:ind w:left="-156" w:right="-153"/>
              <w:jc w:val="center"/>
              <w:cnfStyle w:val="000000000000"/>
            </w:pPr>
            <w:r w:rsidRPr="004B5BFB">
              <w:t>0.013972</w:t>
            </w:r>
          </w:p>
        </w:tc>
        <w:tc>
          <w:tcPr>
            <w:cnfStyle w:val="000010000000"/>
            <w:tcW w:w="899" w:type="dxa"/>
            <w:vAlign w:val="center"/>
          </w:tcPr>
          <w:p w:rsidR="00943E59" w:rsidRDefault="00943E59" w:rsidP="00AC3B23">
            <w:pPr>
              <w:ind w:left="-63" w:right="-104"/>
              <w:jc w:val="center"/>
            </w:pPr>
            <w:r w:rsidRPr="00303076">
              <w:t>4.599173</w:t>
            </w:r>
          </w:p>
        </w:tc>
        <w:tc>
          <w:tcPr>
            <w:tcW w:w="945" w:type="dxa"/>
            <w:vAlign w:val="center"/>
          </w:tcPr>
          <w:p w:rsidR="00943E59" w:rsidRDefault="00943E59" w:rsidP="00AC3B23">
            <w:pPr>
              <w:ind w:left="-112" w:right="-152"/>
              <w:jc w:val="center"/>
              <w:cnfStyle w:val="000000000000"/>
            </w:pPr>
            <w:r w:rsidRPr="00E45DDE">
              <w:t>8.65E+13</w:t>
            </w:r>
          </w:p>
        </w:tc>
        <w:tc>
          <w:tcPr>
            <w:cnfStyle w:val="000010000000"/>
            <w:tcW w:w="945" w:type="dxa"/>
            <w:vAlign w:val="center"/>
          </w:tcPr>
          <w:p w:rsidR="00943E59" w:rsidRDefault="00943E59" w:rsidP="00AC3B23">
            <w:pPr>
              <w:ind w:left="-64" w:right="-57"/>
              <w:jc w:val="center"/>
            </w:pPr>
            <w:r w:rsidRPr="00272522">
              <w:t>1.17E+14</w:t>
            </w:r>
          </w:p>
        </w:tc>
        <w:tc>
          <w:tcPr>
            <w:tcW w:w="808" w:type="dxa"/>
            <w:vAlign w:val="center"/>
          </w:tcPr>
          <w:p w:rsidR="00943E59" w:rsidRDefault="00943E59" w:rsidP="00AC3B23">
            <w:pPr>
              <w:ind w:left="-159" w:right="-100"/>
              <w:jc w:val="center"/>
              <w:cnfStyle w:val="000000000000"/>
            </w:pPr>
            <w:r w:rsidRPr="003428BD">
              <w:t>1.30490</w:t>
            </w:r>
          </w:p>
        </w:tc>
        <w:tc>
          <w:tcPr>
            <w:cnfStyle w:val="000010000000"/>
            <w:tcW w:w="808" w:type="dxa"/>
            <w:vAlign w:val="center"/>
          </w:tcPr>
          <w:p w:rsidR="00943E59" w:rsidRDefault="00943E59" w:rsidP="00AC3B23">
            <w:pPr>
              <w:ind w:left="-116" w:right="-142"/>
              <w:jc w:val="center"/>
            </w:pPr>
            <w:r w:rsidRPr="003E3D9E">
              <w:t>59.129</w:t>
            </w:r>
            <w:r w:rsidR="00AC3B23">
              <w:t>4</w:t>
            </w:r>
          </w:p>
        </w:tc>
      </w:tr>
      <w:tr w:rsidR="00943E59" w:rsidRPr="00EF3B13" w:rsidTr="00AC3B23">
        <w:trPr>
          <w:cnfStyle w:val="000000100000"/>
          <w:trHeight w:val="225"/>
        </w:trPr>
        <w:tc>
          <w:tcPr>
            <w:cnfStyle w:val="001000000000"/>
            <w:tcW w:w="1101" w:type="dxa"/>
            <w:shd w:val="clear" w:color="auto" w:fill="4F81BD" w:themeFill="accent1"/>
            <w:vAlign w:val="center"/>
          </w:tcPr>
          <w:p w:rsidR="00D27663" w:rsidRPr="00AC3B23" w:rsidRDefault="00D27663" w:rsidP="00943E59">
            <w:pPr>
              <w:autoSpaceDE w:val="0"/>
              <w:autoSpaceDN w:val="0"/>
              <w:adjustRightInd w:val="0"/>
              <w:ind w:left="-142" w:right="-108"/>
              <w:jc w:val="center"/>
              <w:rPr>
                <w:rFonts w:cs="Arial"/>
                <w:color w:val="FFFFFF" w:themeColor="background1"/>
                <w:sz w:val="18"/>
                <w:szCs w:val="18"/>
              </w:rPr>
            </w:pPr>
            <w:r w:rsidRPr="00AC3B23">
              <w:rPr>
                <w:rFonts w:cs="Arial"/>
                <w:color w:val="FFFFFF" w:themeColor="background1"/>
                <w:sz w:val="18"/>
                <w:szCs w:val="18"/>
              </w:rPr>
              <w:t>Observations</w:t>
            </w:r>
          </w:p>
        </w:tc>
        <w:tc>
          <w:tcPr>
            <w:cnfStyle w:val="000010000000"/>
            <w:tcW w:w="850" w:type="dxa"/>
            <w:vAlign w:val="center"/>
          </w:tcPr>
          <w:p w:rsidR="00D27663" w:rsidRPr="00101832" w:rsidRDefault="00D27663" w:rsidP="00943E59">
            <w:pPr>
              <w:autoSpaceDE w:val="0"/>
              <w:autoSpaceDN w:val="0"/>
              <w:adjustRightInd w:val="0"/>
              <w:ind w:left="-108" w:right="-108"/>
              <w:jc w:val="center"/>
              <w:rPr>
                <w:rFonts w:ascii="Arial" w:hAnsi="Arial" w:cs="Arial"/>
                <w:color w:val="000000"/>
                <w:sz w:val="18"/>
                <w:szCs w:val="18"/>
              </w:rPr>
            </w:pPr>
            <w:r w:rsidRPr="00101832">
              <w:rPr>
                <w:rFonts w:ascii="Arial" w:hAnsi="Arial" w:cs="Arial"/>
                <w:color w:val="000000"/>
                <w:sz w:val="18"/>
                <w:szCs w:val="18"/>
              </w:rPr>
              <w:t>194</w:t>
            </w:r>
          </w:p>
        </w:tc>
        <w:tc>
          <w:tcPr>
            <w:tcW w:w="1088" w:type="dxa"/>
            <w:vAlign w:val="center"/>
          </w:tcPr>
          <w:p w:rsidR="00D27663" w:rsidRPr="00101832" w:rsidRDefault="00D27663" w:rsidP="00943E59">
            <w:pPr>
              <w:autoSpaceDE w:val="0"/>
              <w:autoSpaceDN w:val="0"/>
              <w:adjustRightInd w:val="0"/>
              <w:ind w:left="-108" w:right="-154"/>
              <w:jc w:val="center"/>
              <w:cnfStyle w:val="000000100000"/>
              <w:rPr>
                <w:rFonts w:ascii="Arial" w:hAnsi="Arial" w:cs="Arial"/>
                <w:color w:val="000000"/>
                <w:sz w:val="18"/>
                <w:szCs w:val="18"/>
              </w:rPr>
            </w:pPr>
            <w:r w:rsidRPr="00101832">
              <w:rPr>
                <w:rFonts w:ascii="Arial" w:hAnsi="Arial" w:cs="Arial"/>
                <w:color w:val="000000"/>
                <w:sz w:val="18"/>
                <w:szCs w:val="18"/>
              </w:rPr>
              <w:t>194</w:t>
            </w:r>
          </w:p>
        </w:tc>
        <w:tc>
          <w:tcPr>
            <w:cnfStyle w:val="000010000000"/>
            <w:tcW w:w="945" w:type="dxa"/>
            <w:vAlign w:val="center"/>
          </w:tcPr>
          <w:p w:rsidR="00D27663" w:rsidRPr="00101832" w:rsidRDefault="00D27663" w:rsidP="00943E59">
            <w:pPr>
              <w:autoSpaceDE w:val="0"/>
              <w:autoSpaceDN w:val="0"/>
              <w:adjustRightInd w:val="0"/>
              <w:ind w:left="-67" w:right="-60"/>
              <w:jc w:val="center"/>
              <w:rPr>
                <w:rFonts w:ascii="Arial" w:hAnsi="Arial" w:cs="Arial"/>
                <w:color w:val="000000"/>
                <w:sz w:val="18"/>
                <w:szCs w:val="18"/>
              </w:rPr>
            </w:pPr>
            <w:r w:rsidRPr="00101832">
              <w:rPr>
                <w:rFonts w:ascii="Arial" w:hAnsi="Arial" w:cs="Arial"/>
                <w:color w:val="000000"/>
                <w:sz w:val="18"/>
                <w:szCs w:val="18"/>
              </w:rPr>
              <w:t>194</w:t>
            </w:r>
          </w:p>
        </w:tc>
        <w:tc>
          <w:tcPr>
            <w:tcW w:w="899" w:type="dxa"/>
            <w:vAlign w:val="center"/>
          </w:tcPr>
          <w:p w:rsidR="00D27663" w:rsidRPr="00101832" w:rsidRDefault="00D27663" w:rsidP="00943E59">
            <w:pPr>
              <w:autoSpaceDE w:val="0"/>
              <w:autoSpaceDN w:val="0"/>
              <w:adjustRightInd w:val="0"/>
              <w:ind w:left="-156" w:right="-153"/>
              <w:jc w:val="center"/>
              <w:cnfStyle w:val="000000100000"/>
              <w:rPr>
                <w:rFonts w:ascii="Arial" w:hAnsi="Arial" w:cs="Arial"/>
                <w:color w:val="000000"/>
                <w:sz w:val="18"/>
                <w:szCs w:val="18"/>
              </w:rPr>
            </w:pPr>
            <w:r w:rsidRPr="00101832">
              <w:rPr>
                <w:rFonts w:ascii="Arial" w:hAnsi="Arial" w:cs="Arial"/>
                <w:color w:val="000000"/>
                <w:sz w:val="18"/>
                <w:szCs w:val="18"/>
              </w:rPr>
              <w:t>194</w:t>
            </w:r>
          </w:p>
        </w:tc>
        <w:tc>
          <w:tcPr>
            <w:cnfStyle w:val="000010000000"/>
            <w:tcW w:w="899" w:type="dxa"/>
            <w:vAlign w:val="center"/>
          </w:tcPr>
          <w:p w:rsidR="00D27663" w:rsidRPr="00101832" w:rsidRDefault="00D27663" w:rsidP="00AC3B23">
            <w:pPr>
              <w:autoSpaceDE w:val="0"/>
              <w:autoSpaceDN w:val="0"/>
              <w:adjustRightInd w:val="0"/>
              <w:ind w:left="-63" w:right="-104"/>
              <w:jc w:val="center"/>
              <w:rPr>
                <w:rFonts w:ascii="Arial" w:hAnsi="Arial" w:cs="Arial"/>
                <w:color w:val="000000"/>
                <w:sz w:val="18"/>
                <w:szCs w:val="18"/>
              </w:rPr>
            </w:pPr>
            <w:r w:rsidRPr="00101832">
              <w:rPr>
                <w:rFonts w:ascii="Arial" w:hAnsi="Arial" w:cs="Arial"/>
                <w:color w:val="000000"/>
                <w:sz w:val="18"/>
                <w:szCs w:val="18"/>
              </w:rPr>
              <w:t>194</w:t>
            </w:r>
          </w:p>
        </w:tc>
        <w:tc>
          <w:tcPr>
            <w:tcW w:w="945" w:type="dxa"/>
            <w:vAlign w:val="center"/>
          </w:tcPr>
          <w:p w:rsidR="00D27663" w:rsidRPr="00101832" w:rsidRDefault="00D27663" w:rsidP="00AC3B23">
            <w:pPr>
              <w:autoSpaceDE w:val="0"/>
              <w:autoSpaceDN w:val="0"/>
              <w:adjustRightInd w:val="0"/>
              <w:ind w:left="-112" w:right="-152"/>
              <w:jc w:val="center"/>
              <w:cnfStyle w:val="000000100000"/>
              <w:rPr>
                <w:rFonts w:ascii="Arial" w:hAnsi="Arial" w:cs="Arial"/>
                <w:color w:val="000000"/>
                <w:sz w:val="18"/>
                <w:szCs w:val="18"/>
              </w:rPr>
            </w:pPr>
            <w:r w:rsidRPr="00101832">
              <w:rPr>
                <w:rFonts w:ascii="Arial" w:hAnsi="Arial" w:cs="Arial"/>
                <w:color w:val="000000"/>
                <w:sz w:val="18"/>
                <w:szCs w:val="18"/>
              </w:rPr>
              <w:t>194</w:t>
            </w:r>
          </w:p>
        </w:tc>
        <w:tc>
          <w:tcPr>
            <w:cnfStyle w:val="000010000000"/>
            <w:tcW w:w="945" w:type="dxa"/>
            <w:vAlign w:val="center"/>
          </w:tcPr>
          <w:p w:rsidR="00D27663" w:rsidRPr="00101832" w:rsidRDefault="00D27663" w:rsidP="00AC3B23">
            <w:pPr>
              <w:autoSpaceDE w:val="0"/>
              <w:autoSpaceDN w:val="0"/>
              <w:adjustRightInd w:val="0"/>
              <w:ind w:left="-64" w:right="-57"/>
              <w:jc w:val="center"/>
              <w:rPr>
                <w:rFonts w:ascii="Arial" w:hAnsi="Arial" w:cs="Arial"/>
                <w:color w:val="000000"/>
                <w:sz w:val="18"/>
                <w:szCs w:val="18"/>
              </w:rPr>
            </w:pPr>
            <w:r w:rsidRPr="00101832">
              <w:rPr>
                <w:rFonts w:ascii="Arial" w:hAnsi="Arial" w:cs="Arial"/>
                <w:color w:val="000000"/>
                <w:sz w:val="18"/>
                <w:szCs w:val="18"/>
              </w:rPr>
              <w:t>194</w:t>
            </w:r>
          </w:p>
        </w:tc>
        <w:tc>
          <w:tcPr>
            <w:tcW w:w="808" w:type="dxa"/>
            <w:vAlign w:val="center"/>
          </w:tcPr>
          <w:p w:rsidR="00D27663" w:rsidRPr="00101832" w:rsidRDefault="00D27663" w:rsidP="00AC3B23">
            <w:pPr>
              <w:autoSpaceDE w:val="0"/>
              <w:autoSpaceDN w:val="0"/>
              <w:adjustRightInd w:val="0"/>
              <w:ind w:left="-27" w:right="-100"/>
              <w:jc w:val="center"/>
              <w:cnfStyle w:val="000000100000"/>
              <w:rPr>
                <w:rFonts w:ascii="Arial" w:hAnsi="Arial" w:cs="Arial"/>
                <w:color w:val="000000"/>
                <w:sz w:val="18"/>
                <w:szCs w:val="18"/>
              </w:rPr>
            </w:pPr>
            <w:r w:rsidRPr="00101832">
              <w:rPr>
                <w:rFonts w:ascii="Arial" w:hAnsi="Arial" w:cs="Arial"/>
                <w:color w:val="000000"/>
                <w:sz w:val="18"/>
                <w:szCs w:val="18"/>
              </w:rPr>
              <w:t>194</w:t>
            </w:r>
          </w:p>
        </w:tc>
        <w:tc>
          <w:tcPr>
            <w:cnfStyle w:val="000010000000"/>
            <w:tcW w:w="808" w:type="dxa"/>
            <w:vAlign w:val="center"/>
          </w:tcPr>
          <w:p w:rsidR="00D27663" w:rsidRPr="00101832" w:rsidRDefault="00D27663" w:rsidP="00172700">
            <w:pPr>
              <w:keepNext/>
              <w:autoSpaceDE w:val="0"/>
              <w:autoSpaceDN w:val="0"/>
              <w:adjustRightInd w:val="0"/>
              <w:ind w:left="-116" w:right="-142"/>
              <w:jc w:val="center"/>
              <w:rPr>
                <w:rFonts w:ascii="Arial" w:hAnsi="Arial" w:cs="Arial"/>
                <w:color w:val="000000"/>
                <w:sz w:val="18"/>
                <w:szCs w:val="18"/>
              </w:rPr>
            </w:pPr>
            <w:r w:rsidRPr="00101832">
              <w:rPr>
                <w:rFonts w:ascii="Arial" w:hAnsi="Arial" w:cs="Arial"/>
                <w:color w:val="000000"/>
                <w:sz w:val="18"/>
                <w:szCs w:val="18"/>
              </w:rPr>
              <w:t>194</w:t>
            </w:r>
          </w:p>
        </w:tc>
      </w:tr>
    </w:tbl>
    <w:p w:rsidR="00172700" w:rsidRPr="00172700" w:rsidRDefault="00172700">
      <w:pPr>
        <w:pStyle w:val="Caption"/>
        <w:rPr>
          <w:lang w:val="en-US"/>
        </w:rPr>
      </w:pPr>
      <w:r w:rsidRPr="00172700">
        <w:rPr>
          <w:lang w:val="en-US"/>
        </w:rPr>
        <w:t xml:space="preserve">Table </w:t>
      </w:r>
      <w:r w:rsidR="00DB780A">
        <w:fldChar w:fldCharType="begin"/>
      </w:r>
      <w:r w:rsidRPr="00172700">
        <w:rPr>
          <w:lang w:val="en-US"/>
        </w:rPr>
        <w:instrText xml:space="preserve"> SEQ Table \* ARABIC </w:instrText>
      </w:r>
      <w:r w:rsidR="00DB780A">
        <w:fldChar w:fldCharType="separate"/>
      </w:r>
      <w:r w:rsidR="004454F3">
        <w:rPr>
          <w:noProof/>
          <w:lang w:val="en-US"/>
        </w:rPr>
        <w:t>1</w:t>
      </w:r>
      <w:r w:rsidR="00DB780A">
        <w:fldChar w:fldCharType="end"/>
      </w:r>
      <w:r w:rsidRPr="00172700">
        <w:rPr>
          <w:lang w:val="en-US"/>
        </w:rPr>
        <w:t xml:space="preserve"> | Descriptive statistics of variables</w:t>
      </w:r>
    </w:p>
    <w:p w:rsidR="002A62CC" w:rsidRDefault="002A62CC" w:rsidP="00443B38">
      <w:pPr>
        <w:spacing w:line="360" w:lineRule="auto"/>
        <w:jc w:val="both"/>
        <w:rPr>
          <w:rStyle w:val="eop"/>
          <w:rFonts w:ascii="Calibri" w:hAnsi="Calibri" w:cs="Segoe UI"/>
          <w:lang w:val="en-US"/>
        </w:rPr>
      </w:pPr>
      <w:r>
        <w:rPr>
          <w:rStyle w:val="eop"/>
          <w:rFonts w:ascii="Calibri" w:hAnsi="Calibri" w:cs="Segoe UI"/>
          <w:lang w:val="en-US"/>
        </w:rPr>
        <w:t xml:space="preserve">More information about the datasets used can be found in the Appendix. </w:t>
      </w:r>
    </w:p>
    <w:p w:rsidR="00743BDA" w:rsidRDefault="00743BDA" w:rsidP="00443B38">
      <w:pPr>
        <w:spacing w:line="360" w:lineRule="auto"/>
        <w:jc w:val="both"/>
        <w:rPr>
          <w:rStyle w:val="eop"/>
          <w:rFonts w:ascii="Calibri" w:hAnsi="Calibri" w:cs="Segoe UI"/>
          <w:lang w:val="en-US"/>
        </w:rPr>
      </w:pPr>
      <w:r>
        <w:rPr>
          <w:rStyle w:val="eop"/>
          <w:rFonts w:ascii="Calibri" w:hAnsi="Calibri" w:cs="Segoe UI"/>
          <w:lang w:val="en-US"/>
        </w:rPr>
        <w:t xml:space="preserve">Natural logs are taken of the original variables, in order to be able to interpret the coefficients as elasticities. </w:t>
      </w:r>
      <w:r w:rsidR="001F7B0E" w:rsidRPr="001F7B0E">
        <w:rPr>
          <w:rStyle w:val="eop"/>
          <w:rFonts w:ascii="Calibri" w:hAnsi="Calibri" w:cs="Segoe UI"/>
          <w:lang w:val="en-US"/>
        </w:rPr>
        <w:t> </w:t>
      </w:r>
      <w:r w:rsidR="00C238AE">
        <w:rPr>
          <w:rStyle w:val="eop"/>
          <w:rFonts w:ascii="Calibri" w:hAnsi="Calibri" w:cs="Segoe UI"/>
          <w:lang w:val="en-US"/>
        </w:rPr>
        <w:t xml:space="preserve">In estimation, an alpha of 0.1 is used. </w:t>
      </w:r>
      <w:r>
        <w:rPr>
          <w:rStyle w:val="eop"/>
          <w:rFonts w:ascii="Calibri" w:hAnsi="Calibri" w:cs="Segoe UI"/>
          <w:lang w:val="en-US"/>
        </w:rPr>
        <w:t>The two models will now be specified.</w:t>
      </w:r>
    </w:p>
    <w:p w:rsidR="00547E1E" w:rsidRPr="00547E1E" w:rsidRDefault="00547E1E" w:rsidP="00547E1E">
      <w:pPr>
        <w:pStyle w:val="Heading1"/>
        <w:spacing w:line="360" w:lineRule="auto"/>
        <w:rPr>
          <w:rStyle w:val="eop"/>
          <w:rFonts w:ascii="Calibri" w:hAnsi="Calibri" w:cs="Segoe UI"/>
          <w:sz w:val="32"/>
          <w:szCs w:val="32"/>
        </w:rPr>
      </w:pPr>
      <w:r w:rsidRPr="00547E1E">
        <w:rPr>
          <w:sz w:val="32"/>
          <w:szCs w:val="32"/>
        </w:rPr>
        <w:lastRenderedPageBreak/>
        <w:t>Methodology</w:t>
      </w:r>
    </w:p>
    <w:p w:rsidR="00211731" w:rsidRDefault="00211731" w:rsidP="00547E1E">
      <w:pPr>
        <w:pStyle w:val="Heading2"/>
        <w:spacing w:line="360" w:lineRule="auto"/>
        <w:rPr>
          <w:lang w:val="en-US"/>
        </w:rPr>
      </w:pPr>
      <w:r>
        <w:rPr>
          <w:lang w:val="en-US"/>
        </w:rPr>
        <w:t>Model specification</w:t>
      </w:r>
    </w:p>
    <w:p w:rsidR="00170562" w:rsidRDefault="00743BDA" w:rsidP="00170695">
      <w:pPr>
        <w:pStyle w:val="Heading3"/>
        <w:rPr>
          <w:rStyle w:val="eop"/>
          <w:rFonts w:ascii="Calibri" w:hAnsi="Calibri" w:cs="Segoe UI"/>
          <w:lang w:val="en-US"/>
        </w:rPr>
      </w:pPr>
      <w:r>
        <w:rPr>
          <w:rStyle w:val="eop"/>
          <w:rFonts w:ascii="Calibri" w:hAnsi="Calibri" w:cs="Segoe UI"/>
          <w:lang w:val="en-US"/>
        </w:rPr>
        <w:t>The Random Walk model</w:t>
      </w:r>
    </w:p>
    <w:p w:rsidR="00172700" w:rsidRPr="00172700" w:rsidRDefault="004648C4" w:rsidP="00172700">
      <w:pPr>
        <w:spacing w:line="360" w:lineRule="auto"/>
        <w:jc w:val="both"/>
        <w:rPr>
          <w:lang w:val="en-US"/>
        </w:rPr>
      </w:pPr>
      <w:r>
        <w:rPr>
          <w:lang w:val="en-US"/>
        </w:rPr>
        <w:t>The Bitcoin/US Dollar exchange rate time series is tested for stationarity by using a</w:t>
      </w:r>
      <w:r w:rsidR="000E793D">
        <w:rPr>
          <w:lang w:val="en-US"/>
        </w:rPr>
        <w:t>n Augmented</w:t>
      </w:r>
      <w:r>
        <w:rPr>
          <w:lang w:val="en-US"/>
        </w:rPr>
        <w:t xml:space="preserve"> Dickey-Fuller test.  The Dickey-Fuller test tests the null hypothesis stating the series has a unit root </w:t>
      </w:r>
      <w:sdt>
        <w:sdtPr>
          <w:rPr>
            <w:lang w:val="en-US"/>
          </w:rPr>
          <w:id w:val="1090866198"/>
          <w:citation/>
        </w:sdtPr>
        <w:sdtContent>
          <w:r w:rsidR="00DB780A">
            <w:fldChar w:fldCharType="begin"/>
          </w:r>
          <w:r w:rsidR="00730D12" w:rsidRPr="00F1547A">
            <w:rPr>
              <w:lang w:val="en-US"/>
            </w:rPr>
            <w:instrText xml:space="preserve"> CITATION RCa12 \l 1043 </w:instrText>
          </w:r>
          <w:r w:rsidR="00DB780A">
            <w:fldChar w:fldCharType="separate"/>
          </w:r>
          <w:r w:rsidR="002B7AD5">
            <w:rPr>
              <w:noProof/>
              <w:lang w:val="en-US"/>
            </w:rPr>
            <w:t>(Hill, Griffiths, &amp; Lim, 2012)</w:t>
          </w:r>
          <w:r w:rsidR="00DB780A">
            <w:fldChar w:fldCharType="end"/>
          </w:r>
        </w:sdtContent>
      </w:sdt>
      <w:r w:rsidR="00415096">
        <w:rPr>
          <w:lang w:val="en-US"/>
        </w:rPr>
        <w:t>.</w:t>
      </w:r>
      <w:r w:rsidR="009A58AA">
        <w:rPr>
          <w:lang w:val="en-US"/>
        </w:rPr>
        <w:t xml:space="preserve"> </w:t>
      </w:r>
      <w:r>
        <w:rPr>
          <w:lang w:val="en-US"/>
        </w:rPr>
        <w:t>This hypothesis cannot be rejected for any critical value, thus the series shows very strong ev</w:t>
      </w:r>
      <w:r w:rsidR="009A6F2E">
        <w:rPr>
          <w:lang w:val="en-US"/>
        </w:rPr>
        <w:t>idence of being non-stationary.</w:t>
      </w:r>
    </w:p>
    <w:tbl>
      <w:tblPr>
        <w:tblStyle w:val="LightList-Accent11"/>
        <w:tblW w:w="0" w:type="auto"/>
        <w:jc w:val="center"/>
        <w:tblLook w:val="00A0"/>
      </w:tblPr>
      <w:tblGrid>
        <w:gridCol w:w="2098"/>
        <w:gridCol w:w="1142"/>
        <w:gridCol w:w="247"/>
        <w:gridCol w:w="1037"/>
        <w:gridCol w:w="767"/>
      </w:tblGrid>
      <w:tr w:rsidR="004648C4" w:rsidRPr="004648C4" w:rsidTr="009A1768">
        <w:trPr>
          <w:cnfStyle w:val="100000000000"/>
          <w:trHeight w:val="225"/>
          <w:jc w:val="center"/>
        </w:trPr>
        <w:tc>
          <w:tcPr>
            <w:cnfStyle w:val="001000000000"/>
            <w:tcW w:w="0" w:type="auto"/>
            <w:vAlign w:val="center"/>
          </w:tcPr>
          <w:p w:rsidR="004648C4" w:rsidRPr="004648C4" w:rsidRDefault="004648C4" w:rsidP="009A1768">
            <w:pPr>
              <w:autoSpaceDE w:val="0"/>
              <w:autoSpaceDN w:val="0"/>
              <w:adjustRightInd w:val="0"/>
              <w:spacing w:line="360" w:lineRule="auto"/>
              <w:jc w:val="center"/>
              <w:rPr>
                <w:rFonts w:ascii="Arial" w:hAnsi="Arial" w:cs="Arial"/>
                <w:color w:val="000000"/>
                <w:sz w:val="18"/>
                <w:szCs w:val="18"/>
                <w:lang w:val="en-US"/>
              </w:rPr>
            </w:pPr>
          </w:p>
        </w:tc>
        <w:tc>
          <w:tcPr>
            <w:cnfStyle w:val="000010000000"/>
            <w:tcW w:w="0" w:type="auto"/>
            <w:tcBorders>
              <w:bottom w:val="single" w:sz="8" w:space="0" w:color="4F81BD" w:themeColor="accent1"/>
            </w:tcBorders>
            <w:vAlign w:val="center"/>
          </w:tcPr>
          <w:p w:rsidR="004648C4" w:rsidRPr="004648C4" w:rsidRDefault="004648C4" w:rsidP="009A1768">
            <w:pPr>
              <w:autoSpaceDE w:val="0"/>
              <w:autoSpaceDN w:val="0"/>
              <w:adjustRightInd w:val="0"/>
              <w:spacing w:line="360" w:lineRule="auto"/>
              <w:jc w:val="center"/>
              <w:rPr>
                <w:rFonts w:ascii="Arial" w:hAnsi="Arial" w:cs="Arial"/>
                <w:color w:val="000000"/>
                <w:sz w:val="18"/>
                <w:szCs w:val="18"/>
                <w:lang w:val="en-US"/>
              </w:rPr>
            </w:pPr>
          </w:p>
        </w:tc>
        <w:tc>
          <w:tcPr>
            <w:tcW w:w="0" w:type="auto"/>
            <w:tcBorders>
              <w:bottom w:val="single" w:sz="8" w:space="0" w:color="4F81BD" w:themeColor="accent1"/>
            </w:tcBorders>
            <w:vAlign w:val="center"/>
          </w:tcPr>
          <w:p w:rsidR="004648C4" w:rsidRPr="004648C4" w:rsidRDefault="004648C4" w:rsidP="009A1768">
            <w:pPr>
              <w:autoSpaceDE w:val="0"/>
              <w:autoSpaceDN w:val="0"/>
              <w:adjustRightInd w:val="0"/>
              <w:spacing w:line="360" w:lineRule="auto"/>
              <w:jc w:val="center"/>
              <w:cnfStyle w:val="100000000000"/>
              <w:rPr>
                <w:rFonts w:ascii="Arial" w:hAnsi="Arial" w:cs="Arial"/>
                <w:color w:val="000000"/>
                <w:sz w:val="18"/>
                <w:szCs w:val="18"/>
                <w:lang w:val="en-US"/>
              </w:rPr>
            </w:pPr>
          </w:p>
        </w:tc>
        <w:tc>
          <w:tcPr>
            <w:cnfStyle w:val="000010000000"/>
            <w:tcW w:w="0" w:type="auto"/>
            <w:vAlign w:val="center"/>
          </w:tcPr>
          <w:p w:rsidR="004648C4" w:rsidRPr="004648C4" w:rsidRDefault="004648C4" w:rsidP="009A1768">
            <w:pPr>
              <w:autoSpaceDE w:val="0"/>
              <w:autoSpaceDN w:val="0"/>
              <w:adjustRightInd w:val="0"/>
              <w:spacing w:line="360" w:lineRule="auto"/>
              <w:jc w:val="center"/>
              <w:rPr>
                <w:rFonts w:ascii="Arial" w:hAnsi="Arial" w:cs="Arial"/>
                <w:sz w:val="18"/>
                <w:szCs w:val="18"/>
              </w:rPr>
            </w:pPr>
            <w:r w:rsidRPr="004648C4">
              <w:rPr>
                <w:rFonts w:ascii="Arial" w:hAnsi="Arial" w:cs="Arial"/>
                <w:sz w:val="18"/>
                <w:szCs w:val="18"/>
              </w:rPr>
              <w:t>t-Statistic</w:t>
            </w:r>
          </w:p>
        </w:tc>
        <w:tc>
          <w:tcPr>
            <w:tcW w:w="0" w:type="auto"/>
            <w:vAlign w:val="center"/>
          </w:tcPr>
          <w:p w:rsidR="004648C4" w:rsidRPr="004648C4" w:rsidRDefault="0004118C" w:rsidP="009A1768">
            <w:pPr>
              <w:autoSpaceDE w:val="0"/>
              <w:autoSpaceDN w:val="0"/>
              <w:adjustRightInd w:val="0"/>
              <w:spacing w:line="360" w:lineRule="auto"/>
              <w:jc w:val="center"/>
              <w:cnfStyle w:val="100000000000"/>
              <w:rPr>
                <w:rFonts w:ascii="Arial" w:hAnsi="Arial" w:cs="Arial"/>
                <w:sz w:val="18"/>
                <w:szCs w:val="18"/>
              </w:rPr>
            </w:pPr>
            <w:r>
              <w:rPr>
                <w:rFonts w:ascii="Arial" w:hAnsi="Arial" w:cs="Arial"/>
                <w:sz w:val="18"/>
                <w:szCs w:val="18"/>
              </w:rPr>
              <w:t>Prob.</w:t>
            </w:r>
          </w:p>
        </w:tc>
      </w:tr>
      <w:tr w:rsidR="004648C4" w:rsidRPr="004648C4" w:rsidTr="009A1768">
        <w:trPr>
          <w:cnfStyle w:val="000000100000"/>
          <w:trHeight w:hRule="exact" w:val="135"/>
          <w:jc w:val="center"/>
        </w:trPr>
        <w:tc>
          <w:tcPr>
            <w:cnfStyle w:val="001000000000"/>
            <w:tcW w:w="0" w:type="auto"/>
            <w:tcBorders>
              <w:right w:val="nil"/>
            </w:tcBorders>
            <w:vAlign w:val="center"/>
          </w:tcPr>
          <w:p w:rsidR="004648C4" w:rsidRPr="004648C4" w:rsidRDefault="004648C4" w:rsidP="009A1768">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left w:val="nil"/>
              <w:right w:val="nil"/>
            </w:tcBorders>
            <w:vAlign w:val="center"/>
          </w:tcPr>
          <w:p w:rsidR="004648C4" w:rsidRPr="004648C4" w:rsidRDefault="004648C4" w:rsidP="009A1768">
            <w:pPr>
              <w:autoSpaceDE w:val="0"/>
              <w:autoSpaceDN w:val="0"/>
              <w:adjustRightInd w:val="0"/>
              <w:spacing w:line="360" w:lineRule="auto"/>
              <w:jc w:val="center"/>
              <w:rPr>
                <w:rFonts w:ascii="Arial" w:hAnsi="Arial" w:cs="Arial"/>
                <w:color w:val="000000"/>
                <w:sz w:val="18"/>
                <w:szCs w:val="18"/>
              </w:rPr>
            </w:pPr>
          </w:p>
        </w:tc>
        <w:tc>
          <w:tcPr>
            <w:tcW w:w="0" w:type="auto"/>
            <w:tcBorders>
              <w:left w:val="nil"/>
            </w:tcBorders>
            <w:vAlign w:val="center"/>
          </w:tcPr>
          <w:p w:rsidR="004648C4" w:rsidRPr="004648C4" w:rsidRDefault="004648C4" w:rsidP="009A1768">
            <w:pPr>
              <w:autoSpaceDE w:val="0"/>
              <w:autoSpaceDN w:val="0"/>
              <w:adjustRightInd w:val="0"/>
              <w:spacing w:line="360" w:lineRule="auto"/>
              <w:jc w:val="center"/>
              <w:cnfStyle w:val="000000100000"/>
              <w:rPr>
                <w:rFonts w:ascii="Arial" w:hAnsi="Arial" w:cs="Arial"/>
                <w:color w:val="000000"/>
                <w:sz w:val="18"/>
                <w:szCs w:val="18"/>
              </w:rPr>
            </w:pPr>
          </w:p>
        </w:tc>
        <w:tc>
          <w:tcPr>
            <w:cnfStyle w:val="000010000000"/>
            <w:tcW w:w="0" w:type="auto"/>
            <w:vAlign w:val="center"/>
          </w:tcPr>
          <w:p w:rsidR="004648C4" w:rsidRPr="004648C4" w:rsidRDefault="004648C4" w:rsidP="009A1768">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4648C4" w:rsidRPr="004648C4" w:rsidRDefault="004648C4" w:rsidP="009A1768">
            <w:pPr>
              <w:autoSpaceDE w:val="0"/>
              <w:autoSpaceDN w:val="0"/>
              <w:adjustRightInd w:val="0"/>
              <w:spacing w:line="360" w:lineRule="auto"/>
              <w:jc w:val="center"/>
              <w:cnfStyle w:val="000000100000"/>
              <w:rPr>
                <w:rFonts w:ascii="Arial" w:hAnsi="Arial" w:cs="Arial"/>
                <w:color w:val="000000"/>
                <w:sz w:val="18"/>
                <w:szCs w:val="18"/>
              </w:rPr>
            </w:pPr>
          </w:p>
        </w:tc>
      </w:tr>
      <w:tr w:rsidR="004648C4" w:rsidRPr="004648C4" w:rsidTr="009A1768">
        <w:trPr>
          <w:trHeight w:val="225"/>
          <w:jc w:val="center"/>
        </w:trPr>
        <w:tc>
          <w:tcPr>
            <w:cnfStyle w:val="001000000000"/>
            <w:tcW w:w="0" w:type="auto"/>
            <w:gridSpan w:val="3"/>
            <w:vAlign w:val="center"/>
          </w:tcPr>
          <w:p w:rsidR="004648C4" w:rsidRPr="004648C4" w:rsidRDefault="004648C4" w:rsidP="009A1768">
            <w:pPr>
              <w:autoSpaceDE w:val="0"/>
              <w:autoSpaceDN w:val="0"/>
              <w:adjustRightInd w:val="0"/>
              <w:spacing w:line="360" w:lineRule="auto"/>
              <w:jc w:val="center"/>
              <w:rPr>
                <w:rFonts w:ascii="Arial" w:hAnsi="Arial" w:cs="Arial"/>
                <w:color w:val="000000"/>
                <w:sz w:val="18"/>
                <w:szCs w:val="18"/>
                <w:lang w:val="en-US"/>
              </w:rPr>
            </w:pPr>
            <w:r w:rsidRPr="004648C4">
              <w:rPr>
                <w:rFonts w:ascii="Arial" w:hAnsi="Arial" w:cs="Arial"/>
                <w:color w:val="000000"/>
                <w:sz w:val="18"/>
                <w:szCs w:val="18"/>
                <w:lang w:val="en-US"/>
              </w:rPr>
              <w:t>Augmented Dickey-Fuller test statistic</w:t>
            </w:r>
          </w:p>
        </w:tc>
        <w:tc>
          <w:tcPr>
            <w:cnfStyle w:val="000010000000"/>
            <w:tcW w:w="0" w:type="auto"/>
            <w:tcBorders>
              <w:bottom w:val="single" w:sz="8" w:space="0" w:color="4F81BD" w:themeColor="accent1"/>
            </w:tcBorders>
            <w:vAlign w:val="center"/>
          </w:tcPr>
          <w:p w:rsidR="004648C4" w:rsidRPr="004648C4" w:rsidRDefault="004648C4" w:rsidP="009A1768">
            <w:pPr>
              <w:autoSpaceDE w:val="0"/>
              <w:autoSpaceDN w:val="0"/>
              <w:adjustRightInd w:val="0"/>
              <w:spacing w:line="360" w:lineRule="auto"/>
              <w:jc w:val="center"/>
              <w:rPr>
                <w:rFonts w:ascii="Arial" w:hAnsi="Arial" w:cs="Arial"/>
                <w:color w:val="000000"/>
                <w:sz w:val="18"/>
                <w:szCs w:val="18"/>
              </w:rPr>
            </w:pPr>
            <w:r w:rsidRPr="004648C4">
              <w:rPr>
                <w:rFonts w:ascii="Arial" w:hAnsi="Arial" w:cs="Arial"/>
                <w:color w:val="000000"/>
                <w:sz w:val="18"/>
                <w:szCs w:val="18"/>
              </w:rPr>
              <w:t>-2.349089</w:t>
            </w:r>
          </w:p>
        </w:tc>
        <w:tc>
          <w:tcPr>
            <w:tcW w:w="0" w:type="auto"/>
            <w:tcBorders>
              <w:bottom w:val="single" w:sz="8" w:space="0" w:color="4F81BD" w:themeColor="accent1"/>
            </w:tcBorders>
            <w:vAlign w:val="center"/>
          </w:tcPr>
          <w:p w:rsidR="004648C4" w:rsidRPr="004648C4" w:rsidRDefault="004648C4" w:rsidP="009A1768">
            <w:pPr>
              <w:autoSpaceDE w:val="0"/>
              <w:autoSpaceDN w:val="0"/>
              <w:adjustRightInd w:val="0"/>
              <w:spacing w:line="360" w:lineRule="auto"/>
              <w:jc w:val="center"/>
              <w:cnfStyle w:val="000000000000"/>
              <w:rPr>
                <w:rFonts w:ascii="Arial" w:hAnsi="Arial" w:cs="Arial"/>
                <w:color w:val="000000"/>
                <w:sz w:val="18"/>
                <w:szCs w:val="18"/>
              </w:rPr>
            </w:pPr>
            <w:r w:rsidRPr="004648C4">
              <w:rPr>
                <w:rFonts w:ascii="Arial" w:hAnsi="Arial" w:cs="Arial"/>
                <w:color w:val="000000"/>
                <w:sz w:val="18"/>
                <w:szCs w:val="18"/>
              </w:rPr>
              <w:t>0.4052</w:t>
            </w:r>
          </w:p>
        </w:tc>
      </w:tr>
      <w:tr w:rsidR="004648C4" w:rsidRPr="004648C4" w:rsidTr="009A1768">
        <w:trPr>
          <w:cnfStyle w:val="000000100000"/>
          <w:trHeight w:val="225"/>
          <w:jc w:val="center"/>
        </w:trPr>
        <w:tc>
          <w:tcPr>
            <w:cnfStyle w:val="001000000000"/>
            <w:tcW w:w="0" w:type="auto"/>
            <w:tcBorders>
              <w:bottom w:val="nil"/>
              <w:right w:val="nil"/>
            </w:tcBorders>
            <w:vAlign w:val="center"/>
          </w:tcPr>
          <w:p w:rsidR="004648C4" w:rsidRPr="004648C4" w:rsidRDefault="004648C4" w:rsidP="009A1768">
            <w:pPr>
              <w:autoSpaceDE w:val="0"/>
              <w:autoSpaceDN w:val="0"/>
              <w:adjustRightInd w:val="0"/>
              <w:spacing w:line="360" w:lineRule="auto"/>
              <w:jc w:val="center"/>
              <w:rPr>
                <w:rFonts w:ascii="Arial" w:hAnsi="Arial" w:cs="Arial"/>
                <w:color w:val="000000"/>
                <w:sz w:val="18"/>
                <w:szCs w:val="18"/>
              </w:rPr>
            </w:pPr>
            <w:r w:rsidRPr="004648C4">
              <w:rPr>
                <w:rFonts w:ascii="Arial" w:hAnsi="Arial" w:cs="Arial"/>
                <w:color w:val="000000"/>
                <w:sz w:val="18"/>
                <w:szCs w:val="18"/>
              </w:rPr>
              <w:t>Test critical values:</w:t>
            </w:r>
          </w:p>
        </w:tc>
        <w:tc>
          <w:tcPr>
            <w:cnfStyle w:val="000010000000"/>
            <w:tcW w:w="0" w:type="auto"/>
            <w:tcBorders>
              <w:left w:val="nil"/>
              <w:bottom w:val="nil"/>
              <w:right w:val="nil"/>
            </w:tcBorders>
            <w:vAlign w:val="center"/>
          </w:tcPr>
          <w:p w:rsidR="004648C4" w:rsidRPr="004648C4" w:rsidRDefault="004648C4" w:rsidP="009A1768">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1% level</w:t>
            </w:r>
          </w:p>
        </w:tc>
        <w:tc>
          <w:tcPr>
            <w:tcW w:w="0" w:type="auto"/>
            <w:tcBorders>
              <w:left w:val="nil"/>
              <w:bottom w:val="nil"/>
            </w:tcBorders>
            <w:vAlign w:val="center"/>
          </w:tcPr>
          <w:p w:rsidR="004648C4" w:rsidRPr="004648C4" w:rsidRDefault="004648C4" w:rsidP="009A1768">
            <w:pPr>
              <w:autoSpaceDE w:val="0"/>
              <w:autoSpaceDN w:val="0"/>
              <w:adjustRightInd w:val="0"/>
              <w:spacing w:line="360" w:lineRule="auto"/>
              <w:jc w:val="center"/>
              <w:cnfStyle w:val="000000100000"/>
              <w:rPr>
                <w:rFonts w:ascii="Arial" w:hAnsi="Arial" w:cs="Arial"/>
                <w:color w:val="000000"/>
                <w:sz w:val="18"/>
                <w:szCs w:val="18"/>
              </w:rPr>
            </w:pPr>
          </w:p>
        </w:tc>
        <w:tc>
          <w:tcPr>
            <w:cnfStyle w:val="000010000000"/>
            <w:tcW w:w="0" w:type="auto"/>
            <w:tcBorders>
              <w:bottom w:val="nil"/>
            </w:tcBorders>
            <w:vAlign w:val="center"/>
          </w:tcPr>
          <w:p w:rsidR="004648C4" w:rsidRPr="004648C4" w:rsidRDefault="004648C4" w:rsidP="009A1768">
            <w:pPr>
              <w:autoSpaceDE w:val="0"/>
              <w:autoSpaceDN w:val="0"/>
              <w:adjustRightInd w:val="0"/>
              <w:spacing w:line="360" w:lineRule="auto"/>
              <w:jc w:val="center"/>
              <w:rPr>
                <w:rFonts w:ascii="Arial" w:hAnsi="Arial" w:cs="Arial"/>
                <w:color w:val="000000"/>
                <w:sz w:val="18"/>
                <w:szCs w:val="18"/>
              </w:rPr>
            </w:pPr>
            <w:r w:rsidRPr="004648C4">
              <w:rPr>
                <w:rFonts w:ascii="Arial" w:hAnsi="Arial" w:cs="Arial"/>
                <w:color w:val="000000"/>
                <w:sz w:val="18"/>
                <w:szCs w:val="18"/>
              </w:rPr>
              <w:t>-4.004365</w:t>
            </w:r>
          </w:p>
        </w:tc>
        <w:tc>
          <w:tcPr>
            <w:tcW w:w="0" w:type="auto"/>
            <w:tcBorders>
              <w:bottom w:val="nil"/>
            </w:tcBorders>
            <w:vAlign w:val="center"/>
          </w:tcPr>
          <w:p w:rsidR="004648C4" w:rsidRPr="004648C4" w:rsidRDefault="004648C4" w:rsidP="009A1768">
            <w:pPr>
              <w:autoSpaceDE w:val="0"/>
              <w:autoSpaceDN w:val="0"/>
              <w:adjustRightInd w:val="0"/>
              <w:spacing w:line="360" w:lineRule="auto"/>
              <w:jc w:val="center"/>
              <w:cnfStyle w:val="000000100000"/>
              <w:rPr>
                <w:rFonts w:ascii="Arial" w:hAnsi="Arial" w:cs="Arial"/>
                <w:color w:val="000000"/>
                <w:sz w:val="18"/>
                <w:szCs w:val="18"/>
              </w:rPr>
            </w:pPr>
          </w:p>
        </w:tc>
      </w:tr>
      <w:tr w:rsidR="005F47AA" w:rsidRPr="004648C4" w:rsidTr="009A1768">
        <w:trPr>
          <w:trHeight w:val="225"/>
          <w:jc w:val="center"/>
        </w:trPr>
        <w:tc>
          <w:tcPr>
            <w:cnfStyle w:val="001000000000"/>
            <w:tcW w:w="0" w:type="auto"/>
            <w:tcBorders>
              <w:top w:val="nil"/>
              <w:bottom w:val="nil"/>
              <w:right w:val="nil"/>
            </w:tcBorders>
            <w:vAlign w:val="center"/>
          </w:tcPr>
          <w:p w:rsidR="004648C4" w:rsidRPr="004648C4" w:rsidRDefault="004648C4" w:rsidP="009A1768">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top w:val="nil"/>
              <w:left w:val="nil"/>
              <w:bottom w:val="nil"/>
              <w:right w:val="nil"/>
            </w:tcBorders>
            <w:vAlign w:val="center"/>
          </w:tcPr>
          <w:p w:rsidR="004648C4" w:rsidRPr="004648C4" w:rsidRDefault="004648C4" w:rsidP="009A1768">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5% level</w:t>
            </w:r>
          </w:p>
        </w:tc>
        <w:tc>
          <w:tcPr>
            <w:tcW w:w="0" w:type="auto"/>
            <w:tcBorders>
              <w:top w:val="nil"/>
              <w:left w:val="nil"/>
              <w:bottom w:val="nil"/>
            </w:tcBorders>
            <w:vAlign w:val="center"/>
          </w:tcPr>
          <w:p w:rsidR="004648C4" w:rsidRPr="004648C4" w:rsidRDefault="004648C4" w:rsidP="009A1768">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top w:val="nil"/>
              <w:bottom w:val="nil"/>
            </w:tcBorders>
            <w:vAlign w:val="center"/>
          </w:tcPr>
          <w:p w:rsidR="004648C4" w:rsidRPr="004648C4" w:rsidRDefault="004648C4" w:rsidP="009A1768">
            <w:pPr>
              <w:autoSpaceDE w:val="0"/>
              <w:autoSpaceDN w:val="0"/>
              <w:adjustRightInd w:val="0"/>
              <w:spacing w:line="360" w:lineRule="auto"/>
              <w:jc w:val="center"/>
              <w:rPr>
                <w:rFonts w:ascii="Arial" w:hAnsi="Arial" w:cs="Arial"/>
                <w:color w:val="000000"/>
                <w:sz w:val="18"/>
                <w:szCs w:val="18"/>
              </w:rPr>
            </w:pPr>
            <w:r w:rsidRPr="004648C4">
              <w:rPr>
                <w:rFonts w:ascii="Arial" w:hAnsi="Arial" w:cs="Arial"/>
                <w:color w:val="000000"/>
                <w:sz w:val="18"/>
                <w:szCs w:val="18"/>
              </w:rPr>
              <w:t>-3.432339</w:t>
            </w:r>
          </w:p>
        </w:tc>
        <w:tc>
          <w:tcPr>
            <w:tcW w:w="0" w:type="auto"/>
            <w:tcBorders>
              <w:top w:val="nil"/>
              <w:bottom w:val="nil"/>
            </w:tcBorders>
            <w:vAlign w:val="center"/>
          </w:tcPr>
          <w:p w:rsidR="004648C4" w:rsidRPr="004648C4" w:rsidRDefault="004648C4" w:rsidP="009A1768">
            <w:pPr>
              <w:autoSpaceDE w:val="0"/>
              <w:autoSpaceDN w:val="0"/>
              <w:adjustRightInd w:val="0"/>
              <w:spacing w:line="360" w:lineRule="auto"/>
              <w:jc w:val="center"/>
              <w:cnfStyle w:val="000000000000"/>
              <w:rPr>
                <w:rFonts w:ascii="Arial" w:hAnsi="Arial" w:cs="Arial"/>
                <w:color w:val="000000"/>
                <w:sz w:val="18"/>
                <w:szCs w:val="18"/>
              </w:rPr>
            </w:pPr>
          </w:p>
        </w:tc>
      </w:tr>
      <w:tr w:rsidR="004648C4" w:rsidRPr="004648C4" w:rsidTr="009A1768">
        <w:trPr>
          <w:cnfStyle w:val="000000100000"/>
          <w:trHeight w:val="225"/>
          <w:jc w:val="center"/>
        </w:trPr>
        <w:tc>
          <w:tcPr>
            <w:cnfStyle w:val="001000000000"/>
            <w:tcW w:w="0" w:type="auto"/>
            <w:tcBorders>
              <w:top w:val="nil"/>
              <w:right w:val="nil"/>
            </w:tcBorders>
            <w:vAlign w:val="center"/>
          </w:tcPr>
          <w:p w:rsidR="004648C4" w:rsidRPr="004648C4" w:rsidRDefault="004648C4" w:rsidP="009A1768">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top w:val="nil"/>
              <w:left w:val="nil"/>
              <w:right w:val="nil"/>
            </w:tcBorders>
            <w:vAlign w:val="center"/>
          </w:tcPr>
          <w:p w:rsidR="004648C4" w:rsidRPr="004648C4" w:rsidRDefault="004648C4" w:rsidP="009A1768">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10% level</w:t>
            </w:r>
          </w:p>
        </w:tc>
        <w:tc>
          <w:tcPr>
            <w:tcW w:w="0" w:type="auto"/>
            <w:tcBorders>
              <w:top w:val="nil"/>
              <w:left w:val="nil"/>
            </w:tcBorders>
            <w:vAlign w:val="center"/>
          </w:tcPr>
          <w:p w:rsidR="004648C4" w:rsidRPr="004648C4" w:rsidRDefault="004648C4" w:rsidP="009A1768">
            <w:pPr>
              <w:autoSpaceDE w:val="0"/>
              <w:autoSpaceDN w:val="0"/>
              <w:adjustRightInd w:val="0"/>
              <w:spacing w:line="360" w:lineRule="auto"/>
              <w:jc w:val="center"/>
              <w:cnfStyle w:val="000000100000"/>
              <w:rPr>
                <w:rFonts w:ascii="Arial" w:hAnsi="Arial" w:cs="Arial"/>
                <w:color w:val="000000"/>
                <w:sz w:val="18"/>
                <w:szCs w:val="18"/>
              </w:rPr>
            </w:pPr>
          </w:p>
        </w:tc>
        <w:tc>
          <w:tcPr>
            <w:cnfStyle w:val="000010000000"/>
            <w:tcW w:w="0" w:type="auto"/>
            <w:tcBorders>
              <w:top w:val="nil"/>
            </w:tcBorders>
            <w:vAlign w:val="center"/>
          </w:tcPr>
          <w:p w:rsidR="004648C4" w:rsidRPr="004648C4" w:rsidRDefault="004648C4" w:rsidP="009A1768">
            <w:pPr>
              <w:autoSpaceDE w:val="0"/>
              <w:autoSpaceDN w:val="0"/>
              <w:adjustRightInd w:val="0"/>
              <w:spacing w:line="360" w:lineRule="auto"/>
              <w:jc w:val="center"/>
              <w:rPr>
                <w:rFonts w:ascii="Arial" w:hAnsi="Arial" w:cs="Arial"/>
                <w:color w:val="000000"/>
                <w:sz w:val="18"/>
                <w:szCs w:val="18"/>
              </w:rPr>
            </w:pPr>
            <w:r w:rsidRPr="004648C4">
              <w:rPr>
                <w:rFonts w:ascii="Arial" w:hAnsi="Arial" w:cs="Arial"/>
                <w:color w:val="000000"/>
                <w:sz w:val="18"/>
                <w:szCs w:val="18"/>
              </w:rPr>
              <w:t>-3.139924</w:t>
            </w:r>
          </w:p>
        </w:tc>
        <w:tc>
          <w:tcPr>
            <w:tcW w:w="0" w:type="auto"/>
            <w:tcBorders>
              <w:top w:val="nil"/>
            </w:tcBorders>
            <w:vAlign w:val="center"/>
          </w:tcPr>
          <w:p w:rsidR="004648C4" w:rsidRPr="004648C4" w:rsidRDefault="004648C4" w:rsidP="00172700">
            <w:pPr>
              <w:keepNext/>
              <w:autoSpaceDE w:val="0"/>
              <w:autoSpaceDN w:val="0"/>
              <w:adjustRightInd w:val="0"/>
              <w:spacing w:line="360" w:lineRule="auto"/>
              <w:jc w:val="center"/>
              <w:cnfStyle w:val="000000100000"/>
              <w:rPr>
                <w:rFonts w:ascii="Arial" w:hAnsi="Arial" w:cs="Arial"/>
                <w:color w:val="000000"/>
                <w:sz w:val="18"/>
                <w:szCs w:val="18"/>
              </w:rPr>
            </w:pPr>
          </w:p>
        </w:tc>
      </w:tr>
    </w:tbl>
    <w:p w:rsidR="00172700" w:rsidRPr="00172700" w:rsidRDefault="00172700" w:rsidP="00172700">
      <w:pPr>
        <w:pStyle w:val="Caption"/>
        <w:jc w:val="center"/>
        <w:rPr>
          <w:lang w:val="en-US"/>
        </w:rPr>
      </w:pPr>
      <w:r w:rsidRPr="00172700">
        <w:rPr>
          <w:lang w:val="en-US"/>
        </w:rPr>
        <w:t xml:space="preserve">Table </w:t>
      </w:r>
      <w:r w:rsidR="00DB780A">
        <w:fldChar w:fldCharType="begin"/>
      </w:r>
      <w:r w:rsidRPr="00172700">
        <w:rPr>
          <w:lang w:val="en-US"/>
        </w:rPr>
        <w:instrText xml:space="preserve"> SEQ Table \* ARABIC </w:instrText>
      </w:r>
      <w:r w:rsidR="00DB780A">
        <w:fldChar w:fldCharType="separate"/>
      </w:r>
      <w:r w:rsidR="004454F3">
        <w:rPr>
          <w:noProof/>
          <w:lang w:val="en-US"/>
        </w:rPr>
        <w:t>2</w:t>
      </w:r>
      <w:r w:rsidR="00DB780A">
        <w:fldChar w:fldCharType="end"/>
      </w:r>
      <w:r w:rsidRPr="00172700">
        <w:rPr>
          <w:lang w:val="en-US"/>
        </w:rPr>
        <w:t xml:space="preserve"> | Augmented Dickey-Fuller test results on Bitcoin/US Dollar</w:t>
      </w:r>
      <w:r>
        <w:rPr>
          <w:lang w:val="en-US"/>
        </w:rPr>
        <w:t>,</w:t>
      </w:r>
      <w:r w:rsidRPr="00172700">
        <w:rPr>
          <w:lang w:val="en-US"/>
        </w:rPr>
        <w:t xml:space="preserve"> levels</w:t>
      </w:r>
    </w:p>
    <w:p w:rsidR="00172700" w:rsidRPr="00172700" w:rsidRDefault="000E793D" w:rsidP="00172700">
      <w:pPr>
        <w:spacing w:line="360" w:lineRule="auto"/>
        <w:jc w:val="both"/>
        <w:rPr>
          <w:lang w:val="en-US"/>
        </w:rPr>
      </w:pPr>
      <w:r>
        <w:rPr>
          <w:lang w:val="en-US"/>
        </w:rPr>
        <w:t>A common remedy for this is to difference the series. After taking the first difference, the Augmented Dickey-Fuller test shows the following results:</w:t>
      </w:r>
      <w:r w:rsidR="00172700" w:rsidRPr="00172700">
        <w:rPr>
          <w:lang w:val="en-US"/>
        </w:rPr>
        <w:t xml:space="preserve"> </w:t>
      </w:r>
    </w:p>
    <w:tbl>
      <w:tblPr>
        <w:tblStyle w:val="LightList-Accent11"/>
        <w:tblW w:w="0" w:type="auto"/>
        <w:jc w:val="center"/>
        <w:tblLook w:val="00A0"/>
      </w:tblPr>
      <w:tblGrid>
        <w:gridCol w:w="2098"/>
        <w:gridCol w:w="1142"/>
        <w:gridCol w:w="247"/>
        <w:gridCol w:w="1037"/>
        <w:gridCol w:w="767"/>
      </w:tblGrid>
      <w:tr w:rsidR="008133FE" w:rsidRPr="004648C4" w:rsidTr="009A1768">
        <w:trPr>
          <w:cnfStyle w:val="100000000000"/>
          <w:trHeight w:val="225"/>
          <w:jc w:val="center"/>
        </w:trPr>
        <w:tc>
          <w:tcPr>
            <w:cnfStyle w:val="001000000000"/>
            <w:tcW w:w="0" w:type="auto"/>
            <w:vAlign w:val="center"/>
          </w:tcPr>
          <w:p w:rsidR="008133FE" w:rsidRPr="004648C4" w:rsidRDefault="008133FE" w:rsidP="009A1768">
            <w:pPr>
              <w:autoSpaceDE w:val="0"/>
              <w:autoSpaceDN w:val="0"/>
              <w:adjustRightInd w:val="0"/>
              <w:spacing w:line="360" w:lineRule="auto"/>
              <w:jc w:val="center"/>
              <w:rPr>
                <w:rFonts w:ascii="Arial" w:hAnsi="Arial" w:cs="Arial"/>
                <w:color w:val="000000"/>
                <w:sz w:val="18"/>
                <w:szCs w:val="18"/>
                <w:lang w:val="en-US"/>
              </w:rPr>
            </w:pPr>
          </w:p>
        </w:tc>
        <w:tc>
          <w:tcPr>
            <w:cnfStyle w:val="000010000000"/>
            <w:tcW w:w="0" w:type="auto"/>
            <w:tcBorders>
              <w:bottom w:val="single" w:sz="8" w:space="0" w:color="4F81BD" w:themeColor="accent1"/>
            </w:tcBorders>
            <w:vAlign w:val="center"/>
          </w:tcPr>
          <w:p w:rsidR="008133FE" w:rsidRPr="004648C4" w:rsidRDefault="008133FE" w:rsidP="009A1768">
            <w:pPr>
              <w:autoSpaceDE w:val="0"/>
              <w:autoSpaceDN w:val="0"/>
              <w:adjustRightInd w:val="0"/>
              <w:spacing w:line="360" w:lineRule="auto"/>
              <w:jc w:val="center"/>
              <w:rPr>
                <w:rFonts w:ascii="Arial" w:hAnsi="Arial" w:cs="Arial"/>
                <w:color w:val="000000"/>
                <w:sz w:val="18"/>
                <w:szCs w:val="18"/>
                <w:lang w:val="en-US"/>
              </w:rPr>
            </w:pPr>
          </w:p>
        </w:tc>
        <w:tc>
          <w:tcPr>
            <w:tcW w:w="0" w:type="auto"/>
            <w:tcBorders>
              <w:bottom w:val="single" w:sz="8" w:space="0" w:color="4F81BD" w:themeColor="accent1"/>
            </w:tcBorders>
            <w:vAlign w:val="center"/>
          </w:tcPr>
          <w:p w:rsidR="008133FE" w:rsidRPr="004648C4" w:rsidRDefault="008133FE" w:rsidP="009A1768">
            <w:pPr>
              <w:autoSpaceDE w:val="0"/>
              <w:autoSpaceDN w:val="0"/>
              <w:adjustRightInd w:val="0"/>
              <w:spacing w:line="360" w:lineRule="auto"/>
              <w:jc w:val="center"/>
              <w:cnfStyle w:val="100000000000"/>
              <w:rPr>
                <w:rFonts w:ascii="Arial" w:hAnsi="Arial" w:cs="Arial"/>
                <w:color w:val="000000"/>
                <w:sz w:val="18"/>
                <w:szCs w:val="18"/>
                <w:lang w:val="en-US"/>
              </w:rPr>
            </w:pPr>
          </w:p>
        </w:tc>
        <w:tc>
          <w:tcPr>
            <w:cnfStyle w:val="000010000000"/>
            <w:tcW w:w="0" w:type="auto"/>
            <w:vAlign w:val="center"/>
          </w:tcPr>
          <w:p w:rsidR="008133FE" w:rsidRPr="004648C4" w:rsidRDefault="008133FE" w:rsidP="009A1768">
            <w:pPr>
              <w:autoSpaceDE w:val="0"/>
              <w:autoSpaceDN w:val="0"/>
              <w:adjustRightInd w:val="0"/>
              <w:spacing w:line="360" w:lineRule="auto"/>
              <w:jc w:val="center"/>
              <w:rPr>
                <w:rFonts w:ascii="Arial" w:hAnsi="Arial" w:cs="Arial"/>
                <w:sz w:val="18"/>
                <w:szCs w:val="18"/>
              </w:rPr>
            </w:pPr>
            <w:r w:rsidRPr="004648C4">
              <w:rPr>
                <w:rFonts w:ascii="Arial" w:hAnsi="Arial" w:cs="Arial"/>
                <w:sz w:val="18"/>
                <w:szCs w:val="18"/>
              </w:rPr>
              <w:t>t-Statistic</w:t>
            </w:r>
          </w:p>
        </w:tc>
        <w:tc>
          <w:tcPr>
            <w:tcW w:w="0" w:type="auto"/>
            <w:vAlign w:val="center"/>
          </w:tcPr>
          <w:p w:rsidR="008133FE" w:rsidRPr="004648C4" w:rsidRDefault="0004118C" w:rsidP="009A1768">
            <w:pPr>
              <w:autoSpaceDE w:val="0"/>
              <w:autoSpaceDN w:val="0"/>
              <w:adjustRightInd w:val="0"/>
              <w:spacing w:line="360" w:lineRule="auto"/>
              <w:jc w:val="center"/>
              <w:cnfStyle w:val="100000000000"/>
              <w:rPr>
                <w:rFonts w:ascii="Arial" w:hAnsi="Arial" w:cs="Arial"/>
                <w:sz w:val="18"/>
                <w:szCs w:val="18"/>
              </w:rPr>
            </w:pPr>
            <w:r>
              <w:rPr>
                <w:rFonts w:ascii="Arial" w:hAnsi="Arial" w:cs="Arial"/>
                <w:sz w:val="18"/>
                <w:szCs w:val="18"/>
              </w:rPr>
              <w:t>Prob.</w:t>
            </w:r>
          </w:p>
        </w:tc>
      </w:tr>
      <w:tr w:rsidR="008133FE" w:rsidRPr="004648C4" w:rsidTr="009A1768">
        <w:trPr>
          <w:cnfStyle w:val="000000100000"/>
          <w:trHeight w:hRule="exact" w:val="135"/>
          <w:jc w:val="center"/>
        </w:trPr>
        <w:tc>
          <w:tcPr>
            <w:cnfStyle w:val="001000000000"/>
            <w:tcW w:w="0" w:type="auto"/>
            <w:tcBorders>
              <w:right w:val="nil"/>
            </w:tcBorders>
            <w:vAlign w:val="center"/>
          </w:tcPr>
          <w:p w:rsidR="008133FE" w:rsidRPr="004648C4" w:rsidRDefault="008133FE" w:rsidP="009A1768">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left w:val="nil"/>
              <w:right w:val="nil"/>
            </w:tcBorders>
            <w:vAlign w:val="center"/>
          </w:tcPr>
          <w:p w:rsidR="008133FE" w:rsidRPr="004648C4" w:rsidRDefault="008133FE" w:rsidP="009A1768">
            <w:pPr>
              <w:autoSpaceDE w:val="0"/>
              <w:autoSpaceDN w:val="0"/>
              <w:adjustRightInd w:val="0"/>
              <w:spacing w:line="360" w:lineRule="auto"/>
              <w:jc w:val="center"/>
              <w:rPr>
                <w:rFonts w:ascii="Arial" w:hAnsi="Arial" w:cs="Arial"/>
                <w:color w:val="000000"/>
                <w:sz w:val="18"/>
                <w:szCs w:val="18"/>
              </w:rPr>
            </w:pPr>
          </w:p>
        </w:tc>
        <w:tc>
          <w:tcPr>
            <w:tcW w:w="0" w:type="auto"/>
            <w:tcBorders>
              <w:left w:val="nil"/>
            </w:tcBorders>
            <w:vAlign w:val="center"/>
          </w:tcPr>
          <w:p w:rsidR="008133FE" w:rsidRPr="004648C4" w:rsidRDefault="008133FE" w:rsidP="009A1768">
            <w:pPr>
              <w:autoSpaceDE w:val="0"/>
              <w:autoSpaceDN w:val="0"/>
              <w:adjustRightInd w:val="0"/>
              <w:spacing w:line="360" w:lineRule="auto"/>
              <w:jc w:val="center"/>
              <w:cnfStyle w:val="000000100000"/>
              <w:rPr>
                <w:rFonts w:ascii="Arial" w:hAnsi="Arial" w:cs="Arial"/>
                <w:color w:val="000000"/>
                <w:sz w:val="18"/>
                <w:szCs w:val="18"/>
              </w:rPr>
            </w:pPr>
          </w:p>
        </w:tc>
        <w:tc>
          <w:tcPr>
            <w:cnfStyle w:val="000010000000"/>
            <w:tcW w:w="0" w:type="auto"/>
            <w:vAlign w:val="center"/>
          </w:tcPr>
          <w:p w:rsidR="008133FE" w:rsidRPr="004648C4" w:rsidRDefault="008133FE" w:rsidP="009A1768">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8133FE" w:rsidRPr="004648C4" w:rsidRDefault="008133FE" w:rsidP="009A1768">
            <w:pPr>
              <w:autoSpaceDE w:val="0"/>
              <w:autoSpaceDN w:val="0"/>
              <w:adjustRightInd w:val="0"/>
              <w:spacing w:line="360" w:lineRule="auto"/>
              <w:jc w:val="center"/>
              <w:cnfStyle w:val="000000100000"/>
              <w:rPr>
                <w:rFonts w:ascii="Arial" w:hAnsi="Arial" w:cs="Arial"/>
                <w:color w:val="000000"/>
                <w:sz w:val="18"/>
                <w:szCs w:val="18"/>
              </w:rPr>
            </w:pPr>
          </w:p>
        </w:tc>
      </w:tr>
      <w:tr w:rsidR="008133FE" w:rsidRPr="004648C4" w:rsidTr="009A1768">
        <w:trPr>
          <w:trHeight w:val="225"/>
          <w:jc w:val="center"/>
        </w:trPr>
        <w:tc>
          <w:tcPr>
            <w:cnfStyle w:val="001000000000"/>
            <w:tcW w:w="0" w:type="auto"/>
            <w:gridSpan w:val="3"/>
            <w:vAlign w:val="center"/>
          </w:tcPr>
          <w:p w:rsidR="008133FE" w:rsidRPr="004648C4" w:rsidRDefault="008133FE" w:rsidP="009A1768">
            <w:pPr>
              <w:autoSpaceDE w:val="0"/>
              <w:autoSpaceDN w:val="0"/>
              <w:adjustRightInd w:val="0"/>
              <w:spacing w:line="360" w:lineRule="auto"/>
              <w:jc w:val="center"/>
              <w:rPr>
                <w:rFonts w:ascii="Arial" w:hAnsi="Arial" w:cs="Arial"/>
                <w:color w:val="000000"/>
                <w:sz w:val="18"/>
                <w:szCs w:val="18"/>
                <w:lang w:val="en-US"/>
              </w:rPr>
            </w:pPr>
            <w:r w:rsidRPr="004648C4">
              <w:rPr>
                <w:rFonts w:ascii="Arial" w:hAnsi="Arial" w:cs="Arial"/>
                <w:color w:val="000000"/>
                <w:sz w:val="18"/>
                <w:szCs w:val="18"/>
                <w:lang w:val="en-US"/>
              </w:rPr>
              <w:t>Augmented Dickey-Fuller test statistic</w:t>
            </w:r>
          </w:p>
        </w:tc>
        <w:tc>
          <w:tcPr>
            <w:cnfStyle w:val="000010000000"/>
            <w:tcW w:w="0" w:type="auto"/>
            <w:tcBorders>
              <w:bottom w:val="single" w:sz="8" w:space="0" w:color="4F81BD" w:themeColor="accent1"/>
            </w:tcBorders>
            <w:vAlign w:val="center"/>
          </w:tcPr>
          <w:p w:rsidR="008133FE" w:rsidRPr="004648C4" w:rsidRDefault="008133FE" w:rsidP="009A1768">
            <w:pPr>
              <w:autoSpaceDE w:val="0"/>
              <w:autoSpaceDN w:val="0"/>
              <w:adjustRightInd w:val="0"/>
              <w:spacing w:line="360" w:lineRule="auto"/>
              <w:jc w:val="center"/>
              <w:rPr>
                <w:rFonts w:ascii="Arial" w:hAnsi="Arial" w:cs="Arial"/>
                <w:color w:val="000000"/>
                <w:sz w:val="18"/>
                <w:szCs w:val="18"/>
              </w:rPr>
            </w:pPr>
            <w:r w:rsidRPr="008133FE">
              <w:rPr>
                <w:rFonts w:ascii="Arial" w:hAnsi="Arial" w:cs="Arial"/>
                <w:color w:val="000000"/>
                <w:sz w:val="18"/>
                <w:szCs w:val="18"/>
              </w:rPr>
              <w:t>-8.489970</w:t>
            </w:r>
          </w:p>
        </w:tc>
        <w:tc>
          <w:tcPr>
            <w:tcW w:w="0" w:type="auto"/>
            <w:tcBorders>
              <w:bottom w:val="single" w:sz="8" w:space="0" w:color="4F81BD" w:themeColor="accent1"/>
            </w:tcBorders>
            <w:vAlign w:val="center"/>
          </w:tcPr>
          <w:p w:rsidR="008133FE" w:rsidRPr="004648C4" w:rsidRDefault="008133FE" w:rsidP="009A1768">
            <w:pPr>
              <w:autoSpaceDE w:val="0"/>
              <w:autoSpaceDN w:val="0"/>
              <w:adjustRightInd w:val="0"/>
              <w:spacing w:line="360" w:lineRule="auto"/>
              <w:jc w:val="center"/>
              <w:cnfStyle w:val="000000000000"/>
              <w:rPr>
                <w:rFonts w:ascii="Arial" w:hAnsi="Arial" w:cs="Arial"/>
                <w:color w:val="000000"/>
                <w:sz w:val="18"/>
                <w:szCs w:val="18"/>
              </w:rPr>
            </w:pPr>
            <w:r w:rsidRPr="008133FE">
              <w:rPr>
                <w:rFonts w:ascii="Arial" w:hAnsi="Arial" w:cs="Arial"/>
                <w:color w:val="000000"/>
                <w:sz w:val="18"/>
                <w:szCs w:val="18"/>
              </w:rPr>
              <w:t>0.0000</w:t>
            </w:r>
          </w:p>
        </w:tc>
      </w:tr>
      <w:tr w:rsidR="008133FE" w:rsidRPr="004648C4" w:rsidTr="009A1768">
        <w:trPr>
          <w:cnfStyle w:val="000000100000"/>
          <w:trHeight w:val="225"/>
          <w:jc w:val="center"/>
        </w:trPr>
        <w:tc>
          <w:tcPr>
            <w:cnfStyle w:val="001000000000"/>
            <w:tcW w:w="0" w:type="auto"/>
            <w:tcBorders>
              <w:bottom w:val="nil"/>
              <w:right w:val="nil"/>
            </w:tcBorders>
            <w:vAlign w:val="center"/>
          </w:tcPr>
          <w:p w:rsidR="008133FE" w:rsidRPr="004648C4" w:rsidRDefault="008133FE" w:rsidP="009A1768">
            <w:pPr>
              <w:autoSpaceDE w:val="0"/>
              <w:autoSpaceDN w:val="0"/>
              <w:adjustRightInd w:val="0"/>
              <w:spacing w:line="360" w:lineRule="auto"/>
              <w:rPr>
                <w:rFonts w:ascii="Arial" w:hAnsi="Arial" w:cs="Arial"/>
                <w:color w:val="000000"/>
                <w:sz w:val="18"/>
                <w:szCs w:val="18"/>
              </w:rPr>
            </w:pPr>
            <w:r w:rsidRPr="004648C4">
              <w:rPr>
                <w:rFonts w:ascii="Arial" w:hAnsi="Arial" w:cs="Arial"/>
                <w:color w:val="000000"/>
                <w:sz w:val="18"/>
                <w:szCs w:val="18"/>
              </w:rPr>
              <w:t>Test critical values:</w:t>
            </w:r>
          </w:p>
        </w:tc>
        <w:tc>
          <w:tcPr>
            <w:cnfStyle w:val="000010000000"/>
            <w:tcW w:w="0" w:type="auto"/>
            <w:tcBorders>
              <w:left w:val="nil"/>
              <w:bottom w:val="nil"/>
              <w:right w:val="nil"/>
            </w:tcBorders>
            <w:vAlign w:val="center"/>
          </w:tcPr>
          <w:p w:rsidR="008133FE" w:rsidRPr="004648C4" w:rsidRDefault="008133FE" w:rsidP="009A1768">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1% level</w:t>
            </w:r>
          </w:p>
        </w:tc>
        <w:tc>
          <w:tcPr>
            <w:tcW w:w="0" w:type="auto"/>
            <w:tcBorders>
              <w:left w:val="nil"/>
              <w:bottom w:val="nil"/>
            </w:tcBorders>
            <w:vAlign w:val="center"/>
          </w:tcPr>
          <w:p w:rsidR="008133FE" w:rsidRPr="004648C4" w:rsidRDefault="008133FE" w:rsidP="009A1768">
            <w:pPr>
              <w:autoSpaceDE w:val="0"/>
              <w:autoSpaceDN w:val="0"/>
              <w:adjustRightInd w:val="0"/>
              <w:spacing w:line="360" w:lineRule="auto"/>
              <w:jc w:val="center"/>
              <w:cnfStyle w:val="000000100000"/>
              <w:rPr>
                <w:rFonts w:ascii="Arial" w:hAnsi="Arial" w:cs="Arial"/>
                <w:color w:val="000000"/>
                <w:sz w:val="18"/>
                <w:szCs w:val="18"/>
              </w:rPr>
            </w:pPr>
          </w:p>
        </w:tc>
        <w:tc>
          <w:tcPr>
            <w:cnfStyle w:val="000010000000"/>
            <w:tcW w:w="0" w:type="auto"/>
            <w:tcBorders>
              <w:bottom w:val="nil"/>
            </w:tcBorders>
            <w:vAlign w:val="center"/>
          </w:tcPr>
          <w:p w:rsidR="008133FE" w:rsidRPr="004648C4" w:rsidRDefault="008133FE" w:rsidP="009A1768">
            <w:pPr>
              <w:autoSpaceDE w:val="0"/>
              <w:autoSpaceDN w:val="0"/>
              <w:adjustRightInd w:val="0"/>
              <w:spacing w:line="360" w:lineRule="auto"/>
              <w:jc w:val="center"/>
              <w:rPr>
                <w:rFonts w:ascii="Arial" w:hAnsi="Arial" w:cs="Arial"/>
                <w:color w:val="000000"/>
                <w:sz w:val="18"/>
                <w:szCs w:val="18"/>
              </w:rPr>
            </w:pPr>
            <w:r w:rsidRPr="008133FE">
              <w:rPr>
                <w:rFonts w:ascii="Arial" w:hAnsi="Arial" w:cs="Arial"/>
                <w:color w:val="000000"/>
                <w:sz w:val="18"/>
                <w:szCs w:val="18"/>
              </w:rPr>
              <w:t>-2.576518</w:t>
            </w:r>
          </w:p>
        </w:tc>
        <w:tc>
          <w:tcPr>
            <w:tcW w:w="0" w:type="auto"/>
            <w:tcBorders>
              <w:bottom w:val="nil"/>
            </w:tcBorders>
            <w:vAlign w:val="center"/>
          </w:tcPr>
          <w:p w:rsidR="008133FE" w:rsidRPr="004648C4" w:rsidRDefault="008133FE" w:rsidP="009A1768">
            <w:pPr>
              <w:autoSpaceDE w:val="0"/>
              <w:autoSpaceDN w:val="0"/>
              <w:adjustRightInd w:val="0"/>
              <w:spacing w:line="360" w:lineRule="auto"/>
              <w:jc w:val="center"/>
              <w:cnfStyle w:val="000000100000"/>
              <w:rPr>
                <w:rFonts w:ascii="Arial" w:hAnsi="Arial" w:cs="Arial"/>
                <w:color w:val="000000"/>
                <w:sz w:val="18"/>
                <w:szCs w:val="18"/>
              </w:rPr>
            </w:pPr>
          </w:p>
        </w:tc>
      </w:tr>
      <w:tr w:rsidR="008133FE" w:rsidRPr="004648C4" w:rsidTr="009A1768">
        <w:trPr>
          <w:trHeight w:val="225"/>
          <w:jc w:val="center"/>
        </w:trPr>
        <w:tc>
          <w:tcPr>
            <w:cnfStyle w:val="001000000000"/>
            <w:tcW w:w="0" w:type="auto"/>
            <w:tcBorders>
              <w:top w:val="nil"/>
              <w:bottom w:val="nil"/>
              <w:right w:val="nil"/>
            </w:tcBorders>
            <w:vAlign w:val="center"/>
          </w:tcPr>
          <w:p w:rsidR="008133FE" w:rsidRPr="004648C4" w:rsidRDefault="008133FE" w:rsidP="009A1768">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top w:val="nil"/>
              <w:left w:val="nil"/>
              <w:bottom w:val="nil"/>
              <w:right w:val="nil"/>
            </w:tcBorders>
            <w:vAlign w:val="center"/>
          </w:tcPr>
          <w:p w:rsidR="008133FE" w:rsidRPr="004648C4" w:rsidRDefault="008133FE" w:rsidP="009A1768">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5% level</w:t>
            </w:r>
          </w:p>
        </w:tc>
        <w:tc>
          <w:tcPr>
            <w:tcW w:w="0" w:type="auto"/>
            <w:tcBorders>
              <w:top w:val="nil"/>
              <w:left w:val="nil"/>
              <w:bottom w:val="nil"/>
            </w:tcBorders>
            <w:vAlign w:val="center"/>
          </w:tcPr>
          <w:p w:rsidR="008133FE" w:rsidRPr="004648C4" w:rsidRDefault="008133FE" w:rsidP="009A1768">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top w:val="nil"/>
              <w:bottom w:val="nil"/>
            </w:tcBorders>
            <w:vAlign w:val="center"/>
          </w:tcPr>
          <w:p w:rsidR="008133FE" w:rsidRPr="004648C4" w:rsidRDefault="008133FE" w:rsidP="009A1768">
            <w:pPr>
              <w:autoSpaceDE w:val="0"/>
              <w:autoSpaceDN w:val="0"/>
              <w:adjustRightInd w:val="0"/>
              <w:spacing w:line="360" w:lineRule="auto"/>
              <w:jc w:val="center"/>
              <w:rPr>
                <w:rFonts w:ascii="Arial" w:hAnsi="Arial" w:cs="Arial"/>
                <w:color w:val="000000"/>
                <w:sz w:val="18"/>
                <w:szCs w:val="18"/>
              </w:rPr>
            </w:pPr>
            <w:r w:rsidRPr="008133FE">
              <w:rPr>
                <w:rFonts w:ascii="Arial" w:hAnsi="Arial" w:cs="Arial"/>
                <w:color w:val="000000"/>
                <w:sz w:val="18"/>
                <w:szCs w:val="18"/>
              </w:rPr>
              <w:t>-1.942415</w:t>
            </w:r>
          </w:p>
        </w:tc>
        <w:tc>
          <w:tcPr>
            <w:tcW w:w="0" w:type="auto"/>
            <w:tcBorders>
              <w:top w:val="nil"/>
              <w:bottom w:val="nil"/>
            </w:tcBorders>
            <w:vAlign w:val="center"/>
          </w:tcPr>
          <w:p w:rsidR="008133FE" w:rsidRPr="004648C4" w:rsidRDefault="008133FE" w:rsidP="009A1768">
            <w:pPr>
              <w:autoSpaceDE w:val="0"/>
              <w:autoSpaceDN w:val="0"/>
              <w:adjustRightInd w:val="0"/>
              <w:spacing w:line="360" w:lineRule="auto"/>
              <w:jc w:val="center"/>
              <w:cnfStyle w:val="000000000000"/>
              <w:rPr>
                <w:rFonts w:ascii="Arial" w:hAnsi="Arial" w:cs="Arial"/>
                <w:color w:val="000000"/>
                <w:sz w:val="18"/>
                <w:szCs w:val="18"/>
              </w:rPr>
            </w:pPr>
          </w:p>
        </w:tc>
      </w:tr>
      <w:tr w:rsidR="008133FE" w:rsidRPr="004648C4" w:rsidTr="009A1768">
        <w:trPr>
          <w:cnfStyle w:val="000000100000"/>
          <w:trHeight w:val="225"/>
          <w:jc w:val="center"/>
        </w:trPr>
        <w:tc>
          <w:tcPr>
            <w:cnfStyle w:val="001000000000"/>
            <w:tcW w:w="0" w:type="auto"/>
            <w:tcBorders>
              <w:top w:val="nil"/>
              <w:right w:val="nil"/>
            </w:tcBorders>
            <w:vAlign w:val="center"/>
          </w:tcPr>
          <w:p w:rsidR="008133FE" w:rsidRPr="004648C4" w:rsidRDefault="008133FE" w:rsidP="009A1768">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top w:val="nil"/>
              <w:left w:val="nil"/>
              <w:right w:val="nil"/>
            </w:tcBorders>
            <w:vAlign w:val="center"/>
          </w:tcPr>
          <w:p w:rsidR="008133FE" w:rsidRPr="004648C4" w:rsidRDefault="008133FE" w:rsidP="009A1768">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10% level</w:t>
            </w:r>
          </w:p>
        </w:tc>
        <w:tc>
          <w:tcPr>
            <w:tcW w:w="0" w:type="auto"/>
            <w:tcBorders>
              <w:top w:val="nil"/>
              <w:left w:val="nil"/>
            </w:tcBorders>
            <w:vAlign w:val="center"/>
          </w:tcPr>
          <w:p w:rsidR="008133FE" w:rsidRPr="004648C4" w:rsidRDefault="008133FE" w:rsidP="009A1768">
            <w:pPr>
              <w:autoSpaceDE w:val="0"/>
              <w:autoSpaceDN w:val="0"/>
              <w:adjustRightInd w:val="0"/>
              <w:spacing w:line="360" w:lineRule="auto"/>
              <w:jc w:val="center"/>
              <w:cnfStyle w:val="000000100000"/>
              <w:rPr>
                <w:rFonts w:ascii="Arial" w:hAnsi="Arial" w:cs="Arial"/>
                <w:color w:val="000000"/>
                <w:sz w:val="18"/>
                <w:szCs w:val="18"/>
              </w:rPr>
            </w:pPr>
          </w:p>
        </w:tc>
        <w:tc>
          <w:tcPr>
            <w:cnfStyle w:val="000010000000"/>
            <w:tcW w:w="0" w:type="auto"/>
            <w:tcBorders>
              <w:top w:val="nil"/>
            </w:tcBorders>
            <w:vAlign w:val="center"/>
          </w:tcPr>
          <w:p w:rsidR="008133FE" w:rsidRPr="004648C4" w:rsidRDefault="008133FE" w:rsidP="009A1768">
            <w:pPr>
              <w:autoSpaceDE w:val="0"/>
              <w:autoSpaceDN w:val="0"/>
              <w:adjustRightInd w:val="0"/>
              <w:spacing w:line="360" w:lineRule="auto"/>
              <w:jc w:val="center"/>
              <w:rPr>
                <w:rFonts w:ascii="Arial" w:hAnsi="Arial" w:cs="Arial"/>
                <w:color w:val="000000"/>
                <w:sz w:val="18"/>
                <w:szCs w:val="18"/>
              </w:rPr>
            </w:pPr>
            <w:r w:rsidRPr="008133FE">
              <w:rPr>
                <w:rFonts w:ascii="Arial" w:hAnsi="Arial" w:cs="Arial"/>
                <w:color w:val="000000"/>
                <w:sz w:val="18"/>
                <w:szCs w:val="18"/>
              </w:rPr>
              <w:t>-1.615649</w:t>
            </w:r>
          </w:p>
        </w:tc>
        <w:tc>
          <w:tcPr>
            <w:tcW w:w="0" w:type="auto"/>
            <w:tcBorders>
              <w:top w:val="nil"/>
            </w:tcBorders>
            <w:vAlign w:val="center"/>
          </w:tcPr>
          <w:p w:rsidR="008133FE" w:rsidRPr="004648C4" w:rsidRDefault="008133FE" w:rsidP="00172700">
            <w:pPr>
              <w:keepNext/>
              <w:autoSpaceDE w:val="0"/>
              <w:autoSpaceDN w:val="0"/>
              <w:adjustRightInd w:val="0"/>
              <w:spacing w:line="360" w:lineRule="auto"/>
              <w:jc w:val="center"/>
              <w:cnfStyle w:val="000000100000"/>
              <w:rPr>
                <w:rFonts w:ascii="Arial" w:hAnsi="Arial" w:cs="Arial"/>
                <w:color w:val="000000"/>
                <w:sz w:val="18"/>
                <w:szCs w:val="18"/>
              </w:rPr>
            </w:pPr>
          </w:p>
        </w:tc>
      </w:tr>
    </w:tbl>
    <w:p w:rsidR="008133FE" w:rsidRPr="00172700" w:rsidRDefault="00172700" w:rsidP="00172700">
      <w:pPr>
        <w:pStyle w:val="Caption"/>
        <w:jc w:val="center"/>
        <w:rPr>
          <w:rFonts w:ascii="Arial" w:hAnsi="Arial" w:cs="Arial"/>
          <w:lang w:val="en-US"/>
        </w:rPr>
      </w:pPr>
      <w:r w:rsidRPr="00172700">
        <w:rPr>
          <w:lang w:val="en-US"/>
        </w:rPr>
        <w:t xml:space="preserve">Table </w:t>
      </w:r>
      <w:r w:rsidR="00DB780A">
        <w:fldChar w:fldCharType="begin"/>
      </w:r>
      <w:r w:rsidRPr="00172700">
        <w:rPr>
          <w:lang w:val="en-US"/>
        </w:rPr>
        <w:instrText xml:space="preserve"> SEQ Table \* ARABIC </w:instrText>
      </w:r>
      <w:r w:rsidR="00DB780A">
        <w:fldChar w:fldCharType="separate"/>
      </w:r>
      <w:r w:rsidR="004454F3">
        <w:rPr>
          <w:noProof/>
          <w:lang w:val="en-US"/>
        </w:rPr>
        <w:t>3</w:t>
      </w:r>
      <w:r w:rsidR="00DB780A">
        <w:fldChar w:fldCharType="end"/>
      </w:r>
      <w:r w:rsidRPr="00172700">
        <w:rPr>
          <w:lang w:val="en-US"/>
        </w:rPr>
        <w:t xml:space="preserve"> | Augmented Dickey-Fuller test results on Bitcoin/US Dollar</w:t>
      </w:r>
      <w:r>
        <w:rPr>
          <w:lang w:val="en-US"/>
        </w:rPr>
        <w:t>,</w:t>
      </w:r>
      <w:r w:rsidRPr="00172700">
        <w:rPr>
          <w:lang w:val="en-US"/>
        </w:rPr>
        <w:t xml:space="preserve"> first difference</w:t>
      </w:r>
    </w:p>
    <w:p w:rsidR="008133FE" w:rsidRDefault="00D273FA" w:rsidP="00443B38">
      <w:pPr>
        <w:spacing w:line="360" w:lineRule="auto"/>
        <w:jc w:val="both"/>
        <w:rPr>
          <w:lang w:val="en-US"/>
        </w:rPr>
      </w:pPr>
      <w:r>
        <w:rPr>
          <w:lang w:val="en-US"/>
        </w:rPr>
        <w:t>The null hypothesis stating the series has a unit root is strongly rejected by this result. The first difference of the Bitcoin/US Dollar exchange rate time series is stationary. Thus, the original series is integrated of order 1, I(1). For model estimation the differenced series is to be used.</w:t>
      </w:r>
    </w:p>
    <w:p w:rsidR="00571780" w:rsidRDefault="00572642" w:rsidP="00443B38">
      <w:pPr>
        <w:spacing w:line="360" w:lineRule="auto"/>
        <w:jc w:val="both"/>
        <w:rPr>
          <w:lang w:val="en-US"/>
        </w:rPr>
      </w:pPr>
      <w:r>
        <w:rPr>
          <w:lang w:val="en-US"/>
        </w:rPr>
        <w:t xml:space="preserve">Identifying the order of the </w:t>
      </w:r>
      <w:r w:rsidR="000E793D">
        <w:rPr>
          <w:lang w:val="en-US"/>
        </w:rPr>
        <w:t>autoregressive</w:t>
      </w:r>
      <w:r>
        <w:rPr>
          <w:lang w:val="en-US"/>
        </w:rPr>
        <w:t xml:space="preserve"> model is done by analyzing the partial autocorrelation function of the </w:t>
      </w:r>
      <w:r w:rsidR="00D273FA">
        <w:rPr>
          <w:lang w:val="en-US"/>
        </w:rPr>
        <w:t xml:space="preserve">differenced </w:t>
      </w:r>
      <w:r w:rsidR="00D539B9">
        <w:rPr>
          <w:lang w:val="en-US"/>
        </w:rPr>
        <w:t xml:space="preserve">Bitcoin/US Dollar </w:t>
      </w:r>
      <w:r>
        <w:rPr>
          <w:lang w:val="en-US"/>
        </w:rPr>
        <w:t xml:space="preserve">exchange rate time series. Partial autocorrelation is the correlation between a variable and its lags that is not explained by correlations at lower order lags. The partial autocorrelation function can be computed by fitting autoregressive models with increasing number of lags. Partial autocorrelation at lag </w:t>
      </w:r>
      <w:r>
        <w:rPr>
          <w:i/>
          <w:lang w:val="en-US"/>
        </w:rPr>
        <w:t>k</w:t>
      </w:r>
      <w:r>
        <w:rPr>
          <w:lang w:val="en-US"/>
        </w:rPr>
        <w:t xml:space="preserve"> is equal to the</w:t>
      </w:r>
      <w:r w:rsidR="00D539B9">
        <w:rPr>
          <w:lang w:val="en-US"/>
        </w:rPr>
        <w:t xml:space="preserve"> last (</w:t>
      </w:r>
      <w:r>
        <w:rPr>
          <w:i/>
          <w:lang w:val="en-US"/>
        </w:rPr>
        <w:t>k</w:t>
      </w:r>
      <w:r>
        <w:rPr>
          <w:lang w:val="en-US"/>
        </w:rPr>
        <w:t>´th</w:t>
      </w:r>
      <w:r w:rsidR="00D539B9">
        <w:rPr>
          <w:lang w:val="en-US"/>
        </w:rPr>
        <w:t>)</w:t>
      </w:r>
      <w:r>
        <w:rPr>
          <w:lang w:val="en-US"/>
        </w:rPr>
        <w:t xml:space="preserve"> </w:t>
      </w:r>
      <w:r w:rsidR="00D539B9">
        <w:rPr>
          <w:lang w:val="en-US"/>
        </w:rPr>
        <w:t xml:space="preserve">term in an autoregressive model of order </w:t>
      </w:r>
      <w:r w:rsidR="00D539B9">
        <w:rPr>
          <w:i/>
          <w:lang w:val="en-US"/>
        </w:rPr>
        <w:t>k</w:t>
      </w:r>
      <w:r w:rsidR="00D539B9">
        <w:rPr>
          <w:lang w:val="en-US"/>
        </w:rPr>
        <w:t xml:space="preserve">. So, by inspecting the significance of the partial autocorrelation of the lags, one can determine the order of the autoregressive model to fit. </w:t>
      </w:r>
      <w:r w:rsidR="001A2382">
        <w:rPr>
          <w:lang w:val="en-US"/>
        </w:rPr>
        <w:t xml:space="preserve"> </w:t>
      </w:r>
      <w:r w:rsidR="00D539B9">
        <w:rPr>
          <w:lang w:val="en-US"/>
        </w:rPr>
        <w:t xml:space="preserve">In the case of the </w:t>
      </w:r>
      <w:r w:rsidR="00687F02">
        <w:rPr>
          <w:lang w:val="en-US"/>
        </w:rPr>
        <w:t xml:space="preserve">log of the </w:t>
      </w:r>
      <w:r w:rsidR="00D273FA">
        <w:rPr>
          <w:lang w:val="en-US"/>
        </w:rPr>
        <w:t xml:space="preserve">differenced </w:t>
      </w:r>
      <w:r w:rsidR="00D539B9">
        <w:rPr>
          <w:lang w:val="en-US"/>
        </w:rPr>
        <w:t xml:space="preserve">Bitcoin/US Dollar exchange rate time series, an autoregressive model of order 1 is </w:t>
      </w:r>
      <w:r w:rsidR="00D539B9">
        <w:rPr>
          <w:lang w:val="en-US"/>
        </w:rPr>
        <w:lastRenderedPageBreak/>
        <w:t>suggested by the partial autocorrelation function</w:t>
      </w:r>
      <w:r w:rsidR="007F47CE">
        <w:rPr>
          <w:lang w:val="en-US"/>
        </w:rPr>
        <w:t xml:space="preserve">, since partial autocorrelation is significant for the first lag, and not for any lags thereafter. </w:t>
      </w:r>
    </w:p>
    <w:tbl>
      <w:tblPr>
        <w:tblStyle w:val="LightList-Accent11"/>
        <w:tblW w:w="0" w:type="auto"/>
        <w:jc w:val="center"/>
        <w:tblLook w:val="0020"/>
      </w:tblPr>
      <w:tblGrid>
        <w:gridCol w:w="1777"/>
        <w:gridCol w:w="327"/>
        <w:gridCol w:w="833"/>
        <w:gridCol w:w="846"/>
        <w:gridCol w:w="677"/>
      </w:tblGrid>
      <w:tr w:rsidR="00571780" w:rsidRPr="00D273FA" w:rsidTr="009A1768">
        <w:trPr>
          <w:cnfStyle w:val="100000000000"/>
          <w:trHeight w:val="225"/>
          <w:jc w:val="center"/>
        </w:trPr>
        <w:tc>
          <w:tcPr>
            <w:cnfStyle w:val="000010000000"/>
            <w:tcW w:w="0" w:type="auto"/>
            <w:vAlign w:val="center"/>
          </w:tcPr>
          <w:p w:rsidR="00571780" w:rsidRPr="00D273FA" w:rsidRDefault="00571780" w:rsidP="009A1768">
            <w:pPr>
              <w:autoSpaceDE w:val="0"/>
              <w:autoSpaceDN w:val="0"/>
              <w:adjustRightInd w:val="0"/>
              <w:spacing w:line="360" w:lineRule="auto"/>
              <w:jc w:val="center"/>
              <w:rPr>
                <w:rFonts w:ascii="Arial" w:hAnsi="Arial" w:cs="Arial"/>
                <w:sz w:val="18"/>
                <w:szCs w:val="18"/>
              </w:rPr>
            </w:pPr>
            <w:r w:rsidRPr="00D273FA">
              <w:rPr>
                <w:rFonts w:ascii="Arial" w:hAnsi="Arial" w:cs="Arial"/>
                <w:sz w:val="18"/>
                <w:szCs w:val="18"/>
              </w:rPr>
              <w:t>Partial Correlation</w:t>
            </w:r>
          </w:p>
        </w:tc>
        <w:tc>
          <w:tcPr>
            <w:tcW w:w="0" w:type="auto"/>
            <w:vAlign w:val="center"/>
          </w:tcPr>
          <w:p w:rsidR="00571780" w:rsidRPr="00D273FA" w:rsidRDefault="00571780" w:rsidP="009A1768">
            <w:pPr>
              <w:autoSpaceDE w:val="0"/>
              <w:autoSpaceDN w:val="0"/>
              <w:adjustRightInd w:val="0"/>
              <w:spacing w:line="360" w:lineRule="auto"/>
              <w:jc w:val="center"/>
              <w:cnfStyle w:val="100000000000"/>
              <w:rPr>
                <w:rFonts w:ascii="Arial" w:hAnsi="Arial" w:cs="Arial"/>
                <w:sz w:val="18"/>
                <w:szCs w:val="18"/>
              </w:rPr>
            </w:pPr>
          </w:p>
        </w:tc>
        <w:tc>
          <w:tcPr>
            <w:cnfStyle w:val="000010000000"/>
            <w:tcW w:w="833" w:type="dxa"/>
            <w:vAlign w:val="center"/>
          </w:tcPr>
          <w:p w:rsidR="00571780" w:rsidRPr="00D273FA" w:rsidRDefault="00571780" w:rsidP="009A1768">
            <w:pPr>
              <w:autoSpaceDE w:val="0"/>
              <w:autoSpaceDN w:val="0"/>
              <w:adjustRightInd w:val="0"/>
              <w:spacing w:line="360" w:lineRule="auto"/>
              <w:jc w:val="center"/>
              <w:rPr>
                <w:rFonts w:ascii="Arial" w:hAnsi="Arial" w:cs="Arial"/>
                <w:sz w:val="18"/>
                <w:szCs w:val="18"/>
              </w:rPr>
            </w:pPr>
            <w:r w:rsidRPr="00D273FA">
              <w:rPr>
                <w:rFonts w:ascii="Arial" w:hAnsi="Arial" w:cs="Arial"/>
                <w:sz w:val="18"/>
                <w:szCs w:val="18"/>
              </w:rPr>
              <w:t>PAC</w:t>
            </w:r>
          </w:p>
        </w:tc>
        <w:tc>
          <w:tcPr>
            <w:tcW w:w="0" w:type="auto"/>
            <w:vAlign w:val="center"/>
          </w:tcPr>
          <w:p w:rsidR="00571780" w:rsidRPr="00D273FA" w:rsidRDefault="00571780" w:rsidP="009A1768">
            <w:pPr>
              <w:autoSpaceDE w:val="0"/>
              <w:autoSpaceDN w:val="0"/>
              <w:adjustRightInd w:val="0"/>
              <w:spacing w:line="360" w:lineRule="auto"/>
              <w:jc w:val="center"/>
              <w:cnfStyle w:val="100000000000"/>
              <w:rPr>
                <w:rFonts w:ascii="Arial" w:hAnsi="Arial" w:cs="Arial"/>
                <w:sz w:val="18"/>
                <w:szCs w:val="18"/>
              </w:rPr>
            </w:pPr>
            <w:r w:rsidRPr="00D273FA">
              <w:rPr>
                <w:rFonts w:ascii="Arial" w:hAnsi="Arial" w:cs="Arial"/>
                <w:sz w:val="18"/>
                <w:szCs w:val="18"/>
              </w:rPr>
              <w:t>Q-Stat</w:t>
            </w:r>
          </w:p>
        </w:tc>
        <w:tc>
          <w:tcPr>
            <w:cnfStyle w:val="000010000000"/>
            <w:tcW w:w="0" w:type="auto"/>
            <w:vAlign w:val="center"/>
          </w:tcPr>
          <w:p w:rsidR="00571780" w:rsidRPr="00D273FA" w:rsidRDefault="00571780" w:rsidP="009A1768">
            <w:pPr>
              <w:autoSpaceDE w:val="0"/>
              <w:autoSpaceDN w:val="0"/>
              <w:adjustRightInd w:val="0"/>
              <w:spacing w:line="360" w:lineRule="auto"/>
              <w:jc w:val="center"/>
              <w:rPr>
                <w:rFonts w:ascii="Arial" w:hAnsi="Arial" w:cs="Arial"/>
                <w:sz w:val="18"/>
                <w:szCs w:val="18"/>
              </w:rPr>
            </w:pPr>
            <w:r w:rsidRPr="00D273FA">
              <w:rPr>
                <w:rFonts w:ascii="Arial" w:hAnsi="Arial" w:cs="Arial"/>
                <w:sz w:val="18"/>
                <w:szCs w:val="18"/>
              </w:rPr>
              <w:t>Prob</w:t>
            </w:r>
          </w:p>
        </w:tc>
      </w:tr>
      <w:tr w:rsidR="00571780" w:rsidRPr="00D273FA" w:rsidTr="009A1768">
        <w:trPr>
          <w:cnfStyle w:val="000000100000"/>
          <w:trHeight w:val="225"/>
          <w:jc w:val="center"/>
        </w:trPr>
        <w:tc>
          <w:tcPr>
            <w:cnfStyle w:val="000010000000"/>
            <w:tcW w:w="0" w:type="auto"/>
            <w:vMerge w:val="restart"/>
            <w:vAlign w:val="center"/>
          </w:tcPr>
          <w:p w:rsidR="00571780" w:rsidRPr="00D273FA" w:rsidRDefault="00571780" w:rsidP="009A1768">
            <w:pPr>
              <w:autoSpaceDE w:val="0"/>
              <w:autoSpaceDN w:val="0"/>
              <w:adjustRightInd w:val="0"/>
              <w:spacing w:line="360" w:lineRule="auto"/>
              <w:jc w:val="center"/>
              <w:rPr>
                <w:rFonts w:ascii="Arial" w:hAnsi="Arial" w:cs="Arial"/>
                <w:color w:val="000000"/>
                <w:sz w:val="18"/>
                <w:szCs w:val="18"/>
              </w:rPr>
            </w:pPr>
            <w:r>
              <w:rPr>
                <w:rFonts w:ascii="Arial" w:hAnsi="Arial" w:cs="Arial"/>
                <w:noProof/>
                <w:color w:val="000000"/>
                <w:sz w:val="18"/>
                <w:szCs w:val="18"/>
                <w:lang w:eastAsia="nl-NL"/>
              </w:rPr>
              <w:drawing>
                <wp:anchor distT="0" distB="0" distL="114300" distR="114300" simplePos="0" relativeHeight="251665408" behindDoc="0" locked="0" layoutInCell="1" allowOverlap="1">
                  <wp:simplePos x="0" y="0"/>
                  <wp:positionH relativeFrom="column">
                    <wp:posOffset>-59135</wp:posOffset>
                  </wp:positionH>
                  <wp:positionV relativeFrom="paragraph">
                    <wp:posOffset>29764</wp:posOffset>
                  </wp:positionV>
                  <wp:extent cx="1089498" cy="1400783"/>
                  <wp:effectExtent l="1905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529" t="15450" r="93930" b="76027"/>
                          <a:stretch>
                            <a:fillRect/>
                          </a:stretch>
                        </pic:blipFill>
                        <pic:spPr bwMode="auto">
                          <a:xfrm>
                            <a:off x="0" y="0"/>
                            <a:ext cx="1095055" cy="1407927"/>
                          </a:xfrm>
                          <a:prstGeom prst="rect">
                            <a:avLst/>
                          </a:prstGeom>
                          <a:noFill/>
                          <a:ln w="9525">
                            <a:noFill/>
                            <a:miter lim="800000"/>
                            <a:headEnd/>
                            <a:tailEnd/>
                          </a:ln>
                        </pic:spPr>
                      </pic:pic>
                    </a:graphicData>
                  </a:graphic>
                </wp:anchor>
              </w:drawing>
            </w:r>
          </w:p>
        </w:tc>
        <w:tc>
          <w:tcPr>
            <w:tcW w:w="0" w:type="auto"/>
            <w:vAlign w:val="center"/>
          </w:tcPr>
          <w:p w:rsidR="00571780" w:rsidRPr="00D273FA" w:rsidRDefault="00571780" w:rsidP="009A1768">
            <w:pPr>
              <w:autoSpaceDE w:val="0"/>
              <w:autoSpaceDN w:val="0"/>
              <w:adjustRightInd w:val="0"/>
              <w:spacing w:line="360" w:lineRule="auto"/>
              <w:ind w:right="10"/>
              <w:jc w:val="center"/>
              <w:cnfStyle w:val="000000100000"/>
              <w:rPr>
                <w:rFonts w:ascii="Arial" w:hAnsi="Arial" w:cs="Arial"/>
                <w:color w:val="000000"/>
                <w:sz w:val="18"/>
                <w:szCs w:val="18"/>
              </w:rPr>
            </w:pPr>
            <w:r w:rsidRPr="00D273FA">
              <w:rPr>
                <w:rFonts w:ascii="Arial" w:hAnsi="Arial" w:cs="Arial"/>
                <w:color w:val="000000"/>
                <w:sz w:val="18"/>
                <w:szCs w:val="18"/>
              </w:rPr>
              <w:t>1</w:t>
            </w:r>
          </w:p>
        </w:tc>
        <w:tc>
          <w:tcPr>
            <w:cnfStyle w:val="000010000000"/>
            <w:tcW w:w="833" w:type="dxa"/>
            <w:vAlign w:val="center"/>
          </w:tcPr>
          <w:p w:rsidR="00571780" w:rsidRPr="00D273FA" w:rsidRDefault="00571780" w:rsidP="009A1768">
            <w:pPr>
              <w:autoSpaceDE w:val="0"/>
              <w:autoSpaceDN w:val="0"/>
              <w:adjustRightInd w:val="0"/>
              <w:spacing w:line="360" w:lineRule="auto"/>
              <w:ind w:right="10"/>
              <w:jc w:val="center"/>
              <w:rPr>
                <w:rFonts w:ascii="Arial" w:hAnsi="Arial" w:cs="Arial"/>
                <w:color w:val="000000"/>
                <w:sz w:val="18"/>
                <w:szCs w:val="18"/>
              </w:rPr>
            </w:pPr>
            <w:r w:rsidRPr="00D273FA">
              <w:rPr>
                <w:rFonts w:ascii="Arial" w:hAnsi="Arial" w:cs="Arial"/>
                <w:color w:val="000000"/>
                <w:sz w:val="18"/>
                <w:szCs w:val="18"/>
              </w:rPr>
              <w:t>0.428</w:t>
            </w:r>
          </w:p>
        </w:tc>
        <w:tc>
          <w:tcPr>
            <w:tcW w:w="846" w:type="dxa"/>
            <w:vAlign w:val="center"/>
          </w:tcPr>
          <w:p w:rsidR="00571780" w:rsidRPr="00D273FA" w:rsidRDefault="00571780" w:rsidP="009A1768">
            <w:pPr>
              <w:autoSpaceDE w:val="0"/>
              <w:autoSpaceDN w:val="0"/>
              <w:adjustRightInd w:val="0"/>
              <w:spacing w:line="360" w:lineRule="auto"/>
              <w:ind w:right="10"/>
              <w:jc w:val="center"/>
              <w:cnfStyle w:val="000000100000"/>
              <w:rPr>
                <w:rFonts w:ascii="Arial" w:hAnsi="Arial" w:cs="Arial"/>
                <w:color w:val="000000"/>
                <w:sz w:val="18"/>
                <w:szCs w:val="18"/>
              </w:rPr>
            </w:pPr>
            <w:r w:rsidRPr="00D273FA">
              <w:rPr>
                <w:rFonts w:ascii="Arial" w:hAnsi="Arial" w:cs="Arial"/>
                <w:color w:val="000000"/>
                <w:sz w:val="18"/>
                <w:szCs w:val="18"/>
              </w:rPr>
              <w:t>37.549</w:t>
            </w:r>
          </w:p>
        </w:tc>
        <w:tc>
          <w:tcPr>
            <w:cnfStyle w:val="000010000000"/>
            <w:tcW w:w="677" w:type="dxa"/>
            <w:vAlign w:val="center"/>
          </w:tcPr>
          <w:p w:rsidR="00571780" w:rsidRPr="00D273FA" w:rsidRDefault="00571780" w:rsidP="009A1768">
            <w:pPr>
              <w:autoSpaceDE w:val="0"/>
              <w:autoSpaceDN w:val="0"/>
              <w:adjustRightInd w:val="0"/>
              <w:spacing w:line="360" w:lineRule="auto"/>
              <w:ind w:right="10"/>
              <w:jc w:val="center"/>
              <w:rPr>
                <w:rFonts w:ascii="Arial" w:hAnsi="Arial" w:cs="Arial"/>
                <w:color w:val="000000"/>
                <w:sz w:val="18"/>
                <w:szCs w:val="18"/>
              </w:rPr>
            </w:pPr>
            <w:r w:rsidRPr="00D273FA">
              <w:rPr>
                <w:rFonts w:ascii="Arial" w:hAnsi="Arial" w:cs="Arial"/>
                <w:color w:val="000000"/>
                <w:sz w:val="18"/>
                <w:szCs w:val="18"/>
              </w:rPr>
              <w:t>0.000</w:t>
            </w:r>
          </w:p>
        </w:tc>
      </w:tr>
      <w:tr w:rsidR="00571780" w:rsidRPr="00D273FA" w:rsidTr="009A1768">
        <w:trPr>
          <w:trHeight w:val="225"/>
          <w:jc w:val="center"/>
        </w:trPr>
        <w:tc>
          <w:tcPr>
            <w:cnfStyle w:val="000010000000"/>
            <w:tcW w:w="0" w:type="auto"/>
            <w:vMerge/>
            <w:vAlign w:val="center"/>
          </w:tcPr>
          <w:p w:rsidR="00571780" w:rsidRPr="00D273FA" w:rsidRDefault="00571780" w:rsidP="009A1768">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571780" w:rsidRPr="00D273FA" w:rsidRDefault="00571780" w:rsidP="009A1768">
            <w:pPr>
              <w:autoSpaceDE w:val="0"/>
              <w:autoSpaceDN w:val="0"/>
              <w:adjustRightInd w:val="0"/>
              <w:spacing w:line="360" w:lineRule="auto"/>
              <w:ind w:right="10"/>
              <w:jc w:val="center"/>
              <w:cnfStyle w:val="000000000000"/>
              <w:rPr>
                <w:rFonts w:ascii="Arial" w:hAnsi="Arial" w:cs="Arial"/>
                <w:color w:val="000000"/>
                <w:sz w:val="18"/>
                <w:szCs w:val="18"/>
              </w:rPr>
            </w:pPr>
            <w:r w:rsidRPr="00D273FA">
              <w:rPr>
                <w:rFonts w:ascii="Arial" w:hAnsi="Arial" w:cs="Arial"/>
                <w:color w:val="000000"/>
                <w:sz w:val="18"/>
                <w:szCs w:val="18"/>
              </w:rPr>
              <w:t>2</w:t>
            </w:r>
          </w:p>
        </w:tc>
        <w:tc>
          <w:tcPr>
            <w:cnfStyle w:val="000010000000"/>
            <w:tcW w:w="833" w:type="dxa"/>
            <w:vAlign w:val="center"/>
          </w:tcPr>
          <w:p w:rsidR="00571780" w:rsidRPr="00D273FA" w:rsidRDefault="00571780" w:rsidP="009A1768">
            <w:pPr>
              <w:autoSpaceDE w:val="0"/>
              <w:autoSpaceDN w:val="0"/>
              <w:adjustRightInd w:val="0"/>
              <w:spacing w:line="360" w:lineRule="auto"/>
              <w:ind w:right="10"/>
              <w:jc w:val="center"/>
              <w:rPr>
                <w:rFonts w:ascii="Arial" w:hAnsi="Arial" w:cs="Arial"/>
                <w:color w:val="000000"/>
                <w:sz w:val="18"/>
                <w:szCs w:val="18"/>
              </w:rPr>
            </w:pPr>
            <w:r w:rsidRPr="00D273FA">
              <w:rPr>
                <w:rFonts w:ascii="Arial" w:hAnsi="Arial" w:cs="Arial"/>
                <w:color w:val="000000"/>
                <w:sz w:val="18"/>
                <w:szCs w:val="18"/>
              </w:rPr>
              <w:t>0.064</w:t>
            </w:r>
          </w:p>
        </w:tc>
        <w:tc>
          <w:tcPr>
            <w:tcW w:w="846" w:type="dxa"/>
            <w:vAlign w:val="center"/>
          </w:tcPr>
          <w:p w:rsidR="00571780" w:rsidRPr="00D273FA" w:rsidRDefault="00571780" w:rsidP="009A1768">
            <w:pPr>
              <w:autoSpaceDE w:val="0"/>
              <w:autoSpaceDN w:val="0"/>
              <w:adjustRightInd w:val="0"/>
              <w:spacing w:line="360" w:lineRule="auto"/>
              <w:ind w:right="10"/>
              <w:jc w:val="center"/>
              <w:cnfStyle w:val="000000000000"/>
              <w:rPr>
                <w:rFonts w:ascii="Arial" w:hAnsi="Arial" w:cs="Arial"/>
                <w:color w:val="000000"/>
                <w:sz w:val="18"/>
                <w:szCs w:val="18"/>
              </w:rPr>
            </w:pPr>
            <w:r w:rsidRPr="00D273FA">
              <w:rPr>
                <w:rFonts w:ascii="Arial" w:hAnsi="Arial" w:cs="Arial"/>
                <w:color w:val="000000"/>
                <w:sz w:val="18"/>
                <w:szCs w:val="18"/>
              </w:rPr>
              <w:t>48.983</w:t>
            </w:r>
          </w:p>
        </w:tc>
        <w:tc>
          <w:tcPr>
            <w:cnfStyle w:val="000010000000"/>
            <w:tcW w:w="677" w:type="dxa"/>
            <w:vAlign w:val="center"/>
          </w:tcPr>
          <w:p w:rsidR="00571780" w:rsidRPr="00D273FA" w:rsidRDefault="00571780" w:rsidP="009A1768">
            <w:pPr>
              <w:autoSpaceDE w:val="0"/>
              <w:autoSpaceDN w:val="0"/>
              <w:adjustRightInd w:val="0"/>
              <w:spacing w:line="360" w:lineRule="auto"/>
              <w:ind w:right="10"/>
              <w:jc w:val="center"/>
              <w:rPr>
                <w:rFonts w:ascii="Arial" w:hAnsi="Arial" w:cs="Arial"/>
                <w:color w:val="000000"/>
                <w:sz w:val="18"/>
                <w:szCs w:val="18"/>
              </w:rPr>
            </w:pPr>
            <w:r w:rsidRPr="00D273FA">
              <w:rPr>
                <w:rFonts w:ascii="Arial" w:hAnsi="Arial" w:cs="Arial"/>
                <w:color w:val="000000"/>
                <w:sz w:val="18"/>
                <w:szCs w:val="18"/>
              </w:rPr>
              <w:t>0.000</w:t>
            </w:r>
          </w:p>
        </w:tc>
      </w:tr>
      <w:tr w:rsidR="00571780" w:rsidRPr="00D273FA" w:rsidTr="009A1768">
        <w:trPr>
          <w:cnfStyle w:val="000000100000"/>
          <w:trHeight w:val="225"/>
          <w:jc w:val="center"/>
        </w:trPr>
        <w:tc>
          <w:tcPr>
            <w:cnfStyle w:val="000010000000"/>
            <w:tcW w:w="0" w:type="auto"/>
            <w:vMerge/>
            <w:vAlign w:val="center"/>
          </w:tcPr>
          <w:p w:rsidR="00571780" w:rsidRPr="00D273FA" w:rsidRDefault="00571780" w:rsidP="009A1768">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571780" w:rsidRPr="00D273FA" w:rsidRDefault="00571780" w:rsidP="009A1768">
            <w:pPr>
              <w:autoSpaceDE w:val="0"/>
              <w:autoSpaceDN w:val="0"/>
              <w:adjustRightInd w:val="0"/>
              <w:spacing w:line="360" w:lineRule="auto"/>
              <w:ind w:right="10"/>
              <w:jc w:val="center"/>
              <w:cnfStyle w:val="000000100000"/>
              <w:rPr>
                <w:rFonts w:ascii="Arial" w:hAnsi="Arial" w:cs="Arial"/>
                <w:color w:val="000000"/>
                <w:sz w:val="18"/>
                <w:szCs w:val="18"/>
              </w:rPr>
            </w:pPr>
            <w:r w:rsidRPr="00D273FA">
              <w:rPr>
                <w:rFonts w:ascii="Arial" w:hAnsi="Arial" w:cs="Arial"/>
                <w:color w:val="000000"/>
                <w:sz w:val="18"/>
                <w:szCs w:val="18"/>
              </w:rPr>
              <w:t>3</w:t>
            </w:r>
          </w:p>
        </w:tc>
        <w:tc>
          <w:tcPr>
            <w:cnfStyle w:val="000010000000"/>
            <w:tcW w:w="833" w:type="dxa"/>
            <w:vAlign w:val="center"/>
          </w:tcPr>
          <w:p w:rsidR="00571780" w:rsidRPr="00D273FA" w:rsidRDefault="00571780" w:rsidP="009A1768">
            <w:pPr>
              <w:autoSpaceDE w:val="0"/>
              <w:autoSpaceDN w:val="0"/>
              <w:adjustRightInd w:val="0"/>
              <w:spacing w:line="360" w:lineRule="auto"/>
              <w:ind w:right="10"/>
              <w:jc w:val="center"/>
              <w:rPr>
                <w:rFonts w:ascii="Arial" w:hAnsi="Arial" w:cs="Arial"/>
                <w:color w:val="000000"/>
                <w:sz w:val="18"/>
                <w:szCs w:val="18"/>
              </w:rPr>
            </w:pPr>
            <w:r w:rsidRPr="00D273FA">
              <w:rPr>
                <w:rFonts w:ascii="Arial" w:hAnsi="Arial" w:cs="Arial"/>
                <w:color w:val="000000"/>
                <w:sz w:val="18"/>
                <w:szCs w:val="18"/>
              </w:rPr>
              <w:t>0.102</w:t>
            </w:r>
          </w:p>
        </w:tc>
        <w:tc>
          <w:tcPr>
            <w:tcW w:w="846" w:type="dxa"/>
            <w:vAlign w:val="center"/>
          </w:tcPr>
          <w:p w:rsidR="00571780" w:rsidRPr="00D273FA" w:rsidRDefault="00571780" w:rsidP="009A1768">
            <w:pPr>
              <w:autoSpaceDE w:val="0"/>
              <w:autoSpaceDN w:val="0"/>
              <w:adjustRightInd w:val="0"/>
              <w:spacing w:line="360" w:lineRule="auto"/>
              <w:ind w:right="10"/>
              <w:jc w:val="center"/>
              <w:cnfStyle w:val="000000100000"/>
              <w:rPr>
                <w:rFonts w:ascii="Arial" w:hAnsi="Arial" w:cs="Arial"/>
                <w:color w:val="000000"/>
                <w:sz w:val="18"/>
                <w:szCs w:val="18"/>
              </w:rPr>
            </w:pPr>
            <w:r w:rsidRPr="00D273FA">
              <w:rPr>
                <w:rFonts w:ascii="Arial" w:hAnsi="Arial" w:cs="Arial"/>
                <w:color w:val="000000"/>
                <w:sz w:val="18"/>
                <w:szCs w:val="18"/>
              </w:rPr>
              <w:t>57.654</w:t>
            </w:r>
          </w:p>
        </w:tc>
        <w:tc>
          <w:tcPr>
            <w:cnfStyle w:val="000010000000"/>
            <w:tcW w:w="677" w:type="dxa"/>
            <w:vAlign w:val="center"/>
          </w:tcPr>
          <w:p w:rsidR="00571780" w:rsidRPr="00D273FA" w:rsidRDefault="00571780" w:rsidP="009A1768">
            <w:pPr>
              <w:autoSpaceDE w:val="0"/>
              <w:autoSpaceDN w:val="0"/>
              <w:adjustRightInd w:val="0"/>
              <w:spacing w:line="360" w:lineRule="auto"/>
              <w:ind w:right="10"/>
              <w:jc w:val="center"/>
              <w:rPr>
                <w:rFonts w:ascii="Arial" w:hAnsi="Arial" w:cs="Arial"/>
                <w:color w:val="000000"/>
                <w:sz w:val="18"/>
                <w:szCs w:val="18"/>
              </w:rPr>
            </w:pPr>
            <w:r w:rsidRPr="00D273FA">
              <w:rPr>
                <w:rFonts w:ascii="Arial" w:hAnsi="Arial" w:cs="Arial"/>
                <w:color w:val="000000"/>
                <w:sz w:val="18"/>
                <w:szCs w:val="18"/>
              </w:rPr>
              <w:t>0.000</w:t>
            </w:r>
          </w:p>
        </w:tc>
      </w:tr>
      <w:tr w:rsidR="00571780" w:rsidRPr="00D273FA" w:rsidTr="009A1768">
        <w:trPr>
          <w:trHeight w:val="225"/>
          <w:jc w:val="center"/>
        </w:trPr>
        <w:tc>
          <w:tcPr>
            <w:cnfStyle w:val="000010000000"/>
            <w:tcW w:w="0" w:type="auto"/>
            <w:vMerge/>
            <w:vAlign w:val="center"/>
          </w:tcPr>
          <w:p w:rsidR="00571780" w:rsidRPr="00D273FA" w:rsidRDefault="00571780" w:rsidP="009A1768">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571780" w:rsidRPr="00D273FA" w:rsidRDefault="00571780" w:rsidP="009A1768">
            <w:pPr>
              <w:autoSpaceDE w:val="0"/>
              <w:autoSpaceDN w:val="0"/>
              <w:adjustRightInd w:val="0"/>
              <w:spacing w:line="360" w:lineRule="auto"/>
              <w:ind w:right="10"/>
              <w:jc w:val="center"/>
              <w:cnfStyle w:val="000000000000"/>
              <w:rPr>
                <w:rFonts w:ascii="Arial" w:hAnsi="Arial" w:cs="Arial"/>
                <w:color w:val="000000"/>
                <w:sz w:val="18"/>
                <w:szCs w:val="18"/>
              </w:rPr>
            </w:pPr>
            <w:r w:rsidRPr="00D273FA">
              <w:rPr>
                <w:rFonts w:ascii="Arial" w:hAnsi="Arial" w:cs="Arial"/>
                <w:color w:val="000000"/>
                <w:sz w:val="18"/>
                <w:szCs w:val="18"/>
              </w:rPr>
              <w:t>4</w:t>
            </w:r>
          </w:p>
        </w:tc>
        <w:tc>
          <w:tcPr>
            <w:cnfStyle w:val="000010000000"/>
            <w:tcW w:w="833" w:type="dxa"/>
            <w:vAlign w:val="center"/>
          </w:tcPr>
          <w:p w:rsidR="00571780" w:rsidRPr="00D273FA" w:rsidRDefault="00571780" w:rsidP="009A1768">
            <w:pPr>
              <w:autoSpaceDE w:val="0"/>
              <w:autoSpaceDN w:val="0"/>
              <w:adjustRightInd w:val="0"/>
              <w:spacing w:line="360" w:lineRule="auto"/>
              <w:ind w:right="10"/>
              <w:jc w:val="center"/>
              <w:rPr>
                <w:rFonts w:ascii="Arial" w:hAnsi="Arial" w:cs="Arial"/>
                <w:color w:val="000000"/>
                <w:sz w:val="18"/>
                <w:szCs w:val="18"/>
              </w:rPr>
            </w:pPr>
            <w:r w:rsidRPr="00D273FA">
              <w:rPr>
                <w:rFonts w:ascii="Arial" w:hAnsi="Arial" w:cs="Arial"/>
                <w:color w:val="000000"/>
                <w:sz w:val="18"/>
                <w:szCs w:val="18"/>
              </w:rPr>
              <w:t>0.017</w:t>
            </w:r>
          </w:p>
        </w:tc>
        <w:tc>
          <w:tcPr>
            <w:tcW w:w="846" w:type="dxa"/>
            <w:vAlign w:val="center"/>
          </w:tcPr>
          <w:p w:rsidR="00571780" w:rsidRPr="00D273FA" w:rsidRDefault="00571780" w:rsidP="009A1768">
            <w:pPr>
              <w:autoSpaceDE w:val="0"/>
              <w:autoSpaceDN w:val="0"/>
              <w:adjustRightInd w:val="0"/>
              <w:spacing w:line="360" w:lineRule="auto"/>
              <w:ind w:right="10"/>
              <w:jc w:val="center"/>
              <w:cnfStyle w:val="000000000000"/>
              <w:rPr>
                <w:rFonts w:ascii="Arial" w:hAnsi="Arial" w:cs="Arial"/>
                <w:color w:val="000000"/>
                <w:sz w:val="18"/>
                <w:szCs w:val="18"/>
              </w:rPr>
            </w:pPr>
            <w:r w:rsidRPr="00D273FA">
              <w:rPr>
                <w:rFonts w:ascii="Arial" w:hAnsi="Arial" w:cs="Arial"/>
                <w:color w:val="000000"/>
                <w:sz w:val="18"/>
                <w:szCs w:val="18"/>
              </w:rPr>
              <w:t>61.946</w:t>
            </w:r>
          </w:p>
        </w:tc>
        <w:tc>
          <w:tcPr>
            <w:cnfStyle w:val="000010000000"/>
            <w:tcW w:w="677" w:type="dxa"/>
            <w:vAlign w:val="center"/>
          </w:tcPr>
          <w:p w:rsidR="00571780" w:rsidRPr="00D273FA" w:rsidRDefault="00571780" w:rsidP="009A1768">
            <w:pPr>
              <w:autoSpaceDE w:val="0"/>
              <w:autoSpaceDN w:val="0"/>
              <w:adjustRightInd w:val="0"/>
              <w:spacing w:line="360" w:lineRule="auto"/>
              <w:ind w:right="10"/>
              <w:jc w:val="center"/>
              <w:rPr>
                <w:rFonts w:ascii="Arial" w:hAnsi="Arial" w:cs="Arial"/>
                <w:color w:val="000000"/>
                <w:sz w:val="18"/>
                <w:szCs w:val="18"/>
              </w:rPr>
            </w:pPr>
            <w:r w:rsidRPr="00D273FA">
              <w:rPr>
                <w:rFonts w:ascii="Arial" w:hAnsi="Arial" w:cs="Arial"/>
                <w:color w:val="000000"/>
                <w:sz w:val="18"/>
                <w:szCs w:val="18"/>
              </w:rPr>
              <w:t>0.000</w:t>
            </w:r>
          </w:p>
        </w:tc>
      </w:tr>
      <w:tr w:rsidR="00571780" w:rsidRPr="00D273FA" w:rsidTr="009A1768">
        <w:trPr>
          <w:cnfStyle w:val="000000100000"/>
          <w:trHeight w:val="225"/>
          <w:jc w:val="center"/>
        </w:trPr>
        <w:tc>
          <w:tcPr>
            <w:cnfStyle w:val="000010000000"/>
            <w:tcW w:w="0" w:type="auto"/>
            <w:vMerge/>
            <w:vAlign w:val="center"/>
          </w:tcPr>
          <w:p w:rsidR="00571780" w:rsidRPr="00D273FA" w:rsidRDefault="00571780" w:rsidP="009A1768">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571780" w:rsidRPr="00D273FA" w:rsidRDefault="00571780" w:rsidP="009A1768">
            <w:pPr>
              <w:autoSpaceDE w:val="0"/>
              <w:autoSpaceDN w:val="0"/>
              <w:adjustRightInd w:val="0"/>
              <w:spacing w:line="360" w:lineRule="auto"/>
              <w:ind w:right="10"/>
              <w:jc w:val="center"/>
              <w:cnfStyle w:val="000000100000"/>
              <w:rPr>
                <w:rFonts w:ascii="Arial" w:hAnsi="Arial" w:cs="Arial"/>
                <w:color w:val="000000"/>
                <w:sz w:val="18"/>
                <w:szCs w:val="18"/>
              </w:rPr>
            </w:pPr>
            <w:r w:rsidRPr="00D273FA">
              <w:rPr>
                <w:rFonts w:ascii="Arial" w:hAnsi="Arial" w:cs="Arial"/>
                <w:color w:val="000000"/>
                <w:sz w:val="18"/>
                <w:szCs w:val="18"/>
              </w:rPr>
              <w:t>5</w:t>
            </w:r>
          </w:p>
        </w:tc>
        <w:tc>
          <w:tcPr>
            <w:cnfStyle w:val="000010000000"/>
            <w:tcW w:w="833" w:type="dxa"/>
            <w:vAlign w:val="center"/>
          </w:tcPr>
          <w:p w:rsidR="00571780" w:rsidRPr="00D273FA" w:rsidRDefault="00571780" w:rsidP="009A1768">
            <w:pPr>
              <w:autoSpaceDE w:val="0"/>
              <w:autoSpaceDN w:val="0"/>
              <w:adjustRightInd w:val="0"/>
              <w:spacing w:line="360" w:lineRule="auto"/>
              <w:ind w:right="10"/>
              <w:jc w:val="center"/>
              <w:rPr>
                <w:rFonts w:ascii="Arial" w:hAnsi="Arial" w:cs="Arial"/>
                <w:color w:val="000000"/>
                <w:sz w:val="18"/>
                <w:szCs w:val="18"/>
              </w:rPr>
            </w:pPr>
            <w:r w:rsidRPr="00D273FA">
              <w:rPr>
                <w:rFonts w:ascii="Arial" w:hAnsi="Arial" w:cs="Arial"/>
                <w:color w:val="000000"/>
                <w:sz w:val="18"/>
                <w:szCs w:val="18"/>
              </w:rPr>
              <w:t>-0.014</w:t>
            </w:r>
          </w:p>
        </w:tc>
        <w:tc>
          <w:tcPr>
            <w:tcW w:w="846" w:type="dxa"/>
            <w:vAlign w:val="center"/>
          </w:tcPr>
          <w:p w:rsidR="00571780" w:rsidRPr="00D273FA" w:rsidRDefault="00571780" w:rsidP="009A1768">
            <w:pPr>
              <w:autoSpaceDE w:val="0"/>
              <w:autoSpaceDN w:val="0"/>
              <w:adjustRightInd w:val="0"/>
              <w:spacing w:line="360" w:lineRule="auto"/>
              <w:ind w:right="10"/>
              <w:jc w:val="center"/>
              <w:cnfStyle w:val="000000100000"/>
              <w:rPr>
                <w:rFonts w:ascii="Arial" w:hAnsi="Arial" w:cs="Arial"/>
                <w:color w:val="000000"/>
                <w:sz w:val="18"/>
                <w:szCs w:val="18"/>
              </w:rPr>
            </w:pPr>
            <w:r w:rsidRPr="00D273FA">
              <w:rPr>
                <w:rFonts w:ascii="Arial" w:hAnsi="Arial" w:cs="Arial"/>
                <w:color w:val="000000"/>
                <w:sz w:val="18"/>
                <w:szCs w:val="18"/>
              </w:rPr>
              <w:t>63.270</w:t>
            </w:r>
          </w:p>
        </w:tc>
        <w:tc>
          <w:tcPr>
            <w:cnfStyle w:val="000010000000"/>
            <w:tcW w:w="677" w:type="dxa"/>
            <w:vAlign w:val="center"/>
          </w:tcPr>
          <w:p w:rsidR="00571780" w:rsidRPr="00D273FA" w:rsidRDefault="00571780" w:rsidP="009A1768">
            <w:pPr>
              <w:autoSpaceDE w:val="0"/>
              <w:autoSpaceDN w:val="0"/>
              <w:adjustRightInd w:val="0"/>
              <w:spacing w:line="360" w:lineRule="auto"/>
              <w:ind w:right="10"/>
              <w:jc w:val="center"/>
              <w:rPr>
                <w:rFonts w:ascii="Arial" w:hAnsi="Arial" w:cs="Arial"/>
                <w:color w:val="000000"/>
                <w:sz w:val="18"/>
                <w:szCs w:val="18"/>
              </w:rPr>
            </w:pPr>
            <w:r w:rsidRPr="00D273FA">
              <w:rPr>
                <w:rFonts w:ascii="Arial" w:hAnsi="Arial" w:cs="Arial"/>
                <w:color w:val="000000"/>
                <w:sz w:val="18"/>
                <w:szCs w:val="18"/>
              </w:rPr>
              <w:t>0.000</w:t>
            </w:r>
          </w:p>
        </w:tc>
      </w:tr>
      <w:tr w:rsidR="00571780" w:rsidRPr="00D273FA" w:rsidTr="009A1768">
        <w:trPr>
          <w:trHeight w:val="225"/>
          <w:jc w:val="center"/>
        </w:trPr>
        <w:tc>
          <w:tcPr>
            <w:cnfStyle w:val="000010000000"/>
            <w:tcW w:w="0" w:type="auto"/>
            <w:vMerge/>
            <w:vAlign w:val="center"/>
          </w:tcPr>
          <w:p w:rsidR="00571780" w:rsidRPr="00D273FA" w:rsidRDefault="00571780" w:rsidP="009A1768">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571780" w:rsidRPr="00D273FA" w:rsidRDefault="00571780" w:rsidP="009A1768">
            <w:pPr>
              <w:autoSpaceDE w:val="0"/>
              <w:autoSpaceDN w:val="0"/>
              <w:adjustRightInd w:val="0"/>
              <w:spacing w:line="360" w:lineRule="auto"/>
              <w:ind w:right="10"/>
              <w:jc w:val="center"/>
              <w:cnfStyle w:val="000000000000"/>
              <w:rPr>
                <w:rFonts w:ascii="Arial" w:hAnsi="Arial" w:cs="Arial"/>
                <w:color w:val="000000"/>
                <w:sz w:val="18"/>
                <w:szCs w:val="18"/>
              </w:rPr>
            </w:pPr>
            <w:r w:rsidRPr="00D273FA">
              <w:rPr>
                <w:rFonts w:ascii="Arial" w:hAnsi="Arial" w:cs="Arial"/>
                <w:color w:val="000000"/>
                <w:sz w:val="18"/>
                <w:szCs w:val="18"/>
              </w:rPr>
              <w:t>6</w:t>
            </w:r>
          </w:p>
        </w:tc>
        <w:tc>
          <w:tcPr>
            <w:cnfStyle w:val="000010000000"/>
            <w:tcW w:w="833" w:type="dxa"/>
            <w:vAlign w:val="center"/>
          </w:tcPr>
          <w:p w:rsidR="00571780" w:rsidRPr="00D273FA" w:rsidRDefault="00571780" w:rsidP="009A1768">
            <w:pPr>
              <w:autoSpaceDE w:val="0"/>
              <w:autoSpaceDN w:val="0"/>
              <w:adjustRightInd w:val="0"/>
              <w:spacing w:line="360" w:lineRule="auto"/>
              <w:ind w:right="10"/>
              <w:jc w:val="center"/>
              <w:rPr>
                <w:rFonts w:ascii="Arial" w:hAnsi="Arial" w:cs="Arial"/>
                <w:color w:val="000000"/>
                <w:sz w:val="18"/>
                <w:szCs w:val="18"/>
              </w:rPr>
            </w:pPr>
            <w:r w:rsidRPr="00D273FA">
              <w:rPr>
                <w:rFonts w:ascii="Arial" w:hAnsi="Arial" w:cs="Arial"/>
                <w:color w:val="000000"/>
                <w:sz w:val="18"/>
                <w:szCs w:val="18"/>
              </w:rPr>
              <w:t>-0.032</w:t>
            </w:r>
          </w:p>
        </w:tc>
        <w:tc>
          <w:tcPr>
            <w:tcW w:w="846" w:type="dxa"/>
            <w:vAlign w:val="center"/>
          </w:tcPr>
          <w:p w:rsidR="00571780" w:rsidRPr="00D273FA" w:rsidRDefault="00571780" w:rsidP="009A1768">
            <w:pPr>
              <w:autoSpaceDE w:val="0"/>
              <w:autoSpaceDN w:val="0"/>
              <w:adjustRightInd w:val="0"/>
              <w:spacing w:line="360" w:lineRule="auto"/>
              <w:ind w:right="10"/>
              <w:jc w:val="center"/>
              <w:cnfStyle w:val="000000000000"/>
              <w:rPr>
                <w:rFonts w:ascii="Arial" w:hAnsi="Arial" w:cs="Arial"/>
                <w:color w:val="000000"/>
                <w:sz w:val="18"/>
                <w:szCs w:val="18"/>
              </w:rPr>
            </w:pPr>
            <w:r w:rsidRPr="00D273FA">
              <w:rPr>
                <w:rFonts w:ascii="Arial" w:hAnsi="Arial" w:cs="Arial"/>
                <w:color w:val="000000"/>
                <w:sz w:val="18"/>
                <w:szCs w:val="18"/>
              </w:rPr>
              <w:t>63.430</w:t>
            </w:r>
          </w:p>
        </w:tc>
        <w:tc>
          <w:tcPr>
            <w:cnfStyle w:val="000010000000"/>
            <w:tcW w:w="677" w:type="dxa"/>
            <w:vAlign w:val="center"/>
          </w:tcPr>
          <w:p w:rsidR="00571780" w:rsidRPr="00D273FA" w:rsidRDefault="00571780" w:rsidP="009A1768">
            <w:pPr>
              <w:autoSpaceDE w:val="0"/>
              <w:autoSpaceDN w:val="0"/>
              <w:adjustRightInd w:val="0"/>
              <w:spacing w:line="360" w:lineRule="auto"/>
              <w:ind w:right="10"/>
              <w:jc w:val="center"/>
              <w:rPr>
                <w:rFonts w:ascii="Arial" w:hAnsi="Arial" w:cs="Arial"/>
                <w:color w:val="000000"/>
                <w:sz w:val="18"/>
                <w:szCs w:val="18"/>
              </w:rPr>
            </w:pPr>
            <w:r w:rsidRPr="00D273FA">
              <w:rPr>
                <w:rFonts w:ascii="Arial" w:hAnsi="Arial" w:cs="Arial"/>
                <w:color w:val="000000"/>
                <w:sz w:val="18"/>
                <w:szCs w:val="18"/>
              </w:rPr>
              <w:t>0.000</w:t>
            </w:r>
          </w:p>
        </w:tc>
      </w:tr>
      <w:tr w:rsidR="00571780" w:rsidRPr="00D273FA" w:rsidTr="009A1768">
        <w:trPr>
          <w:cnfStyle w:val="000000100000"/>
          <w:trHeight w:val="225"/>
          <w:jc w:val="center"/>
        </w:trPr>
        <w:tc>
          <w:tcPr>
            <w:cnfStyle w:val="000010000000"/>
            <w:tcW w:w="0" w:type="auto"/>
            <w:vMerge/>
            <w:vAlign w:val="center"/>
          </w:tcPr>
          <w:p w:rsidR="00571780" w:rsidRPr="00D273FA" w:rsidRDefault="00571780" w:rsidP="009A1768">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571780" w:rsidRPr="00D273FA" w:rsidRDefault="00571780" w:rsidP="009A1768">
            <w:pPr>
              <w:autoSpaceDE w:val="0"/>
              <w:autoSpaceDN w:val="0"/>
              <w:adjustRightInd w:val="0"/>
              <w:spacing w:line="360" w:lineRule="auto"/>
              <w:ind w:right="10"/>
              <w:jc w:val="center"/>
              <w:cnfStyle w:val="000000100000"/>
              <w:rPr>
                <w:rFonts w:ascii="Arial" w:hAnsi="Arial" w:cs="Arial"/>
                <w:color w:val="000000"/>
                <w:sz w:val="18"/>
                <w:szCs w:val="18"/>
              </w:rPr>
            </w:pPr>
            <w:r w:rsidRPr="00D273FA">
              <w:rPr>
                <w:rFonts w:ascii="Arial" w:hAnsi="Arial" w:cs="Arial"/>
                <w:color w:val="000000"/>
                <w:sz w:val="18"/>
                <w:szCs w:val="18"/>
              </w:rPr>
              <w:t>7</w:t>
            </w:r>
          </w:p>
        </w:tc>
        <w:tc>
          <w:tcPr>
            <w:cnfStyle w:val="000010000000"/>
            <w:tcW w:w="833" w:type="dxa"/>
            <w:vAlign w:val="center"/>
          </w:tcPr>
          <w:p w:rsidR="00571780" w:rsidRPr="00D273FA" w:rsidRDefault="00571780" w:rsidP="009A1768">
            <w:pPr>
              <w:autoSpaceDE w:val="0"/>
              <w:autoSpaceDN w:val="0"/>
              <w:adjustRightInd w:val="0"/>
              <w:spacing w:line="360" w:lineRule="auto"/>
              <w:ind w:right="10"/>
              <w:jc w:val="center"/>
              <w:rPr>
                <w:rFonts w:ascii="Arial" w:hAnsi="Arial" w:cs="Arial"/>
                <w:color w:val="000000"/>
                <w:sz w:val="18"/>
                <w:szCs w:val="18"/>
              </w:rPr>
            </w:pPr>
            <w:r w:rsidRPr="00D273FA">
              <w:rPr>
                <w:rFonts w:ascii="Arial" w:hAnsi="Arial" w:cs="Arial"/>
                <w:color w:val="000000"/>
                <w:sz w:val="18"/>
                <w:szCs w:val="18"/>
              </w:rPr>
              <w:t>-0.027</w:t>
            </w:r>
          </w:p>
        </w:tc>
        <w:tc>
          <w:tcPr>
            <w:tcW w:w="846" w:type="dxa"/>
            <w:vAlign w:val="center"/>
          </w:tcPr>
          <w:p w:rsidR="00571780" w:rsidRPr="00D273FA" w:rsidRDefault="00571780" w:rsidP="009A1768">
            <w:pPr>
              <w:autoSpaceDE w:val="0"/>
              <w:autoSpaceDN w:val="0"/>
              <w:adjustRightInd w:val="0"/>
              <w:spacing w:line="360" w:lineRule="auto"/>
              <w:ind w:right="10"/>
              <w:jc w:val="center"/>
              <w:cnfStyle w:val="000000100000"/>
              <w:rPr>
                <w:rFonts w:ascii="Arial" w:hAnsi="Arial" w:cs="Arial"/>
                <w:color w:val="000000"/>
                <w:sz w:val="18"/>
                <w:szCs w:val="18"/>
              </w:rPr>
            </w:pPr>
            <w:r w:rsidRPr="00D273FA">
              <w:rPr>
                <w:rFonts w:ascii="Arial" w:hAnsi="Arial" w:cs="Arial"/>
                <w:color w:val="000000"/>
                <w:sz w:val="18"/>
                <w:szCs w:val="18"/>
              </w:rPr>
              <w:t>63.434</w:t>
            </w:r>
          </w:p>
        </w:tc>
        <w:tc>
          <w:tcPr>
            <w:cnfStyle w:val="000010000000"/>
            <w:tcW w:w="677" w:type="dxa"/>
            <w:vAlign w:val="center"/>
          </w:tcPr>
          <w:p w:rsidR="00571780" w:rsidRPr="00D273FA" w:rsidRDefault="00571780" w:rsidP="00172700">
            <w:pPr>
              <w:keepNext/>
              <w:autoSpaceDE w:val="0"/>
              <w:autoSpaceDN w:val="0"/>
              <w:adjustRightInd w:val="0"/>
              <w:spacing w:line="360" w:lineRule="auto"/>
              <w:ind w:right="10"/>
              <w:jc w:val="center"/>
              <w:rPr>
                <w:rFonts w:ascii="Arial" w:hAnsi="Arial" w:cs="Arial"/>
                <w:color w:val="000000"/>
                <w:sz w:val="18"/>
                <w:szCs w:val="18"/>
              </w:rPr>
            </w:pPr>
            <w:r w:rsidRPr="00D273FA">
              <w:rPr>
                <w:rFonts w:ascii="Arial" w:hAnsi="Arial" w:cs="Arial"/>
                <w:color w:val="000000"/>
                <w:sz w:val="18"/>
                <w:szCs w:val="18"/>
              </w:rPr>
              <w:t>0.000</w:t>
            </w:r>
          </w:p>
        </w:tc>
      </w:tr>
    </w:tbl>
    <w:p w:rsidR="007F47CE" w:rsidRPr="00687F02" w:rsidRDefault="00172700" w:rsidP="00172700">
      <w:pPr>
        <w:pStyle w:val="Caption"/>
        <w:jc w:val="center"/>
        <w:rPr>
          <w:rFonts w:ascii="Arial" w:hAnsi="Arial" w:cs="Arial"/>
          <w:lang w:val="en-US"/>
        </w:rPr>
      </w:pPr>
      <w:r w:rsidRPr="00735207">
        <w:rPr>
          <w:lang w:val="en-US"/>
        </w:rPr>
        <w:t xml:space="preserve">Table </w:t>
      </w:r>
      <w:r w:rsidR="00DB780A">
        <w:fldChar w:fldCharType="begin"/>
      </w:r>
      <w:r w:rsidRPr="00735207">
        <w:rPr>
          <w:lang w:val="en-US"/>
        </w:rPr>
        <w:instrText xml:space="preserve"> SEQ Table \* ARABIC </w:instrText>
      </w:r>
      <w:r w:rsidR="00DB780A">
        <w:fldChar w:fldCharType="separate"/>
      </w:r>
      <w:r w:rsidR="004454F3">
        <w:rPr>
          <w:noProof/>
          <w:lang w:val="en-US"/>
        </w:rPr>
        <w:t>4</w:t>
      </w:r>
      <w:r w:rsidR="00DB780A">
        <w:fldChar w:fldCharType="end"/>
      </w:r>
      <w:r w:rsidRPr="00735207">
        <w:rPr>
          <w:lang w:val="en-US"/>
        </w:rPr>
        <w:t xml:space="preserve"> | Correlogram of Bitcoin/US Dollar, first difference</w:t>
      </w:r>
    </w:p>
    <w:p w:rsidR="007F47CE" w:rsidRDefault="00687F02" w:rsidP="00443B38">
      <w:pPr>
        <w:spacing w:line="360" w:lineRule="auto"/>
        <w:jc w:val="both"/>
        <w:rPr>
          <w:lang w:val="en-US"/>
        </w:rPr>
      </w:pPr>
      <w:r>
        <w:rPr>
          <w:lang w:val="en-US"/>
        </w:rPr>
        <w:t>Thus, the equation to estimate is the following:</w:t>
      </w:r>
    </w:p>
    <w:p w:rsidR="00687F02" w:rsidRDefault="00DB780A" w:rsidP="009A1768">
      <w:pPr>
        <w:spacing w:line="360" w:lineRule="auto"/>
        <w:jc w:val="right"/>
        <w:rPr>
          <w:rFonts w:eastAsiaTheme="minorEastAsia"/>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oMath>
      <w:r w:rsidR="00C238AE">
        <w:rPr>
          <w:rFonts w:eastAsiaTheme="minorEastAsia"/>
          <w:lang w:val="en-US"/>
        </w:rPr>
        <w:tab/>
      </w:r>
      <w:r w:rsidR="00C238AE">
        <w:rPr>
          <w:rFonts w:eastAsiaTheme="minorEastAsia"/>
          <w:lang w:val="en-US"/>
        </w:rPr>
        <w:tab/>
      </w:r>
      <w:r w:rsidR="00C238AE">
        <w:rPr>
          <w:rFonts w:eastAsiaTheme="minorEastAsia"/>
          <w:lang w:val="en-US"/>
        </w:rPr>
        <w:tab/>
      </w:r>
      <w:r w:rsidR="00C238AE">
        <w:rPr>
          <w:rFonts w:eastAsiaTheme="minorEastAsia"/>
          <w:lang w:val="en-US"/>
        </w:rPr>
        <w:tab/>
        <w:t xml:space="preserve">      </w:t>
      </w:r>
      <w:r w:rsidR="00687F02">
        <w:rPr>
          <w:rFonts w:eastAsiaTheme="minorEastAsia"/>
          <w:lang w:val="en-US"/>
        </w:rPr>
        <w:t>(2.1)</w:t>
      </w:r>
    </w:p>
    <w:p w:rsidR="008B54A2" w:rsidRDefault="00687F02" w:rsidP="009A1768">
      <w:pPr>
        <w:spacing w:line="360" w:lineRule="auto"/>
        <w:rPr>
          <w:lang w:val="en-US"/>
        </w:rPr>
      </w:pPr>
      <w:r>
        <w:rPr>
          <w:rFonts w:eastAsiaTheme="minorEastAsia"/>
          <w:lang w:val="en-US"/>
        </w:rPr>
        <w:t>Where:</w:t>
      </w:r>
      <w:r>
        <w:rPr>
          <w:rFonts w:eastAsiaTheme="minorEastAsia"/>
          <w:lang w:val="en-US"/>
        </w:rPr>
        <w:br/>
      </w:r>
      <w:r w:rsidR="00C238AE">
        <w:rPr>
          <w:rFonts w:ascii="Cambria Math" w:hAnsi="Cambria Math"/>
          <w:i/>
          <w:lang w:val="en-US"/>
        </w:rPr>
        <w:t>∆</w:t>
      </w:r>
      <w:r>
        <w:rPr>
          <w:rFonts w:ascii="Cambria Math" w:hAnsi="Cambria Math"/>
          <w:i/>
          <w:lang w:val="en-US"/>
        </w:rPr>
        <w:t>s</w:t>
      </w:r>
      <w:r>
        <w:rPr>
          <w:rFonts w:ascii="Cambria Math" w:hAnsi="Cambria Math"/>
          <w:i/>
          <w:vertAlign w:val="subscript"/>
          <w:lang w:val="en-US"/>
        </w:rPr>
        <w:t>t</w:t>
      </w:r>
      <w:r>
        <w:rPr>
          <w:rFonts w:ascii="Cambria Math" w:hAnsi="Cambria Math"/>
          <w:lang w:val="en-US"/>
        </w:rPr>
        <w:t xml:space="preserve">  </w:t>
      </w:r>
      <w:r>
        <w:rPr>
          <w:lang w:val="en-US"/>
        </w:rPr>
        <w:t xml:space="preserve">= the </w:t>
      </w:r>
      <w:r w:rsidR="00C238AE">
        <w:rPr>
          <w:lang w:val="en-US"/>
        </w:rPr>
        <w:t xml:space="preserve">first difference of the </w:t>
      </w:r>
      <w:r>
        <w:rPr>
          <w:lang w:val="en-US"/>
        </w:rPr>
        <w:t xml:space="preserve">Bitcoin/US Dollar at time </w:t>
      </w:r>
      <w:r>
        <w:rPr>
          <w:rFonts w:ascii="Cambria Math" w:hAnsi="Cambria Math"/>
          <w:i/>
          <w:lang w:val="en-US"/>
        </w:rPr>
        <w:t>t</w:t>
      </w:r>
      <w:r>
        <w:rPr>
          <w:i/>
          <w:lang w:val="en-US"/>
        </w:rPr>
        <w:t>.</w:t>
      </w:r>
      <w:r w:rsidR="00C238AE">
        <w:rPr>
          <w:lang w:val="en-US"/>
        </w:rPr>
        <w:t xml:space="preserve"> (</w:t>
      </w:r>
      <w:r w:rsidR="00C238AE">
        <w:rPr>
          <w:rFonts w:ascii="Cambria Math" w:hAnsi="Cambria Math"/>
          <w:i/>
          <w:lang w:val="en-US"/>
        </w:rPr>
        <w:t>s</w:t>
      </w:r>
      <w:r w:rsidR="00C238AE">
        <w:rPr>
          <w:rFonts w:ascii="Cambria Math" w:hAnsi="Cambria Math"/>
          <w:i/>
          <w:vertAlign w:val="subscript"/>
          <w:lang w:val="en-US"/>
        </w:rPr>
        <w:t xml:space="preserve">t </w:t>
      </w:r>
      <w:r w:rsidR="00C238AE">
        <w:rPr>
          <w:rFonts w:ascii="Cambria Math" w:hAnsi="Cambria Math"/>
          <w:i/>
          <w:lang w:val="en-US"/>
        </w:rPr>
        <w:t>- s</w:t>
      </w:r>
      <w:r w:rsidR="00C238AE">
        <w:rPr>
          <w:rFonts w:ascii="Cambria Math" w:hAnsi="Cambria Math"/>
          <w:i/>
          <w:vertAlign w:val="subscript"/>
          <w:lang w:val="en-US"/>
        </w:rPr>
        <w:t>t-1</w:t>
      </w:r>
      <w:r w:rsidR="00C238AE">
        <w:rPr>
          <w:lang w:val="en-US"/>
        </w:rPr>
        <w:t>)</w:t>
      </w:r>
      <w:r w:rsidR="009C2493">
        <w:rPr>
          <w:i/>
          <w:lang w:val="en-US"/>
        </w:rPr>
        <w:br/>
      </w:r>
      <w:r w:rsidR="006D11FD">
        <w:rPr>
          <w:rFonts w:ascii="Cambria Math" w:hAnsi="Cambria Math"/>
          <w:i/>
          <w:lang w:val="en-US"/>
        </w:rPr>
        <w:t>ε</w:t>
      </w:r>
      <w:r w:rsidR="009C2493">
        <w:rPr>
          <w:rFonts w:ascii="Cambria Math" w:hAnsi="Cambria Math"/>
          <w:i/>
          <w:vertAlign w:val="subscript"/>
          <w:lang w:val="en-US"/>
        </w:rPr>
        <w:t>t</w:t>
      </w:r>
      <w:r w:rsidR="009C2493">
        <w:rPr>
          <w:rFonts w:ascii="Cambria Math" w:hAnsi="Cambria Math"/>
          <w:lang w:val="en-US"/>
        </w:rPr>
        <w:t xml:space="preserve">  </w:t>
      </w:r>
      <w:r w:rsidR="009C2493">
        <w:rPr>
          <w:lang w:val="en-US"/>
        </w:rPr>
        <w:t xml:space="preserve">= the error term (white noise) at time </w:t>
      </w:r>
      <w:r w:rsidR="009C2493">
        <w:rPr>
          <w:rFonts w:ascii="Cambria Math" w:hAnsi="Cambria Math"/>
          <w:i/>
          <w:lang w:val="en-US"/>
        </w:rPr>
        <w:t>t</w:t>
      </w:r>
      <w:r w:rsidR="009C2493">
        <w:rPr>
          <w:i/>
          <w:lang w:val="en-US"/>
        </w:rPr>
        <w:t>.</w:t>
      </w:r>
    </w:p>
    <w:p w:rsidR="00C238AE" w:rsidRDefault="00C238AE" w:rsidP="00443B38">
      <w:pPr>
        <w:spacing w:line="360" w:lineRule="auto"/>
        <w:jc w:val="both"/>
        <w:rPr>
          <w:lang w:val="en-US"/>
        </w:rPr>
      </w:pPr>
      <w:r>
        <w:rPr>
          <w:lang w:val="en-US"/>
        </w:rPr>
        <w:t>Estimating this using Ordinary Least Squares (OLS) regression, over the estimation sample, yields the following equation:</w:t>
      </w:r>
    </w:p>
    <w:p w:rsidR="00C238AE" w:rsidRDefault="00DB780A" w:rsidP="009A1768">
      <w:pPr>
        <w:spacing w:line="360" w:lineRule="auto"/>
        <w:jc w:val="right"/>
        <w:rPr>
          <w:rFonts w:eastAsiaTheme="minorEastAsia"/>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hAnsi="Cambria Math"/>
            <w:lang w:val="en-US"/>
          </w:rPr>
          <m:t>=-0.04+0.44</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t</m:t>
            </m:r>
          </m:sub>
        </m:sSub>
      </m:oMath>
      <w:r w:rsidR="00CC60EF">
        <w:rPr>
          <w:rFonts w:eastAsiaTheme="minorEastAsia"/>
          <w:lang w:val="en-US"/>
        </w:rPr>
        <w:tab/>
      </w:r>
      <w:r w:rsidR="00CC60EF">
        <w:rPr>
          <w:rFonts w:eastAsiaTheme="minorEastAsia"/>
          <w:lang w:val="en-US"/>
        </w:rPr>
        <w:tab/>
        <w:t xml:space="preserve">  </w:t>
      </w:r>
      <w:r w:rsidR="00CC60EF">
        <w:rPr>
          <w:rFonts w:eastAsiaTheme="minorEastAsia"/>
          <w:lang w:val="en-US"/>
        </w:rPr>
        <w:tab/>
        <w:t xml:space="preserve">          </w:t>
      </w:r>
      <w:r w:rsidR="00C238AE">
        <w:rPr>
          <w:rFonts w:eastAsiaTheme="minorEastAsia"/>
          <w:lang w:val="en-US"/>
        </w:rPr>
        <w:t>(2.2)</w:t>
      </w:r>
    </w:p>
    <w:p w:rsidR="009A1768" w:rsidRPr="00CC60EF" w:rsidRDefault="009A1768" w:rsidP="009A1768">
      <w:pPr>
        <w:autoSpaceDE w:val="0"/>
        <w:autoSpaceDN w:val="0"/>
        <w:adjustRightInd w:val="0"/>
        <w:spacing w:after="0" w:line="240" w:lineRule="auto"/>
        <w:rPr>
          <w:rFonts w:ascii="Arial" w:hAnsi="Arial" w:cs="Arial"/>
          <w:sz w:val="18"/>
          <w:szCs w:val="18"/>
          <w:lang w:val="en-US"/>
        </w:rPr>
      </w:pPr>
    </w:p>
    <w:tbl>
      <w:tblPr>
        <w:tblStyle w:val="LightList-Accent11"/>
        <w:tblW w:w="0" w:type="auto"/>
        <w:jc w:val="center"/>
        <w:tblLook w:val="00A0"/>
      </w:tblPr>
      <w:tblGrid>
        <w:gridCol w:w="2015"/>
        <w:gridCol w:w="1216"/>
        <w:gridCol w:w="1123"/>
        <w:gridCol w:w="1160"/>
        <w:gridCol w:w="1130"/>
      </w:tblGrid>
      <w:tr w:rsidR="00D73ABF" w:rsidRPr="009A1768" w:rsidTr="00D73ABF">
        <w:trPr>
          <w:cnfStyle w:val="100000000000"/>
          <w:trHeight w:val="324"/>
          <w:jc w:val="center"/>
        </w:trPr>
        <w:tc>
          <w:tcPr>
            <w:cnfStyle w:val="001000000000"/>
            <w:tcW w:w="0" w:type="auto"/>
            <w:gridSpan w:val="5"/>
            <w:tcBorders>
              <w:top w:val="single" w:sz="8" w:space="0" w:color="4F81BD" w:themeColor="accent1"/>
              <w:bottom w:val="single" w:sz="4" w:space="0" w:color="FFFFFF" w:themeColor="background1"/>
            </w:tcBorders>
          </w:tcPr>
          <w:p w:rsidR="00D73ABF" w:rsidRPr="009A1768" w:rsidRDefault="00D73ABF" w:rsidP="00D73ABF">
            <w:pPr>
              <w:autoSpaceDE w:val="0"/>
              <w:autoSpaceDN w:val="0"/>
              <w:adjustRightInd w:val="0"/>
              <w:rPr>
                <w:rFonts w:cs="Arial"/>
                <w:lang w:val="en-US"/>
              </w:rPr>
            </w:pPr>
            <w:r w:rsidRPr="009A1768">
              <w:rPr>
                <w:rFonts w:cs="Arial"/>
                <w:lang w:val="en-US"/>
              </w:rPr>
              <w:t xml:space="preserve">Dependent Variable: </w:t>
            </w:r>
            <w:r>
              <w:rPr>
                <w:rFonts w:ascii="Cambria Math" w:hAnsi="Cambria Math"/>
                <w:i/>
                <w:lang w:val="en-US"/>
              </w:rPr>
              <w:t>∆s</w:t>
            </w:r>
            <w:r>
              <w:rPr>
                <w:rFonts w:ascii="Cambria Math" w:hAnsi="Cambria Math"/>
                <w:i/>
                <w:vertAlign w:val="subscript"/>
                <w:lang w:val="en-US"/>
              </w:rPr>
              <w:t>t</w:t>
            </w:r>
            <w:r>
              <w:rPr>
                <w:rFonts w:ascii="Cambria Math" w:hAnsi="Cambria Math"/>
                <w:lang w:val="en-US"/>
              </w:rPr>
              <w:t xml:space="preserve">  </w:t>
            </w:r>
          </w:p>
        </w:tc>
      </w:tr>
      <w:tr w:rsidR="009A1768" w:rsidRPr="00CC60EF" w:rsidTr="00D73ABF">
        <w:trPr>
          <w:cnfStyle w:val="000000100000"/>
          <w:trHeight w:val="225"/>
          <w:jc w:val="center"/>
        </w:trPr>
        <w:tc>
          <w:tcPr>
            <w:cnfStyle w:val="001000000000"/>
            <w:tcW w:w="0" w:type="auto"/>
            <w:tcBorders>
              <w:top w:val="single" w:sz="4" w:space="0" w:color="FFFFFF" w:themeColor="background1"/>
              <w:bottom w:val="single" w:sz="4" w:space="0" w:color="FFFFFF" w:themeColor="background1"/>
            </w:tcBorders>
            <w:shd w:val="clear" w:color="auto" w:fill="4F81BD" w:themeFill="accent1"/>
          </w:tcPr>
          <w:p w:rsidR="009A1768" w:rsidRPr="00CC60EF" w:rsidRDefault="009A1768" w:rsidP="009A1768">
            <w:pPr>
              <w:autoSpaceDE w:val="0"/>
              <w:autoSpaceDN w:val="0"/>
              <w:adjustRightInd w:val="0"/>
              <w:jc w:val="center"/>
              <w:rPr>
                <w:rFonts w:cs="Arial"/>
                <w:color w:val="FFFFFF" w:themeColor="background1"/>
                <w:lang w:val="en-US"/>
              </w:rPr>
            </w:pPr>
            <w:r w:rsidRPr="00CC60EF">
              <w:rPr>
                <w:rFonts w:cs="Arial"/>
                <w:color w:val="FFFFFF" w:themeColor="background1"/>
                <w:lang w:val="en-US"/>
              </w:rPr>
              <w:t>Variable</w:t>
            </w:r>
          </w:p>
        </w:tc>
        <w:tc>
          <w:tcPr>
            <w:cnfStyle w:val="000010000000"/>
            <w:tcW w:w="0" w:type="auto"/>
            <w:tcBorders>
              <w:top w:val="single" w:sz="4" w:space="0" w:color="FFFFFF" w:themeColor="background1"/>
              <w:bottom w:val="single" w:sz="4" w:space="0" w:color="548DD4" w:themeColor="text2" w:themeTint="99"/>
            </w:tcBorders>
            <w:shd w:val="clear" w:color="auto" w:fill="4F81BD" w:themeFill="accent1"/>
          </w:tcPr>
          <w:p w:rsidR="009A1768" w:rsidRPr="00CC60EF" w:rsidRDefault="009A1768" w:rsidP="009A1768">
            <w:pPr>
              <w:autoSpaceDE w:val="0"/>
              <w:autoSpaceDN w:val="0"/>
              <w:adjustRightInd w:val="0"/>
              <w:ind w:right="10"/>
              <w:jc w:val="right"/>
              <w:rPr>
                <w:rFonts w:cs="Arial"/>
                <w:b/>
                <w:color w:val="FFFFFF" w:themeColor="background1"/>
                <w:lang w:val="en-US"/>
              </w:rPr>
            </w:pPr>
            <w:r w:rsidRPr="00CC60EF">
              <w:rPr>
                <w:rFonts w:cs="Arial"/>
                <w:b/>
                <w:color w:val="FFFFFF" w:themeColor="background1"/>
                <w:lang w:val="en-US"/>
              </w:rPr>
              <w:t>Coefficient</w:t>
            </w:r>
          </w:p>
        </w:tc>
        <w:tc>
          <w:tcPr>
            <w:tcW w:w="0" w:type="auto"/>
            <w:tcBorders>
              <w:top w:val="single" w:sz="4" w:space="0" w:color="FFFFFF" w:themeColor="background1"/>
              <w:bottom w:val="single" w:sz="4" w:space="0" w:color="548DD4" w:themeColor="text2" w:themeTint="99"/>
            </w:tcBorders>
            <w:shd w:val="clear" w:color="auto" w:fill="4F81BD" w:themeFill="accent1"/>
          </w:tcPr>
          <w:p w:rsidR="009A1768" w:rsidRPr="00CC60EF" w:rsidRDefault="009A1768" w:rsidP="009A1768">
            <w:pPr>
              <w:autoSpaceDE w:val="0"/>
              <w:autoSpaceDN w:val="0"/>
              <w:adjustRightInd w:val="0"/>
              <w:ind w:right="10"/>
              <w:jc w:val="right"/>
              <w:cnfStyle w:val="000000100000"/>
              <w:rPr>
                <w:rFonts w:cs="Arial"/>
                <w:b/>
                <w:color w:val="FFFFFF" w:themeColor="background1"/>
                <w:lang w:val="en-US"/>
              </w:rPr>
            </w:pPr>
            <w:r w:rsidRPr="00CC60EF">
              <w:rPr>
                <w:rFonts w:cs="Arial"/>
                <w:b/>
                <w:color w:val="FFFFFF" w:themeColor="background1"/>
                <w:lang w:val="en-US"/>
              </w:rPr>
              <w:t>Std. Error</w:t>
            </w:r>
          </w:p>
        </w:tc>
        <w:tc>
          <w:tcPr>
            <w:cnfStyle w:val="000010000000"/>
            <w:tcW w:w="0" w:type="auto"/>
            <w:tcBorders>
              <w:top w:val="single" w:sz="4" w:space="0" w:color="FFFFFF" w:themeColor="background1"/>
              <w:bottom w:val="single" w:sz="4" w:space="0" w:color="548DD4" w:themeColor="text2" w:themeTint="99"/>
            </w:tcBorders>
            <w:shd w:val="clear" w:color="auto" w:fill="4F81BD" w:themeFill="accent1"/>
          </w:tcPr>
          <w:p w:rsidR="009A1768" w:rsidRPr="00CC60EF" w:rsidRDefault="009A1768" w:rsidP="009A1768">
            <w:pPr>
              <w:autoSpaceDE w:val="0"/>
              <w:autoSpaceDN w:val="0"/>
              <w:adjustRightInd w:val="0"/>
              <w:ind w:right="10"/>
              <w:jc w:val="right"/>
              <w:rPr>
                <w:rFonts w:cs="Arial"/>
                <w:b/>
                <w:color w:val="FFFFFF" w:themeColor="background1"/>
                <w:lang w:val="en-US"/>
              </w:rPr>
            </w:pPr>
            <w:r w:rsidRPr="00CC60EF">
              <w:rPr>
                <w:rFonts w:cs="Arial"/>
                <w:b/>
                <w:color w:val="FFFFFF" w:themeColor="background1"/>
                <w:lang w:val="en-US"/>
              </w:rPr>
              <w:t>t-Statistic</w:t>
            </w:r>
          </w:p>
        </w:tc>
        <w:tc>
          <w:tcPr>
            <w:tcW w:w="0" w:type="auto"/>
            <w:tcBorders>
              <w:top w:val="single" w:sz="4" w:space="0" w:color="FFFFFF" w:themeColor="background1"/>
              <w:bottom w:val="single" w:sz="4" w:space="0" w:color="548DD4" w:themeColor="text2" w:themeTint="99"/>
            </w:tcBorders>
            <w:shd w:val="clear" w:color="auto" w:fill="4F81BD" w:themeFill="accent1"/>
          </w:tcPr>
          <w:p w:rsidR="009A1768" w:rsidRPr="00CC60EF" w:rsidRDefault="009A1768" w:rsidP="009A1768">
            <w:pPr>
              <w:autoSpaceDE w:val="0"/>
              <w:autoSpaceDN w:val="0"/>
              <w:adjustRightInd w:val="0"/>
              <w:ind w:right="10"/>
              <w:jc w:val="right"/>
              <w:cnfStyle w:val="000000100000"/>
              <w:rPr>
                <w:rFonts w:cs="Arial"/>
                <w:b/>
                <w:color w:val="FFFFFF" w:themeColor="background1"/>
                <w:lang w:val="en-US"/>
              </w:rPr>
            </w:pPr>
            <w:r w:rsidRPr="00CC60EF">
              <w:rPr>
                <w:rFonts w:cs="Arial"/>
                <w:b/>
                <w:color w:val="FFFFFF" w:themeColor="background1"/>
                <w:lang w:val="en-US"/>
              </w:rPr>
              <w:t>Prob.  </w:t>
            </w:r>
          </w:p>
        </w:tc>
      </w:tr>
      <w:tr w:rsidR="00C24D45" w:rsidRPr="00CC60EF" w:rsidTr="00D73ABF">
        <w:trPr>
          <w:trHeight w:val="225"/>
          <w:jc w:val="center"/>
        </w:trPr>
        <w:tc>
          <w:tcPr>
            <w:cnfStyle w:val="001000000000"/>
            <w:tcW w:w="0" w:type="auto"/>
            <w:tcBorders>
              <w:top w:val="single" w:sz="4" w:space="0" w:color="FFFFFF" w:themeColor="background1"/>
              <w:bottom w:val="single" w:sz="8" w:space="0" w:color="4F81BD" w:themeColor="accent1"/>
              <w:right w:val="single" w:sz="4" w:space="0" w:color="548DD4" w:themeColor="text2" w:themeTint="99"/>
            </w:tcBorders>
            <w:shd w:val="clear" w:color="auto" w:fill="4F81BD" w:themeFill="accent1"/>
          </w:tcPr>
          <w:p w:rsidR="00C24D45" w:rsidRPr="00D17729" w:rsidRDefault="00FC3C21" w:rsidP="00172700">
            <w:pPr>
              <w:autoSpaceDE w:val="0"/>
              <w:autoSpaceDN w:val="0"/>
              <w:adjustRightInd w:val="0"/>
              <w:jc w:val="center"/>
              <w:rPr>
                <w:rFonts w:ascii="Cambria Math" w:hAnsi="Cambria Math" w:cs="Arial"/>
                <w:i/>
                <w:color w:val="FFFFFF" w:themeColor="background1"/>
                <w:vertAlign w:val="subscript"/>
                <w:lang w:val="en-US"/>
              </w:rPr>
            </w:pPr>
            <w:r>
              <w:rPr>
                <w:rFonts w:ascii="Cambria Math" w:hAnsi="Cambria Math" w:cs="Arial"/>
                <w:i/>
                <w:color w:val="FFFFFF" w:themeColor="background1"/>
                <w:lang w:val="en-US"/>
              </w:rPr>
              <w:t>constant</w:t>
            </w:r>
          </w:p>
        </w:tc>
        <w:tc>
          <w:tcPr>
            <w:cnfStyle w:val="000010000000"/>
            <w:tcW w:w="0" w:type="auto"/>
            <w:tcBorders>
              <w:top w:val="single" w:sz="4" w:space="0" w:color="548DD4" w:themeColor="text2" w:themeTint="99"/>
              <w:left w:val="single" w:sz="4" w:space="0" w:color="548DD4" w:themeColor="text2" w:themeTint="99"/>
              <w:bottom w:val="nil"/>
              <w:right w:val="nil"/>
            </w:tcBorders>
          </w:tcPr>
          <w:p w:rsidR="00C24D45" w:rsidRPr="00CC60EF" w:rsidRDefault="00C24D45" w:rsidP="009A1768">
            <w:pPr>
              <w:autoSpaceDE w:val="0"/>
              <w:autoSpaceDN w:val="0"/>
              <w:adjustRightInd w:val="0"/>
              <w:ind w:right="10"/>
              <w:jc w:val="right"/>
              <w:rPr>
                <w:rFonts w:cs="Arial"/>
                <w:color w:val="000000"/>
                <w:lang w:val="en-US"/>
              </w:rPr>
            </w:pPr>
            <w:r w:rsidRPr="00CC60EF">
              <w:rPr>
                <w:rFonts w:cs="Arial"/>
                <w:color w:val="000000"/>
                <w:lang w:val="en-US"/>
              </w:rPr>
              <w:t>-0.042228</w:t>
            </w:r>
          </w:p>
        </w:tc>
        <w:tc>
          <w:tcPr>
            <w:tcW w:w="0" w:type="auto"/>
            <w:tcBorders>
              <w:top w:val="single" w:sz="4" w:space="0" w:color="548DD4" w:themeColor="text2" w:themeTint="99"/>
              <w:left w:val="nil"/>
              <w:bottom w:val="nil"/>
              <w:right w:val="nil"/>
            </w:tcBorders>
          </w:tcPr>
          <w:p w:rsidR="00C24D45" w:rsidRPr="00CC60EF" w:rsidRDefault="00C24D45" w:rsidP="009A1768">
            <w:pPr>
              <w:autoSpaceDE w:val="0"/>
              <w:autoSpaceDN w:val="0"/>
              <w:adjustRightInd w:val="0"/>
              <w:ind w:right="10"/>
              <w:jc w:val="right"/>
              <w:cnfStyle w:val="000000000000"/>
              <w:rPr>
                <w:rFonts w:cs="Arial"/>
                <w:color w:val="000000"/>
                <w:lang w:val="en-US"/>
              </w:rPr>
            </w:pPr>
            <w:r w:rsidRPr="00CC60EF">
              <w:rPr>
                <w:rFonts w:cs="Arial"/>
                <w:color w:val="000000"/>
                <w:lang w:val="en-US"/>
              </w:rPr>
              <w:t>0.025101</w:t>
            </w:r>
          </w:p>
        </w:tc>
        <w:tc>
          <w:tcPr>
            <w:cnfStyle w:val="000010000000"/>
            <w:tcW w:w="0" w:type="auto"/>
            <w:tcBorders>
              <w:top w:val="single" w:sz="4" w:space="0" w:color="548DD4" w:themeColor="text2" w:themeTint="99"/>
              <w:left w:val="nil"/>
              <w:bottom w:val="nil"/>
              <w:right w:val="nil"/>
            </w:tcBorders>
          </w:tcPr>
          <w:p w:rsidR="00C24D45" w:rsidRPr="00CC60EF" w:rsidRDefault="00C24D45" w:rsidP="009A1768">
            <w:pPr>
              <w:autoSpaceDE w:val="0"/>
              <w:autoSpaceDN w:val="0"/>
              <w:adjustRightInd w:val="0"/>
              <w:ind w:right="10"/>
              <w:jc w:val="right"/>
              <w:rPr>
                <w:rFonts w:cs="Arial"/>
                <w:color w:val="000000"/>
                <w:lang w:val="en-US"/>
              </w:rPr>
            </w:pPr>
            <w:r w:rsidRPr="00CC60EF">
              <w:rPr>
                <w:rFonts w:cs="Arial"/>
                <w:color w:val="000000"/>
                <w:lang w:val="en-US"/>
              </w:rPr>
              <w:t>-1.682309</w:t>
            </w:r>
          </w:p>
        </w:tc>
        <w:tc>
          <w:tcPr>
            <w:tcW w:w="0" w:type="auto"/>
            <w:tcBorders>
              <w:top w:val="single" w:sz="4" w:space="0" w:color="548DD4" w:themeColor="text2" w:themeTint="99"/>
              <w:left w:val="nil"/>
              <w:bottom w:val="nil"/>
              <w:right w:val="single" w:sz="4" w:space="0" w:color="548DD4" w:themeColor="text2" w:themeTint="99"/>
            </w:tcBorders>
          </w:tcPr>
          <w:p w:rsidR="00C24D45" w:rsidRPr="00CC60EF" w:rsidRDefault="00C24D45" w:rsidP="009A1768">
            <w:pPr>
              <w:autoSpaceDE w:val="0"/>
              <w:autoSpaceDN w:val="0"/>
              <w:adjustRightInd w:val="0"/>
              <w:ind w:right="10"/>
              <w:jc w:val="right"/>
              <w:cnfStyle w:val="000000000000"/>
              <w:rPr>
                <w:rFonts w:cs="Arial"/>
                <w:color w:val="000000"/>
                <w:lang w:val="en-US"/>
              </w:rPr>
            </w:pPr>
            <w:r w:rsidRPr="00CC60EF">
              <w:rPr>
                <w:rFonts w:cs="Arial"/>
                <w:color w:val="000000"/>
                <w:lang w:val="en-US"/>
              </w:rPr>
              <w:t>0.0950</w:t>
            </w:r>
          </w:p>
        </w:tc>
      </w:tr>
      <w:tr w:rsidR="00C24D45" w:rsidRPr="009A1768" w:rsidTr="00D73ABF">
        <w:trPr>
          <w:cnfStyle w:val="000000100000"/>
          <w:trHeight w:val="225"/>
          <w:jc w:val="center"/>
        </w:trPr>
        <w:tc>
          <w:tcPr>
            <w:cnfStyle w:val="001000000000"/>
            <w:tcW w:w="0" w:type="auto"/>
            <w:tcBorders>
              <w:bottom w:val="single" w:sz="4" w:space="0" w:color="FFFFFF" w:themeColor="background1"/>
              <w:right w:val="single" w:sz="4" w:space="0" w:color="548DD4" w:themeColor="text2" w:themeTint="99"/>
            </w:tcBorders>
            <w:shd w:val="clear" w:color="auto" w:fill="4F81BD" w:themeFill="accent1"/>
          </w:tcPr>
          <w:p w:rsidR="00C24D45" w:rsidRPr="00D17729" w:rsidRDefault="00DB780A" w:rsidP="00172700">
            <w:pPr>
              <w:autoSpaceDE w:val="0"/>
              <w:autoSpaceDN w:val="0"/>
              <w:adjustRightInd w:val="0"/>
              <w:jc w:val="center"/>
              <w:rPr>
                <w:rFonts w:ascii="Cambria Math" w:hAnsi="Cambria Math" w:cs="Arial"/>
                <w:bCs w:val="0"/>
                <w:i/>
                <w:color w:val="FFFFFF" w:themeColor="background1"/>
                <w:vertAlign w:val="subscript"/>
                <w:lang w:val="en-US"/>
              </w:rPr>
            </w:pPr>
            <m:oMathPara>
              <m:oMath>
                <m:sSub>
                  <m:sSubPr>
                    <m:ctrlPr>
                      <w:rPr>
                        <w:rFonts w:ascii="Cambria Math" w:hAnsi="Cambria Math"/>
                        <w:i/>
                        <w:color w:val="FFFFFF" w:themeColor="background1"/>
                        <w:lang w:val="en-US"/>
                      </w:rPr>
                    </m:ctrlPr>
                  </m:sSubPr>
                  <m:e>
                    <m:r>
                      <m:rPr>
                        <m:sty m:val="bi"/>
                      </m:rPr>
                      <w:rPr>
                        <w:rFonts w:ascii="Cambria Math" w:hAnsi="Cambria Math"/>
                        <w:color w:val="FFFFFF" w:themeColor="background1"/>
                        <w:lang w:val="en-US"/>
                      </w:rPr>
                      <m:t>∆s</m:t>
                    </m:r>
                  </m:e>
                  <m:sub>
                    <m:r>
                      <m:rPr>
                        <m:sty m:val="bi"/>
                      </m:rPr>
                      <w:rPr>
                        <w:rFonts w:ascii="Cambria Math" w:hAnsi="Cambria Math"/>
                        <w:color w:val="FFFFFF" w:themeColor="background1"/>
                        <w:lang w:val="en-US"/>
                      </w:rPr>
                      <m:t>t-1</m:t>
                    </m:r>
                  </m:sub>
                </m:sSub>
              </m:oMath>
            </m:oMathPara>
          </w:p>
        </w:tc>
        <w:tc>
          <w:tcPr>
            <w:cnfStyle w:val="000010000000"/>
            <w:tcW w:w="0" w:type="auto"/>
            <w:tcBorders>
              <w:top w:val="nil"/>
              <w:left w:val="single" w:sz="4" w:space="0" w:color="548DD4" w:themeColor="text2" w:themeTint="99"/>
              <w:bottom w:val="single" w:sz="4" w:space="0" w:color="548DD4" w:themeColor="text2" w:themeTint="99"/>
              <w:right w:val="nil"/>
            </w:tcBorders>
          </w:tcPr>
          <w:p w:rsidR="00C24D45" w:rsidRPr="009A1768" w:rsidRDefault="00C24D45" w:rsidP="009A1768">
            <w:pPr>
              <w:autoSpaceDE w:val="0"/>
              <w:autoSpaceDN w:val="0"/>
              <w:adjustRightInd w:val="0"/>
              <w:ind w:right="10"/>
              <w:jc w:val="right"/>
              <w:rPr>
                <w:rFonts w:cs="Arial"/>
                <w:color w:val="000000"/>
              </w:rPr>
            </w:pPr>
            <w:r w:rsidRPr="00CC60EF">
              <w:rPr>
                <w:rFonts w:cs="Arial"/>
                <w:color w:val="000000"/>
                <w:lang w:val="en-US"/>
              </w:rPr>
              <w:t>0.</w:t>
            </w:r>
            <w:r w:rsidRPr="009A1768">
              <w:rPr>
                <w:rFonts w:cs="Arial"/>
                <w:color w:val="000000"/>
              </w:rPr>
              <w:t>441645</w:t>
            </w:r>
          </w:p>
        </w:tc>
        <w:tc>
          <w:tcPr>
            <w:tcW w:w="0" w:type="auto"/>
            <w:tcBorders>
              <w:top w:val="nil"/>
              <w:left w:val="nil"/>
              <w:bottom w:val="single" w:sz="4" w:space="0" w:color="548DD4" w:themeColor="text2" w:themeTint="99"/>
              <w:right w:val="nil"/>
            </w:tcBorders>
          </w:tcPr>
          <w:p w:rsidR="00C24D45" w:rsidRPr="009A1768" w:rsidRDefault="00C24D45" w:rsidP="009A1768">
            <w:pPr>
              <w:autoSpaceDE w:val="0"/>
              <w:autoSpaceDN w:val="0"/>
              <w:adjustRightInd w:val="0"/>
              <w:ind w:right="10"/>
              <w:jc w:val="right"/>
              <w:cnfStyle w:val="000000100000"/>
              <w:rPr>
                <w:rFonts w:cs="Arial"/>
                <w:color w:val="000000"/>
              </w:rPr>
            </w:pPr>
            <w:r w:rsidRPr="009A1768">
              <w:rPr>
                <w:rFonts w:cs="Arial"/>
                <w:color w:val="000000"/>
              </w:rPr>
              <w:t>0.093080</w:t>
            </w:r>
          </w:p>
        </w:tc>
        <w:tc>
          <w:tcPr>
            <w:cnfStyle w:val="000010000000"/>
            <w:tcW w:w="0" w:type="auto"/>
            <w:tcBorders>
              <w:top w:val="nil"/>
              <w:left w:val="nil"/>
              <w:bottom w:val="single" w:sz="4" w:space="0" w:color="548DD4" w:themeColor="text2" w:themeTint="99"/>
              <w:right w:val="nil"/>
            </w:tcBorders>
          </w:tcPr>
          <w:p w:rsidR="00C24D45" w:rsidRPr="009A1768" w:rsidRDefault="00C24D45" w:rsidP="009A1768">
            <w:pPr>
              <w:autoSpaceDE w:val="0"/>
              <w:autoSpaceDN w:val="0"/>
              <w:adjustRightInd w:val="0"/>
              <w:ind w:right="10"/>
              <w:jc w:val="right"/>
              <w:rPr>
                <w:rFonts w:cs="Arial"/>
                <w:color w:val="000000"/>
              </w:rPr>
            </w:pPr>
            <w:r w:rsidRPr="009A1768">
              <w:rPr>
                <w:rFonts w:cs="Arial"/>
                <w:color w:val="000000"/>
              </w:rPr>
              <w:t>4.744795</w:t>
            </w:r>
          </w:p>
        </w:tc>
        <w:tc>
          <w:tcPr>
            <w:tcW w:w="0" w:type="auto"/>
            <w:tcBorders>
              <w:top w:val="nil"/>
              <w:left w:val="nil"/>
              <w:bottom w:val="single" w:sz="4" w:space="0" w:color="548DD4" w:themeColor="text2" w:themeTint="99"/>
              <w:right w:val="single" w:sz="4" w:space="0" w:color="548DD4" w:themeColor="text2" w:themeTint="99"/>
            </w:tcBorders>
          </w:tcPr>
          <w:p w:rsidR="00C24D45" w:rsidRPr="009A1768" w:rsidRDefault="00C24D45" w:rsidP="009A1768">
            <w:pPr>
              <w:autoSpaceDE w:val="0"/>
              <w:autoSpaceDN w:val="0"/>
              <w:adjustRightInd w:val="0"/>
              <w:ind w:right="10"/>
              <w:jc w:val="right"/>
              <w:cnfStyle w:val="000000100000"/>
              <w:rPr>
                <w:rFonts w:cs="Arial"/>
                <w:color w:val="000000"/>
              </w:rPr>
            </w:pPr>
            <w:r w:rsidRPr="009A1768">
              <w:rPr>
                <w:rFonts w:cs="Arial"/>
                <w:color w:val="000000"/>
              </w:rPr>
              <w:t>0.0000</w:t>
            </w:r>
          </w:p>
        </w:tc>
      </w:tr>
      <w:tr w:rsidR="009A1768" w:rsidRPr="009A1768" w:rsidTr="00D73ABF">
        <w:trPr>
          <w:trHeight w:val="225"/>
          <w:jc w:val="center"/>
        </w:trPr>
        <w:tc>
          <w:tcPr>
            <w:cnfStyle w:val="001000000000"/>
            <w:tcW w:w="0" w:type="auto"/>
            <w:tcBorders>
              <w:top w:val="single" w:sz="4" w:space="0" w:color="FFFFFF" w:themeColor="background1"/>
              <w:right w:val="single" w:sz="4" w:space="0" w:color="548DD4" w:themeColor="text2" w:themeTint="99"/>
            </w:tcBorders>
            <w:shd w:val="clear" w:color="auto" w:fill="4F81BD" w:themeFill="accent1"/>
          </w:tcPr>
          <w:p w:rsidR="009A1768" w:rsidRPr="009A1768" w:rsidRDefault="009A1768" w:rsidP="009A1768">
            <w:pPr>
              <w:autoSpaceDE w:val="0"/>
              <w:autoSpaceDN w:val="0"/>
              <w:adjustRightInd w:val="0"/>
              <w:rPr>
                <w:rFonts w:cs="Arial"/>
                <w:color w:val="FFFFFF" w:themeColor="background1"/>
              </w:rPr>
            </w:pPr>
            <w:r w:rsidRPr="009A1768">
              <w:rPr>
                <w:rFonts w:cs="Arial"/>
                <w:color w:val="FFFFFF" w:themeColor="background1"/>
              </w:rPr>
              <w:t>Adjusted R-squared</w:t>
            </w:r>
          </w:p>
        </w:tc>
        <w:tc>
          <w:tcPr>
            <w:cnfStyle w:val="000010000000"/>
            <w:tcW w:w="0" w:type="auto"/>
            <w:tcBorders>
              <w:top w:val="single" w:sz="4" w:space="0" w:color="548DD4" w:themeColor="text2" w:themeTint="99"/>
              <w:left w:val="single" w:sz="4" w:space="0" w:color="548DD4" w:themeColor="text2" w:themeTint="99"/>
              <w:bottom w:val="nil"/>
              <w:right w:val="single" w:sz="4" w:space="0" w:color="548DD4" w:themeColor="text2" w:themeTint="99"/>
            </w:tcBorders>
          </w:tcPr>
          <w:p w:rsidR="009A1768" w:rsidRPr="009A1768" w:rsidRDefault="009A1768" w:rsidP="009A1768">
            <w:pPr>
              <w:autoSpaceDE w:val="0"/>
              <w:autoSpaceDN w:val="0"/>
              <w:adjustRightInd w:val="0"/>
              <w:ind w:right="10"/>
              <w:jc w:val="right"/>
              <w:rPr>
                <w:rFonts w:cs="Arial"/>
                <w:color w:val="000000"/>
              </w:rPr>
            </w:pPr>
            <w:r w:rsidRPr="009A1768">
              <w:rPr>
                <w:rFonts w:cs="Arial"/>
                <w:color w:val="000000"/>
              </w:rPr>
              <w:t>0.188610</w:t>
            </w:r>
          </w:p>
        </w:tc>
        <w:tc>
          <w:tcPr>
            <w:tcW w:w="0" w:type="auto"/>
            <w:gridSpan w:val="2"/>
            <w:tcBorders>
              <w:top w:val="single" w:sz="4" w:space="0" w:color="548DD4" w:themeColor="text2" w:themeTint="99"/>
              <w:left w:val="single" w:sz="4" w:space="0" w:color="548DD4" w:themeColor="text2" w:themeTint="99"/>
              <w:right w:val="single" w:sz="4" w:space="0" w:color="548DD4" w:themeColor="text2" w:themeTint="99"/>
            </w:tcBorders>
            <w:shd w:val="clear" w:color="auto" w:fill="4F81BD" w:themeFill="accent1"/>
          </w:tcPr>
          <w:p w:rsidR="009A1768" w:rsidRPr="009A1768" w:rsidRDefault="009A1768" w:rsidP="009A1768">
            <w:pPr>
              <w:autoSpaceDE w:val="0"/>
              <w:autoSpaceDN w:val="0"/>
              <w:adjustRightInd w:val="0"/>
              <w:ind w:right="10"/>
              <w:cnfStyle w:val="000000000000"/>
              <w:rPr>
                <w:rFonts w:cs="Arial"/>
                <w:b/>
                <w:color w:val="FFFFFF" w:themeColor="background1"/>
              </w:rPr>
            </w:pPr>
            <w:r w:rsidRPr="009A1768">
              <w:rPr>
                <w:rFonts w:cs="Arial"/>
                <w:b/>
                <w:color w:val="FFFFFF" w:themeColor="background1"/>
              </w:rPr>
              <w:t>    Akaike info criterion</w:t>
            </w:r>
          </w:p>
        </w:tc>
        <w:tc>
          <w:tcPr>
            <w:cnfStyle w:val="000010000000"/>
            <w:tcW w:w="0" w:type="auto"/>
            <w:tcBorders>
              <w:top w:val="single" w:sz="4" w:space="0" w:color="548DD4" w:themeColor="text2" w:themeTint="99"/>
              <w:left w:val="single" w:sz="4" w:space="0" w:color="548DD4" w:themeColor="text2" w:themeTint="99"/>
              <w:bottom w:val="nil"/>
              <w:right w:val="single" w:sz="4" w:space="0" w:color="548DD4" w:themeColor="text2" w:themeTint="99"/>
            </w:tcBorders>
          </w:tcPr>
          <w:p w:rsidR="009A1768" w:rsidRPr="009A1768" w:rsidRDefault="009A1768" w:rsidP="009A1768">
            <w:pPr>
              <w:autoSpaceDE w:val="0"/>
              <w:autoSpaceDN w:val="0"/>
              <w:adjustRightInd w:val="0"/>
              <w:ind w:right="10"/>
              <w:jc w:val="right"/>
              <w:rPr>
                <w:rFonts w:cs="Arial"/>
                <w:color w:val="000000"/>
              </w:rPr>
            </w:pPr>
            <w:r w:rsidRPr="009A1768">
              <w:rPr>
                <w:rFonts w:cs="Arial"/>
                <w:color w:val="000000"/>
              </w:rPr>
              <w:t>-0.910579</w:t>
            </w:r>
          </w:p>
        </w:tc>
      </w:tr>
      <w:tr w:rsidR="009A1768" w:rsidRPr="009A1768" w:rsidTr="00D73ABF">
        <w:trPr>
          <w:cnfStyle w:val="000000100000"/>
          <w:trHeight w:val="225"/>
          <w:jc w:val="center"/>
        </w:trPr>
        <w:tc>
          <w:tcPr>
            <w:cnfStyle w:val="001000000000"/>
            <w:tcW w:w="0" w:type="auto"/>
            <w:tcBorders>
              <w:right w:val="single" w:sz="4" w:space="0" w:color="548DD4" w:themeColor="text2" w:themeTint="99"/>
            </w:tcBorders>
            <w:shd w:val="clear" w:color="auto" w:fill="4F81BD" w:themeFill="accent1"/>
          </w:tcPr>
          <w:p w:rsidR="009A1768" w:rsidRPr="009A1768" w:rsidRDefault="009A1768" w:rsidP="009A1768">
            <w:pPr>
              <w:autoSpaceDE w:val="0"/>
              <w:autoSpaceDN w:val="0"/>
              <w:adjustRightInd w:val="0"/>
              <w:rPr>
                <w:rFonts w:cs="Arial"/>
                <w:color w:val="FFFFFF" w:themeColor="background1"/>
              </w:rPr>
            </w:pPr>
            <w:r w:rsidRPr="009A1768">
              <w:rPr>
                <w:rFonts w:cs="Arial"/>
                <w:color w:val="FFFFFF" w:themeColor="background1"/>
              </w:rPr>
              <w:t>S.E. of regression</w:t>
            </w:r>
          </w:p>
        </w:tc>
        <w:tc>
          <w:tcPr>
            <w:cnfStyle w:val="000010000000"/>
            <w:tcW w:w="0" w:type="auto"/>
            <w:tcBorders>
              <w:top w:val="nil"/>
              <w:left w:val="single" w:sz="4" w:space="0" w:color="548DD4" w:themeColor="text2" w:themeTint="99"/>
              <w:bottom w:val="single" w:sz="4" w:space="0" w:color="548DD4" w:themeColor="text2" w:themeTint="99"/>
              <w:right w:val="single" w:sz="4" w:space="0" w:color="548DD4" w:themeColor="text2" w:themeTint="99"/>
            </w:tcBorders>
          </w:tcPr>
          <w:p w:rsidR="009A1768" w:rsidRPr="009A1768" w:rsidRDefault="009A1768" w:rsidP="009A1768">
            <w:pPr>
              <w:autoSpaceDE w:val="0"/>
              <w:autoSpaceDN w:val="0"/>
              <w:adjustRightInd w:val="0"/>
              <w:ind w:right="10"/>
              <w:jc w:val="right"/>
              <w:rPr>
                <w:rFonts w:cs="Arial"/>
                <w:color w:val="000000"/>
              </w:rPr>
            </w:pPr>
            <w:r w:rsidRPr="009A1768">
              <w:rPr>
                <w:rFonts w:cs="Arial"/>
                <w:color w:val="000000"/>
              </w:rPr>
              <w:t>0.152279</w:t>
            </w:r>
          </w:p>
        </w:tc>
        <w:tc>
          <w:tcPr>
            <w:tcW w:w="0" w:type="auto"/>
            <w:gridSpan w:val="2"/>
            <w:tcBorders>
              <w:left w:val="single" w:sz="4" w:space="0" w:color="548DD4" w:themeColor="text2" w:themeTint="99"/>
              <w:right w:val="single" w:sz="4" w:space="0" w:color="548DD4" w:themeColor="text2" w:themeTint="99"/>
            </w:tcBorders>
            <w:shd w:val="clear" w:color="auto" w:fill="4F81BD" w:themeFill="accent1"/>
          </w:tcPr>
          <w:p w:rsidR="009A1768" w:rsidRPr="009A1768" w:rsidRDefault="009A1768" w:rsidP="009A1768">
            <w:pPr>
              <w:autoSpaceDE w:val="0"/>
              <w:autoSpaceDN w:val="0"/>
              <w:adjustRightInd w:val="0"/>
              <w:ind w:right="10"/>
              <w:cnfStyle w:val="000000100000"/>
              <w:rPr>
                <w:rFonts w:cs="Arial"/>
                <w:b/>
                <w:color w:val="FFFFFF" w:themeColor="background1"/>
              </w:rPr>
            </w:pPr>
            <w:r w:rsidRPr="009A1768">
              <w:rPr>
                <w:rFonts w:cs="Arial"/>
                <w:b/>
                <w:color w:val="FFFFFF" w:themeColor="background1"/>
              </w:rPr>
              <w:t>    Durbin-Watson stat</w:t>
            </w:r>
          </w:p>
        </w:tc>
        <w:tc>
          <w:tcPr>
            <w:cnfStyle w:val="000010000000"/>
            <w:tcW w:w="0" w:type="auto"/>
            <w:tcBorders>
              <w:top w:val="nil"/>
              <w:left w:val="single" w:sz="4" w:space="0" w:color="548DD4" w:themeColor="text2" w:themeTint="99"/>
              <w:bottom w:val="single" w:sz="4" w:space="0" w:color="548DD4" w:themeColor="text2" w:themeTint="99"/>
              <w:right w:val="single" w:sz="4" w:space="0" w:color="548DD4" w:themeColor="text2" w:themeTint="99"/>
            </w:tcBorders>
          </w:tcPr>
          <w:p w:rsidR="009A1768" w:rsidRPr="009A1768" w:rsidRDefault="009A1768" w:rsidP="00172700">
            <w:pPr>
              <w:keepNext/>
              <w:autoSpaceDE w:val="0"/>
              <w:autoSpaceDN w:val="0"/>
              <w:adjustRightInd w:val="0"/>
              <w:ind w:right="10"/>
              <w:jc w:val="right"/>
              <w:rPr>
                <w:rFonts w:cs="Arial"/>
                <w:color w:val="000000"/>
              </w:rPr>
            </w:pPr>
            <w:r w:rsidRPr="009A1768">
              <w:rPr>
                <w:rFonts w:cs="Arial"/>
                <w:color w:val="000000"/>
              </w:rPr>
              <w:t>2.036947</w:t>
            </w:r>
          </w:p>
        </w:tc>
      </w:tr>
    </w:tbl>
    <w:p w:rsidR="00172700" w:rsidRPr="00735207" w:rsidRDefault="00172700" w:rsidP="00172700">
      <w:pPr>
        <w:pStyle w:val="Caption"/>
        <w:jc w:val="center"/>
        <w:rPr>
          <w:lang w:val="en-US"/>
        </w:rPr>
      </w:pPr>
      <w:r w:rsidRPr="00735207">
        <w:rPr>
          <w:lang w:val="en-US"/>
        </w:rPr>
        <w:t xml:space="preserve">Table </w:t>
      </w:r>
      <w:r w:rsidR="00DB780A">
        <w:fldChar w:fldCharType="begin"/>
      </w:r>
      <w:r w:rsidRPr="00735207">
        <w:rPr>
          <w:lang w:val="en-US"/>
        </w:rPr>
        <w:instrText xml:space="preserve"> SEQ Table \* ARABIC </w:instrText>
      </w:r>
      <w:r w:rsidR="00DB780A">
        <w:fldChar w:fldCharType="separate"/>
      </w:r>
      <w:r w:rsidR="004454F3">
        <w:rPr>
          <w:noProof/>
          <w:lang w:val="en-US"/>
        </w:rPr>
        <w:t>5</w:t>
      </w:r>
      <w:r w:rsidR="00DB780A">
        <w:fldChar w:fldCharType="end"/>
      </w:r>
      <w:r w:rsidRPr="00735207">
        <w:rPr>
          <w:lang w:val="en-US"/>
        </w:rPr>
        <w:t xml:space="preserve"> | OLS estimation results of equation 2.</w:t>
      </w:r>
      <w:r w:rsidR="00735207">
        <w:rPr>
          <w:lang w:val="en-US"/>
        </w:rPr>
        <w:t>2</w:t>
      </w:r>
    </w:p>
    <w:p w:rsidR="000C56AB" w:rsidRDefault="00DE7374" w:rsidP="00443B38">
      <w:pPr>
        <w:spacing w:line="360" w:lineRule="auto"/>
        <w:jc w:val="both"/>
        <w:rPr>
          <w:lang w:val="en-US"/>
        </w:rPr>
      </w:pPr>
      <w:r>
        <w:rPr>
          <w:lang w:val="en-US"/>
        </w:rPr>
        <w:t>As can be seen from the table above, both coefficients are significantly different from zero as the p-value is smaller than α = 0.1. Also, the Durbin-Watson statistic is close to 2, indicating very little autocorrelation in the residuals.</w:t>
      </w:r>
      <w:r w:rsidR="0023673A">
        <w:rPr>
          <w:lang w:val="en-US"/>
        </w:rPr>
        <w:t xml:space="preserve"> </w:t>
      </w:r>
      <w:r w:rsidR="000C56AB">
        <w:rPr>
          <w:lang w:val="en-US"/>
        </w:rPr>
        <w:t xml:space="preserve"> Note that the Akaike info criterion is a relative estimate of the information lost when this model is used to represent the 'true' process that generates the first difference of the logarithmically transformed exchange rate series</w:t>
      </w:r>
      <w:r w:rsidR="00773FF0">
        <w:rPr>
          <w:lang w:val="en-US"/>
        </w:rPr>
        <w:t xml:space="preserve"> </w:t>
      </w:r>
      <w:sdt>
        <w:sdtPr>
          <w:rPr>
            <w:lang w:val="en-US"/>
          </w:rPr>
          <w:id w:val="1930909668"/>
          <w:citation/>
        </w:sdtPr>
        <w:sdtContent>
          <w:r w:rsidR="00DB780A">
            <w:rPr>
              <w:lang w:val="en-US"/>
            </w:rPr>
            <w:fldChar w:fldCharType="begin"/>
          </w:r>
          <w:r w:rsidR="00773FF0" w:rsidRPr="00773FF0">
            <w:rPr>
              <w:lang w:val="en-US"/>
            </w:rPr>
            <w:instrText xml:space="preserve"> CITATION Aka74 \l 1043 </w:instrText>
          </w:r>
          <w:r w:rsidR="00DB780A">
            <w:rPr>
              <w:lang w:val="en-US"/>
            </w:rPr>
            <w:fldChar w:fldCharType="separate"/>
          </w:r>
          <w:r w:rsidR="002B7AD5">
            <w:rPr>
              <w:noProof/>
              <w:lang w:val="en-US"/>
            </w:rPr>
            <w:t>(Akaike, 1974)</w:t>
          </w:r>
          <w:r w:rsidR="00DB780A">
            <w:rPr>
              <w:lang w:val="en-US"/>
            </w:rPr>
            <w:fldChar w:fldCharType="end"/>
          </w:r>
        </w:sdtContent>
      </w:sdt>
      <w:r w:rsidR="000C56AB">
        <w:rPr>
          <w:lang w:val="en-US"/>
        </w:rPr>
        <w:t>. The Akaike info criterion cannot tell anything about the model in itself. It is only provided here to be used for comparison later.</w:t>
      </w:r>
    </w:p>
    <w:p w:rsidR="00547E1E" w:rsidRDefault="0023673A" w:rsidP="00443B38">
      <w:pPr>
        <w:spacing w:line="360" w:lineRule="auto"/>
        <w:jc w:val="both"/>
        <w:rPr>
          <w:lang w:val="en-US"/>
        </w:rPr>
      </w:pPr>
      <w:r>
        <w:rPr>
          <w:lang w:val="en-US"/>
        </w:rPr>
        <w:lastRenderedPageBreak/>
        <w:t>Looking at the residuals' correlogram, there is indeed no evidence for autocorrelation. The residuals are white noise.</w:t>
      </w:r>
      <w:r w:rsidR="00111AB3">
        <w:rPr>
          <w:lang w:val="en-US"/>
        </w:rPr>
        <w:t xml:space="preserve"> </w:t>
      </w:r>
    </w:p>
    <w:tbl>
      <w:tblPr>
        <w:tblStyle w:val="LightList-Accent11"/>
        <w:tblW w:w="0" w:type="auto"/>
        <w:jc w:val="center"/>
        <w:tblLook w:val="0020"/>
      </w:tblPr>
      <w:tblGrid>
        <w:gridCol w:w="1557"/>
        <w:gridCol w:w="1777"/>
        <w:gridCol w:w="327"/>
        <w:gridCol w:w="737"/>
        <w:gridCol w:w="737"/>
        <w:gridCol w:w="777"/>
        <w:gridCol w:w="677"/>
      </w:tblGrid>
      <w:tr w:rsidR="00111AB3" w:rsidRPr="0023673A" w:rsidTr="00111AB3">
        <w:trPr>
          <w:cnfStyle w:val="100000000000"/>
          <w:trHeight w:val="225"/>
          <w:jc w:val="center"/>
        </w:trPr>
        <w:tc>
          <w:tcPr>
            <w:cnfStyle w:val="000010000000"/>
            <w:tcW w:w="0" w:type="auto"/>
            <w:vAlign w:val="center"/>
          </w:tcPr>
          <w:p w:rsidR="00111AB3" w:rsidRPr="00111AB3" w:rsidRDefault="00111AB3" w:rsidP="00111AB3">
            <w:pPr>
              <w:autoSpaceDE w:val="0"/>
              <w:autoSpaceDN w:val="0"/>
              <w:adjustRightInd w:val="0"/>
              <w:jc w:val="center"/>
              <w:rPr>
                <w:rFonts w:ascii="Arial" w:hAnsi="Arial" w:cs="Arial"/>
                <w:sz w:val="18"/>
                <w:szCs w:val="18"/>
              </w:rPr>
            </w:pPr>
            <w:r w:rsidRPr="00111AB3">
              <w:rPr>
                <w:rFonts w:ascii="Arial" w:hAnsi="Arial" w:cs="Arial"/>
                <w:sz w:val="18"/>
                <w:szCs w:val="18"/>
              </w:rPr>
              <w:t>Autocorrelation</w:t>
            </w:r>
          </w:p>
        </w:tc>
        <w:tc>
          <w:tcPr>
            <w:tcW w:w="0" w:type="auto"/>
            <w:vAlign w:val="center"/>
          </w:tcPr>
          <w:p w:rsidR="00111AB3" w:rsidRPr="00111AB3" w:rsidRDefault="00111AB3" w:rsidP="00111AB3">
            <w:pPr>
              <w:autoSpaceDE w:val="0"/>
              <w:autoSpaceDN w:val="0"/>
              <w:adjustRightInd w:val="0"/>
              <w:jc w:val="center"/>
              <w:cnfStyle w:val="100000000000"/>
              <w:rPr>
                <w:rFonts w:ascii="Arial" w:hAnsi="Arial" w:cs="Arial"/>
                <w:sz w:val="18"/>
                <w:szCs w:val="18"/>
              </w:rPr>
            </w:pPr>
            <w:r w:rsidRPr="00111AB3">
              <w:rPr>
                <w:rFonts w:ascii="Arial" w:hAnsi="Arial" w:cs="Arial"/>
                <w:sz w:val="18"/>
                <w:szCs w:val="18"/>
              </w:rPr>
              <w:t>Partial Correlation</w:t>
            </w:r>
          </w:p>
        </w:tc>
        <w:tc>
          <w:tcPr>
            <w:cnfStyle w:val="000010000000"/>
            <w:tcW w:w="0" w:type="auto"/>
            <w:vAlign w:val="center"/>
          </w:tcPr>
          <w:p w:rsidR="00111AB3" w:rsidRPr="00111AB3" w:rsidRDefault="00111AB3" w:rsidP="00111AB3">
            <w:pPr>
              <w:autoSpaceDE w:val="0"/>
              <w:autoSpaceDN w:val="0"/>
              <w:adjustRightInd w:val="0"/>
              <w:jc w:val="center"/>
              <w:rPr>
                <w:rFonts w:ascii="Arial" w:hAnsi="Arial" w:cs="Arial"/>
                <w:sz w:val="18"/>
                <w:szCs w:val="18"/>
              </w:rPr>
            </w:pPr>
          </w:p>
        </w:tc>
        <w:tc>
          <w:tcPr>
            <w:tcW w:w="0" w:type="auto"/>
            <w:vAlign w:val="center"/>
          </w:tcPr>
          <w:p w:rsidR="00111AB3" w:rsidRPr="00111AB3" w:rsidRDefault="00111AB3" w:rsidP="00111AB3">
            <w:pPr>
              <w:autoSpaceDE w:val="0"/>
              <w:autoSpaceDN w:val="0"/>
              <w:adjustRightInd w:val="0"/>
              <w:jc w:val="center"/>
              <w:cnfStyle w:val="100000000000"/>
              <w:rPr>
                <w:rFonts w:ascii="Arial" w:hAnsi="Arial" w:cs="Arial"/>
                <w:sz w:val="18"/>
                <w:szCs w:val="18"/>
              </w:rPr>
            </w:pPr>
            <w:r w:rsidRPr="00111AB3">
              <w:rPr>
                <w:rFonts w:ascii="Arial" w:hAnsi="Arial" w:cs="Arial"/>
                <w:sz w:val="18"/>
                <w:szCs w:val="18"/>
              </w:rPr>
              <w:t>AC</w:t>
            </w:r>
          </w:p>
        </w:tc>
        <w:tc>
          <w:tcPr>
            <w:cnfStyle w:val="000010000000"/>
            <w:tcW w:w="0" w:type="auto"/>
            <w:vAlign w:val="center"/>
          </w:tcPr>
          <w:p w:rsidR="00111AB3" w:rsidRPr="00111AB3" w:rsidRDefault="00111AB3" w:rsidP="00111AB3">
            <w:pPr>
              <w:autoSpaceDE w:val="0"/>
              <w:autoSpaceDN w:val="0"/>
              <w:adjustRightInd w:val="0"/>
              <w:jc w:val="center"/>
              <w:rPr>
                <w:rFonts w:ascii="Arial" w:hAnsi="Arial" w:cs="Arial"/>
                <w:sz w:val="18"/>
                <w:szCs w:val="18"/>
              </w:rPr>
            </w:pPr>
            <w:r w:rsidRPr="00111AB3">
              <w:rPr>
                <w:rFonts w:ascii="Arial" w:hAnsi="Arial" w:cs="Arial"/>
                <w:sz w:val="18"/>
                <w:szCs w:val="18"/>
              </w:rPr>
              <w:t>PAC</w:t>
            </w:r>
          </w:p>
        </w:tc>
        <w:tc>
          <w:tcPr>
            <w:tcW w:w="0" w:type="auto"/>
            <w:vAlign w:val="center"/>
          </w:tcPr>
          <w:p w:rsidR="00111AB3" w:rsidRPr="00111AB3" w:rsidRDefault="00111AB3" w:rsidP="00111AB3">
            <w:pPr>
              <w:autoSpaceDE w:val="0"/>
              <w:autoSpaceDN w:val="0"/>
              <w:adjustRightInd w:val="0"/>
              <w:jc w:val="center"/>
              <w:cnfStyle w:val="100000000000"/>
              <w:rPr>
                <w:rFonts w:ascii="Arial" w:hAnsi="Arial" w:cs="Arial"/>
                <w:sz w:val="18"/>
                <w:szCs w:val="18"/>
              </w:rPr>
            </w:pPr>
            <w:r w:rsidRPr="00111AB3">
              <w:rPr>
                <w:rFonts w:ascii="Arial" w:hAnsi="Arial" w:cs="Arial"/>
                <w:sz w:val="18"/>
                <w:szCs w:val="18"/>
              </w:rPr>
              <w:t>Q-Stat</w:t>
            </w:r>
          </w:p>
        </w:tc>
        <w:tc>
          <w:tcPr>
            <w:cnfStyle w:val="000010000000"/>
            <w:tcW w:w="0" w:type="auto"/>
            <w:vAlign w:val="center"/>
          </w:tcPr>
          <w:p w:rsidR="00111AB3" w:rsidRPr="00111AB3" w:rsidRDefault="00111AB3" w:rsidP="00111AB3">
            <w:pPr>
              <w:autoSpaceDE w:val="0"/>
              <w:autoSpaceDN w:val="0"/>
              <w:adjustRightInd w:val="0"/>
              <w:jc w:val="center"/>
              <w:rPr>
                <w:rFonts w:ascii="Arial" w:hAnsi="Arial" w:cs="Arial"/>
                <w:sz w:val="18"/>
                <w:szCs w:val="18"/>
              </w:rPr>
            </w:pPr>
            <w:r w:rsidRPr="00111AB3">
              <w:rPr>
                <w:rFonts w:ascii="Arial" w:hAnsi="Arial" w:cs="Arial"/>
                <w:sz w:val="18"/>
                <w:szCs w:val="18"/>
              </w:rPr>
              <w:t>Prob</w:t>
            </w:r>
          </w:p>
        </w:tc>
      </w:tr>
      <w:tr w:rsidR="00111AB3" w:rsidRPr="0023673A" w:rsidTr="00762E6F">
        <w:trPr>
          <w:cnfStyle w:val="000000100000"/>
          <w:trHeight w:val="225"/>
          <w:jc w:val="center"/>
        </w:trPr>
        <w:tc>
          <w:tcPr>
            <w:cnfStyle w:val="000010000000"/>
            <w:tcW w:w="0" w:type="auto"/>
            <w:gridSpan w:val="2"/>
            <w:vMerge w:val="restart"/>
            <w:vAlign w:val="center"/>
          </w:tcPr>
          <w:p w:rsidR="00111AB3" w:rsidRPr="0023673A" w:rsidRDefault="00111AB3" w:rsidP="00111AB3">
            <w:pPr>
              <w:autoSpaceDE w:val="0"/>
              <w:autoSpaceDN w:val="0"/>
              <w:adjustRightInd w:val="0"/>
              <w:jc w:val="center"/>
              <w:rPr>
                <w:rFonts w:ascii="Arial" w:hAnsi="Arial" w:cs="Arial"/>
                <w:color w:val="000000"/>
                <w:sz w:val="18"/>
                <w:szCs w:val="18"/>
              </w:rPr>
            </w:pPr>
            <w:r>
              <w:rPr>
                <w:rFonts w:ascii="Arial" w:hAnsi="Arial" w:cs="Arial"/>
                <w:noProof/>
                <w:color w:val="000000"/>
                <w:sz w:val="18"/>
                <w:szCs w:val="18"/>
                <w:lang w:eastAsia="nl-NL"/>
              </w:rPr>
              <w:drawing>
                <wp:anchor distT="0" distB="0" distL="114300" distR="114300" simplePos="0" relativeHeight="251666432" behindDoc="0" locked="0" layoutInCell="1" allowOverlap="1">
                  <wp:simplePos x="0" y="0"/>
                  <wp:positionH relativeFrom="column">
                    <wp:posOffset>-19050</wp:posOffset>
                  </wp:positionH>
                  <wp:positionV relativeFrom="paragraph">
                    <wp:posOffset>8890</wp:posOffset>
                  </wp:positionV>
                  <wp:extent cx="1997075" cy="1196340"/>
                  <wp:effectExtent l="19050" t="0" r="3175" b="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089" t="16452" r="94041" b="73418"/>
                          <a:stretch>
                            <a:fillRect/>
                          </a:stretch>
                        </pic:blipFill>
                        <pic:spPr bwMode="auto">
                          <a:xfrm>
                            <a:off x="0" y="0"/>
                            <a:ext cx="1997075" cy="1196340"/>
                          </a:xfrm>
                          <a:prstGeom prst="rect">
                            <a:avLst/>
                          </a:prstGeom>
                          <a:noFill/>
                          <a:ln w="9525">
                            <a:noFill/>
                            <a:miter lim="800000"/>
                            <a:headEnd/>
                            <a:tailEnd/>
                          </a:ln>
                        </pic:spPr>
                      </pic:pic>
                    </a:graphicData>
                  </a:graphic>
                </wp:anchor>
              </w:drawing>
            </w:r>
          </w:p>
        </w:tc>
        <w:tc>
          <w:tcPr>
            <w:tcW w:w="0" w:type="auto"/>
            <w:vAlign w:val="center"/>
          </w:tcPr>
          <w:p w:rsidR="00111AB3" w:rsidRPr="0023673A" w:rsidRDefault="00111AB3" w:rsidP="00111AB3">
            <w:pPr>
              <w:autoSpaceDE w:val="0"/>
              <w:autoSpaceDN w:val="0"/>
              <w:adjustRightInd w:val="0"/>
              <w:ind w:right="10"/>
              <w:jc w:val="center"/>
              <w:cnfStyle w:val="000000100000"/>
              <w:rPr>
                <w:rFonts w:ascii="Arial" w:hAnsi="Arial" w:cs="Arial"/>
                <w:color w:val="000000"/>
                <w:sz w:val="18"/>
                <w:szCs w:val="18"/>
              </w:rPr>
            </w:pPr>
            <w:r w:rsidRPr="0023673A">
              <w:rPr>
                <w:rFonts w:ascii="Arial" w:hAnsi="Arial" w:cs="Arial"/>
                <w:color w:val="000000"/>
                <w:sz w:val="18"/>
                <w:szCs w:val="18"/>
              </w:rPr>
              <w:t>1</w:t>
            </w:r>
          </w:p>
        </w:tc>
        <w:tc>
          <w:tcPr>
            <w:cnfStyle w:val="000010000000"/>
            <w:tcW w:w="0" w:type="auto"/>
            <w:vAlign w:val="center"/>
          </w:tcPr>
          <w:p w:rsidR="00111AB3" w:rsidRPr="0023673A" w:rsidRDefault="00111AB3" w:rsidP="00762E6F">
            <w:pPr>
              <w:autoSpaceDE w:val="0"/>
              <w:autoSpaceDN w:val="0"/>
              <w:adjustRightInd w:val="0"/>
              <w:ind w:right="10"/>
              <w:jc w:val="right"/>
              <w:rPr>
                <w:rFonts w:ascii="Arial" w:hAnsi="Arial" w:cs="Arial"/>
                <w:color w:val="000000"/>
                <w:sz w:val="18"/>
                <w:szCs w:val="18"/>
              </w:rPr>
            </w:pPr>
            <w:r w:rsidRPr="0023673A">
              <w:rPr>
                <w:rFonts w:ascii="Arial" w:hAnsi="Arial" w:cs="Arial"/>
                <w:color w:val="000000"/>
                <w:sz w:val="18"/>
                <w:szCs w:val="18"/>
              </w:rPr>
              <w:t>-0.019</w:t>
            </w:r>
          </w:p>
        </w:tc>
        <w:tc>
          <w:tcPr>
            <w:tcW w:w="0" w:type="auto"/>
            <w:vAlign w:val="center"/>
          </w:tcPr>
          <w:p w:rsidR="00111AB3" w:rsidRPr="0023673A" w:rsidRDefault="00111AB3" w:rsidP="00762E6F">
            <w:pPr>
              <w:autoSpaceDE w:val="0"/>
              <w:autoSpaceDN w:val="0"/>
              <w:adjustRightInd w:val="0"/>
              <w:ind w:right="10"/>
              <w:jc w:val="right"/>
              <w:cnfStyle w:val="000000100000"/>
              <w:rPr>
                <w:rFonts w:ascii="Arial" w:hAnsi="Arial" w:cs="Arial"/>
                <w:color w:val="000000"/>
                <w:sz w:val="18"/>
                <w:szCs w:val="18"/>
              </w:rPr>
            </w:pPr>
            <w:r w:rsidRPr="0023673A">
              <w:rPr>
                <w:rFonts w:ascii="Arial" w:hAnsi="Arial" w:cs="Arial"/>
                <w:color w:val="000000"/>
                <w:sz w:val="18"/>
                <w:szCs w:val="18"/>
              </w:rPr>
              <w:t>-0.019</w:t>
            </w:r>
          </w:p>
        </w:tc>
        <w:tc>
          <w:tcPr>
            <w:cnfStyle w:val="000010000000"/>
            <w:tcW w:w="0" w:type="auto"/>
            <w:vAlign w:val="center"/>
          </w:tcPr>
          <w:p w:rsidR="00111AB3" w:rsidRPr="0023673A" w:rsidRDefault="00111AB3" w:rsidP="00762E6F">
            <w:pPr>
              <w:autoSpaceDE w:val="0"/>
              <w:autoSpaceDN w:val="0"/>
              <w:adjustRightInd w:val="0"/>
              <w:ind w:right="10"/>
              <w:jc w:val="right"/>
              <w:rPr>
                <w:rFonts w:ascii="Arial" w:hAnsi="Arial" w:cs="Arial"/>
                <w:color w:val="000000"/>
                <w:sz w:val="18"/>
                <w:szCs w:val="18"/>
              </w:rPr>
            </w:pPr>
            <w:r w:rsidRPr="0023673A">
              <w:rPr>
                <w:rFonts w:ascii="Arial" w:hAnsi="Arial" w:cs="Arial"/>
                <w:color w:val="000000"/>
                <w:sz w:val="18"/>
                <w:szCs w:val="18"/>
              </w:rPr>
              <w:t>0.0490</w:t>
            </w:r>
          </w:p>
        </w:tc>
        <w:tc>
          <w:tcPr>
            <w:tcW w:w="0" w:type="auto"/>
            <w:vAlign w:val="center"/>
          </w:tcPr>
          <w:p w:rsidR="00111AB3" w:rsidRPr="0023673A" w:rsidRDefault="00111AB3" w:rsidP="00762E6F">
            <w:pPr>
              <w:autoSpaceDE w:val="0"/>
              <w:autoSpaceDN w:val="0"/>
              <w:adjustRightInd w:val="0"/>
              <w:ind w:right="10"/>
              <w:jc w:val="right"/>
              <w:cnfStyle w:val="000000100000"/>
              <w:rPr>
                <w:rFonts w:ascii="Arial" w:hAnsi="Arial" w:cs="Arial"/>
                <w:color w:val="000000"/>
                <w:sz w:val="18"/>
                <w:szCs w:val="18"/>
              </w:rPr>
            </w:pPr>
          </w:p>
        </w:tc>
      </w:tr>
      <w:tr w:rsidR="00111AB3" w:rsidRPr="0023673A" w:rsidTr="00762E6F">
        <w:trPr>
          <w:trHeight w:val="225"/>
          <w:jc w:val="center"/>
        </w:trPr>
        <w:tc>
          <w:tcPr>
            <w:cnfStyle w:val="000010000000"/>
            <w:tcW w:w="0" w:type="auto"/>
            <w:gridSpan w:val="2"/>
            <w:vMerge/>
            <w:vAlign w:val="center"/>
          </w:tcPr>
          <w:p w:rsidR="00111AB3" w:rsidRPr="0023673A" w:rsidRDefault="00111AB3" w:rsidP="00111AB3">
            <w:pPr>
              <w:autoSpaceDE w:val="0"/>
              <w:autoSpaceDN w:val="0"/>
              <w:adjustRightInd w:val="0"/>
              <w:jc w:val="center"/>
              <w:rPr>
                <w:rFonts w:ascii="Arial" w:hAnsi="Arial" w:cs="Arial"/>
                <w:color w:val="000000"/>
                <w:sz w:val="18"/>
                <w:szCs w:val="18"/>
              </w:rPr>
            </w:pPr>
          </w:p>
        </w:tc>
        <w:tc>
          <w:tcPr>
            <w:tcW w:w="0" w:type="auto"/>
            <w:vAlign w:val="center"/>
          </w:tcPr>
          <w:p w:rsidR="00111AB3" w:rsidRPr="0023673A" w:rsidRDefault="00111AB3" w:rsidP="00111AB3">
            <w:pPr>
              <w:autoSpaceDE w:val="0"/>
              <w:autoSpaceDN w:val="0"/>
              <w:adjustRightInd w:val="0"/>
              <w:ind w:right="10"/>
              <w:jc w:val="center"/>
              <w:cnfStyle w:val="000000000000"/>
              <w:rPr>
                <w:rFonts w:ascii="Arial" w:hAnsi="Arial" w:cs="Arial"/>
                <w:color w:val="000000"/>
                <w:sz w:val="18"/>
                <w:szCs w:val="18"/>
              </w:rPr>
            </w:pPr>
            <w:r w:rsidRPr="0023673A">
              <w:rPr>
                <w:rFonts w:ascii="Arial" w:hAnsi="Arial" w:cs="Arial"/>
                <w:color w:val="000000"/>
                <w:sz w:val="18"/>
                <w:szCs w:val="18"/>
              </w:rPr>
              <w:t>2</w:t>
            </w:r>
          </w:p>
        </w:tc>
        <w:tc>
          <w:tcPr>
            <w:cnfStyle w:val="000010000000"/>
            <w:tcW w:w="0" w:type="auto"/>
            <w:vAlign w:val="center"/>
          </w:tcPr>
          <w:p w:rsidR="00111AB3" w:rsidRPr="0023673A" w:rsidRDefault="00111AB3" w:rsidP="00762E6F">
            <w:pPr>
              <w:autoSpaceDE w:val="0"/>
              <w:autoSpaceDN w:val="0"/>
              <w:adjustRightInd w:val="0"/>
              <w:ind w:right="10"/>
              <w:jc w:val="right"/>
              <w:rPr>
                <w:rFonts w:ascii="Arial" w:hAnsi="Arial" w:cs="Arial"/>
                <w:color w:val="000000"/>
                <w:sz w:val="18"/>
                <w:szCs w:val="18"/>
              </w:rPr>
            </w:pPr>
            <w:r w:rsidRPr="0023673A">
              <w:rPr>
                <w:rFonts w:ascii="Arial" w:hAnsi="Arial" w:cs="Arial"/>
                <w:color w:val="000000"/>
                <w:sz w:val="18"/>
                <w:szCs w:val="18"/>
              </w:rPr>
              <w:t>-0.034</w:t>
            </w:r>
          </w:p>
        </w:tc>
        <w:tc>
          <w:tcPr>
            <w:tcW w:w="0" w:type="auto"/>
            <w:vAlign w:val="center"/>
          </w:tcPr>
          <w:p w:rsidR="00111AB3" w:rsidRPr="0023673A" w:rsidRDefault="00111AB3" w:rsidP="00762E6F">
            <w:pPr>
              <w:autoSpaceDE w:val="0"/>
              <w:autoSpaceDN w:val="0"/>
              <w:adjustRightInd w:val="0"/>
              <w:ind w:right="10"/>
              <w:jc w:val="right"/>
              <w:cnfStyle w:val="000000000000"/>
              <w:rPr>
                <w:rFonts w:ascii="Arial" w:hAnsi="Arial" w:cs="Arial"/>
                <w:color w:val="000000"/>
                <w:sz w:val="18"/>
                <w:szCs w:val="18"/>
              </w:rPr>
            </w:pPr>
            <w:r w:rsidRPr="0023673A">
              <w:rPr>
                <w:rFonts w:ascii="Arial" w:hAnsi="Arial" w:cs="Arial"/>
                <w:color w:val="000000"/>
                <w:sz w:val="18"/>
                <w:szCs w:val="18"/>
              </w:rPr>
              <w:t>-0.034</w:t>
            </w:r>
          </w:p>
        </w:tc>
        <w:tc>
          <w:tcPr>
            <w:cnfStyle w:val="000010000000"/>
            <w:tcW w:w="0" w:type="auto"/>
            <w:vAlign w:val="center"/>
          </w:tcPr>
          <w:p w:rsidR="00111AB3" w:rsidRPr="0023673A" w:rsidRDefault="00111AB3" w:rsidP="00762E6F">
            <w:pPr>
              <w:autoSpaceDE w:val="0"/>
              <w:autoSpaceDN w:val="0"/>
              <w:adjustRightInd w:val="0"/>
              <w:ind w:right="10"/>
              <w:jc w:val="right"/>
              <w:rPr>
                <w:rFonts w:ascii="Arial" w:hAnsi="Arial" w:cs="Arial"/>
                <w:color w:val="000000"/>
                <w:sz w:val="18"/>
                <w:szCs w:val="18"/>
              </w:rPr>
            </w:pPr>
            <w:r w:rsidRPr="0023673A">
              <w:rPr>
                <w:rFonts w:ascii="Arial" w:hAnsi="Arial" w:cs="Arial"/>
                <w:color w:val="000000"/>
                <w:sz w:val="18"/>
                <w:szCs w:val="18"/>
              </w:rPr>
              <w:t>0.1970</w:t>
            </w:r>
          </w:p>
        </w:tc>
        <w:tc>
          <w:tcPr>
            <w:tcW w:w="0" w:type="auto"/>
            <w:vAlign w:val="center"/>
          </w:tcPr>
          <w:p w:rsidR="00111AB3" w:rsidRPr="0023673A" w:rsidRDefault="00111AB3" w:rsidP="00762E6F">
            <w:pPr>
              <w:autoSpaceDE w:val="0"/>
              <w:autoSpaceDN w:val="0"/>
              <w:adjustRightInd w:val="0"/>
              <w:ind w:right="10"/>
              <w:jc w:val="right"/>
              <w:cnfStyle w:val="000000000000"/>
              <w:rPr>
                <w:rFonts w:ascii="Arial" w:hAnsi="Arial" w:cs="Arial"/>
                <w:color w:val="000000"/>
                <w:sz w:val="18"/>
                <w:szCs w:val="18"/>
              </w:rPr>
            </w:pPr>
            <w:r w:rsidRPr="0023673A">
              <w:rPr>
                <w:rFonts w:ascii="Arial" w:hAnsi="Arial" w:cs="Arial"/>
                <w:color w:val="000000"/>
                <w:sz w:val="18"/>
                <w:szCs w:val="18"/>
              </w:rPr>
              <w:t>0.657</w:t>
            </w:r>
          </w:p>
        </w:tc>
      </w:tr>
      <w:tr w:rsidR="00111AB3" w:rsidRPr="0023673A" w:rsidTr="00762E6F">
        <w:trPr>
          <w:cnfStyle w:val="000000100000"/>
          <w:trHeight w:val="225"/>
          <w:jc w:val="center"/>
        </w:trPr>
        <w:tc>
          <w:tcPr>
            <w:cnfStyle w:val="000010000000"/>
            <w:tcW w:w="0" w:type="auto"/>
            <w:gridSpan w:val="2"/>
            <w:vMerge/>
            <w:vAlign w:val="center"/>
          </w:tcPr>
          <w:p w:rsidR="00111AB3" w:rsidRPr="0023673A" w:rsidRDefault="00111AB3" w:rsidP="00111AB3">
            <w:pPr>
              <w:autoSpaceDE w:val="0"/>
              <w:autoSpaceDN w:val="0"/>
              <w:adjustRightInd w:val="0"/>
              <w:jc w:val="center"/>
              <w:rPr>
                <w:rFonts w:ascii="Arial" w:hAnsi="Arial" w:cs="Arial"/>
                <w:color w:val="000000"/>
                <w:sz w:val="18"/>
                <w:szCs w:val="18"/>
              </w:rPr>
            </w:pPr>
          </w:p>
        </w:tc>
        <w:tc>
          <w:tcPr>
            <w:tcW w:w="0" w:type="auto"/>
            <w:vAlign w:val="center"/>
          </w:tcPr>
          <w:p w:rsidR="00111AB3" w:rsidRPr="0023673A" w:rsidRDefault="00111AB3" w:rsidP="00111AB3">
            <w:pPr>
              <w:autoSpaceDE w:val="0"/>
              <w:autoSpaceDN w:val="0"/>
              <w:adjustRightInd w:val="0"/>
              <w:ind w:right="10"/>
              <w:jc w:val="center"/>
              <w:cnfStyle w:val="000000100000"/>
              <w:rPr>
                <w:rFonts w:ascii="Arial" w:hAnsi="Arial" w:cs="Arial"/>
                <w:color w:val="000000"/>
                <w:sz w:val="18"/>
                <w:szCs w:val="18"/>
              </w:rPr>
            </w:pPr>
            <w:r w:rsidRPr="0023673A">
              <w:rPr>
                <w:rFonts w:ascii="Arial" w:hAnsi="Arial" w:cs="Arial"/>
                <w:color w:val="000000"/>
                <w:sz w:val="18"/>
                <w:szCs w:val="18"/>
              </w:rPr>
              <w:t>3</w:t>
            </w:r>
          </w:p>
        </w:tc>
        <w:tc>
          <w:tcPr>
            <w:cnfStyle w:val="000010000000"/>
            <w:tcW w:w="0" w:type="auto"/>
            <w:vAlign w:val="center"/>
          </w:tcPr>
          <w:p w:rsidR="00111AB3" w:rsidRPr="0023673A" w:rsidRDefault="00111AB3" w:rsidP="00762E6F">
            <w:pPr>
              <w:autoSpaceDE w:val="0"/>
              <w:autoSpaceDN w:val="0"/>
              <w:adjustRightInd w:val="0"/>
              <w:ind w:right="10"/>
              <w:jc w:val="right"/>
              <w:rPr>
                <w:rFonts w:ascii="Arial" w:hAnsi="Arial" w:cs="Arial"/>
                <w:color w:val="000000"/>
                <w:sz w:val="18"/>
                <w:szCs w:val="18"/>
              </w:rPr>
            </w:pPr>
            <w:r w:rsidRPr="0023673A">
              <w:rPr>
                <w:rFonts w:ascii="Arial" w:hAnsi="Arial" w:cs="Arial"/>
                <w:color w:val="000000"/>
                <w:sz w:val="18"/>
                <w:szCs w:val="18"/>
              </w:rPr>
              <w:t>0.120</w:t>
            </w:r>
          </w:p>
        </w:tc>
        <w:tc>
          <w:tcPr>
            <w:tcW w:w="0" w:type="auto"/>
            <w:vAlign w:val="center"/>
          </w:tcPr>
          <w:p w:rsidR="00111AB3" w:rsidRPr="0023673A" w:rsidRDefault="00111AB3" w:rsidP="00762E6F">
            <w:pPr>
              <w:autoSpaceDE w:val="0"/>
              <w:autoSpaceDN w:val="0"/>
              <w:adjustRightInd w:val="0"/>
              <w:ind w:right="10"/>
              <w:jc w:val="right"/>
              <w:cnfStyle w:val="000000100000"/>
              <w:rPr>
                <w:rFonts w:ascii="Arial" w:hAnsi="Arial" w:cs="Arial"/>
                <w:color w:val="000000"/>
                <w:sz w:val="18"/>
                <w:szCs w:val="18"/>
              </w:rPr>
            </w:pPr>
            <w:r w:rsidRPr="0023673A">
              <w:rPr>
                <w:rFonts w:ascii="Arial" w:hAnsi="Arial" w:cs="Arial"/>
                <w:color w:val="000000"/>
                <w:sz w:val="18"/>
                <w:szCs w:val="18"/>
              </w:rPr>
              <w:t>0.119</w:t>
            </w:r>
          </w:p>
        </w:tc>
        <w:tc>
          <w:tcPr>
            <w:cnfStyle w:val="000010000000"/>
            <w:tcW w:w="0" w:type="auto"/>
            <w:vAlign w:val="center"/>
          </w:tcPr>
          <w:p w:rsidR="00111AB3" w:rsidRPr="0023673A" w:rsidRDefault="00111AB3" w:rsidP="00762E6F">
            <w:pPr>
              <w:autoSpaceDE w:val="0"/>
              <w:autoSpaceDN w:val="0"/>
              <w:adjustRightInd w:val="0"/>
              <w:ind w:right="10"/>
              <w:jc w:val="right"/>
              <w:rPr>
                <w:rFonts w:ascii="Arial" w:hAnsi="Arial" w:cs="Arial"/>
                <w:color w:val="000000"/>
                <w:sz w:val="18"/>
                <w:szCs w:val="18"/>
              </w:rPr>
            </w:pPr>
            <w:r w:rsidRPr="0023673A">
              <w:rPr>
                <w:rFonts w:ascii="Arial" w:hAnsi="Arial" w:cs="Arial"/>
                <w:color w:val="000000"/>
                <w:sz w:val="18"/>
                <w:szCs w:val="18"/>
              </w:rPr>
              <w:t>2.1009</w:t>
            </w:r>
          </w:p>
        </w:tc>
        <w:tc>
          <w:tcPr>
            <w:tcW w:w="0" w:type="auto"/>
            <w:vAlign w:val="center"/>
          </w:tcPr>
          <w:p w:rsidR="00111AB3" w:rsidRPr="0023673A" w:rsidRDefault="00111AB3" w:rsidP="00762E6F">
            <w:pPr>
              <w:autoSpaceDE w:val="0"/>
              <w:autoSpaceDN w:val="0"/>
              <w:adjustRightInd w:val="0"/>
              <w:ind w:right="10"/>
              <w:jc w:val="right"/>
              <w:cnfStyle w:val="000000100000"/>
              <w:rPr>
                <w:rFonts w:ascii="Arial" w:hAnsi="Arial" w:cs="Arial"/>
                <w:color w:val="000000"/>
                <w:sz w:val="18"/>
                <w:szCs w:val="18"/>
              </w:rPr>
            </w:pPr>
            <w:r w:rsidRPr="0023673A">
              <w:rPr>
                <w:rFonts w:ascii="Arial" w:hAnsi="Arial" w:cs="Arial"/>
                <w:color w:val="000000"/>
                <w:sz w:val="18"/>
                <w:szCs w:val="18"/>
              </w:rPr>
              <w:t>0.350</w:t>
            </w:r>
          </w:p>
        </w:tc>
      </w:tr>
      <w:tr w:rsidR="00111AB3" w:rsidRPr="0023673A" w:rsidTr="00762E6F">
        <w:trPr>
          <w:trHeight w:val="225"/>
          <w:jc w:val="center"/>
        </w:trPr>
        <w:tc>
          <w:tcPr>
            <w:cnfStyle w:val="000010000000"/>
            <w:tcW w:w="0" w:type="auto"/>
            <w:gridSpan w:val="2"/>
            <w:vMerge/>
            <w:vAlign w:val="center"/>
          </w:tcPr>
          <w:p w:rsidR="00111AB3" w:rsidRPr="0023673A" w:rsidRDefault="00111AB3" w:rsidP="00111AB3">
            <w:pPr>
              <w:autoSpaceDE w:val="0"/>
              <w:autoSpaceDN w:val="0"/>
              <w:adjustRightInd w:val="0"/>
              <w:jc w:val="center"/>
              <w:rPr>
                <w:rFonts w:ascii="Arial" w:hAnsi="Arial" w:cs="Arial"/>
                <w:color w:val="000000"/>
                <w:sz w:val="18"/>
                <w:szCs w:val="18"/>
              </w:rPr>
            </w:pPr>
          </w:p>
        </w:tc>
        <w:tc>
          <w:tcPr>
            <w:tcW w:w="0" w:type="auto"/>
            <w:vAlign w:val="center"/>
          </w:tcPr>
          <w:p w:rsidR="00111AB3" w:rsidRPr="0023673A" w:rsidRDefault="00111AB3" w:rsidP="00111AB3">
            <w:pPr>
              <w:autoSpaceDE w:val="0"/>
              <w:autoSpaceDN w:val="0"/>
              <w:adjustRightInd w:val="0"/>
              <w:ind w:right="10"/>
              <w:jc w:val="center"/>
              <w:cnfStyle w:val="000000000000"/>
              <w:rPr>
                <w:rFonts w:ascii="Arial" w:hAnsi="Arial" w:cs="Arial"/>
                <w:color w:val="000000"/>
                <w:sz w:val="18"/>
                <w:szCs w:val="18"/>
              </w:rPr>
            </w:pPr>
            <w:r w:rsidRPr="0023673A">
              <w:rPr>
                <w:rFonts w:ascii="Arial" w:hAnsi="Arial" w:cs="Arial"/>
                <w:color w:val="000000"/>
                <w:sz w:val="18"/>
                <w:szCs w:val="18"/>
              </w:rPr>
              <w:t>4</w:t>
            </w:r>
          </w:p>
        </w:tc>
        <w:tc>
          <w:tcPr>
            <w:cnfStyle w:val="000010000000"/>
            <w:tcW w:w="0" w:type="auto"/>
            <w:vAlign w:val="center"/>
          </w:tcPr>
          <w:p w:rsidR="00111AB3" w:rsidRPr="0023673A" w:rsidRDefault="00111AB3" w:rsidP="00762E6F">
            <w:pPr>
              <w:autoSpaceDE w:val="0"/>
              <w:autoSpaceDN w:val="0"/>
              <w:adjustRightInd w:val="0"/>
              <w:ind w:right="10"/>
              <w:jc w:val="right"/>
              <w:rPr>
                <w:rFonts w:ascii="Arial" w:hAnsi="Arial" w:cs="Arial"/>
                <w:color w:val="000000"/>
                <w:sz w:val="18"/>
                <w:szCs w:val="18"/>
              </w:rPr>
            </w:pPr>
            <w:r w:rsidRPr="0023673A">
              <w:rPr>
                <w:rFonts w:ascii="Arial" w:hAnsi="Arial" w:cs="Arial"/>
                <w:color w:val="000000"/>
                <w:sz w:val="18"/>
                <w:szCs w:val="18"/>
              </w:rPr>
              <w:t>0.128</w:t>
            </w:r>
          </w:p>
        </w:tc>
        <w:tc>
          <w:tcPr>
            <w:tcW w:w="0" w:type="auto"/>
            <w:vAlign w:val="center"/>
          </w:tcPr>
          <w:p w:rsidR="00111AB3" w:rsidRPr="0023673A" w:rsidRDefault="00111AB3" w:rsidP="00762E6F">
            <w:pPr>
              <w:autoSpaceDE w:val="0"/>
              <w:autoSpaceDN w:val="0"/>
              <w:adjustRightInd w:val="0"/>
              <w:ind w:right="10"/>
              <w:jc w:val="right"/>
              <w:cnfStyle w:val="000000000000"/>
              <w:rPr>
                <w:rFonts w:ascii="Arial" w:hAnsi="Arial" w:cs="Arial"/>
                <w:color w:val="000000"/>
                <w:sz w:val="18"/>
                <w:szCs w:val="18"/>
              </w:rPr>
            </w:pPr>
            <w:r w:rsidRPr="0023673A">
              <w:rPr>
                <w:rFonts w:ascii="Arial" w:hAnsi="Arial" w:cs="Arial"/>
                <w:color w:val="000000"/>
                <w:sz w:val="18"/>
                <w:szCs w:val="18"/>
              </w:rPr>
              <w:t>0.133</w:t>
            </w:r>
          </w:p>
        </w:tc>
        <w:tc>
          <w:tcPr>
            <w:cnfStyle w:val="000010000000"/>
            <w:tcW w:w="0" w:type="auto"/>
            <w:vAlign w:val="center"/>
          </w:tcPr>
          <w:p w:rsidR="00111AB3" w:rsidRPr="0023673A" w:rsidRDefault="00111AB3" w:rsidP="00762E6F">
            <w:pPr>
              <w:autoSpaceDE w:val="0"/>
              <w:autoSpaceDN w:val="0"/>
              <w:adjustRightInd w:val="0"/>
              <w:ind w:right="10"/>
              <w:jc w:val="right"/>
              <w:rPr>
                <w:rFonts w:ascii="Arial" w:hAnsi="Arial" w:cs="Arial"/>
                <w:color w:val="000000"/>
                <w:sz w:val="18"/>
                <w:szCs w:val="18"/>
              </w:rPr>
            </w:pPr>
            <w:r w:rsidRPr="0023673A">
              <w:rPr>
                <w:rFonts w:ascii="Arial" w:hAnsi="Arial" w:cs="Arial"/>
                <w:color w:val="000000"/>
                <w:sz w:val="18"/>
                <w:szCs w:val="18"/>
              </w:rPr>
              <w:t>4.2804</w:t>
            </w:r>
          </w:p>
        </w:tc>
        <w:tc>
          <w:tcPr>
            <w:tcW w:w="0" w:type="auto"/>
            <w:vAlign w:val="center"/>
          </w:tcPr>
          <w:p w:rsidR="00111AB3" w:rsidRPr="0023673A" w:rsidRDefault="00111AB3" w:rsidP="00762E6F">
            <w:pPr>
              <w:autoSpaceDE w:val="0"/>
              <w:autoSpaceDN w:val="0"/>
              <w:adjustRightInd w:val="0"/>
              <w:ind w:right="10"/>
              <w:jc w:val="right"/>
              <w:cnfStyle w:val="000000000000"/>
              <w:rPr>
                <w:rFonts w:ascii="Arial" w:hAnsi="Arial" w:cs="Arial"/>
                <w:color w:val="000000"/>
                <w:sz w:val="18"/>
                <w:szCs w:val="18"/>
              </w:rPr>
            </w:pPr>
            <w:r w:rsidRPr="0023673A">
              <w:rPr>
                <w:rFonts w:ascii="Arial" w:hAnsi="Arial" w:cs="Arial"/>
                <w:color w:val="000000"/>
                <w:sz w:val="18"/>
                <w:szCs w:val="18"/>
              </w:rPr>
              <w:t>0.233</w:t>
            </w:r>
          </w:p>
        </w:tc>
      </w:tr>
      <w:tr w:rsidR="00111AB3" w:rsidRPr="0023673A" w:rsidTr="00762E6F">
        <w:trPr>
          <w:cnfStyle w:val="000000100000"/>
          <w:trHeight w:val="225"/>
          <w:jc w:val="center"/>
        </w:trPr>
        <w:tc>
          <w:tcPr>
            <w:cnfStyle w:val="000010000000"/>
            <w:tcW w:w="0" w:type="auto"/>
            <w:gridSpan w:val="2"/>
            <w:vMerge/>
            <w:vAlign w:val="center"/>
          </w:tcPr>
          <w:p w:rsidR="00111AB3" w:rsidRPr="0023673A" w:rsidRDefault="00111AB3" w:rsidP="00111AB3">
            <w:pPr>
              <w:autoSpaceDE w:val="0"/>
              <w:autoSpaceDN w:val="0"/>
              <w:adjustRightInd w:val="0"/>
              <w:jc w:val="center"/>
              <w:rPr>
                <w:rFonts w:ascii="Arial" w:hAnsi="Arial" w:cs="Arial"/>
                <w:color w:val="000000"/>
                <w:sz w:val="18"/>
                <w:szCs w:val="18"/>
              </w:rPr>
            </w:pPr>
          </w:p>
        </w:tc>
        <w:tc>
          <w:tcPr>
            <w:tcW w:w="0" w:type="auto"/>
            <w:vAlign w:val="center"/>
          </w:tcPr>
          <w:p w:rsidR="00111AB3" w:rsidRPr="0023673A" w:rsidRDefault="00111AB3" w:rsidP="00111AB3">
            <w:pPr>
              <w:autoSpaceDE w:val="0"/>
              <w:autoSpaceDN w:val="0"/>
              <w:adjustRightInd w:val="0"/>
              <w:ind w:right="10"/>
              <w:jc w:val="center"/>
              <w:cnfStyle w:val="000000100000"/>
              <w:rPr>
                <w:rFonts w:ascii="Arial" w:hAnsi="Arial" w:cs="Arial"/>
                <w:color w:val="000000"/>
                <w:sz w:val="18"/>
                <w:szCs w:val="18"/>
              </w:rPr>
            </w:pPr>
            <w:r w:rsidRPr="0023673A">
              <w:rPr>
                <w:rFonts w:ascii="Arial" w:hAnsi="Arial" w:cs="Arial"/>
                <w:color w:val="000000"/>
                <w:sz w:val="18"/>
                <w:szCs w:val="18"/>
              </w:rPr>
              <w:t>5</w:t>
            </w:r>
          </w:p>
        </w:tc>
        <w:tc>
          <w:tcPr>
            <w:cnfStyle w:val="000010000000"/>
            <w:tcW w:w="0" w:type="auto"/>
            <w:vAlign w:val="center"/>
          </w:tcPr>
          <w:p w:rsidR="00111AB3" w:rsidRPr="0023673A" w:rsidRDefault="00111AB3" w:rsidP="00762E6F">
            <w:pPr>
              <w:autoSpaceDE w:val="0"/>
              <w:autoSpaceDN w:val="0"/>
              <w:adjustRightInd w:val="0"/>
              <w:ind w:right="10"/>
              <w:jc w:val="right"/>
              <w:rPr>
                <w:rFonts w:ascii="Arial" w:hAnsi="Arial" w:cs="Arial"/>
                <w:color w:val="000000"/>
                <w:sz w:val="18"/>
                <w:szCs w:val="18"/>
              </w:rPr>
            </w:pPr>
            <w:r w:rsidRPr="0023673A">
              <w:rPr>
                <w:rFonts w:ascii="Arial" w:hAnsi="Arial" w:cs="Arial"/>
                <w:color w:val="000000"/>
                <w:sz w:val="18"/>
                <w:szCs w:val="18"/>
              </w:rPr>
              <w:t>-0.020</w:t>
            </w:r>
          </w:p>
        </w:tc>
        <w:tc>
          <w:tcPr>
            <w:tcW w:w="0" w:type="auto"/>
            <w:vAlign w:val="center"/>
          </w:tcPr>
          <w:p w:rsidR="00111AB3" w:rsidRPr="0023673A" w:rsidRDefault="00111AB3" w:rsidP="00762E6F">
            <w:pPr>
              <w:autoSpaceDE w:val="0"/>
              <w:autoSpaceDN w:val="0"/>
              <w:adjustRightInd w:val="0"/>
              <w:ind w:right="10"/>
              <w:jc w:val="right"/>
              <w:cnfStyle w:val="000000100000"/>
              <w:rPr>
                <w:rFonts w:ascii="Arial" w:hAnsi="Arial" w:cs="Arial"/>
                <w:color w:val="000000"/>
                <w:sz w:val="18"/>
                <w:szCs w:val="18"/>
              </w:rPr>
            </w:pPr>
            <w:r w:rsidRPr="0023673A">
              <w:rPr>
                <w:rFonts w:ascii="Arial" w:hAnsi="Arial" w:cs="Arial"/>
                <w:color w:val="000000"/>
                <w:sz w:val="18"/>
                <w:szCs w:val="18"/>
              </w:rPr>
              <w:t>-0.006</w:t>
            </w:r>
          </w:p>
        </w:tc>
        <w:tc>
          <w:tcPr>
            <w:cnfStyle w:val="000010000000"/>
            <w:tcW w:w="0" w:type="auto"/>
            <w:vAlign w:val="center"/>
          </w:tcPr>
          <w:p w:rsidR="00111AB3" w:rsidRPr="0023673A" w:rsidRDefault="00111AB3" w:rsidP="00762E6F">
            <w:pPr>
              <w:autoSpaceDE w:val="0"/>
              <w:autoSpaceDN w:val="0"/>
              <w:adjustRightInd w:val="0"/>
              <w:ind w:right="10"/>
              <w:jc w:val="right"/>
              <w:rPr>
                <w:rFonts w:ascii="Arial" w:hAnsi="Arial" w:cs="Arial"/>
                <w:color w:val="000000"/>
                <w:sz w:val="18"/>
                <w:szCs w:val="18"/>
              </w:rPr>
            </w:pPr>
            <w:r w:rsidRPr="0023673A">
              <w:rPr>
                <w:rFonts w:ascii="Arial" w:hAnsi="Arial" w:cs="Arial"/>
                <w:color w:val="000000"/>
                <w:sz w:val="18"/>
                <w:szCs w:val="18"/>
              </w:rPr>
              <w:t>4.3343</w:t>
            </w:r>
          </w:p>
        </w:tc>
        <w:tc>
          <w:tcPr>
            <w:tcW w:w="0" w:type="auto"/>
            <w:vAlign w:val="center"/>
          </w:tcPr>
          <w:p w:rsidR="00111AB3" w:rsidRPr="0023673A" w:rsidRDefault="00111AB3" w:rsidP="00762E6F">
            <w:pPr>
              <w:autoSpaceDE w:val="0"/>
              <w:autoSpaceDN w:val="0"/>
              <w:adjustRightInd w:val="0"/>
              <w:ind w:right="10"/>
              <w:jc w:val="right"/>
              <w:cnfStyle w:val="000000100000"/>
              <w:rPr>
                <w:rFonts w:ascii="Arial" w:hAnsi="Arial" w:cs="Arial"/>
                <w:color w:val="000000"/>
                <w:sz w:val="18"/>
                <w:szCs w:val="18"/>
              </w:rPr>
            </w:pPr>
            <w:r w:rsidRPr="0023673A">
              <w:rPr>
                <w:rFonts w:ascii="Arial" w:hAnsi="Arial" w:cs="Arial"/>
                <w:color w:val="000000"/>
                <w:sz w:val="18"/>
                <w:szCs w:val="18"/>
              </w:rPr>
              <w:t>0.363</w:t>
            </w:r>
          </w:p>
        </w:tc>
      </w:tr>
      <w:tr w:rsidR="00111AB3" w:rsidRPr="0023673A" w:rsidTr="00762E6F">
        <w:trPr>
          <w:trHeight w:val="225"/>
          <w:jc w:val="center"/>
        </w:trPr>
        <w:tc>
          <w:tcPr>
            <w:cnfStyle w:val="000010000000"/>
            <w:tcW w:w="0" w:type="auto"/>
            <w:gridSpan w:val="2"/>
            <w:vMerge/>
            <w:vAlign w:val="center"/>
          </w:tcPr>
          <w:p w:rsidR="00111AB3" w:rsidRPr="0023673A" w:rsidRDefault="00111AB3" w:rsidP="00111AB3">
            <w:pPr>
              <w:autoSpaceDE w:val="0"/>
              <w:autoSpaceDN w:val="0"/>
              <w:adjustRightInd w:val="0"/>
              <w:jc w:val="center"/>
              <w:rPr>
                <w:rFonts w:ascii="Arial" w:hAnsi="Arial" w:cs="Arial"/>
                <w:color w:val="000000"/>
                <w:sz w:val="18"/>
                <w:szCs w:val="18"/>
              </w:rPr>
            </w:pPr>
          </w:p>
        </w:tc>
        <w:tc>
          <w:tcPr>
            <w:tcW w:w="0" w:type="auto"/>
            <w:vAlign w:val="center"/>
          </w:tcPr>
          <w:p w:rsidR="00111AB3" w:rsidRPr="0023673A" w:rsidRDefault="00111AB3" w:rsidP="00111AB3">
            <w:pPr>
              <w:autoSpaceDE w:val="0"/>
              <w:autoSpaceDN w:val="0"/>
              <w:adjustRightInd w:val="0"/>
              <w:ind w:right="10"/>
              <w:jc w:val="center"/>
              <w:cnfStyle w:val="000000000000"/>
              <w:rPr>
                <w:rFonts w:ascii="Arial" w:hAnsi="Arial" w:cs="Arial"/>
                <w:color w:val="000000"/>
                <w:sz w:val="18"/>
                <w:szCs w:val="18"/>
              </w:rPr>
            </w:pPr>
            <w:r w:rsidRPr="0023673A">
              <w:rPr>
                <w:rFonts w:ascii="Arial" w:hAnsi="Arial" w:cs="Arial"/>
                <w:color w:val="000000"/>
                <w:sz w:val="18"/>
                <w:szCs w:val="18"/>
              </w:rPr>
              <w:t>6</w:t>
            </w:r>
          </w:p>
        </w:tc>
        <w:tc>
          <w:tcPr>
            <w:cnfStyle w:val="000010000000"/>
            <w:tcW w:w="0" w:type="auto"/>
            <w:vAlign w:val="center"/>
          </w:tcPr>
          <w:p w:rsidR="00111AB3" w:rsidRPr="0023673A" w:rsidRDefault="00111AB3" w:rsidP="00762E6F">
            <w:pPr>
              <w:autoSpaceDE w:val="0"/>
              <w:autoSpaceDN w:val="0"/>
              <w:adjustRightInd w:val="0"/>
              <w:ind w:right="10"/>
              <w:jc w:val="right"/>
              <w:rPr>
                <w:rFonts w:ascii="Arial" w:hAnsi="Arial" w:cs="Arial"/>
                <w:color w:val="000000"/>
                <w:sz w:val="18"/>
                <w:szCs w:val="18"/>
              </w:rPr>
            </w:pPr>
            <w:r w:rsidRPr="0023673A">
              <w:rPr>
                <w:rFonts w:ascii="Arial" w:hAnsi="Arial" w:cs="Arial"/>
                <w:color w:val="000000"/>
                <w:sz w:val="18"/>
                <w:szCs w:val="18"/>
              </w:rPr>
              <w:t>0.035</w:t>
            </w:r>
          </w:p>
        </w:tc>
        <w:tc>
          <w:tcPr>
            <w:tcW w:w="0" w:type="auto"/>
            <w:vAlign w:val="center"/>
          </w:tcPr>
          <w:p w:rsidR="00111AB3" w:rsidRPr="0023673A" w:rsidRDefault="00111AB3" w:rsidP="00762E6F">
            <w:pPr>
              <w:autoSpaceDE w:val="0"/>
              <w:autoSpaceDN w:val="0"/>
              <w:adjustRightInd w:val="0"/>
              <w:ind w:right="10"/>
              <w:jc w:val="right"/>
              <w:cnfStyle w:val="000000000000"/>
              <w:rPr>
                <w:rFonts w:ascii="Arial" w:hAnsi="Arial" w:cs="Arial"/>
                <w:color w:val="000000"/>
                <w:sz w:val="18"/>
                <w:szCs w:val="18"/>
              </w:rPr>
            </w:pPr>
            <w:r w:rsidRPr="0023673A">
              <w:rPr>
                <w:rFonts w:ascii="Arial" w:hAnsi="Arial" w:cs="Arial"/>
                <w:color w:val="000000"/>
                <w:sz w:val="18"/>
                <w:szCs w:val="18"/>
              </w:rPr>
              <w:t>0.028</w:t>
            </w:r>
          </w:p>
        </w:tc>
        <w:tc>
          <w:tcPr>
            <w:cnfStyle w:val="000010000000"/>
            <w:tcW w:w="0" w:type="auto"/>
            <w:vAlign w:val="center"/>
          </w:tcPr>
          <w:p w:rsidR="00111AB3" w:rsidRPr="0023673A" w:rsidRDefault="00111AB3" w:rsidP="00762E6F">
            <w:pPr>
              <w:autoSpaceDE w:val="0"/>
              <w:autoSpaceDN w:val="0"/>
              <w:adjustRightInd w:val="0"/>
              <w:ind w:right="10"/>
              <w:jc w:val="right"/>
              <w:rPr>
                <w:rFonts w:ascii="Arial" w:hAnsi="Arial" w:cs="Arial"/>
                <w:color w:val="000000"/>
                <w:sz w:val="18"/>
                <w:szCs w:val="18"/>
              </w:rPr>
            </w:pPr>
            <w:r w:rsidRPr="0023673A">
              <w:rPr>
                <w:rFonts w:ascii="Arial" w:hAnsi="Arial" w:cs="Arial"/>
                <w:color w:val="000000"/>
                <w:sz w:val="18"/>
                <w:szCs w:val="18"/>
              </w:rPr>
              <w:t>4.4977</w:t>
            </w:r>
          </w:p>
        </w:tc>
        <w:tc>
          <w:tcPr>
            <w:tcW w:w="0" w:type="auto"/>
            <w:vAlign w:val="center"/>
          </w:tcPr>
          <w:p w:rsidR="00111AB3" w:rsidRPr="0023673A" w:rsidRDefault="00111AB3" w:rsidP="00762E6F">
            <w:pPr>
              <w:autoSpaceDE w:val="0"/>
              <w:autoSpaceDN w:val="0"/>
              <w:adjustRightInd w:val="0"/>
              <w:ind w:right="10"/>
              <w:jc w:val="right"/>
              <w:cnfStyle w:val="000000000000"/>
              <w:rPr>
                <w:rFonts w:ascii="Arial" w:hAnsi="Arial" w:cs="Arial"/>
                <w:color w:val="000000"/>
                <w:sz w:val="18"/>
                <w:szCs w:val="18"/>
              </w:rPr>
            </w:pPr>
            <w:r w:rsidRPr="0023673A">
              <w:rPr>
                <w:rFonts w:ascii="Arial" w:hAnsi="Arial" w:cs="Arial"/>
                <w:color w:val="000000"/>
                <w:sz w:val="18"/>
                <w:szCs w:val="18"/>
              </w:rPr>
              <w:t>0.480</w:t>
            </w:r>
          </w:p>
        </w:tc>
      </w:tr>
      <w:tr w:rsidR="00111AB3" w:rsidRPr="0023673A" w:rsidTr="00762E6F">
        <w:trPr>
          <w:cnfStyle w:val="000000100000"/>
          <w:trHeight w:val="225"/>
          <w:jc w:val="center"/>
        </w:trPr>
        <w:tc>
          <w:tcPr>
            <w:cnfStyle w:val="000010000000"/>
            <w:tcW w:w="0" w:type="auto"/>
            <w:gridSpan w:val="2"/>
            <w:vMerge/>
            <w:vAlign w:val="center"/>
          </w:tcPr>
          <w:p w:rsidR="00111AB3" w:rsidRPr="0023673A" w:rsidRDefault="00111AB3" w:rsidP="00111AB3">
            <w:pPr>
              <w:autoSpaceDE w:val="0"/>
              <w:autoSpaceDN w:val="0"/>
              <w:adjustRightInd w:val="0"/>
              <w:jc w:val="center"/>
              <w:rPr>
                <w:rFonts w:ascii="Arial" w:hAnsi="Arial" w:cs="Arial"/>
                <w:color w:val="000000"/>
                <w:sz w:val="18"/>
                <w:szCs w:val="18"/>
              </w:rPr>
            </w:pPr>
          </w:p>
        </w:tc>
        <w:tc>
          <w:tcPr>
            <w:tcW w:w="0" w:type="auto"/>
            <w:vAlign w:val="center"/>
          </w:tcPr>
          <w:p w:rsidR="00111AB3" w:rsidRPr="0023673A" w:rsidRDefault="00111AB3" w:rsidP="00111AB3">
            <w:pPr>
              <w:autoSpaceDE w:val="0"/>
              <w:autoSpaceDN w:val="0"/>
              <w:adjustRightInd w:val="0"/>
              <w:ind w:right="10"/>
              <w:jc w:val="center"/>
              <w:cnfStyle w:val="000000100000"/>
              <w:rPr>
                <w:rFonts w:ascii="Arial" w:hAnsi="Arial" w:cs="Arial"/>
                <w:color w:val="000000"/>
                <w:sz w:val="18"/>
                <w:szCs w:val="18"/>
              </w:rPr>
            </w:pPr>
            <w:r w:rsidRPr="0023673A">
              <w:rPr>
                <w:rFonts w:ascii="Arial" w:hAnsi="Arial" w:cs="Arial"/>
                <w:color w:val="000000"/>
                <w:sz w:val="18"/>
                <w:szCs w:val="18"/>
              </w:rPr>
              <w:t>7</w:t>
            </w:r>
          </w:p>
        </w:tc>
        <w:tc>
          <w:tcPr>
            <w:cnfStyle w:val="000010000000"/>
            <w:tcW w:w="0" w:type="auto"/>
            <w:vAlign w:val="center"/>
          </w:tcPr>
          <w:p w:rsidR="00111AB3" w:rsidRPr="0023673A" w:rsidRDefault="00111AB3" w:rsidP="00762E6F">
            <w:pPr>
              <w:autoSpaceDE w:val="0"/>
              <w:autoSpaceDN w:val="0"/>
              <w:adjustRightInd w:val="0"/>
              <w:ind w:right="10"/>
              <w:jc w:val="right"/>
              <w:rPr>
                <w:rFonts w:ascii="Arial" w:hAnsi="Arial" w:cs="Arial"/>
                <w:color w:val="000000"/>
                <w:sz w:val="18"/>
                <w:szCs w:val="18"/>
              </w:rPr>
            </w:pPr>
            <w:r w:rsidRPr="0023673A">
              <w:rPr>
                <w:rFonts w:ascii="Arial" w:hAnsi="Arial" w:cs="Arial"/>
                <w:color w:val="000000"/>
                <w:sz w:val="18"/>
                <w:szCs w:val="18"/>
              </w:rPr>
              <w:t>0.004</w:t>
            </w:r>
          </w:p>
        </w:tc>
        <w:tc>
          <w:tcPr>
            <w:tcW w:w="0" w:type="auto"/>
            <w:vAlign w:val="center"/>
          </w:tcPr>
          <w:p w:rsidR="00111AB3" w:rsidRPr="0023673A" w:rsidRDefault="00111AB3" w:rsidP="00762E6F">
            <w:pPr>
              <w:autoSpaceDE w:val="0"/>
              <w:autoSpaceDN w:val="0"/>
              <w:adjustRightInd w:val="0"/>
              <w:ind w:right="10"/>
              <w:jc w:val="right"/>
              <w:cnfStyle w:val="000000100000"/>
              <w:rPr>
                <w:rFonts w:ascii="Arial" w:hAnsi="Arial" w:cs="Arial"/>
                <w:color w:val="000000"/>
                <w:sz w:val="18"/>
                <w:szCs w:val="18"/>
              </w:rPr>
            </w:pPr>
            <w:r w:rsidRPr="0023673A">
              <w:rPr>
                <w:rFonts w:ascii="Arial" w:hAnsi="Arial" w:cs="Arial"/>
                <w:color w:val="000000"/>
                <w:sz w:val="18"/>
                <w:szCs w:val="18"/>
              </w:rPr>
              <w:t>-0.027</w:t>
            </w:r>
          </w:p>
        </w:tc>
        <w:tc>
          <w:tcPr>
            <w:cnfStyle w:val="000010000000"/>
            <w:tcW w:w="0" w:type="auto"/>
            <w:vAlign w:val="center"/>
          </w:tcPr>
          <w:p w:rsidR="00111AB3" w:rsidRPr="0023673A" w:rsidRDefault="00111AB3" w:rsidP="00762E6F">
            <w:pPr>
              <w:autoSpaceDE w:val="0"/>
              <w:autoSpaceDN w:val="0"/>
              <w:adjustRightInd w:val="0"/>
              <w:ind w:right="10"/>
              <w:jc w:val="right"/>
              <w:rPr>
                <w:rFonts w:ascii="Arial" w:hAnsi="Arial" w:cs="Arial"/>
                <w:color w:val="000000"/>
                <w:sz w:val="18"/>
                <w:szCs w:val="18"/>
              </w:rPr>
            </w:pPr>
            <w:r w:rsidRPr="0023673A">
              <w:rPr>
                <w:rFonts w:ascii="Arial" w:hAnsi="Arial" w:cs="Arial"/>
                <w:color w:val="000000"/>
                <w:sz w:val="18"/>
                <w:szCs w:val="18"/>
              </w:rPr>
              <w:t>4.4996</w:t>
            </w:r>
          </w:p>
        </w:tc>
        <w:tc>
          <w:tcPr>
            <w:tcW w:w="0" w:type="auto"/>
            <w:vAlign w:val="center"/>
          </w:tcPr>
          <w:p w:rsidR="00111AB3" w:rsidRPr="0023673A" w:rsidRDefault="00111AB3" w:rsidP="00762E6F">
            <w:pPr>
              <w:autoSpaceDE w:val="0"/>
              <w:autoSpaceDN w:val="0"/>
              <w:adjustRightInd w:val="0"/>
              <w:ind w:right="10"/>
              <w:jc w:val="right"/>
              <w:cnfStyle w:val="000000100000"/>
              <w:rPr>
                <w:rFonts w:ascii="Arial" w:hAnsi="Arial" w:cs="Arial"/>
                <w:color w:val="000000"/>
                <w:sz w:val="18"/>
                <w:szCs w:val="18"/>
              </w:rPr>
            </w:pPr>
            <w:r w:rsidRPr="0023673A">
              <w:rPr>
                <w:rFonts w:ascii="Arial" w:hAnsi="Arial" w:cs="Arial"/>
                <w:color w:val="000000"/>
                <w:sz w:val="18"/>
                <w:szCs w:val="18"/>
              </w:rPr>
              <w:t>0.609</w:t>
            </w:r>
          </w:p>
        </w:tc>
      </w:tr>
      <w:tr w:rsidR="00111AB3" w:rsidRPr="0023673A" w:rsidTr="00762E6F">
        <w:trPr>
          <w:trHeight w:val="225"/>
          <w:jc w:val="center"/>
        </w:trPr>
        <w:tc>
          <w:tcPr>
            <w:cnfStyle w:val="000010000000"/>
            <w:tcW w:w="0" w:type="auto"/>
            <w:gridSpan w:val="2"/>
            <w:vMerge/>
            <w:vAlign w:val="center"/>
          </w:tcPr>
          <w:p w:rsidR="00111AB3" w:rsidRPr="0023673A" w:rsidRDefault="00111AB3" w:rsidP="00111AB3">
            <w:pPr>
              <w:autoSpaceDE w:val="0"/>
              <w:autoSpaceDN w:val="0"/>
              <w:adjustRightInd w:val="0"/>
              <w:jc w:val="center"/>
              <w:rPr>
                <w:rFonts w:ascii="Arial" w:hAnsi="Arial" w:cs="Arial"/>
                <w:color w:val="000000"/>
                <w:sz w:val="18"/>
                <w:szCs w:val="18"/>
              </w:rPr>
            </w:pPr>
          </w:p>
        </w:tc>
        <w:tc>
          <w:tcPr>
            <w:tcW w:w="0" w:type="auto"/>
            <w:vAlign w:val="center"/>
          </w:tcPr>
          <w:p w:rsidR="00111AB3" w:rsidRPr="0023673A" w:rsidRDefault="00111AB3" w:rsidP="00111AB3">
            <w:pPr>
              <w:autoSpaceDE w:val="0"/>
              <w:autoSpaceDN w:val="0"/>
              <w:adjustRightInd w:val="0"/>
              <w:ind w:right="10"/>
              <w:jc w:val="center"/>
              <w:cnfStyle w:val="000000000000"/>
              <w:rPr>
                <w:rFonts w:ascii="Arial" w:hAnsi="Arial" w:cs="Arial"/>
                <w:color w:val="000000"/>
                <w:sz w:val="18"/>
                <w:szCs w:val="18"/>
              </w:rPr>
            </w:pPr>
            <w:r w:rsidRPr="0023673A">
              <w:rPr>
                <w:rFonts w:ascii="Arial" w:hAnsi="Arial" w:cs="Arial"/>
                <w:color w:val="000000"/>
                <w:sz w:val="18"/>
                <w:szCs w:val="18"/>
              </w:rPr>
              <w:t>8</w:t>
            </w:r>
          </w:p>
        </w:tc>
        <w:tc>
          <w:tcPr>
            <w:cnfStyle w:val="000010000000"/>
            <w:tcW w:w="0" w:type="auto"/>
            <w:vAlign w:val="center"/>
          </w:tcPr>
          <w:p w:rsidR="00111AB3" w:rsidRPr="0023673A" w:rsidRDefault="00111AB3" w:rsidP="00762E6F">
            <w:pPr>
              <w:autoSpaceDE w:val="0"/>
              <w:autoSpaceDN w:val="0"/>
              <w:adjustRightInd w:val="0"/>
              <w:ind w:right="10"/>
              <w:jc w:val="right"/>
              <w:rPr>
                <w:rFonts w:ascii="Arial" w:hAnsi="Arial" w:cs="Arial"/>
                <w:color w:val="000000"/>
                <w:sz w:val="18"/>
                <w:szCs w:val="18"/>
              </w:rPr>
            </w:pPr>
            <w:r w:rsidRPr="0023673A">
              <w:rPr>
                <w:rFonts w:ascii="Arial" w:hAnsi="Arial" w:cs="Arial"/>
                <w:color w:val="000000"/>
                <w:sz w:val="18"/>
                <w:szCs w:val="18"/>
              </w:rPr>
              <w:t>-0.109</w:t>
            </w:r>
          </w:p>
        </w:tc>
        <w:tc>
          <w:tcPr>
            <w:tcW w:w="0" w:type="auto"/>
            <w:vAlign w:val="center"/>
          </w:tcPr>
          <w:p w:rsidR="00111AB3" w:rsidRPr="0023673A" w:rsidRDefault="00111AB3" w:rsidP="00762E6F">
            <w:pPr>
              <w:autoSpaceDE w:val="0"/>
              <w:autoSpaceDN w:val="0"/>
              <w:adjustRightInd w:val="0"/>
              <w:ind w:right="10"/>
              <w:jc w:val="right"/>
              <w:cnfStyle w:val="000000000000"/>
              <w:rPr>
                <w:rFonts w:ascii="Arial" w:hAnsi="Arial" w:cs="Arial"/>
                <w:color w:val="000000"/>
                <w:sz w:val="18"/>
                <w:szCs w:val="18"/>
              </w:rPr>
            </w:pPr>
            <w:r w:rsidRPr="0023673A">
              <w:rPr>
                <w:rFonts w:ascii="Arial" w:hAnsi="Arial" w:cs="Arial"/>
                <w:color w:val="000000"/>
                <w:sz w:val="18"/>
                <w:szCs w:val="18"/>
              </w:rPr>
              <w:t>-0.126</w:t>
            </w:r>
          </w:p>
        </w:tc>
        <w:tc>
          <w:tcPr>
            <w:cnfStyle w:val="000010000000"/>
            <w:tcW w:w="0" w:type="auto"/>
            <w:vAlign w:val="center"/>
          </w:tcPr>
          <w:p w:rsidR="00111AB3" w:rsidRPr="0023673A" w:rsidRDefault="00111AB3" w:rsidP="00762E6F">
            <w:pPr>
              <w:autoSpaceDE w:val="0"/>
              <w:autoSpaceDN w:val="0"/>
              <w:adjustRightInd w:val="0"/>
              <w:ind w:right="10"/>
              <w:jc w:val="right"/>
              <w:rPr>
                <w:rFonts w:ascii="Arial" w:hAnsi="Arial" w:cs="Arial"/>
                <w:color w:val="000000"/>
                <w:sz w:val="18"/>
                <w:szCs w:val="18"/>
              </w:rPr>
            </w:pPr>
            <w:r w:rsidRPr="0023673A">
              <w:rPr>
                <w:rFonts w:ascii="Arial" w:hAnsi="Arial" w:cs="Arial"/>
                <w:color w:val="000000"/>
                <w:sz w:val="18"/>
                <w:szCs w:val="18"/>
              </w:rPr>
              <w:t>6.1391</w:t>
            </w:r>
          </w:p>
        </w:tc>
        <w:tc>
          <w:tcPr>
            <w:tcW w:w="0" w:type="auto"/>
            <w:vAlign w:val="center"/>
          </w:tcPr>
          <w:p w:rsidR="00111AB3" w:rsidRPr="0023673A" w:rsidRDefault="00111AB3" w:rsidP="00172700">
            <w:pPr>
              <w:keepNext/>
              <w:autoSpaceDE w:val="0"/>
              <w:autoSpaceDN w:val="0"/>
              <w:adjustRightInd w:val="0"/>
              <w:ind w:right="10"/>
              <w:jc w:val="right"/>
              <w:cnfStyle w:val="000000000000"/>
              <w:rPr>
                <w:rFonts w:ascii="Arial" w:hAnsi="Arial" w:cs="Arial"/>
                <w:color w:val="000000"/>
                <w:sz w:val="18"/>
                <w:szCs w:val="18"/>
              </w:rPr>
            </w:pPr>
            <w:r w:rsidRPr="0023673A">
              <w:rPr>
                <w:rFonts w:ascii="Arial" w:hAnsi="Arial" w:cs="Arial"/>
                <w:color w:val="000000"/>
                <w:sz w:val="18"/>
                <w:szCs w:val="18"/>
              </w:rPr>
              <w:t>0.524</w:t>
            </w:r>
          </w:p>
        </w:tc>
      </w:tr>
    </w:tbl>
    <w:p w:rsidR="00172700" w:rsidRPr="00735207" w:rsidRDefault="00172700" w:rsidP="00172700">
      <w:pPr>
        <w:pStyle w:val="Caption"/>
        <w:jc w:val="center"/>
        <w:rPr>
          <w:lang w:val="en-US"/>
        </w:rPr>
      </w:pPr>
      <w:r w:rsidRPr="00735207">
        <w:rPr>
          <w:lang w:val="en-US"/>
        </w:rPr>
        <w:t xml:space="preserve">Table </w:t>
      </w:r>
      <w:r w:rsidR="00DB780A">
        <w:fldChar w:fldCharType="begin"/>
      </w:r>
      <w:r w:rsidRPr="00735207">
        <w:rPr>
          <w:lang w:val="en-US"/>
        </w:rPr>
        <w:instrText xml:space="preserve"> SEQ Table \* ARABIC </w:instrText>
      </w:r>
      <w:r w:rsidR="00DB780A">
        <w:fldChar w:fldCharType="separate"/>
      </w:r>
      <w:r w:rsidR="004454F3">
        <w:rPr>
          <w:noProof/>
          <w:lang w:val="en-US"/>
        </w:rPr>
        <w:t>6</w:t>
      </w:r>
      <w:r w:rsidR="00DB780A">
        <w:fldChar w:fldCharType="end"/>
      </w:r>
      <w:r w:rsidRPr="00735207">
        <w:rPr>
          <w:lang w:val="en-US"/>
        </w:rPr>
        <w:t xml:space="preserve"> | Correlogram of equation 2.2's residuals</w:t>
      </w:r>
    </w:p>
    <w:p w:rsidR="00111AB3" w:rsidRPr="00464197" w:rsidRDefault="00464197" w:rsidP="00443B38">
      <w:pPr>
        <w:spacing w:line="360" w:lineRule="auto"/>
        <w:jc w:val="both"/>
        <w:rPr>
          <w:lang w:val="en-US"/>
        </w:rPr>
      </w:pPr>
      <w:r>
        <w:rPr>
          <w:lang w:val="en-US"/>
        </w:rPr>
        <w:t xml:space="preserve">Using </w:t>
      </w:r>
      <w:r>
        <w:rPr>
          <w:rFonts w:ascii="Cambria Math" w:hAnsi="Cambria Math"/>
          <w:i/>
          <w:lang w:val="en-US"/>
        </w:rPr>
        <w:t>∆s</w:t>
      </w:r>
      <w:r>
        <w:rPr>
          <w:rFonts w:ascii="Cambria Math" w:hAnsi="Cambria Math"/>
          <w:i/>
          <w:vertAlign w:val="subscript"/>
          <w:lang w:val="en-US"/>
        </w:rPr>
        <w:t>t</w:t>
      </w:r>
      <w:r>
        <w:rPr>
          <w:rFonts w:ascii="Cambria Math" w:hAnsi="Cambria Math"/>
          <w:lang w:val="en-US"/>
        </w:rPr>
        <w:t xml:space="preserve">  </w:t>
      </w:r>
      <w:r>
        <w:rPr>
          <w:lang w:val="en-US"/>
        </w:rPr>
        <w:t xml:space="preserve">= </w:t>
      </w:r>
      <w:r>
        <w:rPr>
          <w:rFonts w:ascii="Cambria Math" w:hAnsi="Cambria Math"/>
          <w:i/>
          <w:lang w:val="en-US"/>
        </w:rPr>
        <w:t>s</w:t>
      </w:r>
      <w:r>
        <w:rPr>
          <w:rFonts w:ascii="Cambria Math" w:hAnsi="Cambria Math"/>
          <w:i/>
          <w:vertAlign w:val="subscript"/>
          <w:lang w:val="en-US"/>
        </w:rPr>
        <w:t xml:space="preserve">t </w:t>
      </w:r>
      <w:r>
        <w:rPr>
          <w:rFonts w:ascii="Cambria Math" w:hAnsi="Cambria Math"/>
          <w:i/>
          <w:lang w:val="en-US"/>
        </w:rPr>
        <w:t>- s</w:t>
      </w:r>
      <w:r>
        <w:rPr>
          <w:rFonts w:ascii="Cambria Math" w:hAnsi="Cambria Math"/>
          <w:i/>
          <w:vertAlign w:val="subscript"/>
          <w:lang w:val="en-US"/>
        </w:rPr>
        <w:t>t-1</w:t>
      </w:r>
      <w:r>
        <w:rPr>
          <w:lang w:val="en-US"/>
        </w:rPr>
        <w:t xml:space="preserve">, we can rewrite the equation in terms of </w:t>
      </w:r>
      <w:r>
        <w:rPr>
          <w:rFonts w:ascii="Cambria Math" w:hAnsi="Cambria Math"/>
          <w:i/>
          <w:lang w:val="en-US"/>
        </w:rPr>
        <w:t>s</w:t>
      </w:r>
      <w:r>
        <w:rPr>
          <w:rFonts w:ascii="Cambria Math" w:hAnsi="Cambria Math"/>
          <w:i/>
          <w:vertAlign w:val="subscript"/>
          <w:lang w:val="en-US"/>
        </w:rPr>
        <w:t>t</w:t>
      </w:r>
      <w:r>
        <w:rPr>
          <w:rFonts w:ascii="Cambria Math" w:hAnsi="Cambria Math"/>
          <w:i/>
          <w:lang w:val="en-US"/>
        </w:rPr>
        <w:t xml:space="preserve">  </w:t>
      </w:r>
      <w:r>
        <w:rPr>
          <w:lang w:val="en-US"/>
        </w:rPr>
        <w:t>as follows:</w:t>
      </w:r>
    </w:p>
    <w:p w:rsidR="00464197" w:rsidRDefault="00DB780A" w:rsidP="00547E1E">
      <w:pPr>
        <w:spacing w:line="360" w:lineRule="auto"/>
        <w:jc w:val="right"/>
        <w:rPr>
          <w:rFonts w:eastAsiaTheme="minorEastAsia"/>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hAnsi="Cambria Math"/>
            <w:lang w:val="en-US"/>
          </w:rPr>
          <m:t>=-0.04+1.44</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t-1</m:t>
            </m:r>
          </m:sub>
        </m:sSub>
        <m:r>
          <w:rPr>
            <w:rFonts w:ascii="Cambria Math" w:hAnsi="Cambria Math"/>
            <w:lang w:val="en-US"/>
          </w:rPr>
          <m:t>-0.44</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t-2</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t</m:t>
            </m:r>
          </m:sub>
        </m:sSub>
      </m:oMath>
      <w:r w:rsidR="00464197">
        <w:rPr>
          <w:rFonts w:eastAsiaTheme="minorEastAsia"/>
          <w:lang w:val="en-US"/>
        </w:rPr>
        <w:tab/>
      </w:r>
      <w:r w:rsidR="00464197">
        <w:rPr>
          <w:rFonts w:eastAsiaTheme="minorEastAsia"/>
          <w:lang w:val="en-US"/>
        </w:rPr>
        <w:tab/>
        <w:t xml:space="preserve">  </w:t>
      </w:r>
      <w:r w:rsidR="00464197">
        <w:rPr>
          <w:rFonts w:eastAsiaTheme="minorEastAsia"/>
          <w:lang w:val="en-US"/>
        </w:rPr>
        <w:tab/>
        <w:t xml:space="preserve">          (2.3)</w:t>
      </w:r>
    </w:p>
    <w:p w:rsidR="00415096" w:rsidRPr="00A82833" w:rsidRDefault="00A82833" w:rsidP="00443B38">
      <w:pPr>
        <w:jc w:val="both"/>
        <w:rPr>
          <w:lang w:val="en-US"/>
        </w:rPr>
      </w:pPr>
      <w:r>
        <w:rPr>
          <w:lang w:val="en-US"/>
        </w:rPr>
        <w:t xml:space="preserve">As can be seen, the exchange rate at time </w:t>
      </w:r>
      <w:r>
        <w:rPr>
          <w:rFonts w:ascii="Cambria Math" w:hAnsi="Cambria Math"/>
          <w:i/>
          <w:lang w:val="en-US"/>
        </w:rPr>
        <w:t>t</w:t>
      </w:r>
      <w:r>
        <w:rPr>
          <w:rFonts w:ascii="Cambria Math" w:hAnsi="Cambria Math"/>
          <w:lang w:val="en-US"/>
        </w:rPr>
        <w:t xml:space="preserve"> </w:t>
      </w:r>
      <w:r>
        <w:rPr>
          <w:lang w:val="en-US"/>
        </w:rPr>
        <w:t xml:space="preserve"> is quite heavily influenced by the exchange rate at time </w:t>
      </w:r>
      <w:r>
        <w:rPr>
          <w:rFonts w:ascii="Cambria Math" w:hAnsi="Cambria Math"/>
          <w:i/>
          <w:lang w:val="en-US"/>
        </w:rPr>
        <w:t>t-1</w:t>
      </w:r>
      <w:r>
        <w:rPr>
          <w:rFonts w:ascii="Cambria Math" w:hAnsi="Cambria Math"/>
          <w:lang w:val="en-US"/>
        </w:rPr>
        <w:t xml:space="preserve"> </w:t>
      </w:r>
      <w:r>
        <w:rPr>
          <w:i/>
          <w:lang w:val="en-US"/>
        </w:rPr>
        <w:t xml:space="preserve"> </w:t>
      </w:r>
      <w:r>
        <w:rPr>
          <w:lang w:val="en-US"/>
        </w:rPr>
        <w:t xml:space="preserve">and a bit less so by the exchange rate at time </w:t>
      </w:r>
      <w:r>
        <w:rPr>
          <w:rFonts w:ascii="Cambria Math" w:hAnsi="Cambria Math"/>
          <w:i/>
          <w:lang w:val="en-US"/>
        </w:rPr>
        <w:t>t-2</w:t>
      </w:r>
      <w:r>
        <w:rPr>
          <w:lang w:val="en-US"/>
        </w:rPr>
        <w:t xml:space="preserve">. </w:t>
      </w:r>
      <w:r>
        <w:rPr>
          <w:rFonts w:ascii="Cambria Math" w:hAnsi="Cambria Math"/>
          <w:i/>
          <w:lang w:val="en-US"/>
        </w:rPr>
        <w:t>s</w:t>
      </w:r>
      <w:r w:rsidRPr="00A82833">
        <w:rPr>
          <w:rFonts w:ascii="Cambria Math" w:hAnsi="Cambria Math"/>
          <w:i/>
          <w:vertAlign w:val="subscript"/>
          <w:lang w:val="en-US"/>
        </w:rPr>
        <w:t>t</w:t>
      </w:r>
      <w:r>
        <w:rPr>
          <w:rFonts w:ascii="Cambria Math" w:hAnsi="Cambria Math"/>
          <w:i/>
          <w:vertAlign w:val="subscript"/>
          <w:lang w:val="en-US"/>
        </w:rPr>
        <w:t xml:space="preserve">  </w:t>
      </w:r>
      <w:r>
        <w:rPr>
          <w:lang w:val="en-US"/>
        </w:rPr>
        <w:t xml:space="preserve">is elastic compared to </w:t>
      </w:r>
      <w:r>
        <w:rPr>
          <w:rFonts w:ascii="Cambria Math" w:hAnsi="Cambria Math"/>
          <w:i/>
          <w:lang w:val="en-US"/>
        </w:rPr>
        <w:t>s</w:t>
      </w:r>
      <w:r w:rsidRPr="00A82833">
        <w:rPr>
          <w:rFonts w:ascii="Cambria Math" w:hAnsi="Cambria Math"/>
          <w:i/>
          <w:vertAlign w:val="subscript"/>
          <w:lang w:val="en-US"/>
        </w:rPr>
        <w:t>t</w:t>
      </w:r>
      <w:r>
        <w:rPr>
          <w:rFonts w:ascii="Cambria Math" w:hAnsi="Cambria Math"/>
          <w:i/>
          <w:vertAlign w:val="subscript"/>
          <w:lang w:val="en-US"/>
        </w:rPr>
        <w:t>-1</w:t>
      </w:r>
      <w:r>
        <w:rPr>
          <w:lang w:val="en-US"/>
        </w:rPr>
        <w:t xml:space="preserve">, yet inelastic compared to </w:t>
      </w:r>
      <w:r>
        <w:rPr>
          <w:rFonts w:ascii="Cambria Math" w:hAnsi="Cambria Math"/>
          <w:i/>
          <w:lang w:val="en-US"/>
        </w:rPr>
        <w:t>s</w:t>
      </w:r>
      <w:r w:rsidRPr="00A82833">
        <w:rPr>
          <w:rFonts w:ascii="Cambria Math" w:hAnsi="Cambria Math"/>
          <w:i/>
          <w:vertAlign w:val="subscript"/>
          <w:lang w:val="en-US"/>
        </w:rPr>
        <w:t>t</w:t>
      </w:r>
      <w:r>
        <w:rPr>
          <w:rFonts w:ascii="Cambria Math" w:hAnsi="Cambria Math"/>
          <w:i/>
          <w:vertAlign w:val="subscript"/>
          <w:lang w:val="en-US"/>
        </w:rPr>
        <w:t>-2</w:t>
      </w:r>
      <w:r>
        <w:rPr>
          <w:lang w:val="en-US"/>
        </w:rPr>
        <w:t>.</w:t>
      </w:r>
    </w:p>
    <w:p w:rsidR="0023673A" w:rsidRDefault="00CA2E65" w:rsidP="00170695">
      <w:pPr>
        <w:pStyle w:val="Heading3"/>
        <w:rPr>
          <w:lang w:val="en-US"/>
        </w:rPr>
      </w:pPr>
      <w:r>
        <w:rPr>
          <w:lang w:val="en-US"/>
        </w:rPr>
        <w:t>The Dornbusch model</w:t>
      </w:r>
    </w:p>
    <w:p w:rsidR="00653B9F" w:rsidRDefault="008239CA" w:rsidP="00443B38">
      <w:pPr>
        <w:spacing w:line="360" w:lineRule="auto"/>
        <w:jc w:val="both"/>
        <w:rPr>
          <w:lang w:val="en-US"/>
        </w:rPr>
      </w:pPr>
      <w:r>
        <w:rPr>
          <w:lang w:val="en-US"/>
        </w:rPr>
        <w:t>The equation to be estimated for the Dornbusch model is derived from equation 1.1</w:t>
      </w:r>
      <w:r w:rsidR="00EF4234">
        <w:rPr>
          <w:lang w:val="en-US"/>
        </w:rPr>
        <w:t>1</w:t>
      </w:r>
      <w:r>
        <w:rPr>
          <w:lang w:val="en-US"/>
        </w:rPr>
        <w:t>.</w:t>
      </w:r>
      <w:r w:rsidR="00B96876">
        <w:rPr>
          <w:lang w:val="en-US"/>
        </w:rPr>
        <w:t xml:space="preserve"> It is formulated as follows:</w:t>
      </w:r>
    </w:p>
    <w:p w:rsidR="00211731" w:rsidRDefault="00DB780A" w:rsidP="00547E1E">
      <w:pPr>
        <w:spacing w:line="360" w:lineRule="auto"/>
        <w:jc w:val="right"/>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eastAsiaTheme="minorEastAsia"/>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1</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t</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m</m:t>
                </m:r>
              </m:e>
              <m:sub>
                <m:r>
                  <w:rPr>
                    <w:rFonts w:ascii="Cambria Math" w:eastAsiaTheme="minorEastAsia" w:hAnsi="Cambria Math"/>
                    <w:lang w:val="en-US"/>
                  </w:rPr>
                  <m:t>t</m:t>
                </m:r>
              </m:sub>
              <m:sup>
                <m:r>
                  <w:rPr>
                    <w:rFonts w:ascii="Cambria Math" w:eastAsiaTheme="minorEastAsia" w:hAnsi="Cambria Math"/>
                    <w:lang w:val="en-US"/>
                  </w:rPr>
                  <m:t>*</m:t>
                </m:r>
              </m:sup>
            </m:sSubSup>
          </m:e>
        </m:d>
        <m:r>
          <w:rPr>
            <w:rFonts w:ascii="Cambria Math" w:eastAsiaTheme="minorEastAsia"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t</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y</m:t>
            </m:r>
          </m:e>
          <m:sub>
            <m:r>
              <w:rPr>
                <w:rFonts w:ascii="Cambria Math" w:eastAsiaTheme="minorEastAsia" w:hAnsi="Cambria Math"/>
                <w:lang w:val="en-US"/>
              </w:rPr>
              <m:t>t</m:t>
            </m:r>
          </m:sub>
          <m:sup>
            <m:r>
              <w:rPr>
                <w:rFonts w:ascii="Cambria Math" w:eastAsiaTheme="minorEastAsia" w:hAnsi="Cambria Math"/>
                <w:lang w:val="en-US"/>
              </w:rPr>
              <m:t>*</m:t>
            </m:r>
          </m:sup>
        </m:sSubSup>
        <m:r>
          <w:rPr>
            <w:rFonts w:ascii="Cambria Math" w:eastAsiaTheme="minorEastAsia"/>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t</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r</m:t>
            </m:r>
          </m:e>
          <m:sub>
            <m:r>
              <w:rPr>
                <w:rFonts w:ascii="Cambria Math" w:eastAsiaTheme="minorEastAsia" w:hAnsi="Cambria Math"/>
                <w:lang w:val="en-US"/>
              </w:rPr>
              <m:t>t</m:t>
            </m:r>
          </m:sub>
          <m:sup>
            <m:r>
              <w:rPr>
                <w:rFonts w:ascii="Cambria Math" w:eastAsiaTheme="minorEastAsia" w:hAnsi="Cambria Math"/>
                <w:lang w:val="en-US"/>
              </w:rPr>
              <m:t>*</m:t>
            </m:r>
          </m:sup>
        </m:sSubSup>
        <m:r>
          <w:rPr>
            <w:rFonts w:ascii="Cambria Math" w:eastAsiaTheme="minorEastAsia"/>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4</m:t>
            </m:r>
          </m:sub>
        </m:sSub>
        <m:d>
          <m:dPr>
            <m:ctrlPr>
              <w:rPr>
                <w:rFonts w:ascii="Cambria Math" w:eastAsiaTheme="minorEastAsia" w:hAnsi="Cambria Math"/>
                <w:i/>
                <w:lang w:val="en-US"/>
              </w:rPr>
            </m:ctrlPr>
          </m:dPr>
          <m:e>
            <m:sSubSup>
              <m:sSubSupPr>
                <m:ctrlPr>
                  <w:rPr>
                    <w:rFonts w:ascii="Cambria Math" w:eastAsiaTheme="minorEastAsia" w:hAnsi="Cambria Math"/>
                    <w:i/>
                    <w:lang w:val="en-US"/>
                  </w:rPr>
                </m:ctrlPr>
              </m:sSubSupPr>
              <m:e>
                <m:r>
                  <w:rPr>
                    <w:rFonts w:ascii="Cambria Math" w:eastAsiaTheme="minorEastAsia" w:hAnsi="Cambria Math"/>
                    <w:lang w:val="en-US"/>
                  </w:rPr>
                  <m:t>P</m:t>
                </m:r>
              </m:e>
              <m:sub>
                <m:r>
                  <w:rPr>
                    <w:rFonts w:ascii="Cambria Math" w:eastAsiaTheme="minorEastAsia" w:hAnsi="Cambria Math"/>
                    <w:lang w:val="en-US"/>
                  </w:rPr>
                  <m:t>t</m:t>
                </m:r>
              </m:sub>
              <m:sup>
                <m:r>
                  <w:rPr>
                    <w:rFonts w:ascii="Cambria Math" w:eastAsiaTheme="minorEastAsia" w:hAnsi="Cambria Math"/>
                    <w:lang w:val="en-US"/>
                  </w:rPr>
                  <m:t>e</m:t>
                </m:r>
              </m:sup>
            </m:sSubSup>
            <m:r>
              <w:rPr>
                <w:rFonts w:ascii="Cambria Math" w:eastAsiaTheme="minorEastAsia"/>
                <w:lang w:val="en-US"/>
              </w:rPr>
              <m:t>-</m:t>
            </m:r>
            <m:sSubSup>
              <m:sSubSupPr>
                <m:ctrlPr>
                  <w:rPr>
                    <w:rFonts w:ascii="Cambria Math" w:eastAsiaTheme="minorEastAsia" w:hAnsi="Cambria Math"/>
                    <w:i/>
                    <w:lang w:val="en-US"/>
                  </w:rPr>
                </m:ctrlPr>
              </m:sSubSupPr>
              <m:e>
                <m:r>
                  <w:rPr>
                    <w:rFonts w:ascii="Cambria Math" w:eastAsiaTheme="minorEastAsia"/>
                    <w:lang w:val="en-US"/>
                  </w:rPr>
                  <m:t>P</m:t>
                </m:r>
              </m:e>
              <m:sub>
                <m:r>
                  <w:rPr>
                    <w:rFonts w:ascii="Cambria Math" w:eastAsiaTheme="minorEastAsia"/>
                    <w:lang w:val="en-US"/>
                  </w:rPr>
                  <m:t>t</m:t>
                </m:r>
              </m:sub>
              <m:sup>
                <m:r>
                  <w:rPr>
                    <w:rFonts w:ascii="Cambria Math" w:eastAsiaTheme="minorEastAsia"/>
                    <w:lang w:val="en-US"/>
                  </w:rPr>
                  <m:t>e</m:t>
                </m:r>
                <m:r>
                  <w:rPr>
                    <w:rFonts w:ascii="Cambria Math" w:eastAsiaTheme="minorEastAsia" w:hAnsi="Cambria Math" w:cs="Cambria Math"/>
                    <w:lang w:val="en-US"/>
                  </w:rPr>
                  <m:t>*</m:t>
                </m:r>
              </m:sup>
            </m:sSubSup>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oMath>
      <w:r w:rsidR="00C05BE8">
        <w:rPr>
          <w:rFonts w:eastAsiaTheme="minorEastAsia"/>
          <w:lang w:val="en-US"/>
        </w:rPr>
        <w:tab/>
        <w:t xml:space="preserve">     </w:t>
      </w:r>
      <w:r w:rsidR="00A078D7">
        <w:rPr>
          <w:rFonts w:eastAsiaTheme="minorEastAsia"/>
          <w:lang w:val="en-US"/>
        </w:rPr>
        <w:t xml:space="preserve"> </w:t>
      </w:r>
      <w:r w:rsidR="00C05BE8">
        <w:rPr>
          <w:rFonts w:eastAsiaTheme="minorEastAsia"/>
          <w:lang w:val="en-US"/>
        </w:rPr>
        <w:t>(2.4</w:t>
      </w:r>
      <w:r w:rsidR="00653B9F">
        <w:rPr>
          <w:rFonts w:eastAsiaTheme="minorEastAsia"/>
          <w:lang w:val="en-US"/>
        </w:rPr>
        <w:t>)</w:t>
      </w:r>
    </w:p>
    <w:p w:rsidR="00543171" w:rsidRDefault="00543171" w:rsidP="00543171">
      <w:pPr>
        <w:spacing w:line="360" w:lineRule="auto"/>
        <w:rPr>
          <w:lang w:val="en-US"/>
        </w:rPr>
      </w:pPr>
      <w:r>
        <w:rPr>
          <w:rStyle w:val="normaltextrun"/>
          <w:rFonts w:cs="Segoe UI"/>
          <w:lang w:val="en-US"/>
        </w:rPr>
        <w:t>Where:</w:t>
      </w:r>
      <w:r>
        <w:rPr>
          <w:rStyle w:val="normaltextrun"/>
          <w:rFonts w:cs="Segoe UI"/>
          <w:lang w:val="en-US"/>
        </w:rPr>
        <w:br/>
      </w:r>
      <w:r>
        <w:rPr>
          <w:rFonts w:ascii="Cambria Math" w:hAnsi="Cambria Math"/>
          <w:i/>
          <w:lang w:val="en-US"/>
        </w:rPr>
        <w:t>s</w:t>
      </w:r>
      <w:r w:rsidRPr="002D6245">
        <w:rPr>
          <w:rFonts w:ascii="Cambria Math" w:hAnsi="Cambria Math"/>
          <w:i/>
          <w:lang w:val="en-US"/>
        </w:rPr>
        <w:t xml:space="preserve"> </w:t>
      </w:r>
      <w:r>
        <w:rPr>
          <w:rFonts w:ascii="Cambria Math" w:hAnsi="Cambria Math"/>
          <w:lang w:val="en-US"/>
        </w:rPr>
        <w:t xml:space="preserve"> </w:t>
      </w:r>
      <w:r>
        <w:rPr>
          <w:lang w:val="en-US"/>
        </w:rPr>
        <w:t xml:space="preserve">= </w:t>
      </w:r>
      <w:r w:rsidR="00DE0DC6">
        <w:rPr>
          <w:lang w:val="en-US"/>
        </w:rPr>
        <w:t xml:space="preserve">Bitcoin/US Dollar </w:t>
      </w:r>
      <w:r>
        <w:rPr>
          <w:lang w:val="en-US"/>
        </w:rPr>
        <w:t>exchange rate</w:t>
      </w:r>
      <w:r>
        <w:rPr>
          <w:lang w:val="en-US"/>
        </w:rPr>
        <w:br/>
      </w:r>
      <w:r>
        <w:rPr>
          <w:rFonts w:ascii="Cambria Math" w:hAnsi="Cambria Math"/>
          <w:i/>
          <w:lang w:val="en-US"/>
        </w:rPr>
        <w:t>m</w:t>
      </w:r>
      <w:r w:rsidRPr="002D6245">
        <w:rPr>
          <w:rFonts w:ascii="Cambria Math" w:hAnsi="Cambria Math"/>
          <w:i/>
          <w:lang w:val="en-US"/>
        </w:rPr>
        <w:t xml:space="preserve"> </w:t>
      </w:r>
      <w:r>
        <w:rPr>
          <w:rFonts w:ascii="Cambria Math" w:hAnsi="Cambria Math"/>
          <w:lang w:val="en-US"/>
        </w:rPr>
        <w:t xml:space="preserve"> </w:t>
      </w:r>
      <w:r>
        <w:rPr>
          <w:lang w:val="en-US"/>
        </w:rPr>
        <w:t xml:space="preserve">= </w:t>
      </w:r>
      <w:r w:rsidR="00F12AB1">
        <w:rPr>
          <w:lang w:val="en-US"/>
        </w:rPr>
        <w:t xml:space="preserve">United States </w:t>
      </w:r>
      <w:r>
        <w:rPr>
          <w:lang w:val="en-US"/>
        </w:rPr>
        <w:t>money supply</w:t>
      </w:r>
      <w:r w:rsidR="00F12AB1">
        <w:rPr>
          <w:lang w:val="en-US"/>
        </w:rPr>
        <w:br/>
      </w:r>
      <w:r w:rsidR="00F12AB1">
        <w:rPr>
          <w:rFonts w:ascii="Cambria Math" w:hAnsi="Cambria Math"/>
          <w:i/>
          <w:lang w:val="en-US"/>
        </w:rPr>
        <w:t>m</w:t>
      </w:r>
      <w:r w:rsidR="00F12AB1">
        <w:rPr>
          <w:rFonts w:ascii="Cambria Math" w:hAnsi="Cambria Math"/>
          <w:i/>
          <w:vertAlign w:val="superscript"/>
          <w:lang w:val="en-US"/>
        </w:rPr>
        <w:t>*</w:t>
      </w:r>
      <w:r w:rsidR="00F12AB1" w:rsidRPr="002D6245">
        <w:rPr>
          <w:rFonts w:ascii="Cambria Math" w:hAnsi="Cambria Math"/>
          <w:i/>
          <w:lang w:val="en-US"/>
        </w:rPr>
        <w:t xml:space="preserve"> </w:t>
      </w:r>
      <w:r w:rsidR="00F12AB1">
        <w:rPr>
          <w:rFonts w:ascii="Cambria Math" w:hAnsi="Cambria Math"/>
          <w:lang w:val="en-US"/>
        </w:rPr>
        <w:t xml:space="preserve"> </w:t>
      </w:r>
      <w:r w:rsidR="00F12AB1">
        <w:rPr>
          <w:lang w:val="en-US"/>
        </w:rPr>
        <w:t>= Bitcoin money supply</w:t>
      </w:r>
      <w:r w:rsidR="00F12AB1">
        <w:rPr>
          <w:lang w:val="en-US"/>
        </w:rPr>
        <w:br/>
      </w:r>
      <w:r w:rsidR="00F12AB1">
        <w:rPr>
          <w:rFonts w:ascii="Cambria Math" w:hAnsi="Cambria Math"/>
          <w:i/>
          <w:lang w:val="en-US"/>
        </w:rPr>
        <w:t>y</w:t>
      </w:r>
      <w:r w:rsidR="00F12AB1" w:rsidRPr="002D6245">
        <w:rPr>
          <w:rFonts w:ascii="Cambria Math" w:hAnsi="Cambria Math"/>
          <w:i/>
          <w:lang w:val="en-US"/>
        </w:rPr>
        <w:t xml:space="preserve"> </w:t>
      </w:r>
      <w:r w:rsidR="00F12AB1">
        <w:rPr>
          <w:rFonts w:ascii="Cambria Math" w:hAnsi="Cambria Math"/>
          <w:lang w:val="en-US"/>
        </w:rPr>
        <w:t xml:space="preserve"> </w:t>
      </w:r>
      <w:r w:rsidR="00F12AB1">
        <w:rPr>
          <w:lang w:val="en-US"/>
        </w:rPr>
        <w:t>= United States income</w:t>
      </w:r>
      <w:r w:rsidR="00F12AB1">
        <w:rPr>
          <w:lang w:val="en-US"/>
        </w:rPr>
        <w:br/>
      </w:r>
      <w:r w:rsidR="00F12AB1">
        <w:rPr>
          <w:rFonts w:ascii="Cambria Math" w:hAnsi="Cambria Math"/>
          <w:i/>
          <w:lang w:val="en-US"/>
        </w:rPr>
        <w:t>y</w:t>
      </w:r>
      <w:r w:rsidR="00F12AB1">
        <w:rPr>
          <w:rFonts w:ascii="Cambria Math" w:hAnsi="Cambria Math"/>
          <w:i/>
          <w:vertAlign w:val="superscript"/>
          <w:lang w:val="en-US"/>
        </w:rPr>
        <w:t>*</w:t>
      </w:r>
      <w:r w:rsidR="00F12AB1" w:rsidRPr="002D6245">
        <w:rPr>
          <w:rFonts w:ascii="Cambria Math" w:hAnsi="Cambria Math"/>
          <w:i/>
          <w:lang w:val="en-US"/>
        </w:rPr>
        <w:t xml:space="preserve"> </w:t>
      </w:r>
      <w:r w:rsidR="00F12AB1">
        <w:rPr>
          <w:rFonts w:ascii="Cambria Math" w:hAnsi="Cambria Math"/>
          <w:lang w:val="en-US"/>
        </w:rPr>
        <w:t xml:space="preserve"> </w:t>
      </w:r>
      <w:r w:rsidR="00F12AB1">
        <w:rPr>
          <w:lang w:val="en-US"/>
        </w:rPr>
        <w:t>= world income</w:t>
      </w:r>
      <w:r w:rsidR="00F12AB1">
        <w:rPr>
          <w:lang w:val="en-US"/>
        </w:rPr>
        <w:br/>
      </w:r>
      <w:r w:rsidR="00F12AB1" w:rsidRPr="002D6245">
        <w:rPr>
          <w:rFonts w:ascii="Cambria Math" w:hAnsi="Cambria Math"/>
          <w:i/>
          <w:lang w:val="en-US"/>
        </w:rPr>
        <w:t xml:space="preserve">r </w:t>
      </w:r>
      <w:r w:rsidR="00F12AB1">
        <w:rPr>
          <w:rFonts w:ascii="Cambria Math" w:hAnsi="Cambria Math"/>
          <w:lang w:val="en-US"/>
        </w:rPr>
        <w:t xml:space="preserve"> </w:t>
      </w:r>
      <w:r w:rsidR="00F12AB1">
        <w:rPr>
          <w:lang w:val="en-US"/>
        </w:rPr>
        <w:t>= United States interest rate</w:t>
      </w:r>
      <w:r w:rsidR="00F12AB1">
        <w:rPr>
          <w:lang w:val="en-US"/>
        </w:rPr>
        <w:br/>
      </w:r>
      <w:r w:rsidR="00F12AB1" w:rsidRPr="002D6245">
        <w:rPr>
          <w:rFonts w:ascii="Cambria Math" w:hAnsi="Cambria Math"/>
          <w:i/>
          <w:lang w:val="en-US"/>
        </w:rPr>
        <w:t xml:space="preserve">r </w:t>
      </w:r>
      <w:r w:rsidR="00F12AB1">
        <w:rPr>
          <w:rFonts w:ascii="Cambria Math" w:hAnsi="Cambria Math"/>
          <w:i/>
          <w:vertAlign w:val="superscript"/>
          <w:lang w:val="en-US"/>
        </w:rPr>
        <w:t>*</w:t>
      </w:r>
      <w:r w:rsidR="00F12AB1">
        <w:rPr>
          <w:rFonts w:ascii="Cambria Math" w:hAnsi="Cambria Math"/>
          <w:lang w:val="en-US"/>
        </w:rPr>
        <w:t xml:space="preserve"> </w:t>
      </w:r>
      <w:r w:rsidR="00F12AB1">
        <w:rPr>
          <w:lang w:val="en-US"/>
        </w:rPr>
        <w:t>= world interest rate</w:t>
      </w:r>
      <w:r>
        <w:rPr>
          <w:lang w:val="en-US"/>
        </w:rPr>
        <w:br/>
      </w:r>
      <w:r w:rsidR="000E2B86">
        <w:rPr>
          <w:rFonts w:ascii="Cambria Math" w:hAnsi="Cambria Math"/>
          <w:i/>
          <w:lang w:val="en-US"/>
        </w:rPr>
        <w:t>P</w:t>
      </w:r>
      <w:r w:rsidR="00F12AB1">
        <w:rPr>
          <w:rFonts w:ascii="Cambria Math" w:hAnsi="Cambria Math"/>
          <w:i/>
          <w:vertAlign w:val="superscript"/>
          <w:lang w:val="en-US"/>
        </w:rPr>
        <w:t>e</w:t>
      </w:r>
      <w:r w:rsidRPr="002D6245">
        <w:rPr>
          <w:rFonts w:ascii="Cambria Math" w:hAnsi="Cambria Math"/>
          <w:i/>
          <w:lang w:val="en-US"/>
        </w:rPr>
        <w:t xml:space="preserve"> </w:t>
      </w:r>
      <w:r>
        <w:rPr>
          <w:rFonts w:ascii="Cambria Math" w:hAnsi="Cambria Math"/>
          <w:lang w:val="en-US"/>
        </w:rPr>
        <w:t xml:space="preserve"> </w:t>
      </w:r>
      <w:r>
        <w:rPr>
          <w:lang w:val="en-US"/>
        </w:rPr>
        <w:t xml:space="preserve">= </w:t>
      </w:r>
      <w:r w:rsidR="00F12AB1">
        <w:rPr>
          <w:lang w:val="en-US"/>
        </w:rPr>
        <w:t>United States expected inflation</w:t>
      </w:r>
      <w:r w:rsidR="00F12AB1">
        <w:rPr>
          <w:lang w:val="en-US"/>
        </w:rPr>
        <w:br/>
      </w:r>
      <w:r w:rsidR="000E2B86">
        <w:rPr>
          <w:rFonts w:ascii="Cambria Math" w:hAnsi="Cambria Math"/>
          <w:i/>
          <w:lang w:val="en-US"/>
        </w:rPr>
        <w:t>P</w:t>
      </w:r>
      <w:r w:rsidR="00F12AB1">
        <w:rPr>
          <w:rFonts w:ascii="Cambria Math" w:hAnsi="Cambria Math"/>
          <w:i/>
          <w:vertAlign w:val="superscript"/>
          <w:lang w:val="en-US"/>
        </w:rPr>
        <w:t>e*</w:t>
      </w:r>
      <w:r w:rsidR="00F12AB1" w:rsidRPr="002D6245">
        <w:rPr>
          <w:rFonts w:ascii="Cambria Math" w:hAnsi="Cambria Math"/>
          <w:i/>
          <w:lang w:val="en-US"/>
        </w:rPr>
        <w:t xml:space="preserve"> </w:t>
      </w:r>
      <w:r w:rsidR="00F12AB1">
        <w:rPr>
          <w:rFonts w:ascii="Cambria Math" w:hAnsi="Cambria Math"/>
          <w:lang w:val="en-US"/>
        </w:rPr>
        <w:t xml:space="preserve"> </w:t>
      </w:r>
      <w:r w:rsidR="00F12AB1">
        <w:rPr>
          <w:lang w:val="en-US"/>
        </w:rPr>
        <w:t>= Bitcoin expected inflation</w:t>
      </w:r>
      <w:r w:rsidR="00AA6017">
        <w:rPr>
          <w:lang w:val="en-US"/>
        </w:rPr>
        <w:br/>
      </w:r>
      <w:r w:rsidR="00AA6017">
        <w:rPr>
          <w:rFonts w:ascii="Cambria Math" w:hAnsi="Cambria Math"/>
          <w:i/>
          <w:lang w:val="en-US"/>
        </w:rPr>
        <w:t>ε</w:t>
      </w:r>
      <w:r w:rsidR="00AA6017">
        <w:rPr>
          <w:rFonts w:ascii="Cambria Math" w:hAnsi="Cambria Math"/>
          <w:i/>
          <w:vertAlign w:val="subscript"/>
          <w:lang w:val="en-US"/>
        </w:rPr>
        <w:t>t</w:t>
      </w:r>
      <w:r w:rsidR="00AA6017">
        <w:rPr>
          <w:rFonts w:ascii="Cambria Math" w:hAnsi="Cambria Math"/>
          <w:lang w:val="en-US"/>
        </w:rPr>
        <w:t xml:space="preserve">  </w:t>
      </w:r>
      <w:r w:rsidR="00AA6017">
        <w:rPr>
          <w:lang w:val="en-US"/>
        </w:rPr>
        <w:t>= the error term (white noise)</w:t>
      </w:r>
    </w:p>
    <w:p w:rsidR="001F53E6" w:rsidRDefault="001F53E6" w:rsidP="00443B38">
      <w:pPr>
        <w:spacing w:line="360" w:lineRule="auto"/>
        <w:jc w:val="both"/>
        <w:rPr>
          <w:lang w:val="en-US"/>
        </w:rPr>
      </w:pPr>
      <w:r>
        <w:rPr>
          <w:lang w:val="en-US"/>
        </w:rPr>
        <w:t>Simplified it looks as follows:</w:t>
      </w:r>
    </w:p>
    <w:p w:rsidR="001F53E6" w:rsidRDefault="00DB780A" w:rsidP="00186593">
      <w:pPr>
        <w:spacing w:line="360" w:lineRule="auto"/>
        <w:jc w:val="right"/>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eastAsiaTheme="minorEastAsia"/>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1</m:t>
            </m:r>
          </m:sub>
        </m:sSub>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m</m:t>
                </m:r>
              </m:e>
            </m:acc>
          </m:e>
          <m:sub>
            <m:r>
              <w:rPr>
                <w:rFonts w:ascii="Cambria Math" w:eastAsiaTheme="minorEastAsia" w:hAnsi="Cambria Math"/>
                <w:lang w:val="en-US"/>
              </w:rPr>
              <m:t>t</m:t>
            </m:r>
          </m:sub>
        </m:sSub>
        <m:r>
          <w:rPr>
            <w:rFonts w:ascii="Cambria Math" w:eastAsiaTheme="minorEastAsia"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2</m:t>
            </m:r>
          </m:sub>
        </m:sSub>
        <m:acc>
          <m:accPr>
            <m:chr m:val="̃"/>
            <m:ctrlPr>
              <w:rPr>
                <w:rFonts w:ascii="Cambria Math" w:eastAsiaTheme="minorEastAsia" w:hAnsi="Cambria Math"/>
                <w:i/>
                <w:lang w:val="en-US"/>
              </w:rPr>
            </m:ctrlPr>
          </m:acc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t</m:t>
                </m:r>
              </m:sub>
            </m:sSub>
          </m:e>
        </m:acc>
        <m:r>
          <w:rPr>
            <w:rFonts w:ascii="Cambria Math" w:eastAsiaTheme="minorEastAsia"/>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3</m:t>
            </m:r>
          </m:sub>
        </m:sSub>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r</m:t>
                </m:r>
              </m:e>
            </m:acc>
          </m:e>
          <m:sub>
            <m:r>
              <w:rPr>
                <w:rFonts w:ascii="Cambria Math" w:eastAsiaTheme="minorEastAsia" w:hAnsi="Cambria Math"/>
                <w:lang w:val="en-US"/>
              </w:rPr>
              <m:t>t</m:t>
            </m:r>
          </m:sub>
        </m:sSub>
        <m:r>
          <w:rPr>
            <w:rFonts w:ascii="Cambria Math" w:eastAsiaTheme="minorEastAsia"/>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4</m:t>
            </m:r>
          </m:sub>
        </m:sSub>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P</m:t>
                </m:r>
              </m:e>
            </m:acc>
          </m:e>
          <m:sub>
            <m:r>
              <w:rPr>
                <w:rFonts w:ascii="Cambria Math" w:eastAsiaTheme="minorEastAsia" w:hAnsi="Cambria Math"/>
                <w:lang w:val="en-US"/>
              </w:rPr>
              <m:t>t</m:t>
            </m:r>
          </m:sub>
          <m:sup>
            <m:r>
              <w:rPr>
                <w:rFonts w:ascii="Cambria Math" w:eastAsiaTheme="minorEastAsia" w:hAnsi="Cambria Math"/>
                <w:lang w:val="en-US"/>
              </w:rPr>
              <m:t>e</m:t>
            </m:r>
          </m:sup>
        </m:sSubSup>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oMath>
      <w:r w:rsidR="001F53E6">
        <w:rPr>
          <w:rFonts w:eastAsiaTheme="minorEastAsia"/>
          <w:lang w:val="en-US"/>
        </w:rPr>
        <w:tab/>
      </w:r>
      <w:r w:rsidR="001F53E6">
        <w:rPr>
          <w:rFonts w:eastAsiaTheme="minorEastAsia"/>
          <w:lang w:val="en-US"/>
        </w:rPr>
        <w:tab/>
        <w:t xml:space="preserve">       </w:t>
      </w:r>
      <w:r w:rsidR="001F53E6">
        <w:rPr>
          <w:rFonts w:eastAsiaTheme="minorEastAsia"/>
          <w:lang w:val="en-US"/>
        </w:rPr>
        <w:tab/>
      </w:r>
      <w:r w:rsidR="001F53E6">
        <w:rPr>
          <w:rFonts w:eastAsiaTheme="minorEastAsia"/>
          <w:lang w:val="en-US"/>
        </w:rPr>
        <w:tab/>
        <w:t xml:space="preserve">          (2.5)</w:t>
      </w:r>
    </w:p>
    <w:p w:rsidR="00DF726F" w:rsidRDefault="00DF726F" w:rsidP="00443B38">
      <w:pPr>
        <w:spacing w:line="360" w:lineRule="auto"/>
        <w:jc w:val="both"/>
        <w:rPr>
          <w:lang w:val="en-US"/>
        </w:rPr>
      </w:pPr>
      <w:r w:rsidRPr="00DF726F">
        <w:rPr>
          <w:lang w:val="en-US"/>
        </w:rPr>
        <w:lastRenderedPageBreak/>
        <w:t>Note that a tilde above a variable denotes the difference between its domestic and foreign counterpart.</w:t>
      </w:r>
      <w:r>
        <w:rPr>
          <w:lang w:val="en-US"/>
        </w:rPr>
        <w:t xml:space="preserve"> In text, these variables are referred to as netted variables. </w:t>
      </w:r>
      <w:r w:rsidR="000E2B86">
        <w:rPr>
          <w:lang w:val="en-US"/>
        </w:rPr>
        <w:t>Since the Bitcoin expected inflation is quite often negative</w:t>
      </w:r>
      <w:r w:rsidR="00AA6017">
        <w:rPr>
          <w:lang w:val="en-US"/>
        </w:rPr>
        <w:t xml:space="preserve"> (deflation)</w:t>
      </w:r>
      <w:r w:rsidR="000E2B86">
        <w:rPr>
          <w:lang w:val="en-US"/>
        </w:rPr>
        <w:t>, it is not possible to logarithmically transform the net expected inflation series.</w:t>
      </w:r>
      <w:r>
        <w:rPr>
          <w:lang w:val="en-US"/>
        </w:rPr>
        <w:t xml:space="preserve"> </w:t>
      </w:r>
      <w:r w:rsidR="00DE0DC6">
        <w:rPr>
          <w:lang w:val="en-US"/>
        </w:rPr>
        <w:t xml:space="preserve">To avoid spurious regressions, only stationary series should be used. We already know the exchange rate time series shows evidence of being non-stationary, so the first difference of this variable is to be used. </w:t>
      </w:r>
    </w:p>
    <w:p w:rsidR="00415096" w:rsidRDefault="00DE0DC6" w:rsidP="00443B38">
      <w:pPr>
        <w:spacing w:line="360" w:lineRule="auto"/>
        <w:jc w:val="both"/>
        <w:rPr>
          <w:lang w:val="en-US"/>
        </w:rPr>
      </w:pPr>
      <w:r>
        <w:rPr>
          <w:lang w:val="en-US"/>
        </w:rPr>
        <w:t>Testing the net money supply</w:t>
      </w:r>
      <w:r w:rsidR="00E62129">
        <w:rPr>
          <w:lang w:val="en-US"/>
        </w:rPr>
        <w:t xml:space="preserve"> </w:t>
      </w:r>
      <w:r>
        <w:rPr>
          <w:lang w:val="en-US"/>
        </w:rPr>
        <w:t>series</w:t>
      </w:r>
      <w:r w:rsidR="00E62129">
        <w:rPr>
          <w:lang w:val="en-US"/>
        </w:rPr>
        <w:t xml:space="preserve"> (</w:t>
      </w:r>
      <m:oMath>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m</m:t>
                </m:r>
              </m:e>
            </m:acc>
          </m:e>
          <m:sub>
            <m:r>
              <w:rPr>
                <w:rFonts w:ascii="Cambria Math" w:eastAsiaTheme="minorEastAsia" w:hAnsi="Cambria Math"/>
                <w:lang w:val="en-US"/>
              </w:rPr>
              <m:t>t</m:t>
            </m:r>
          </m:sub>
        </m:sSub>
      </m:oMath>
      <w:r w:rsidR="00E62129">
        <w:rPr>
          <w:rFonts w:eastAsiaTheme="minorEastAsia"/>
          <w:lang w:val="en-US"/>
        </w:rPr>
        <w:t>)</w:t>
      </w:r>
      <w:r w:rsidR="00E62129">
        <w:rPr>
          <w:lang w:val="en-US"/>
        </w:rPr>
        <w:t xml:space="preserve"> </w:t>
      </w:r>
      <w:r>
        <w:rPr>
          <w:lang w:val="en-US"/>
        </w:rPr>
        <w:t>for existence of a unit root using the Augmented Dickey-Fuller test, shows strong evidence of a unit root. The null hypothesis cannot be rejected.</w:t>
      </w:r>
      <w:r w:rsidR="00F627B2">
        <w:rPr>
          <w:lang w:val="en-US"/>
        </w:rPr>
        <w:t xml:space="preserve"> Taking the first difference, the null hypothesis can only be rejected at the 10% level. Taking the second difference, the null hypothesis can be rejected at all confidence levels. The net money supply series is integrated of order 2.</w:t>
      </w:r>
    </w:p>
    <w:tbl>
      <w:tblPr>
        <w:tblStyle w:val="LightList-Accent11"/>
        <w:tblpPr w:leftFromText="141" w:rightFromText="141" w:vertAnchor="text" w:horzAnchor="margin" w:tblpXSpec="center" w:tblpY="83"/>
        <w:tblW w:w="0" w:type="auto"/>
        <w:tblLook w:val="00A0"/>
      </w:tblPr>
      <w:tblGrid>
        <w:gridCol w:w="2098"/>
        <w:gridCol w:w="1142"/>
        <w:gridCol w:w="247"/>
        <w:gridCol w:w="1037"/>
        <w:gridCol w:w="767"/>
        <w:gridCol w:w="1037"/>
        <w:gridCol w:w="767"/>
        <w:gridCol w:w="1037"/>
        <w:gridCol w:w="767"/>
      </w:tblGrid>
      <w:tr w:rsidR="00F627B2" w:rsidRPr="004648C4" w:rsidTr="00F627B2">
        <w:trPr>
          <w:cnfStyle w:val="100000000000"/>
          <w:trHeight w:val="225"/>
        </w:trPr>
        <w:tc>
          <w:tcPr>
            <w:cnfStyle w:val="001000000000"/>
            <w:tcW w:w="0" w:type="auto"/>
            <w:vAlign w:val="center"/>
          </w:tcPr>
          <w:p w:rsidR="00F627B2" w:rsidRPr="004648C4" w:rsidRDefault="00F627B2" w:rsidP="003F019C">
            <w:pPr>
              <w:autoSpaceDE w:val="0"/>
              <w:autoSpaceDN w:val="0"/>
              <w:adjustRightInd w:val="0"/>
              <w:spacing w:line="360" w:lineRule="auto"/>
              <w:jc w:val="center"/>
              <w:rPr>
                <w:rFonts w:ascii="Arial" w:hAnsi="Arial" w:cs="Arial"/>
                <w:color w:val="000000"/>
                <w:sz w:val="18"/>
                <w:szCs w:val="18"/>
                <w:lang w:val="en-US"/>
              </w:rPr>
            </w:pPr>
          </w:p>
        </w:tc>
        <w:tc>
          <w:tcPr>
            <w:cnfStyle w:val="000010000000"/>
            <w:tcW w:w="0" w:type="auto"/>
            <w:tcBorders>
              <w:bottom w:val="single" w:sz="8" w:space="0" w:color="4F81BD" w:themeColor="accent1"/>
            </w:tcBorders>
            <w:vAlign w:val="center"/>
          </w:tcPr>
          <w:p w:rsidR="00F627B2" w:rsidRPr="004648C4" w:rsidRDefault="00F627B2" w:rsidP="003F019C">
            <w:pPr>
              <w:autoSpaceDE w:val="0"/>
              <w:autoSpaceDN w:val="0"/>
              <w:adjustRightInd w:val="0"/>
              <w:spacing w:line="360" w:lineRule="auto"/>
              <w:jc w:val="center"/>
              <w:rPr>
                <w:rFonts w:ascii="Arial" w:hAnsi="Arial" w:cs="Arial"/>
                <w:color w:val="000000"/>
                <w:sz w:val="18"/>
                <w:szCs w:val="18"/>
                <w:lang w:val="en-US"/>
              </w:rPr>
            </w:pPr>
          </w:p>
        </w:tc>
        <w:tc>
          <w:tcPr>
            <w:tcW w:w="0" w:type="auto"/>
            <w:tcBorders>
              <w:bottom w:val="single" w:sz="8" w:space="0" w:color="4F81BD" w:themeColor="accent1"/>
              <w:right w:val="single" w:sz="4" w:space="0" w:color="FFFFFF" w:themeColor="background1"/>
            </w:tcBorders>
            <w:vAlign w:val="center"/>
          </w:tcPr>
          <w:p w:rsidR="00F627B2" w:rsidRPr="004648C4" w:rsidRDefault="00F627B2" w:rsidP="003F019C">
            <w:pPr>
              <w:autoSpaceDE w:val="0"/>
              <w:autoSpaceDN w:val="0"/>
              <w:adjustRightInd w:val="0"/>
              <w:spacing w:line="360" w:lineRule="auto"/>
              <w:jc w:val="center"/>
              <w:cnfStyle w:val="100000000000"/>
              <w:rPr>
                <w:rFonts w:ascii="Arial" w:hAnsi="Arial" w:cs="Arial"/>
                <w:color w:val="000000"/>
                <w:sz w:val="18"/>
                <w:szCs w:val="18"/>
                <w:lang w:val="en-US"/>
              </w:rPr>
            </w:pPr>
          </w:p>
        </w:tc>
        <w:tc>
          <w:tcPr>
            <w:cnfStyle w:val="000010000000"/>
            <w:tcW w:w="0" w:type="auto"/>
            <w:gridSpan w:val="2"/>
            <w:tcBorders>
              <w:left w:val="single" w:sz="4" w:space="0" w:color="FFFFFF" w:themeColor="background1"/>
              <w:right w:val="single" w:sz="4" w:space="0" w:color="FFFFFF" w:themeColor="background1"/>
            </w:tcBorders>
            <w:vAlign w:val="center"/>
          </w:tcPr>
          <w:p w:rsidR="00F627B2" w:rsidRPr="004648C4" w:rsidRDefault="00F627B2" w:rsidP="003F019C">
            <w:pPr>
              <w:autoSpaceDE w:val="0"/>
              <w:autoSpaceDN w:val="0"/>
              <w:adjustRightInd w:val="0"/>
              <w:spacing w:line="360" w:lineRule="auto"/>
              <w:jc w:val="center"/>
              <w:rPr>
                <w:rFonts w:ascii="Arial" w:hAnsi="Arial" w:cs="Arial"/>
                <w:sz w:val="18"/>
                <w:szCs w:val="18"/>
              </w:rPr>
            </w:pPr>
            <w:r>
              <w:rPr>
                <w:rFonts w:ascii="Arial" w:hAnsi="Arial" w:cs="Arial"/>
                <w:sz w:val="18"/>
                <w:szCs w:val="18"/>
              </w:rPr>
              <w:t>levels</w:t>
            </w:r>
          </w:p>
        </w:tc>
        <w:tc>
          <w:tcPr>
            <w:tcW w:w="0" w:type="auto"/>
            <w:gridSpan w:val="2"/>
            <w:tcBorders>
              <w:top w:val="single" w:sz="8" w:space="0" w:color="4F81BD" w:themeColor="accent1"/>
              <w:left w:val="single" w:sz="4" w:space="0" w:color="FFFFFF" w:themeColor="background1"/>
              <w:right w:val="single" w:sz="4" w:space="0" w:color="FFFFFF" w:themeColor="background1"/>
            </w:tcBorders>
            <w:vAlign w:val="center"/>
          </w:tcPr>
          <w:p w:rsidR="00F627B2" w:rsidRPr="004648C4" w:rsidRDefault="00F627B2" w:rsidP="003F019C">
            <w:pPr>
              <w:autoSpaceDE w:val="0"/>
              <w:autoSpaceDN w:val="0"/>
              <w:adjustRightInd w:val="0"/>
              <w:spacing w:line="360" w:lineRule="auto"/>
              <w:jc w:val="center"/>
              <w:cnfStyle w:val="100000000000"/>
              <w:rPr>
                <w:rFonts w:ascii="Arial" w:hAnsi="Arial" w:cs="Arial"/>
                <w:sz w:val="18"/>
                <w:szCs w:val="18"/>
              </w:rPr>
            </w:pPr>
            <w:r>
              <w:rPr>
                <w:rFonts w:ascii="Arial" w:hAnsi="Arial" w:cs="Arial"/>
                <w:sz w:val="18"/>
                <w:szCs w:val="18"/>
              </w:rPr>
              <w:t>first difference</w:t>
            </w:r>
          </w:p>
        </w:tc>
        <w:tc>
          <w:tcPr>
            <w:cnfStyle w:val="000010000000"/>
            <w:tcW w:w="0" w:type="auto"/>
            <w:gridSpan w:val="2"/>
            <w:tcBorders>
              <w:left w:val="single" w:sz="4" w:space="0" w:color="FFFFFF" w:themeColor="background1"/>
            </w:tcBorders>
            <w:vAlign w:val="center"/>
          </w:tcPr>
          <w:p w:rsidR="00F627B2" w:rsidRPr="004648C4" w:rsidRDefault="00F627B2" w:rsidP="003F019C">
            <w:pPr>
              <w:autoSpaceDE w:val="0"/>
              <w:autoSpaceDN w:val="0"/>
              <w:adjustRightInd w:val="0"/>
              <w:spacing w:line="360" w:lineRule="auto"/>
              <w:jc w:val="center"/>
              <w:rPr>
                <w:rFonts w:ascii="Arial" w:hAnsi="Arial" w:cs="Arial"/>
                <w:sz w:val="18"/>
                <w:szCs w:val="18"/>
              </w:rPr>
            </w:pPr>
            <w:r>
              <w:rPr>
                <w:rFonts w:ascii="Arial" w:hAnsi="Arial" w:cs="Arial"/>
                <w:sz w:val="18"/>
                <w:szCs w:val="18"/>
              </w:rPr>
              <w:t>second difference</w:t>
            </w:r>
          </w:p>
        </w:tc>
      </w:tr>
      <w:tr w:rsidR="00F627B2" w:rsidRPr="004648C4" w:rsidTr="00F627B2">
        <w:trPr>
          <w:cnfStyle w:val="000000100000"/>
          <w:trHeight w:val="225"/>
        </w:trPr>
        <w:tc>
          <w:tcPr>
            <w:cnfStyle w:val="001000000000"/>
            <w:tcW w:w="0" w:type="auto"/>
            <w:shd w:val="clear" w:color="auto" w:fill="4F81BD" w:themeFill="accent1"/>
            <w:vAlign w:val="center"/>
          </w:tcPr>
          <w:p w:rsidR="003F019C" w:rsidRPr="004648C4" w:rsidRDefault="003F019C" w:rsidP="003F019C">
            <w:pPr>
              <w:autoSpaceDE w:val="0"/>
              <w:autoSpaceDN w:val="0"/>
              <w:adjustRightInd w:val="0"/>
              <w:spacing w:line="360" w:lineRule="auto"/>
              <w:jc w:val="center"/>
              <w:rPr>
                <w:rFonts w:ascii="Arial" w:hAnsi="Arial" w:cs="Arial"/>
                <w:color w:val="000000"/>
                <w:sz w:val="18"/>
                <w:szCs w:val="18"/>
                <w:lang w:val="en-US"/>
              </w:rPr>
            </w:pPr>
          </w:p>
        </w:tc>
        <w:tc>
          <w:tcPr>
            <w:cnfStyle w:val="000010000000"/>
            <w:tcW w:w="0" w:type="auto"/>
            <w:shd w:val="clear" w:color="auto" w:fill="4F81BD" w:themeFill="accent1"/>
            <w:vAlign w:val="center"/>
          </w:tcPr>
          <w:p w:rsidR="003F019C" w:rsidRPr="00F627B2" w:rsidRDefault="003F019C" w:rsidP="003F019C">
            <w:pPr>
              <w:autoSpaceDE w:val="0"/>
              <w:autoSpaceDN w:val="0"/>
              <w:adjustRightInd w:val="0"/>
              <w:spacing w:line="360" w:lineRule="auto"/>
              <w:jc w:val="center"/>
              <w:rPr>
                <w:rFonts w:ascii="Arial" w:hAnsi="Arial" w:cs="Arial"/>
                <w:color w:val="FFFFFF" w:themeColor="background1"/>
                <w:sz w:val="18"/>
                <w:szCs w:val="18"/>
                <w:lang w:val="en-US"/>
              </w:rPr>
            </w:pPr>
          </w:p>
        </w:tc>
        <w:tc>
          <w:tcPr>
            <w:tcW w:w="0" w:type="auto"/>
            <w:tcBorders>
              <w:right w:val="single" w:sz="4" w:space="0" w:color="FFFFFF" w:themeColor="background1"/>
            </w:tcBorders>
            <w:shd w:val="clear" w:color="auto" w:fill="4F81BD" w:themeFill="accent1"/>
            <w:vAlign w:val="center"/>
          </w:tcPr>
          <w:p w:rsidR="003F019C" w:rsidRPr="00F627B2" w:rsidRDefault="003F019C" w:rsidP="003F019C">
            <w:pPr>
              <w:autoSpaceDE w:val="0"/>
              <w:autoSpaceDN w:val="0"/>
              <w:adjustRightInd w:val="0"/>
              <w:spacing w:line="360" w:lineRule="auto"/>
              <w:jc w:val="center"/>
              <w:cnfStyle w:val="000000100000"/>
              <w:rPr>
                <w:rFonts w:ascii="Arial" w:hAnsi="Arial" w:cs="Arial"/>
                <w:color w:val="FFFFFF" w:themeColor="background1"/>
                <w:sz w:val="18"/>
                <w:szCs w:val="18"/>
                <w:lang w:val="en-US"/>
              </w:rPr>
            </w:pPr>
          </w:p>
        </w:tc>
        <w:tc>
          <w:tcPr>
            <w:cnfStyle w:val="000010000000"/>
            <w:tcW w:w="0" w:type="auto"/>
            <w:tcBorders>
              <w:left w:val="single" w:sz="4" w:space="0" w:color="FFFFFF" w:themeColor="background1"/>
            </w:tcBorders>
            <w:shd w:val="clear" w:color="auto" w:fill="4F81BD" w:themeFill="accent1"/>
            <w:vAlign w:val="center"/>
          </w:tcPr>
          <w:p w:rsidR="003F019C" w:rsidRPr="00F627B2" w:rsidRDefault="003F019C" w:rsidP="003F019C">
            <w:pPr>
              <w:autoSpaceDE w:val="0"/>
              <w:autoSpaceDN w:val="0"/>
              <w:adjustRightInd w:val="0"/>
              <w:spacing w:line="360" w:lineRule="auto"/>
              <w:jc w:val="center"/>
              <w:rPr>
                <w:rFonts w:ascii="Arial" w:hAnsi="Arial" w:cs="Arial"/>
                <w:b/>
                <w:color w:val="FFFFFF" w:themeColor="background1"/>
                <w:sz w:val="18"/>
                <w:szCs w:val="18"/>
              </w:rPr>
            </w:pPr>
            <w:r w:rsidRPr="00F627B2">
              <w:rPr>
                <w:rFonts w:ascii="Arial" w:hAnsi="Arial" w:cs="Arial"/>
                <w:b/>
                <w:color w:val="FFFFFF" w:themeColor="background1"/>
                <w:sz w:val="18"/>
                <w:szCs w:val="18"/>
              </w:rPr>
              <w:t>t-Statistic</w:t>
            </w:r>
          </w:p>
        </w:tc>
        <w:tc>
          <w:tcPr>
            <w:tcW w:w="0" w:type="auto"/>
            <w:tcBorders>
              <w:right w:val="single" w:sz="4" w:space="0" w:color="FFFFFF" w:themeColor="background1"/>
            </w:tcBorders>
            <w:shd w:val="clear" w:color="auto" w:fill="4F81BD" w:themeFill="accent1"/>
            <w:vAlign w:val="center"/>
          </w:tcPr>
          <w:p w:rsidR="003F019C" w:rsidRPr="00F627B2" w:rsidRDefault="0004118C" w:rsidP="003F019C">
            <w:pPr>
              <w:autoSpaceDE w:val="0"/>
              <w:autoSpaceDN w:val="0"/>
              <w:adjustRightInd w:val="0"/>
              <w:spacing w:line="360" w:lineRule="auto"/>
              <w:jc w:val="center"/>
              <w:cnfStyle w:val="000000100000"/>
              <w:rPr>
                <w:rFonts w:ascii="Arial" w:hAnsi="Arial" w:cs="Arial"/>
                <w:b/>
                <w:color w:val="FFFFFF" w:themeColor="background1"/>
                <w:sz w:val="18"/>
                <w:szCs w:val="18"/>
              </w:rPr>
            </w:pPr>
            <w:r>
              <w:rPr>
                <w:rFonts w:ascii="Arial" w:hAnsi="Arial" w:cs="Arial"/>
                <w:b/>
                <w:color w:val="FFFFFF" w:themeColor="background1"/>
                <w:sz w:val="18"/>
                <w:szCs w:val="18"/>
              </w:rPr>
              <w:t>Prob.</w:t>
            </w:r>
          </w:p>
        </w:tc>
        <w:tc>
          <w:tcPr>
            <w:cnfStyle w:val="000010000000"/>
            <w:tcW w:w="0" w:type="auto"/>
            <w:tcBorders>
              <w:left w:val="single" w:sz="4" w:space="0" w:color="FFFFFF" w:themeColor="background1"/>
            </w:tcBorders>
            <w:shd w:val="clear" w:color="auto" w:fill="4F81BD" w:themeFill="accent1"/>
            <w:vAlign w:val="center"/>
          </w:tcPr>
          <w:p w:rsidR="003F019C" w:rsidRPr="00F627B2" w:rsidRDefault="003F019C" w:rsidP="003F019C">
            <w:pPr>
              <w:autoSpaceDE w:val="0"/>
              <w:autoSpaceDN w:val="0"/>
              <w:adjustRightInd w:val="0"/>
              <w:spacing w:line="360" w:lineRule="auto"/>
              <w:jc w:val="center"/>
              <w:rPr>
                <w:rFonts w:ascii="Arial" w:hAnsi="Arial" w:cs="Arial"/>
                <w:b/>
                <w:color w:val="FFFFFF" w:themeColor="background1"/>
                <w:sz w:val="18"/>
                <w:szCs w:val="18"/>
              </w:rPr>
            </w:pPr>
            <w:r w:rsidRPr="00F627B2">
              <w:rPr>
                <w:rFonts w:ascii="Arial" w:hAnsi="Arial" w:cs="Arial"/>
                <w:b/>
                <w:color w:val="FFFFFF" w:themeColor="background1"/>
                <w:sz w:val="18"/>
                <w:szCs w:val="18"/>
              </w:rPr>
              <w:t>t-Statistic</w:t>
            </w:r>
          </w:p>
        </w:tc>
        <w:tc>
          <w:tcPr>
            <w:tcW w:w="0" w:type="auto"/>
            <w:tcBorders>
              <w:right w:val="single" w:sz="4" w:space="0" w:color="FFFFFF" w:themeColor="background1"/>
            </w:tcBorders>
            <w:shd w:val="clear" w:color="auto" w:fill="4F81BD" w:themeFill="accent1"/>
            <w:vAlign w:val="center"/>
          </w:tcPr>
          <w:p w:rsidR="003F019C" w:rsidRPr="00F627B2" w:rsidRDefault="0004118C" w:rsidP="003F019C">
            <w:pPr>
              <w:autoSpaceDE w:val="0"/>
              <w:autoSpaceDN w:val="0"/>
              <w:adjustRightInd w:val="0"/>
              <w:spacing w:line="360" w:lineRule="auto"/>
              <w:jc w:val="center"/>
              <w:cnfStyle w:val="000000100000"/>
              <w:rPr>
                <w:rFonts w:ascii="Arial" w:hAnsi="Arial" w:cs="Arial"/>
                <w:b/>
                <w:color w:val="FFFFFF" w:themeColor="background1"/>
                <w:sz w:val="18"/>
                <w:szCs w:val="18"/>
              </w:rPr>
            </w:pPr>
            <w:r>
              <w:rPr>
                <w:rFonts w:ascii="Arial" w:hAnsi="Arial" w:cs="Arial"/>
                <w:b/>
                <w:color w:val="FFFFFF" w:themeColor="background1"/>
                <w:sz w:val="18"/>
                <w:szCs w:val="18"/>
              </w:rPr>
              <w:t>Prob.</w:t>
            </w:r>
          </w:p>
        </w:tc>
        <w:tc>
          <w:tcPr>
            <w:cnfStyle w:val="000010000000"/>
            <w:tcW w:w="0" w:type="auto"/>
            <w:tcBorders>
              <w:left w:val="single" w:sz="4" w:space="0" w:color="FFFFFF" w:themeColor="background1"/>
            </w:tcBorders>
            <w:shd w:val="clear" w:color="auto" w:fill="4F81BD" w:themeFill="accent1"/>
            <w:vAlign w:val="center"/>
          </w:tcPr>
          <w:p w:rsidR="003F019C" w:rsidRPr="00F627B2" w:rsidRDefault="003F019C" w:rsidP="003F019C">
            <w:pPr>
              <w:autoSpaceDE w:val="0"/>
              <w:autoSpaceDN w:val="0"/>
              <w:adjustRightInd w:val="0"/>
              <w:spacing w:line="360" w:lineRule="auto"/>
              <w:jc w:val="center"/>
              <w:rPr>
                <w:rFonts w:ascii="Arial" w:hAnsi="Arial" w:cs="Arial"/>
                <w:b/>
                <w:color w:val="FFFFFF" w:themeColor="background1"/>
                <w:sz w:val="18"/>
                <w:szCs w:val="18"/>
              </w:rPr>
            </w:pPr>
            <w:r w:rsidRPr="00F627B2">
              <w:rPr>
                <w:rFonts w:ascii="Arial" w:hAnsi="Arial" w:cs="Arial"/>
                <w:b/>
                <w:color w:val="FFFFFF" w:themeColor="background1"/>
                <w:sz w:val="18"/>
                <w:szCs w:val="18"/>
              </w:rPr>
              <w:t>t-Statistic</w:t>
            </w:r>
          </w:p>
        </w:tc>
        <w:tc>
          <w:tcPr>
            <w:tcW w:w="0" w:type="auto"/>
            <w:shd w:val="clear" w:color="auto" w:fill="4F81BD" w:themeFill="accent1"/>
            <w:vAlign w:val="center"/>
          </w:tcPr>
          <w:p w:rsidR="003F019C" w:rsidRPr="00F627B2" w:rsidRDefault="0004118C" w:rsidP="003F019C">
            <w:pPr>
              <w:autoSpaceDE w:val="0"/>
              <w:autoSpaceDN w:val="0"/>
              <w:adjustRightInd w:val="0"/>
              <w:spacing w:line="360" w:lineRule="auto"/>
              <w:jc w:val="center"/>
              <w:cnfStyle w:val="000000100000"/>
              <w:rPr>
                <w:rFonts w:ascii="Arial" w:hAnsi="Arial" w:cs="Arial"/>
                <w:b/>
                <w:color w:val="FFFFFF" w:themeColor="background1"/>
                <w:sz w:val="18"/>
                <w:szCs w:val="18"/>
              </w:rPr>
            </w:pPr>
            <w:r>
              <w:rPr>
                <w:rFonts w:ascii="Arial" w:hAnsi="Arial" w:cs="Arial"/>
                <w:b/>
                <w:color w:val="FFFFFF" w:themeColor="background1"/>
                <w:sz w:val="18"/>
                <w:szCs w:val="18"/>
              </w:rPr>
              <w:t>Prob.</w:t>
            </w:r>
          </w:p>
        </w:tc>
      </w:tr>
      <w:tr w:rsidR="003F019C" w:rsidRPr="004648C4" w:rsidTr="003F282D">
        <w:trPr>
          <w:trHeight w:hRule="exact" w:val="135"/>
        </w:trPr>
        <w:tc>
          <w:tcPr>
            <w:cnfStyle w:val="001000000000"/>
            <w:tcW w:w="0" w:type="auto"/>
            <w:tcBorders>
              <w:right w:val="nil"/>
            </w:tcBorders>
            <w:vAlign w:val="center"/>
          </w:tcPr>
          <w:p w:rsidR="003F019C" w:rsidRPr="004648C4" w:rsidRDefault="003F019C" w:rsidP="003F019C">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left w:val="nil"/>
              <w:right w:val="nil"/>
            </w:tcBorders>
            <w:vAlign w:val="center"/>
          </w:tcPr>
          <w:p w:rsidR="003F019C" w:rsidRPr="004648C4" w:rsidRDefault="003F019C" w:rsidP="003F019C">
            <w:pPr>
              <w:autoSpaceDE w:val="0"/>
              <w:autoSpaceDN w:val="0"/>
              <w:adjustRightInd w:val="0"/>
              <w:spacing w:line="360" w:lineRule="auto"/>
              <w:jc w:val="center"/>
              <w:rPr>
                <w:rFonts w:ascii="Arial" w:hAnsi="Arial" w:cs="Arial"/>
                <w:color w:val="000000"/>
                <w:sz w:val="18"/>
                <w:szCs w:val="18"/>
              </w:rPr>
            </w:pPr>
          </w:p>
        </w:tc>
        <w:tc>
          <w:tcPr>
            <w:tcW w:w="0" w:type="auto"/>
            <w:tcBorders>
              <w:left w:val="nil"/>
            </w:tcBorders>
            <w:vAlign w:val="center"/>
          </w:tcPr>
          <w:p w:rsidR="003F019C" w:rsidRPr="004648C4" w:rsidRDefault="003F019C" w:rsidP="003F019C">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vAlign w:val="center"/>
          </w:tcPr>
          <w:p w:rsidR="003F019C" w:rsidRPr="004648C4" w:rsidRDefault="003F019C" w:rsidP="003F019C">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3F019C" w:rsidRPr="004648C4" w:rsidRDefault="003F019C" w:rsidP="003F019C">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vAlign w:val="center"/>
          </w:tcPr>
          <w:p w:rsidR="003F019C" w:rsidRPr="004648C4" w:rsidRDefault="003F019C" w:rsidP="003F019C">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3F019C" w:rsidRPr="004648C4" w:rsidRDefault="003F019C" w:rsidP="003F019C">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vAlign w:val="center"/>
          </w:tcPr>
          <w:p w:rsidR="003F019C" w:rsidRPr="004648C4" w:rsidRDefault="003F019C" w:rsidP="003F019C">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3F019C" w:rsidRPr="004648C4" w:rsidRDefault="003F019C" w:rsidP="003F019C">
            <w:pPr>
              <w:autoSpaceDE w:val="0"/>
              <w:autoSpaceDN w:val="0"/>
              <w:adjustRightInd w:val="0"/>
              <w:spacing w:line="360" w:lineRule="auto"/>
              <w:jc w:val="center"/>
              <w:cnfStyle w:val="000000000000"/>
              <w:rPr>
                <w:rFonts w:ascii="Arial" w:hAnsi="Arial" w:cs="Arial"/>
                <w:color w:val="000000"/>
                <w:sz w:val="18"/>
                <w:szCs w:val="18"/>
              </w:rPr>
            </w:pPr>
          </w:p>
        </w:tc>
      </w:tr>
      <w:tr w:rsidR="003F019C" w:rsidRPr="004648C4" w:rsidTr="003F282D">
        <w:trPr>
          <w:cnfStyle w:val="000000100000"/>
          <w:trHeight w:val="225"/>
        </w:trPr>
        <w:tc>
          <w:tcPr>
            <w:cnfStyle w:val="001000000000"/>
            <w:tcW w:w="0" w:type="auto"/>
            <w:gridSpan w:val="3"/>
            <w:vAlign w:val="center"/>
          </w:tcPr>
          <w:p w:rsidR="003F019C" w:rsidRPr="004648C4" w:rsidRDefault="003F019C" w:rsidP="003F019C">
            <w:pPr>
              <w:autoSpaceDE w:val="0"/>
              <w:autoSpaceDN w:val="0"/>
              <w:adjustRightInd w:val="0"/>
              <w:spacing w:line="360" w:lineRule="auto"/>
              <w:jc w:val="center"/>
              <w:rPr>
                <w:rFonts w:ascii="Arial" w:hAnsi="Arial" w:cs="Arial"/>
                <w:color w:val="000000"/>
                <w:sz w:val="18"/>
                <w:szCs w:val="18"/>
                <w:lang w:val="en-US"/>
              </w:rPr>
            </w:pPr>
            <w:r w:rsidRPr="004648C4">
              <w:rPr>
                <w:rFonts w:ascii="Arial" w:hAnsi="Arial" w:cs="Arial"/>
                <w:color w:val="000000"/>
                <w:sz w:val="18"/>
                <w:szCs w:val="18"/>
                <w:lang w:val="en-US"/>
              </w:rPr>
              <w:t>Augmented Dickey-Fuller test statistic</w:t>
            </w:r>
          </w:p>
        </w:tc>
        <w:tc>
          <w:tcPr>
            <w:cnfStyle w:val="000010000000"/>
            <w:tcW w:w="0" w:type="auto"/>
            <w:vAlign w:val="center"/>
          </w:tcPr>
          <w:p w:rsidR="003F019C" w:rsidRPr="004648C4" w:rsidRDefault="003F019C" w:rsidP="003F019C">
            <w:pPr>
              <w:autoSpaceDE w:val="0"/>
              <w:autoSpaceDN w:val="0"/>
              <w:adjustRightInd w:val="0"/>
              <w:spacing w:line="360" w:lineRule="auto"/>
              <w:jc w:val="center"/>
              <w:rPr>
                <w:rFonts w:ascii="Arial" w:hAnsi="Arial" w:cs="Arial"/>
                <w:color w:val="000000"/>
                <w:sz w:val="18"/>
                <w:szCs w:val="18"/>
              </w:rPr>
            </w:pPr>
            <w:r w:rsidRPr="0033190C">
              <w:rPr>
                <w:rFonts w:ascii="Arial" w:hAnsi="Arial" w:cs="Arial"/>
                <w:color w:val="000000"/>
                <w:sz w:val="18"/>
                <w:szCs w:val="18"/>
              </w:rPr>
              <w:t>1.312042</w:t>
            </w:r>
          </w:p>
        </w:tc>
        <w:tc>
          <w:tcPr>
            <w:tcW w:w="0" w:type="auto"/>
            <w:vAlign w:val="center"/>
          </w:tcPr>
          <w:p w:rsidR="003F019C" w:rsidRPr="004648C4" w:rsidRDefault="003F019C" w:rsidP="003F019C">
            <w:pPr>
              <w:autoSpaceDE w:val="0"/>
              <w:autoSpaceDN w:val="0"/>
              <w:adjustRightInd w:val="0"/>
              <w:spacing w:line="360" w:lineRule="auto"/>
              <w:jc w:val="center"/>
              <w:cnfStyle w:val="000000100000"/>
              <w:rPr>
                <w:rFonts w:ascii="Arial" w:hAnsi="Arial" w:cs="Arial"/>
                <w:color w:val="000000"/>
                <w:sz w:val="18"/>
                <w:szCs w:val="18"/>
              </w:rPr>
            </w:pPr>
            <w:r w:rsidRPr="0033190C">
              <w:rPr>
                <w:rFonts w:ascii="Arial" w:hAnsi="Arial" w:cs="Arial"/>
                <w:color w:val="000000"/>
                <w:sz w:val="18"/>
                <w:szCs w:val="18"/>
              </w:rPr>
              <w:t>0.9520</w:t>
            </w:r>
          </w:p>
        </w:tc>
        <w:tc>
          <w:tcPr>
            <w:cnfStyle w:val="000010000000"/>
            <w:tcW w:w="0" w:type="auto"/>
            <w:vAlign w:val="center"/>
          </w:tcPr>
          <w:p w:rsidR="003F019C" w:rsidRPr="004648C4" w:rsidRDefault="003F019C" w:rsidP="003F019C">
            <w:pPr>
              <w:autoSpaceDE w:val="0"/>
              <w:autoSpaceDN w:val="0"/>
              <w:adjustRightInd w:val="0"/>
              <w:spacing w:line="360" w:lineRule="auto"/>
              <w:jc w:val="center"/>
              <w:rPr>
                <w:rFonts w:ascii="Arial" w:hAnsi="Arial" w:cs="Arial"/>
                <w:color w:val="000000"/>
                <w:sz w:val="18"/>
                <w:szCs w:val="18"/>
              </w:rPr>
            </w:pPr>
            <w:r w:rsidRPr="00D8702C">
              <w:rPr>
                <w:rFonts w:ascii="Arial" w:hAnsi="Arial" w:cs="Arial"/>
                <w:color w:val="000000"/>
                <w:sz w:val="18"/>
                <w:szCs w:val="18"/>
              </w:rPr>
              <w:t>-2.752162</w:t>
            </w:r>
          </w:p>
        </w:tc>
        <w:tc>
          <w:tcPr>
            <w:tcW w:w="0" w:type="auto"/>
            <w:vAlign w:val="center"/>
          </w:tcPr>
          <w:p w:rsidR="003F019C" w:rsidRPr="004648C4" w:rsidRDefault="003F019C" w:rsidP="003F019C">
            <w:pPr>
              <w:autoSpaceDE w:val="0"/>
              <w:autoSpaceDN w:val="0"/>
              <w:adjustRightInd w:val="0"/>
              <w:spacing w:line="360" w:lineRule="auto"/>
              <w:jc w:val="center"/>
              <w:cnfStyle w:val="000000100000"/>
              <w:rPr>
                <w:rFonts w:ascii="Arial" w:hAnsi="Arial" w:cs="Arial"/>
                <w:color w:val="000000"/>
                <w:sz w:val="18"/>
                <w:szCs w:val="18"/>
              </w:rPr>
            </w:pPr>
            <w:r w:rsidRPr="00D8702C">
              <w:rPr>
                <w:rFonts w:ascii="Arial" w:hAnsi="Arial" w:cs="Arial"/>
                <w:color w:val="000000"/>
                <w:sz w:val="18"/>
                <w:szCs w:val="18"/>
              </w:rPr>
              <w:t>0.0673</w:t>
            </w:r>
          </w:p>
        </w:tc>
        <w:tc>
          <w:tcPr>
            <w:cnfStyle w:val="000010000000"/>
            <w:tcW w:w="0" w:type="auto"/>
            <w:vAlign w:val="center"/>
          </w:tcPr>
          <w:p w:rsidR="003F019C" w:rsidRPr="004648C4" w:rsidRDefault="003F019C" w:rsidP="003F019C">
            <w:pPr>
              <w:autoSpaceDE w:val="0"/>
              <w:autoSpaceDN w:val="0"/>
              <w:adjustRightInd w:val="0"/>
              <w:spacing w:line="360" w:lineRule="auto"/>
              <w:jc w:val="center"/>
              <w:rPr>
                <w:rFonts w:ascii="Arial" w:hAnsi="Arial" w:cs="Arial"/>
                <w:color w:val="000000"/>
                <w:sz w:val="18"/>
                <w:szCs w:val="18"/>
              </w:rPr>
            </w:pPr>
            <w:r w:rsidRPr="003F019C">
              <w:rPr>
                <w:rFonts w:ascii="Arial" w:hAnsi="Arial" w:cs="Arial"/>
                <w:color w:val="000000"/>
                <w:sz w:val="18"/>
                <w:szCs w:val="18"/>
              </w:rPr>
              <w:t>-14.03521</w:t>
            </w:r>
          </w:p>
        </w:tc>
        <w:tc>
          <w:tcPr>
            <w:tcW w:w="0" w:type="auto"/>
            <w:vAlign w:val="center"/>
          </w:tcPr>
          <w:p w:rsidR="003F019C" w:rsidRPr="004648C4" w:rsidRDefault="003F019C" w:rsidP="003F019C">
            <w:pPr>
              <w:autoSpaceDE w:val="0"/>
              <w:autoSpaceDN w:val="0"/>
              <w:adjustRightInd w:val="0"/>
              <w:spacing w:line="360" w:lineRule="auto"/>
              <w:jc w:val="center"/>
              <w:cnfStyle w:val="000000100000"/>
              <w:rPr>
                <w:rFonts w:ascii="Arial" w:hAnsi="Arial" w:cs="Arial"/>
                <w:color w:val="000000"/>
                <w:sz w:val="18"/>
                <w:szCs w:val="18"/>
              </w:rPr>
            </w:pPr>
            <w:r w:rsidRPr="003F019C">
              <w:rPr>
                <w:rFonts w:ascii="Arial" w:hAnsi="Arial" w:cs="Arial"/>
                <w:color w:val="000000"/>
                <w:sz w:val="18"/>
                <w:szCs w:val="18"/>
              </w:rPr>
              <w:t>0.0000</w:t>
            </w:r>
          </w:p>
        </w:tc>
      </w:tr>
      <w:tr w:rsidR="003F019C" w:rsidRPr="004648C4" w:rsidTr="003F282D">
        <w:trPr>
          <w:trHeight w:val="225"/>
        </w:trPr>
        <w:tc>
          <w:tcPr>
            <w:cnfStyle w:val="001000000000"/>
            <w:tcW w:w="0" w:type="auto"/>
            <w:tcBorders>
              <w:bottom w:val="nil"/>
              <w:right w:val="nil"/>
            </w:tcBorders>
            <w:vAlign w:val="center"/>
          </w:tcPr>
          <w:p w:rsidR="003F019C" w:rsidRPr="004648C4" w:rsidRDefault="003F019C" w:rsidP="003F019C">
            <w:pPr>
              <w:autoSpaceDE w:val="0"/>
              <w:autoSpaceDN w:val="0"/>
              <w:adjustRightInd w:val="0"/>
              <w:spacing w:line="360" w:lineRule="auto"/>
              <w:rPr>
                <w:rFonts w:ascii="Arial" w:hAnsi="Arial" w:cs="Arial"/>
                <w:color w:val="000000"/>
                <w:sz w:val="18"/>
                <w:szCs w:val="18"/>
              </w:rPr>
            </w:pPr>
            <w:r w:rsidRPr="004648C4">
              <w:rPr>
                <w:rFonts w:ascii="Arial" w:hAnsi="Arial" w:cs="Arial"/>
                <w:color w:val="000000"/>
                <w:sz w:val="18"/>
                <w:szCs w:val="18"/>
              </w:rPr>
              <w:t>Test critical values:</w:t>
            </w:r>
          </w:p>
        </w:tc>
        <w:tc>
          <w:tcPr>
            <w:cnfStyle w:val="000010000000"/>
            <w:tcW w:w="0" w:type="auto"/>
            <w:tcBorders>
              <w:left w:val="nil"/>
              <w:bottom w:val="nil"/>
              <w:right w:val="nil"/>
            </w:tcBorders>
            <w:vAlign w:val="center"/>
          </w:tcPr>
          <w:p w:rsidR="003F019C" w:rsidRPr="004648C4" w:rsidRDefault="003F019C" w:rsidP="003F019C">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1% level</w:t>
            </w:r>
          </w:p>
        </w:tc>
        <w:tc>
          <w:tcPr>
            <w:tcW w:w="0" w:type="auto"/>
            <w:tcBorders>
              <w:left w:val="nil"/>
              <w:bottom w:val="nil"/>
            </w:tcBorders>
            <w:vAlign w:val="center"/>
          </w:tcPr>
          <w:p w:rsidR="003F019C" w:rsidRPr="004648C4" w:rsidRDefault="003F019C" w:rsidP="003F019C">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bottom w:val="nil"/>
            </w:tcBorders>
          </w:tcPr>
          <w:p w:rsidR="003F019C" w:rsidRPr="0033190C" w:rsidRDefault="003F019C" w:rsidP="003F019C">
            <w:pPr>
              <w:autoSpaceDE w:val="0"/>
              <w:autoSpaceDN w:val="0"/>
              <w:adjustRightInd w:val="0"/>
              <w:jc w:val="center"/>
              <w:rPr>
                <w:rFonts w:ascii="Arial" w:hAnsi="Arial" w:cs="Arial"/>
                <w:color w:val="000000"/>
                <w:sz w:val="18"/>
                <w:szCs w:val="18"/>
              </w:rPr>
            </w:pPr>
            <w:r w:rsidRPr="0033190C">
              <w:rPr>
                <w:rFonts w:ascii="Arial" w:hAnsi="Arial" w:cs="Arial"/>
                <w:color w:val="000000"/>
                <w:sz w:val="18"/>
                <w:szCs w:val="18"/>
              </w:rPr>
              <w:t>-2.577255</w:t>
            </w:r>
          </w:p>
        </w:tc>
        <w:tc>
          <w:tcPr>
            <w:tcW w:w="0" w:type="auto"/>
            <w:tcBorders>
              <w:bottom w:val="nil"/>
            </w:tcBorders>
            <w:vAlign w:val="center"/>
          </w:tcPr>
          <w:p w:rsidR="003F019C" w:rsidRPr="004648C4" w:rsidRDefault="003F019C" w:rsidP="003F019C">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bottom w:val="nil"/>
            </w:tcBorders>
            <w:vAlign w:val="center"/>
          </w:tcPr>
          <w:p w:rsidR="003F019C" w:rsidRPr="00D8702C" w:rsidRDefault="003F019C" w:rsidP="003F019C">
            <w:pPr>
              <w:autoSpaceDE w:val="0"/>
              <w:autoSpaceDN w:val="0"/>
              <w:adjustRightInd w:val="0"/>
              <w:jc w:val="center"/>
              <w:rPr>
                <w:rFonts w:ascii="Arial" w:hAnsi="Arial" w:cs="Arial"/>
                <w:color w:val="000000"/>
                <w:sz w:val="18"/>
                <w:szCs w:val="18"/>
              </w:rPr>
            </w:pPr>
            <w:r w:rsidRPr="00D8702C">
              <w:rPr>
                <w:rFonts w:ascii="Arial" w:hAnsi="Arial" w:cs="Arial"/>
                <w:color w:val="000000"/>
                <w:sz w:val="18"/>
                <w:szCs w:val="18"/>
              </w:rPr>
              <w:t>-3.465014</w:t>
            </w:r>
          </w:p>
        </w:tc>
        <w:tc>
          <w:tcPr>
            <w:tcW w:w="0" w:type="auto"/>
            <w:tcBorders>
              <w:bottom w:val="nil"/>
            </w:tcBorders>
            <w:vAlign w:val="center"/>
          </w:tcPr>
          <w:p w:rsidR="003F019C" w:rsidRPr="004648C4" w:rsidRDefault="003F019C" w:rsidP="003F019C">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bottom w:val="nil"/>
            </w:tcBorders>
            <w:vAlign w:val="center"/>
          </w:tcPr>
          <w:p w:rsidR="003F019C" w:rsidRPr="003F019C" w:rsidRDefault="003F019C" w:rsidP="003F019C">
            <w:pPr>
              <w:autoSpaceDE w:val="0"/>
              <w:autoSpaceDN w:val="0"/>
              <w:adjustRightInd w:val="0"/>
              <w:jc w:val="center"/>
              <w:rPr>
                <w:rFonts w:ascii="Arial" w:hAnsi="Arial" w:cs="Arial"/>
                <w:color w:val="000000"/>
                <w:sz w:val="18"/>
                <w:szCs w:val="18"/>
              </w:rPr>
            </w:pPr>
            <w:r w:rsidRPr="003F019C">
              <w:rPr>
                <w:rFonts w:ascii="Arial" w:hAnsi="Arial" w:cs="Arial"/>
                <w:color w:val="000000"/>
                <w:sz w:val="18"/>
                <w:szCs w:val="18"/>
              </w:rPr>
              <w:t>-2.577255</w:t>
            </w:r>
          </w:p>
        </w:tc>
        <w:tc>
          <w:tcPr>
            <w:tcW w:w="0" w:type="auto"/>
            <w:tcBorders>
              <w:bottom w:val="nil"/>
            </w:tcBorders>
            <w:vAlign w:val="center"/>
          </w:tcPr>
          <w:p w:rsidR="003F019C" w:rsidRPr="004648C4" w:rsidRDefault="003F019C" w:rsidP="003F019C">
            <w:pPr>
              <w:autoSpaceDE w:val="0"/>
              <w:autoSpaceDN w:val="0"/>
              <w:adjustRightInd w:val="0"/>
              <w:spacing w:line="360" w:lineRule="auto"/>
              <w:jc w:val="center"/>
              <w:cnfStyle w:val="000000000000"/>
              <w:rPr>
                <w:rFonts w:ascii="Arial" w:hAnsi="Arial" w:cs="Arial"/>
                <w:color w:val="000000"/>
                <w:sz w:val="18"/>
                <w:szCs w:val="18"/>
              </w:rPr>
            </w:pPr>
          </w:p>
        </w:tc>
      </w:tr>
      <w:tr w:rsidR="003F019C" w:rsidRPr="004648C4" w:rsidTr="003F282D">
        <w:trPr>
          <w:cnfStyle w:val="000000100000"/>
          <w:trHeight w:val="225"/>
        </w:trPr>
        <w:tc>
          <w:tcPr>
            <w:cnfStyle w:val="001000000000"/>
            <w:tcW w:w="0" w:type="auto"/>
            <w:tcBorders>
              <w:top w:val="nil"/>
              <w:bottom w:val="nil"/>
              <w:right w:val="nil"/>
            </w:tcBorders>
            <w:vAlign w:val="center"/>
          </w:tcPr>
          <w:p w:rsidR="003F019C" w:rsidRPr="004648C4" w:rsidRDefault="003F019C" w:rsidP="003F019C">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top w:val="nil"/>
              <w:left w:val="nil"/>
              <w:bottom w:val="nil"/>
              <w:right w:val="nil"/>
            </w:tcBorders>
            <w:vAlign w:val="center"/>
          </w:tcPr>
          <w:p w:rsidR="003F019C" w:rsidRPr="004648C4" w:rsidRDefault="003F019C" w:rsidP="003F019C">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5% level</w:t>
            </w:r>
          </w:p>
        </w:tc>
        <w:tc>
          <w:tcPr>
            <w:tcW w:w="0" w:type="auto"/>
            <w:tcBorders>
              <w:top w:val="nil"/>
              <w:left w:val="nil"/>
              <w:bottom w:val="nil"/>
            </w:tcBorders>
            <w:vAlign w:val="center"/>
          </w:tcPr>
          <w:p w:rsidR="003F019C" w:rsidRPr="004648C4" w:rsidRDefault="003F019C" w:rsidP="003F019C">
            <w:pPr>
              <w:autoSpaceDE w:val="0"/>
              <w:autoSpaceDN w:val="0"/>
              <w:adjustRightInd w:val="0"/>
              <w:spacing w:line="360" w:lineRule="auto"/>
              <w:jc w:val="center"/>
              <w:cnfStyle w:val="000000100000"/>
              <w:rPr>
                <w:rFonts w:ascii="Arial" w:hAnsi="Arial" w:cs="Arial"/>
                <w:color w:val="000000"/>
                <w:sz w:val="18"/>
                <w:szCs w:val="18"/>
              </w:rPr>
            </w:pPr>
          </w:p>
        </w:tc>
        <w:tc>
          <w:tcPr>
            <w:cnfStyle w:val="000010000000"/>
            <w:tcW w:w="0" w:type="auto"/>
            <w:tcBorders>
              <w:top w:val="nil"/>
              <w:bottom w:val="nil"/>
            </w:tcBorders>
          </w:tcPr>
          <w:p w:rsidR="003F019C" w:rsidRPr="0033190C" w:rsidRDefault="003F019C" w:rsidP="003F019C">
            <w:pPr>
              <w:autoSpaceDE w:val="0"/>
              <w:autoSpaceDN w:val="0"/>
              <w:adjustRightInd w:val="0"/>
              <w:jc w:val="center"/>
              <w:rPr>
                <w:rFonts w:ascii="Arial" w:hAnsi="Arial" w:cs="Arial"/>
                <w:color w:val="000000"/>
                <w:sz w:val="18"/>
                <w:szCs w:val="18"/>
              </w:rPr>
            </w:pPr>
            <w:r w:rsidRPr="0033190C">
              <w:rPr>
                <w:rFonts w:ascii="Arial" w:hAnsi="Arial" w:cs="Arial"/>
                <w:color w:val="000000"/>
                <w:sz w:val="18"/>
                <w:szCs w:val="18"/>
              </w:rPr>
              <w:t>-1.942517</w:t>
            </w:r>
          </w:p>
        </w:tc>
        <w:tc>
          <w:tcPr>
            <w:tcW w:w="0" w:type="auto"/>
            <w:tcBorders>
              <w:top w:val="nil"/>
              <w:bottom w:val="nil"/>
            </w:tcBorders>
            <w:vAlign w:val="center"/>
          </w:tcPr>
          <w:p w:rsidR="003F019C" w:rsidRPr="004648C4" w:rsidRDefault="003F019C" w:rsidP="003F019C">
            <w:pPr>
              <w:autoSpaceDE w:val="0"/>
              <w:autoSpaceDN w:val="0"/>
              <w:adjustRightInd w:val="0"/>
              <w:spacing w:line="360" w:lineRule="auto"/>
              <w:jc w:val="center"/>
              <w:cnfStyle w:val="000000100000"/>
              <w:rPr>
                <w:rFonts w:ascii="Arial" w:hAnsi="Arial" w:cs="Arial"/>
                <w:color w:val="000000"/>
                <w:sz w:val="18"/>
                <w:szCs w:val="18"/>
              </w:rPr>
            </w:pPr>
          </w:p>
        </w:tc>
        <w:tc>
          <w:tcPr>
            <w:cnfStyle w:val="000010000000"/>
            <w:tcW w:w="0" w:type="auto"/>
            <w:tcBorders>
              <w:top w:val="nil"/>
              <w:bottom w:val="nil"/>
            </w:tcBorders>
            <w:vAlign w:val="center"/>
          </w:tcPr>
          <w:p w:rsidR="003F019C" w:rsidRPr="00D8702C" w:rsidRDefault="003F019C" w:rsidP="003F019C">
            <w:pPr>
              <w:autoSpaceDE w:val="0"/>
              <w:autoSpaceDN w:val="0"/>
              <w:adjustRightInd w:val="0"/>
              <w:jc w:val="center"/>
              <w:rPr>
                <w:rFonts w:ascii="Arial" w:hAnsi="Arial" w:cs="Arial"/>
                <w:color w:val="000000"/>
                <w:sz w:val="18"/>
                <w:szCs w:val="18"/>
              </w:rPr>
            </w:pPr>
            <w:r w:rsidRPr="00D8702C">
              <w:rPr>
                <w:rFonts w:ascii="Arial" w:hAnsi="Arial" w:cs="Arial"/>
                <w:color w:val="000000"/>
                <w:sz w:val="18"/>
                <w:szCs w:val="18"/>
              </w:rPr>
              <w:t>-2.876677</w:t>
            </w:r>
          </w:p>
        </w:tc>
        <w:tc>
          <w:tcPr>
            <w:tcW w:w="0" w:type="auto"/>
            <w:tcBorders>
              <w:top w:val="nil"/>
              <w:bottom w:val="nil"/>
            </w:tcBorders>
            <w:vAlign w:val="center"/>
          </w:tcPr>
          <w:p w:rsidR="003F019C" w:rsidRPr="004648C4" w:rsidRDefault="003F019C" w:rsidP="003F019C">
            <w:pPr>
              <w:autoSpaceDE w:val="0"/>
              <w:autoSpaceDN w:val="0"/>
              <w:adjustRightInd w:val="0"/>
              <w:spacing w:line="360" w:lineRule="auto"/>
              <w:jc w:val="center"/>
              <w:cnfStyle w:val="000000100000"/>
              <w:rPr>
                <w:rFonts w:ascii="Arial" w:hAnsi="Arial" w:cs="Arial"/>
                <w:color w:val="000000"/>
                <w:sz w:val="18"/>
                <w:szCs w:val="18"/>
              </w:rPr>
            </w:pPr>
          </w:p>
        </w:tc>
        <w:tc>
          <w:tcPr>
            <w:cnfStyle w:val="000010000000"/>
            <w:tcW w:w="0" w:type="auto"/>
            <w:tcBorders>
              <w:top w:val="nil"/>
              <w:bottom w:val="nil"/>
            </w:tcBorders>
            <w:vAlign w:val="center"/>
          </w:tcPr>
          <w:p w:rsidR="003F019C" w:rsidRPr="003F019C" w:rsidRDefault="003F019C" w:rsidP="003F019C">
            <w:pPr>
              <w:autoSpaceDE w:val="0"/>
              <w:autoSpaceDN w:val="0"/>
              <w:adjustRightInd w:val="0"/>
              <w:jc w:val="center"/>
              <w:rPr>
                <w:rFonts w:ascii="Arial" w:hAnsi="Arial" w:cs="Arial"/>
                <w:color w:val="000000"/>
                <w:sz w:val="18"/>
                <w:szCs w:val="18"/>
              </w:rPr>
            </w:pPr>
            <w:r w:rsidRPr="003F019C">
              <w:rPr>
                <w:rFonts w:ascii="Arial" w:hAnsi="Arial" w:cs="Arial"/>
                <w:color w:val="000000"/>
                <w:sz w:val="18"/>
                <w:szCs w:val="18"/>
              </w:rPr>
              <w:t>-1.942517</w:t>
            </w:r>
          </w:p>
        </w:tc>
        <w:tc>
          <w:tcPr>
            <w:tcW w:w="0" w:type="auto"/>
            <w:tcBorders>
              <w:top w:val="nil"/>
              <w:bottom w:val="nil"/>
            </w:tcBorders>
            <w:vAlign w:val="center"/>
          </w:tcPr>
          <w:p w:rsidR="003F019C" w:rsidRPr="004648C4" w:rsidRDefault="003F019C" w:rsidP="003F019C">
            <w:pPr>
              <w:autoSpaceDE w:val="0"/>
              <w:autoSpaceDN w:val="0"/>
              <w:adjustRightInd w:val="0"/>
              <w:spacing w:line="360" w:lineRule="auto"/>
              <w:jc w:val="center"/>
              <w:cnfStyle w:val="000000100000"/>
              <w:rPr>
                <w:rFonts w:ascii="Arial" w:hAnsi="Arial" w:cs="Arial"/>
                <w:color w:val="000000"/>
                <w:sz w:val="18"/>
                <w:szCs w:val="18"/>
              </w:rPr>
            </w:pPr>
          </w:p>
        </w:tc>
      </w:tr>
      <w:tr w:rsidR="003F019C" w:rsidRPr="004648C4" w:rsidTr="003F282D">
        <w:trPr>
          <w:trHeight w:val="225"/>
        </w:trPr>
        <w:tc>
          <w:tcPr>
            <w:cnfStyle w:val="001000000000"/>
            <w:tcW w:w="0" w:type="auto"/>
            <w:tcBorders>
              <w:top w:val="nil"/>
              <w:right w:val="nil"/>
            </w:tcBorders>
            <w:vAlign w:val="center"/>
          </w:tcPr>
          <w:p w:rsidR="003F019C" w:rsidRPr="004648C4" w:rsidRDefault="003F019C" w:rsidP="003F019C">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top w:val="nil"/>
              <w:left w:val="nil"/>
              <w:right w:val="nil"/>
            </w:tcBorders>
            <w:vAlign w:val="center"/>
          </w:tcPr>
          <w:p w:rsidR="003F019C" w:rsidRPr="004648C4" w:rsidRDefault="003F019C" w:rsidP="003F019C">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10% level</w:t>
            </w:r>
          </w:p>
        </w:tc>
        <w:tc>
          <w:tcPr>
            <w:tcW w:w="0" w:type="auto"/>
            <w:tcBorders>
              <w:top w:val="nil"/>
              <w:left w:val="nil"/>
            </w:tcBorders>
            <w:vAlign w:val="center"/>
          </w:tcPr>
          <w:p w:rsidR="003F019C" w:rsidRPr="004648C4" w:rsidRDefault="003F019C" w:rsidP="003F019C">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top w:val="nil"/>
            </w:tcBorders>
          </w:tcPr>
          <w:p w:rsidR="003F019C" w:rsidRPr="0033190C" w:rsidRDefault="003F019C" w:rsidP="003F019C">
            <w:pPr>
              <w:autoSpaceDE w:val="0"/>
              <w:autoSpaceDN w:val="0"/>
              <w:adjustRightInd w:val="0"/>
              <w:jc w:val="center"/>
              <w:rPr>
                <w:rFonts w:ascii="Arial" w:hAnsi="Arial" w:cs="Arial"/>
                <w:color w:val="000000"/>
                <w:sz w:val="18"/>
                <w:szCs w:val="18"/>
              </w:rPr>
            </w:pPr>
            <w:r w:rsidRPr="0033190C">
              <w:rPr>
                <w:rFonts w:ascii="Arial" w:hAnsi="Arial" w:cs="Arial"/>
                <w:color w:val="000000"/>
                <w:sz w:val="18"/>
                <w:szCs w:val="18"/>
              </w:rPr>
              <w:t>-1.615583</w:t>
            </w:r>
          </w:p>
        </w:tc>
        <w:tc>
          <w:tcPr>
            <w:tcW w:w="0" w:type="auto"/>
            <w:tcBorders>
              <w:top w:val="nil"/>
            </w:tcBorders>
            <w:vAlign w:val="center"/>
          </w:tcPr>
          <w:p w:rsidR="003F019C" w:rsidRPr="004648C4" w:rsidRDefault="003F019C" w:rsidP="003F019C">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top w:val="nil"/>
            </w:tcBorders>
            <w:vAlign w:val="center"/>
          </w:tcPr>
          <w:p w:rsidR="003F019C" w:rsidRPr="00D8702C" w:rsidRDefault="003F019C" w:rsidP="003F019C">
            <w:pPr>
              <w:autoSpaceDE w:val="0"/>
              <w:autoSpaceDN w:val="0"/>
              <w:adjustRightInd w:val="0"/>
              <w:jc w:val="center"/>
              <w:rPr>
                <w:rFonts w:ascii="Arial" w:hAnsi="Arial" w:cs="Arial"/>
                <w:color w:val="000000"/>
                <w:sz w:val="18"/>
                <w:szCs w:val="18"/>
              </w:rPr>
            </w:pPr>
            <w:r w:rsidRPr="00D8702C">
              <w:rPr>
                <w:rFonts w:ascii="Arial" w:hAnsi="Arial" w:cs="Arial"/>
                <w:color w:val="000000"/>
                <w:sz w:val="18"/>
                <w:szCs w:val="18"/>
              </w:rPr>
              <w:t>-2.574917</w:t>
            </w:r>
          </w:p>
        </w:tc>
        <w:tc>
          <w:tcPr>
            <w:tcW w:w="0" w:type="auto"/>
            <w:tcBorders>
              <w:top w:val="nil"/>
            </w:tcBorders>
            <w:vAlign w:val="center"/>
          </w:tcPr>
          <w:p w:rsidR="003F019C" w:rsidRPr="004648C4" w:rsidRDefault="003F019C" w:rsidP="003F019C">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top w:val="nil"/>
            </w:tcBorders>
            <w:vAlign w:val="center"/>
          </w:tcPr>
          <w:p w:rsidR="003F019C" w:rsidRPr="003F019C" w:rsidRDefault="003F019C" w:rsidP="003F019C">
            <w:pPr>
              <w:autoSpaceDE w:val="0"/>
              <w:autoSpaceDN w:val="0"/>
              <w:adjustRightInd w:val="0"/>
              <w:jc w:val="center"/>
              <w:rPr>
                <w:rFonts w:ascii="Arial" w:hAnsi="Arial" w:cs="Arial"/>
                <w:color w:val="000000"/>
                <w:sz w:val="18"/>
                <w:szCs w:val="18"/>
              </w:rPr>
            </w:pPr>
            <w:r w:rsidRPr="003F019C">
              <w:rPr>
                <w:rFonts w:ascii="Arial" w:hAnsi="Arial" w:cs="Arial"/>
                <w:color w:val="000000"/>
                <w:sz w:val="18"/>
                <w:szCs w:val="18"/>
              </w:rPr>
              <w:t>-1.615583</w:t>
            </w:r>
          </w:p>
        </w:tc>
        <w:tc>
          <w:tcPr>
            <w:tcW w:w="0" w:type="auto"/>
            <w:tcBorders>
              <w:top w:val="nil"/>
            </w:tcBorders>
            <w:vAlign w:val="center"/>
          </w:tcPr>
          <w:p w:rsidR="003F019C" w:rsidRPr="004648C4" w:rsidRDefault="003F019C" w:rsidP="00735207">
            <w:pPr>
              <w:keepNext/>
              <w:autoSpaceDE w:val="0"/>
              <w:autoSpaceDN w:val="0"/>
              <w:adjustRightInd w:val="0"/>
              <w:spacing w:line="360" w:lineRule="auto"/>
              <w:jc w:val="center"/>
              <w:cnfStyle w:val="000000000000"/>
              <w:rPr>
                <w:rFonts w:ascii="Arial" w:hAnsi="Arial" w:cs="Arial"/>
                <w:color w:val="000000"/>
                <w:sz w:val="18"/>
                <w:szCs w:val="18"/>
              </w:rPr>
            </w:pPr>
          </w:p>
        </w:tc>
      </w:tr>
    </w:tbl>
    <w:p w:rsidR="00735207" w:rsidRPr="00735207" w:rsidRDefault="00735207" w:rsidP="00735207">
      <w:pPr>
        <w:pStyle w:val="Caption"/>
        <w:framePr w:hSpace="141" w:wrap="around" w:vAnchor="text" w:hAnchor="page" w:x="3368" w:y="2275"/>
        <w:rPr>
          <w:lang w:val="en-US"/>
        </w:rPr>
      </w:pPr>
      <w:r w:rsidRPr="00735207">
        <w:rPr>
          <w:lang w:val="en-US"/>
        </w:rPr>
        <w:t xml:space="preserve">Table </w:t>
      </w:r>
      <w:r w:rsidR="00DB780A">
        <w:fldChar w:fldCharType="begin"/>
      </w:r>
      <w:r w:rsidRPr="00735207">
        <w:rPr>
          <w:lang w:val="en-US"/>
        </w:rPr>
        <w:instrText xml:space="preserve"> SEQ Table \* ARABIC </w:instrText>
      </w:r>
      <w:r w:rsidR="00DB780A">
        <w:fldChar w:fldCharType="separate"/>
      </w:r>
      <w:r w:rsidR="004454F3">
        <w:rPr>
          <w:noProof/>
          <w:lang w:val="en-US"/>
        </w:rPr>
        <w:t>7</w:t>
      </w:r>
      <w:r w:rsidR="00DB780A">
        <w:fldChar w:fldCharType="end"/>
      </w:r>
      <w:r w:rsidRPr="00735207">
        <w:rPr>
          <w:lang w:val="en-US"/>
        </w:rPr>
        <w:t xml:space="preserve"> | Augmented Dickey-Fuller test results on net money supply</w:t>
      </w:r>
    </w:p>
    <w:p w:rsidR="007F42F6" w:rsidRDefault="00F627B2" w:rsidP="00443B38">
      <w:pPr>
        <w:spacing w:line="360" w:lineRule="auto"/>
        <w:jc w:val="both"/>
        <w:rPr>
          <w:lang w:val="en-US"/>
        </w:rPr>
      </w:pPr>
      <w:r>
        <w:rPr>
          <w:lang w:val="en-US"/>
        </w:rPr>
        <w:t>Testing the net income series</w:t>
      </w:r>
      <w:r w:rsidR="00E62129">
        <w:rPr>
          <w:lang w:val="en-US"/>
        </w:rPr>
        <w:t xml:space="preserve"> (</w:t>
      </w:r>
      <m:oMath>
        <m:acc>
          <m:accPr>
            <m:chr m:val="̃"/>
            <m:ctrlPr>
              <w:rPr>
                <w:rFonts w:ascii="Cambria Math" w:eastAsiaTheme="minorEastAsia" w:hAnsi="Cambria Math"/>
                <w:i/>
                <w:lang w:val="en-US"/>
              </w:rPr>
            </m:ctrlPr>
          </m:acc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t</m:t>
                </m:r>
              </m:sub>
            </m:sSub>
          </m:e>
        </m:acc>
      </m:oMath>
      <w:r w:rsidR="00E62129">
        <w:rPr>
          <w:lang w:val="en-US"/>
        </w:rPr>
        <w:t>)</w:t>
      </w:r>
      <w:r>
        <w:rPr>
          <w:lang w:val="en-US"/>
        </w:rPr>
        <w:t xml:space="preserve"> for existence of a unit root using the Augmented Dickey-Fuller test, shows </w:t>
      </w:r>
      <w:r w:rsidR="00102DE7">
        <w:rPr>
          <w:lang w:val="en-US"/>
        </w:rPr>
        <w:t xml:space="preserve">strong evidence of a unit root as well. </w:t>
      </w:r>
      <w:r w:rsidR="00364C97">
        <w:rPr>
          <w:lang w:val="en-US"/>
        </w:rPr>
        <w:t>The null hypothesis cannot be rejected when taking the first difference either. Only when taking the second difference, there is no evidence of the series being non-stationary. The net income series is integrated of order 2.</w:t>
      </w:r>
    </w:p>
    <w:tbl>
      <w:tblPr>
        <w:tblStyle w:val="LightList-Accent11"/>
        <w:tblpPr w:leftFromText="141" w:rightFromText="141" w:vertAnchor="text" w:horzAnchor="margin" w:tblpXSpec="center" w:tblpY="83"/>
        <w:tblW w:w="0" w:type="auto"/>
        <w:tblLook w:val="00A0"/>
      </w:tblPr>
      <w:tblGrid>
        <w:gridCol w:w="2098"/>
        <w:gridCol w:w="1142"/>
        <w:gridCol w:w="247"/>
        <w:gridCol w:w="1037"/>
        <w:gridCol w:w="767"/>
        <w:gridCol w:w="1037"/>
        <w:gridCol w:w="767"/>
        <w:gridCol w:w="1037"/>
        <w:gridCol w:w="767"/>
      </w:tblGrid>
      <w:tr w:rsidR="00102DE7" w:rsidRPr="004648C4" w:rsidTr="003F282D">
        <w:trPr>
          <w:cnfStyle w:val="100000000000"/>
          <w:trHeight w:val="225"/>
        </w:trPr>
        <w:tc>
          <w:tcPr>
            <w:cnfStyle w:val="001000000000"/>
            <w:tcW w:w="0" w:type="auto"/>
            <w:vAlign w:val="center"/>
          </w:tcPr>
          <w:p w:rsidR="00102DE7" w:rsidRPr="004648C4" w:rsidRDefault="00102DE7" w:rsidP="003F282D">
            <w:pPr>
              <w:autoSpaceDE w:val="0"/>
              <w:autoSpaceDN w:val="0"/>
              <w:adjustRightInd w:val="0"/>
              <w:spacing w:line="360" w:lineRule="auto"/>
              <w:jc w:val="center"/>
              <w:rPr>
                <w:rFonts w:ascii="Arial" w:hAnsi="Arial" w:cs="Arial"/>
                <w:color w:val="000000"/>
                <w:sz w:val="18"/>
                <w:szCs w:val="18"/>
                <w:lang w:val="en-US"/>
              </w:rPr>
            </w:pPr>
          </w:p>
        </w:tc>
        <w:tc>
          <w:tcPr>
            <w:cnfStyle w:val="000010000000"/>
            <w:tcW w:w="0" w:type="auto"/>
            <w:tcBorders>
              <w:bottom w:val="single" w:sz="8" w:space="0" w:color="4F81BD" w:themeColor="accent1"/>
            </w:tcBorders>
            <w:vAlign w:val="center"/>
          </w:tcPr>
          <w:p w:rsidR="00102DE7" w:rsidRPr="004648C4" w:rsidRDefault="00102DE7" w:rsidP="003F282D">
            <w:pPr>
              <w:autoSpaceDE w:val="0"/>
              <w:autoSpaceDN w:val="0"/>
              <w:adjustRightInd w:val="0"/>
              <w:spacing w:line="360" w:lineRule="auto"/>
              <w:jc w:val="center"/>
              <w:rPr>
                <w:rFonts w:ascii="Arial" w:hAnsi="Arial" w:cs="Arial"/>
                <w:color w:val="000000"/>
                <w:sz w:val="18"/>
                <w:szCs w:val="18"/>
                <w:lang w:val="en-US"/>
              </w:rPr>
            </w:pPr>
          </w:p>
        </w:tc>
        <w:tc>
          <w:tcPr>
            <w:tcW w:w="0" w:type="auto"/>
            <w:tcBorders>
              <w:bottom w:val="single" w:sz="8" w:space="0" w:color="4F81BD" w:themeColor="accent1"/>
              <w:right w:val="single" w:sz="4" w:space="0" w:color="FFFFFF" w:themeColor="background1"/>
            </w:tcBorders>
            <w:vAlign w:val="center"/>
          </w:tcPr>
          <w:p w:rsidR="00102DE7" w:rsidRPr="004648C4" w:rsidRDefault="00102DE7" w:rsidP="003F282D">
            <w:pPr>
              <w:autoSpaceDE w:val="0"/>
              <w:autoSpaceDN w:val="0"/>
              <w:adjustRightInd w:val="0"/>
              <w:spacing w:line="360" w:lineRule="auto"/>
              <w:jc w:val="center"/>
              <w:cnfStyle w:val="100000000000"/>
              <w:rPr>
                <w:rFonts w:ascii="Arial" w:hAnsi="Arial" w:cs="Arial"/>
                <w:color w:val="000000"/>
                <w:sz w:val="18"/>
                <w:szCs w:val="18"/>
                <w:lang w:val="en-US"/>
              </w:rPr>
            </w:pPr>
          </w:p>
        </w:tc>
        <w:tc>
          <w:tcPr>
            <w:cnfStyle w:val="000010000000"/>
            <w:tcW w:w="0" w:type="auto"/>
            <w:gridSpan w:val="2"/>
            <w:tcBorders>
              <w:left w:val="single" w:sz="4" w:space="0" w:color="FFFFFF" w:themeColor="background1"/>
              <w:right w:val="single" w:sz="4" w:space="0" w:color="FFFFFF" w:themeColor="background1"/>
            </w:tcBorders>
            <w:vAlign w:val="center"/>
          </w:tcPr>
          <w:p w:rsidR="00102DE7" w:rsidRPr="004648C4" w:rsidRDefault="00102DE7" w:rsidP="003F282D">
            <w:pPr>
              <w:autoSpaceDE w:val="0"/>
              <w:autoSpaceDN w:val="0"/>
              <w:adjustRightInd w:val="0"/>
              <w:spacing w:line="360" w:lineRule="auto"/>
              <w:jc w:val="center"/>
              <w:rPr>
                <w:rFonts w:ascii="Arial" w:hAnsi="Arial" w:cs="Arial"/>
                <w:sz w:val="18"/>
                <w:szCs w:val="18"/>
              </w:rPr>
            </w:pPr>
            <w:r>
              <w:rPr>
                <w:rFonts w:ascii="Arial" w:hAnsi="Arial" w:cs="Arial"/>
                <w:sz w:val="18"/>
                <w:szCs w:val="18"/>
              </w:rPr>
              <w:t>levels</w:t>
            </w:r>
          </w:p>
        </w:tc>
        <w:tc>
          <w:tcPr>
            <w:tcW w:w="0" w:type="auto"/>
            <w:gridSpan w:val="2"/>
            <w:tcBorders>
              <w:top w:val="single" w:sz="8" w:space="0" w:color="4F81BD" w:themeColor="accent1"/>
              <w:left w:val="single" w:sz="4" w:space="0" w:color="FFFFFF" w:themeColor="background1"/>
              <w:right w:val="single" w:sz="4" w:space="0" w:color="FFFFFF" w:themeColor="background1"/>
            </w:tcBorders>
            <w:vAlign w:val="center"/>
          </w:tcPr>
          <w:p w:rsidR="00102DE7" w:rsidRPr="004648C4" w:rsidRDefault="00102DE7" w:rsidP="003F282D">
            <w:pPr>
              <w:autoSpaceDE w:val="0"/>
              <w:autoSpaceDN w:val="0"/>
              <w:adjustRightInd w:val="0"/>
              <w:spacing w:line="360" w:lineRule="auto"/>
              <w:jc w:val="center"/>
              <w:cnfStyle w:val="100000000000"/>
              <w:rPr>
                <w:rFonts w:ascii="Arial" w:hAnsi="Arial" w:cs="Arial"/>
                <w:sz w:val="18"/>
                <w:szCs w:val="18"/>
              </w:rPr>
            </w:pPr>
            <w:r>
              <w:rPr>
                <w:rFonts w:ascii="Arial" w:hAnsi="Arial" w:cs="Arial"/>
                <w:sz w:val="18"/>
                <w:szCs w:val="18"/>
              </w:rPr>
              <w:t>first difference</w:t>
            </w:r>
          </w:p>
        </w:tc>
        <w:tc>
          <w:tcPr>
            <w:cnfStyle w:val="000010000000"/>
            <w:tcW w:w="0" w:type="auto"/>
            <w:gridSpan w:val="2"/>
            <w:tcBorders>
              <w:left w:val="single" w:sz="4" w:space="0" w:color="FFFFFF" w:themeColor="background1"/>
            </w:tcBorders>
            <w:vAlign w:val="center"/>
          </w:tcPr>
          <w:p w:rsidR="00102DE7" w:rsidRPr="004648C4" w:rsidRDefault="00102DE7" w:rsidP="003F282D">
            <w:pPr>
              <w:autoSpaceDE w:val="0"/>
              <w:autoSpaceDN w:val="0"/>
              <w:adjustRightInd w:val="0"/>
              <w:spacing w:line="360" w:lineRule="auto"/>
              <w:jc w:val="center"/>
              <w:rPr>
                <w:rFonts w:ascii="Arial" w:hAnsi="Arial" w:cs="Arial"/>
                <w:sz w:val="18"/>
                <w:szCs w:val="18"/>
              </w:rPr>
            </w:pPr>
            <w:r>
              <w:rPr>
                <w:rFonts w:ascii="Arial" w:hAnsi="Arial" w:cs="Arial"/>
                <w:sz w:val="18"/>
                <w:szCs w:val="18"/>
              </w:rPr>
              <w:t>second difference</w:t>
            </w:r>
          </w:p>
        </w:tc>
      </w:tr>
      <w:tr w:rsidR="00102DE7" w:rsidRPr="004648C4" w:rsidTr="003F282D">
        <w:trPr>
          <w:cnfStyle w:val="000000100000"/>
          <w:trHeight w:val="225"/>
        </w:trPr>
        <w:tc>
          <w:tcPr>
            <w:cnfStyle w:val="001000000000"/>
            <w:tcW w:w="0" w:type="auto"/>
            <w:shd w:val="clear" w:color="auto" w:fill="4F81BD" w:themeFill="accent1"/>
            <w:vAlign w:val="center"/>
          </w:tcPr>
          <w:p w:rsidR="00102DE7" w:rsidRPr="004648C4" w:rsidRDefault="00102DE7" w:rsidP="003F282D">
            <w:pPr>
              <w:autoSpaceDE w:val="0"/>
              <w:autoSpaceDN w:val="0"/>
              <w:adjustRightInd w:val="0"/>
              <w:spacing w:line="360" w:lineRule="auto"/>
              <w:jc w:val="center"/>
              <w:rPr>
                <w:rFonts w:ascii="Arial" w:hAnsi="Arial" w:cs="Arial"/>
                <w:color w:val="000000"/>
                <w:sz w:val="18"/>
                <w:szCs w:val="18"/>
                <w:lang w:val="en-US"/>
              </w:rPr>
            </w:pPr>
          </w:p>
        </w:tc>
        <w:tc>
          <w:tcPr>
            <w:cnfStyle w:val="000010000000"/>
            <w:tcW w:w="0" w:type="auto"/>
            <w:shd w:val="clear" w:color="auto" w:fill="4F81BD" w:themeFill="accent1"/>
            <w:vAlign w:val="center"/>
          </w:tcPr>
          <w:p w:rsidR="00102DE7" w:rsidRPr="00F627B2" w:rsidRDefault="00102DE7" w:rsidP="003F282D">
            <w:pPr>
              <w:autoSpaceDE w:val="0"/>
              <w:autoSpaceDN w:val="0"/>
              <w:adjustRightInd w:val="0"/>
              <w:spacing w:line="360" w:lineRule="auto"/>
              <w:jc w:val="center"/>
              <w:rPr>
                <w:rFonts w:ascii="Arial" w:hAnsi="Arial" w:cs="Arial"/>
                <w:color w:val="FFFFFF" w:themeColor="background1"/>
                <w:sz w:val="18"/>
                <w:szCs w:val="18"/>
                <w:lang w:val="en-US"/>
              </w:rPr>
            </w:pPr>
          </w:p>
        </w:tc>
        <w:tc>
          <w:tcPr>
            <w:tcW w:w="0" w:type="auto"/>
            <w:tcBorders>
              <w:right w:val="single" w:sz="4" w:space="0" w:color="FFFFFF" w:themeColor="background1"/>
            </w:tcBorders>
            <w:shd w:val="clear" w:color="auto" w:fill="4F81BD" w:themeFill="accent1"/>
            <w:vAlign w:val="center"/>
          </w:tcPr>
          <w:p w:rsidR="00102DE7" w:rsidRPr="00F627B2" w:rsidRDefault="00102DE7" w:rsidP="003F282D">
            <w:pPr>
              <w:autoSpaceDE w:val="0"/>
              <w:autoSpaceDN w:val="0"/>
              <w:adjustRightInd w:val="0"/>
              <w:spacing w:line="360" w:lineRule="auto"/>
              <w:jc w:val="center"/>
              <w:cnfStyle w:val="000000100000"/>
              <w:rPr>
                <w:rFonts w:ascii="Arial" w:hAnsi="Arial" w:cs="Arial"/>
                <w:color w:val="FFFFFF" w:themeColor="background1"/>
                <w:sz w:val="18"/>
                <w:szCs w:val="18"/>
                <w:lang w:val="en-US"/>
              </w:rPr>
            </w:pPr>
          </w:p>
        </w:tc>
        <w:tc>
          <w:tcPr>
            <w:cnfStyle w:val="000010000000"/>
            <w:tcW w:w="0" w:type="auto"/>
            <w:tcBorders>
              <w:left w:val="single" w:sz="4" w:space="0" w:color="FFFFFF" w:themeColor="background1"/>
            </w:tcBorders>
            <w:shd w:val="clear" w:color="auto" w:fill="4F81BD" w:themeFill="accent1"/>
            <w:vAlign w:val="center"/>
          </w:tcPr>
          <w:p w:rsidR="00102DE7" w:rsidRPr="00F627B2" w:rsidRDefault="00102DE7" w:rsidP="003F282D">
            <w:pPr>
              <w:autoSpaceDE w:val="0"/>
              <w:autoSpaceDN w:val="0"/>
              <w:adjustRightInd w:val="0"/>
              <w:spacing w:line="360" w:lineRule="auto"/>
              <w:jc w:val="center"/>
              <w:rPr>
                <w:rFonts w:ascii="Arial" w:hAnsi="Arial" w:cs="Arial"/>
                <w:b/>
                <w:color w:val="FFFFFF" w:themeColor="background1"/>
                <w:sz w:val="18"/>
                <w:szCs w:val="18"/>
              </w:rPr>
            </w:pPr>
            <w:r w:rsidRPr="00F627B2">
              <w:rPr>
                <w:rFonts w:ascii="Arial" w:hAnsi="Arial" w:cs="Arial"/>
                <w:b/>
                <w:color w:val="FFFFFF" w:themeColor="background1"/>
                <w:sz w:val="18"/>
                <w:szCs w:val="18"/>
              </w:rPr>
              <w:t>t-Statistic</w:t>
            </w:r>
          </w:p>
        </w:tc>
        <w:tc>
          <w:tcPr>
            <w:tcW w:w="0" w:type="auto"/>
            <w:tcBorders>
              <w:right w:val="single" w:sz="4" w:space="0" w:color="FFFFFF" w:themeColor="background1"/>
            </w:tcBorders>
            <w:shd w:val="clear" w:color="auto" w:fill="4F81BD" w:themeFill="accent1"/>
            <w:vAlign w:val="center"/>
          </w:tcPr>
          <w:p w:rsidR="00102DE7" w:rsidRPr="00F627B2" w:rsidRDefault="0004118C" w:rsidP="003F282D">
            <w:pPr>
              <w:autoSpaceDE w:val="0"/>
              <w:autoSpaceDN w:val="0"/>
              <w:adjustRightInd w:val="0"/>
              <w:spacing w:line="360" w:lineRule="auto"/>
              <w:jc w:val="center"/>
              <w:cnfStyle w:val="000000100000"/>
              <w:rPr>
                <w:rFonts w:ascii="Arial" w:hAnsi="Arial" w:cs="Arial"/>
                <w:b/>
                <w:color w:val="FFFFFF" w:themeColor="background1"/>
                <w:sz w:val="18"/>
                <w:szCs w:val="18"/>
              </w:rPr>
            </w:pPr>
            <w:r>
              <w:rPr>
                <w:rFonts w:ascii="Arial" w:hAnsi="Arial" w:cs="Arial"/>
                <w:b/>
                <w:color w:val="FFFFFF" w:themeColor="background1"/>
                <w:sz w:val="18"/>
                <w:szCs w:val="18"/>
              </w:rPr>
              <w:t>Prob.</w:t>
            </w:r>
          </w:p>
        </w:tc>
        <w:tc>
          <w:tcPr>
            <w:cnfStyle w:val="000010000000"/>
            <w:tcW w:w="0" w:type="auto"/>
            <w:tcBorders>
              <w:left w:val="single" w:sz="4" w:space="0" w:color="FFFFFF" w:themeColor="background1"/>
            </w:tcBorders>
            <w:shd w:val="clear" w:color="auto" w:fill="4F81BD" w:themeFill="accent1"/>
            <w:vAlign w:val="center"/>
          </w:tcPr>
          <w:p w:rsidR="00102DE7" w:rsidRPr="00F627B2" w:rsidRDefault="00102DE7" w:rsidP="003F282D">
            <w:pPr>
              <w:autoSpaceDE w:val="0"/>
              <w:autoSpaceDN w:val="0"/>
              <w:adjustRightInd w:val="0"/>
              <w:spacing w:line="360" w:lineRule="auto"/>
              <w:jc w:val="center"/>
              <w:rPr>
                <w:rFonts w:ascii="Arial" w:hAnsi="Arial" w:cs="Arial"/>
                <w:b/>
                <w:color w:val="FFFFFF" w:themeColor="background1"/>
                <w:sz w:val="18"/>
                <w:szCs w:val="18"/>
              </w:rPr>
            </w:pPr>
            <w:r w:rsidRPr="00F627B2">
              <w:rPr>
                <w:rFonts w:ascii="Arial" w:hAnsi="Arial" w:cs="Arial"/>
                <w:b/>
                <w:color w:val="FFFFFF" w:themeColor="background1"/>
                <w:sz w:val="18"/>
                <w:szCs w:val="18"/>
              </w:rPr>
              <w:t>t-Statistic</w:t>
            </w:r>
          </w:p>
        </w:tc>
        <w:tc>
          <w:tcPr>
            <w:tcW w:w="0" w:type="auto"/>
            <w:tcBorders>
              <w:right w:val="single" w:sz="4" w:space="0" w:color="FFFFFF" w:themeColor="background1"/>
            </w:tcBorders>
            <w:shd w:val="clear" w:color="auto" w:fill="4F81BD" w:themeFill="accent1"/>
            <w:vAlign w:val="center"/>
          </w:tcPr>
          <w:p w:rsidR="00102DE7" w:rsidRPr="00F627B2" w:rsidRDefault="0004118C" w:rsidP="003F282D">
            <w:pPr>
              <w:autoSpaceDE w:val="0"/>
              <w:autoSpaceDN w:val="0"/>
              <w:adjustRightInd w:val="0"/>
              <w:spacing w:line="360" w:lineRule="auto"/>
              <w:jc w:val="center"/>
              <w:cnfStyle w:val="000000100000"/>
              <w:rPr>
                <w:rFonts w:ascii="Arial" w:hAnsi="Arial" w:cs="Arial"/>
                <w:b/>
                <w:color w:val="FFFFFF" w:themeColor="background1"/>
                <w:sz w:val="18"/>
                <w:szCs w:val="18"/>
              </w:rPr>
            </w:pPr>
            <w:r>
              <w:rPr>
                <w:rFonts w:ascii="Arial" w:hAnsi="Arial" w:cs="Arial"/>
                <w:b/>
                <w:color w:val="FFFFFF" w:themeColor="background1"/>
                <w:sz w:val="18"/>
                <w:szCs w:val="18"/>
              </w:rPr>
              <w:t>Prob.</w:t>
            </w:r>
          </w:p>
        </w:tc>
        <w:tc>
          <w:tcPr>
            <w:cnfStyle w:val="000010000000"/>
            <w:tcW w:w="0" w:type="auto"/>
            <w:tcBorders>
              <w:left w:val="single" w:sz="4" w:space="0" w:color="FFFFFF" w:themeColor="background1"/>
            </w:tcBorders>
            <w:shd w:val="clear" w:color="auto" w:fill="4F81BD" w:themeFill="accent1"/>
            <w:vAlign w:val="center"/>
          </w:tcPr>
          <w:p w:rsidR="00102DE7" w:rsidRPr="00F627B2" w:rsidRDefault="00102DE7" w:rsidP="003F282D">
            <w:pPr>
              <w:autoSpaceDE w:val="0"/>
              <w:autoSpaceDN w:val="0"/>
              <w:adjustRightInd w:val="0"/>
              <w:spacing w:line="360" w:lineRule="auto"/>
              <w:jc w:val="center"/>
              <w:rPr>
                <w:rFonts w:ascii="Arial" w:hAnsi="Arial" w:cs="Arial"/>
                <w:b/>
                <w:color w:val="FFFFFF" w:themeColor="background1"/>
                <w:sz w:val="18"/>
                <w:szCs w:val="18"/>
              </w:rPr>
            </w:pPr>
            <w:r w:rsidRPr="00F627B2">
              <w:rPr>
                <w:rFonts w:ascii="Arial" w:hAnsi="Arial" w:cs="Arial"/>
                <w:b/>
                <w:color w:val="FFFFFF" w:themeColor="background1"/>
                <w:sz w:val="18"/>
                <w:szCs w:val="18"/>
              </w:rPr>
              <w:t>t-Statistic</w:t>
            </w:r>
          </w:p>
        </w:tc>
        <w:tc>
          <w:tcPr>
            <w:tcW w:w="0" w:type="auto"/>
            <w:shd w:val="clear" w:color="auto" w:fill="4F81BD" w:themeFill="accent1"/>
            <w:vAlign w:val="center"/>
          </w:tcPr>
          <w:p w:rsidR="00102DE7" w:rsidRPr="00F627B2" w:rsidRDefault="0004118C" w:rsidP="003F282D">
            <w:pPr>
              <w:autoSpaceDE w:val="0"/>
              <w:autoSpaceDN w:val="0"/>
              <w:adjustRightInd w:val="0"/>
              <w:spacing w:line="360" w:lineRule="auto"/>
              <w:jc w:val="center"/>
              <w:cnfStyle w:val="000000100000"/>
              <w:rPr>
                <w:rFonts w:ascii="Arial" w:hAnsi="Arial" w:cs="Arial"/>
                <w:b/>
                <w:color w:val="FFFFFF" w:themeColor="background1"/>
                <w:sz w:val="18"/>
                <w:szCs w:val="18"/>
              </w:rPr>
            </w:pPr>
            <w:r>
              <w:rPr>
                <w:rFonts w:ascii="Arial" w:hAnsi="Arial" w:cs="Arial"/>
                <w:b/>
                <w:color w:val="FFFFFF" w:themeColor="background1"/>
                <w:sz w:val="18"/>
                <w:szCs w:val="18"/>
              </w:rPr>
              <w:t>Prob.</w:t>
            </w:r>
          </w:p>
        </w:tc>
      </w:tr>
      <w:tr w:rsidR="00102DE7" w:rsidRPr="004648C4" w:rsidTr="003F282D">
        <w:trPr>
          <w:trHeight w:hRule="exact" w:val="135"/>
        </w:trPr>
        <w:tc>
          <w:tcPr>
            <w:cnfStyle w:val="001000000000"/>
            <w:tcW w:w="0" w:type="auto"/>
            <w:tcBorders>
              <w:right w:val="nil"/>
            </w:tcBorders>
            <w:vAlign w:val="center"/>
          </w:tcPr>
          <w:p w:rsidR="00102DE7" w:rsidRPr="004648C4" w:rsidRDefault="00102DE7" w:rsidP="003F282D">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left w:val="nil"/>
              <w:right w:val="nil"/>
            </w:tcBorders>
            <w:vAlign w:val="center"/>
          </w:tcPr>
          <w:p w:rsidR="00102DE7" w:rsidRPr="004648C4" w:rsidRDefault="00102DE7" w:rsidP="003F282D">
            <w:pPr>
              <w:autoSpaceDE w:val="0"/>
              <w:autoSpaceDN w:val="0"/>
              <w:adjustRightInd w:val="0"/>
              <w:spacing w:line="360" w:lineRule="auto"/>
              <w:jc w:val="center"/>
              <w:rPr>
                <w:rFonts w:ascii="Arial" w:hAnsi="Arial" w:cs="Arial"/>
                <w:color w:val="000000"/>
                <w:sz w:val="18"/>
                <w:szCs w:val="18"/>
              </w:rPr>
            </w:pPr>
          </w:p>
        </w:tc>
        <w:tc>
          <w:tcPr>
            <w:tcW w:w="0" w:type="auto"/>
            <w:tcBorders>
              <w:left w:val="nil"/>
            </w:tcBorders>
            <w:vAlign w:val="center"/>
          </w:tcPr>
          <w:p w:rsidR="00102DE7" w:rsidRPr="004648C4" w:rsidRDefault="00102DE7" w:rsidP="003F282D">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vAlign w:val="center"/>
          </w:tcPr>
          <w:p w:rsidR="00102DE7" w:rsidRPr="004648C4" w:rsidRDefault="00102DE7" w:rsidP="003F282D">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102DE7" w:rsidRPr="004648C4" w:rsidRDefault="00102DE7" w:rsidP="003F282D">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vAlign w:val="center"/>
          </w:tcPr>
          <w:p w:rsidR="00102DE7" w:rsidRPr="004648C4" w:rsidRDefault="00102DE7" w:rsidP="003F282D">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102DE7" w:rsidRPr="004648C4" w:rsidRDefault="00102DE7" w:rsidP="003F282D">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vAlign w:val="center"/>
          </w:tcPr>
          <w:p w:rsidR="00102DE7" w:rsidRPr="004648C4" w:rsidRDefault="00102DE7" w:rsidP="003F282D">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102DE7" w:rsidRPr="004648C4" w:rsidRDefault="00102DE7" w:rsidP="003F282D">
            <w:pPr>
              <w:autoSpaceDE w:val="0"/>
              <w:autoSpaceDN w:val="0"/>
              <w:adjustRightInd w:val="0"/>
              <w:spacing w:line="360" w:lineRule="auto"/>
              <w:jc w:val="center"/>
              <w:cnfStyle w:val="000000000000"/>
              <w:rPr>
                <w:rFonts w:ascii="Arial" w:hAnsi="Arial" w:cs="Arial"/>
                <w:color w:val="000000"/>
                <w:sz w:val="18"/>
                <w:szCs w:val="18"/>
              </w:rPr>
            </w:pPr>
          </w:p>
        </w:tc>
      </w:tr>
      <w:tr w:rsidR="00B77459" w:rsidRPr="004648C4" w:rsidTr="00364C97">
        <w:trPr>
          <w:cnfStyle w:val="000000100000"/>
          <w:trHeight w:val="225"/>
        </w:trPr>
        <w:tc>
          <w:tcPr>
            <w:cnfStyle w:val="001000000000"/>
            <w:tcW w:w="0" w:type="auto"/>
            <w:gridSpan w:val="3"/>
            <w:vAlign w:val="center"/>
          </w:tcPr>
          <w:p w:rsidR="00B77459" w:rsidRPr="004648C4" w:rsidRDefault="00B77459" w:rsidP="003F282D">
            <w:pPr>
              <w:autoSpaceDE w:val="0"/>
              <w:autoSpaceDN w:val="0"/>
              <w:adjustRightInd w:val="0"/>
              <w:spacing w:line="360" w:lineRule="auto"/>
              <w:jc w:val="center"/>
              <w:rPr>
                <w:rFonts w:ascii="Arial" w:hAnsi="Arial" w:cs="Arial"/>
                <w:color w:val="000000"/>
                <w:sz w:val="18"/>
                <w:szCs w:val="18"/>
                <w:lang w:val="en-US"/>
              </w:rPr>
            </w:pPr>
            <w:r w:rsidRPr="004648C4">
              <w:rPr>
                <w:rFonts w:ascii="Arial" w:hAnsi="Arial" w:cs="Arial"/>
                <w:color w:val="000000"/>
                <w:sz w:val="18"/>
                <w:szCs w:val="18"/>
                <w:lang w:val="en-US"/>
              </w:rPr>
              <w:t>Augmented Dickey-Fuller test statistic</w:t>
            </w:r>
          </w:p>
        </w:tc>
        <w:tc>
          <w:tcPr>
            <w:cnfStyle w:val="000010000000"/>
            <w:tcW w:w="0" w:type="auto"/>
            <w:vAlign w:val="center"/>
          </w:tcPr>
          <w:p w:rsidR="00B77459" w:rsidRPr="00102DE7" w:rsidRDefault="00B77459" w:rsidP="00364C97">
            <w:pPr>
              <w:autoSpaceDE w:val="0"/>
              <w:autoSpaceDN w:val="0"/>
              <w:adjustRightInd w:val="0"/>
              <w:jc w:val="center"/>
              <w:rPr>
                <w:rFonts w:ascii="Arial" w:hAnsi="Arial" w:cs="Arial"/>
                <w:color w:val="000000"/>
                <w:sz w:val="18"/>
                <w:szCs w:val="18"/>
              </w:rPr>
            </w:pPr>
            <w:r w:rsidRPr="00102DE7">
              <w:rPr>
                <w:rFonts w:ascii="Arial" w:hAnsi="Arial" w:cs="Arial"/>
                <w:color w:val="000000"/>
                <w:sz w:val="18"/>
                <w:szCs w:val="18"/>
              </w:rPr>
              <w:t>-2.903899</w:t>
            </w:r>
          </w:p>
        </w:tc>
        <w:tc>
          <w:tcPr>
            <w:tcW w:w="0" w:type="auto"/>
            <w:vAlign w:val="center"/>
          </w:tcPr>
          <w:p w:rsidR="00B77459" w:rsidRPr="004648C4" w:rsidRDefault="00B77459" w:rsidP="00364C97">
            <w:pPr>
              <w:autoSpaceDE w:val="0"/>
              <w:autoSpaceDN w:val="0"/>
              <w:adjustRightInd w:val="0"/>
              <w:spacing w:line="360" w:lineRule="auto"/>
              <w:jc w:val="center"/>
              <w:cnfStyle w:val="000000100000"/>
              <w:rPr>
                <w:rFonts w:ascii="Arial" w:hAnsi="Arial" w:cs="Arial"/>
                <w:color w:val="000000"/>
                <w:sz w:val="18"/>
                <w:szCs w:val="18"/>
              </w:rPr>
            </w:pPr>
            <w:r w:rsidRPr="00102DE7">
              <w:rPr>
                <w:rFonts w:ascii="Arial" w:hAnsi="Arial" w:cs="Arial"/>
                <w:color w:val="000000"/>
                <w:sz w:val="18"/>
                <w:szCs w:val="18"/>
              </w:rPr>
              <w:t>0.1638</w:t>
            </w:r>
          </w:p>
        </w:tc>
        <w:tc>
          <w:tcPr>
            <w:cnfStyle w:val="000010000000"/>
            <w:tcW w:w="0" w:type="auto"/>
            <w:vAlign w:val="center"/>
          </w:tcPr>
          <w:p w:rsidR="00B77459" w:rsidRPr="00B77459" w:rsidRDefault="00B77459" w:rsidP="00364C97">
            <w:pPr>
              <w:autoSpaceDE w:val="0"/>
              <w:autoSpaceDN w:val="0"/>
              <w:adjustRightInd w:val="0"/>
              <w:jc w:val="center"/>
              <w:rPr>
                <w:rFonts w:ascii="Arial" w:hAnsi="Arial" w:cs="Arial"/>
                <w:color w:val="000000"/>
                <w:sz w:val="18"/>
                <w:szCs w:val="18"/>
              </w:rPr>
            </w:pPr>
            <w:r w:rsidRPr="00B77459">
              <w:rPr>
                <w:rFonts w:ascii="Arial" w:hAnsi="Arial" w:cs="Arial"/>
                <w:color w:val="000000"/>
                <w:sz w:val="18"/>
                <w:szCs w:val="18"/>
              </w:rPr>
              <w:t>-1.960912</w:t>
            </w:r>
          </w:p>
        </w:tc>
        <w:tc>
          <w:tcPr>
            <w:tcW w:w="0" w:type="auto"/>
            <w:vAlign w:val="center"/>
          </w:tcPr>
          <w:p w:rsidR="00B77459" w:rsidRPr="00B77459" w:rsidRDefault="00B77459" w:rsidP="00364C97">
            <w:pPr>
              <w:autoSpaceDE w:val="0"/>
              <w:autoSpaceDN w:val="0"/>
              <w:adjustRightInd w:val="0"/>
              <w:jc w:val="center"/>
              <w:cnfStyle w:val="000000100000"/>
              <w:rPr>
                <w:rFonts w:ascii="Arial" w:hAnsi="Arial" w:cs="Arial"/>
                <w:color w:val="000000"/>
                <w:sz w:val="18"/>
                <w:szCs w:val="18"/>
              </w:rPr>
            </w:pPr>
            <w:r w:rsidRPr="00B77459">
              <w:rPr>
                <w:rFonts w:ascii="Arial" w:hAnsi="Arial" w:cs="Arial"/>
                <w:color w:val="000000"/>
                <w:sz w:val="18"/>
                <w:szCs w:val="18"/>
              </w:rPr>
              <w:t>0.6183</w:t>
            </w:r>
          </w:p>
        </w:tc>
        <w:tc>
          <w:tcPr>
            <w:cnfStyle w:val="000010000000"/>
            <w:tcW w:w="0" w:type="auto"/>
            <w:vAlign w:val="center"/>
          </w:tcPr>
          <w:p w:rsidR="00B77459" w:rsidRPr="004648C4" w:rsidRDefault="00364C97" w:rsidP="00364C97">
            <w:pPr>
              <w:autoSpaceDE w:val="0"/>
              <w:autoSpaceDN w:val="0"/>
              <w:adjustRightInd w:val="0"/>
              <w:spacing w:line="360" w:lineRule="auto"/>
              <w:jc w:val="center"/>
              <w:rPr>
                <w:rFonts w:ascii="Arial" w:hAnsi="Arial" w:cs="Arial"/>
                <w:color w:val="000000"/>
                <w:sz w:val="18"/>
                <w:szCs w:val="18"/>
              </w:rPr>
            </w:pPr>
            <w:r w:rsidRPr="00364C97">
              <w:rPr>
                <w:rFonts w:ascii="Arial" w:hAnsi="Arial" w:cs="Arial"/>
                <w:color w:val="000000"/>
                <w:sz w:val="18"/>
                <w:szCs w:val="18"/>
              </w:rPr>
              <w:t>-10.19890</w:t>
            </w:r>
          </w:p>
        </w:tc>
        <w:tc>
          <w:tcPr>
            <w:tcW w:w="0" w:type="auto"/>
            <w:vAlign w:val="center"/>
          </w:tcPr>
          <w:p w:rsidR="00B77459" w:rsidRPr="004648C4" w:rsidRDefault="00364C97" w:rsidP="00364C97">
            <w:pPr>
              <w:autoSpaceDE w:val="0"/>
              <w:autoSpaceDN w:val="0"/>
              <w:adjustRightInd w:val="0"/>
              <w:spacing w:line="360" w:lineRule="auto"/>
              <w:jc w:val="center"/>
              <w:cnfStyle w:val="000000100000"/>
              <w:rPr>
                <w:rFonts w:ascii="Arial" w:hAnsi="Arial" w:cs="Arial"/>
                <w:color w:val="000000"/>
                <w:sz w:val="18"/>
                <w:szCs w:val="18"/>
              </w:rPr>
            </w:pPr>
            <w:r w:rsidRPr="00364C97">
              <w:rPr>
                <w:rFonts w:ascii="Arial" w:hAnsi="Arial" w:cs="Arial"/>
                <w:color w:val="000000"/>
                <w:sz w:val="18"/>
                <w:szCs w:val="18"/>
              </w:rPr>
              <w:t>0.0000</w:t>
            </w:r>
          </w:p>
        </w:tc>
      </w:tr>
      <w:tr w:rsidR="00364C97" w:rsidRPr="004648C4" w:rsidTr="00364C97">
        <w:trPr>
          <w:trHeight w:val="225"/>
        </w:trPr>
        <w:tc>
          <w:tcPr>
            <w:cnfStyle w:val="001000000000"/>
            <w:tcW w:w="0" w:type="auto"/>
            <w:tcBorders>
              <w:bottom w:val="nil"/>
              <w:right w:val="nil"/>
            </w:tcBorders>
            <w:vAlign w:val="center"/>
          </w:tcPr>
          <w:p w:rsidR="00364C97" w:rsidRPr="004648C4" w:rsidRDefault="00364C97" w:rsidP="00B77459">
            <w:pPr>
              <w:autoSpaceDE w:val="0"/>
              <w:autoSpaceDN w:val="0"/>
              <w:adjustRightInd w:val="0"/>
              <w:spacing w:line="360" w:lineRule="auto"/>
              <w:rPr>
                <w:rFonts w:ascii="Arial" w:hAnsi="Arial" w:cs="Arial"/>
                <w:color w:val="000000"/>
                <w:sz w:val="18"/>
                <w:szCs w:val="18"/>
              </w:rPr>
            </w:pPr>
            <w:r w:rsidRPr="004648C4">
              <w:rPr>
                <w:rFonts w:ascii="Arial" w:hAnsi="Arial" w:cs="Arial"/>
                <w:color w:val="000000"/>
                <w:sz w:val="18"/>
                <w:szCs w:val="18"/>
              </w:rPr>
              <w:t>Test critical values:</w:t>
            </w:r>
          </w:p>
        </w:tc>
        <w:tc>
          <w:tcPr>
            <w:cnfStyle w:val="000010000000"/>
            <w:tcW w:w="0" w:type="auto"/>
            <w:tcBorders>
              <w:left w:val="nil"/>
              <w:bottom w:val="nil"/>
              <w:right w:val="nil"/>
            </w:tcBorders>
            <w:vAlign w:val="center"/>
          </w:tcPr>
          <w:p w:rsidR="00364C97" w:rsidRPr="004648C4" w:rsidRDefault="00364C97" w:rsidP="00B77459">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1% level</w:t>
            </w:r>
          </w:p>
        </w:tc>
        <w:tc>
          <w:tcPr>
            <w:tcW w:w="0" w:type="auto"/>
            <w:tcBorders>
              <w:left w:val="nil"/>
              <w:bottom w:val="nil"/>
            </w:tcBorders>
            <w:vAlign w:val="center"/>
          </w:tcPr>
          <w:p w:rsidR="00364C97" w:rsidRPr="004648C4" w:rsidRDefault="00364C97" w:rsidP="00B77459">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bottom w:val="nil"/>
            </w:tcBorders>
            <w:vAlign w:val="center"/>
          </w:tcPr>
          <w:p w:rsidR="00364C97" w:rsidRPr="00102DE7" w:rsidRDefault="00364C97" w:rsidP="00364C97">
            <w:pPr>
              <w:autoSpaceDE w:val="0"/>
              <w:autoSpaceDN w:val="0"/>
              <w:adjustRightInd w:val="0"/>
              <w:jc w:val="center"/>
              <w:rPr>
                <w:rFonts w:ascii="Arial" w:hAnsi="Arial" w:cs="Arial"/>
                <w:color w:val="000000"/>
                <w:sz w:val="18"/>
                <w:szCs w:val="18"/>
              </w:rPr>
            </w:pPr>
            <w:r w:rsidRPr="00102DE7">
              <w:rPr>
                <w:rFonts w:ascii="Arial" w:hAnsi="Arial" w:cs="Arial"/>
                <w:color w:val="000000"/>
                <w:sz w:val="18"/>
                <w:szCs w:val="18"/>
              </w:rPr>
              <w:t>-4.010143</w:t>
            </w:r>
          </w:p>
        </w:tc>
        <w:tc>
          <w:tcPr>
            <w:tcW w:w="0" w:type="auto"/>
            <w:tcBorders>
              <w:bottom w:val="nil"/>
            </w:tcBorders>
            <w:vAlign w:val="center"/>
          </w:tcPr>
          <w:p w:rsidR="00364C97" w:rsidRPr="004648C4" w:rsidRDefault="00364C97" w:rsidP="00364C97">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bottom w:val="nil"/>
            </w:tcBorders>
            <w:vAlign w:val="center"/>
          </w:tcPr>
          <w:p w:rsidR="00364C97" w:rsidRPr="00B77459" w:rsidRDefault="00364C97" w:rsidP="00364C97">
            <w:pPr>
              <w:autoSpaceDE w:val="0"/>
              <w:autoSpaceDN w:val="0"/>
              <w:adjustRightInd w:val="0"/>
              <w:jc w:val="center"/>
              <w:rPr>
                <w:rFonts w:ascii="Arial" w:hAnsi="Arial" w:cs="Arial"/>
                <w:color w:val="000000"/>
                <w:sz w:val="18"/>
                <w:szCs w:val="18"/>
              </w:rPr>
            </w:pPr>
            <w:r w:rsidRPr="00B77459">
              <w:rPr>
                <w:rFonts w:ascii="Arial" w:hAnsi="Arial" w:cs="Arial"/>
                <w:color w:val="000000"/>
                <w:sz w:val="18"/>
                <w:szCs w:val="18"/>
              </w:rPr>
              <w:t>-4.007882</w:t>
            </w:r>
          </w:p>
        </w:tc>
        <w:tc>
          <w:tcPr>
            <w:tcW w:w="0" w:type="auto"/>
            <w:tcBorders>
              <w:bottom w:val="nil"/>
            </w:tcBorders>
            <w:vAlign w:val="center"/>
          </w:tcPr>
          <w:p w:rsidR="00364C97" w:rsidRPr="004648C4" w:rsidRDefault="00364C97" w:rsidP="00364C97">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bottom w:val="nil"/>
            </w:tcBorders>
            <w:vAlign w:val="center"/>
          </w:tcPr>
          <w:p w:rsidR="00364C97" w:rsidRPr="00364C97" w:rsidRDefault="00364C97" w:rsidP="00364C97">
            <w:pPr>
              <w:autoSpaceDE w:val="0"/>
              <w:autoSpaceDN w:val="0"/>
              <w:adjustRightInd w:val="0"/>
              <w:jc w:val="center"/>
              <w:rPr>
                <w:rFonts w:ascii="Arial" w:hAnsi="Arial" w:cs="Arial"/>
                <w:color w:val="000000"/>
                <w:sz w:val="18"/>
                <w:szCs w:val="18"/>
              </w:rPr>
            </w:pPr>
            <w:r w:rsidRPr="00364C97">
              <w:rPr>
                <w:rFonts w:ascii="Arial" w:hAnsi="Arial" w:cs="Arial"/>
                <w:color w:val="000000"/>
                <w:sz w:val="18"/>
                <w:szCs w:val="18"/>
              </w:rPr>
              <w:t>-2.577387</w:t>
            </w:r>
          </w:p>
        </w:tc>
        <w:tc>
          <w:tcPr>
            <w:tcW w:w="0" w:type="auto"/>
            <w:tcBorders>
              <w:bottom w:val="nil"/>
            </w:tcBorders>
            <w:vAlign w:val="center"/>
          </w:tcPr>
          <w:p w:rsidR="00364C97" w:rsidRPr="004648C4" w:rsidRDefault="00364C97" w:rsidP="00B77459">
            <w:pPr>
              <w:autoSpaceDE w:val="0"/>
              <w:autoSpaceDN w:val="0"/>
              <w:adjustRightInd w:val="0"/>
              <w:spacing w:line="360" w:lineRule="auto"/>
              <w:jc w:val="center"/>
              <w:cnfStyle w:val="000000000000"/>
              <w:rPr>
                <w:rFonts w:ascii="Arial" w:hAnsi="Arial" w:cs="Arial"/>
                <w:color w:val="000000"/>
                <w:sz w:val="18"/>
                <w:szCs w:val="18"/>
              </w:rPr>
            </w:pPr>
          </w:p>
        </w:tc>
      </w:tr>
      <w:tr w:rsidR="00364C97" w:rsidRPr="004648C4" w:rsidTr="00364C97">
        <w:trPr>
          <w:cnfStyle w:val="000000100000"/>
          <w:trHeight w:val="225"/>
        </w:trPr>
        <w:tc>
          <w:tcPr>
            <w:cnfStyle w:val="001000000000"/>
            <w:tcW w:w="0" w:type="auto"/>
            <w:tcBorders>
              <w:top w:val="nil"/>
              <w:bottom w:val="nil"/>
              <w:right w:val="nil"/>
            </w:tcBorders>
            <w:vAlign w:val="center"/>
          </w:tcPr>
          <w:p w:rsidR="00364C97" w:rsidRPr="004648C4" w:rsidRDefault="00364C97" w:rsidP="00B77459">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top w:val="nil"/>
              <w:left w:val="nil"/>
              <w:bottom w:val="nil"/>
              <w:right w:val="nil"/>
            </w:tcBorders>
            <w:vAlign w:val="center"/>
          </w:tcPr>
          <w:p w:rsidR="00364C97" w:rsidRPr="004648C4" w:rsidRDefault="00364C97" w:rsidP="00B77459">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5% level</w:t>
            </w:r>
          </w:p>
        </w:tc>
        <w:tc>
          <w:tcPr>
            <w:tcW w:w="0" w:type="auto"/>
            <w:tcBorders>
              <w:top w:val="nil"/>
              <w:left w:val="nil"/>
              <w:bottom w:val="nil"/>
            </w:tcBorders>
            <w:vAlign w:val="center"/>
          </w:tcPr>
          <w:p w:rsidR="00364C97" w:rsidRPr="004648C4" w:rsidRDefault="00364C97" w:rsidP="00B77459">
            <w:pPr>
              <w:autoSpaceDE w:val="0"/>
              <w:autoSpaceDN w:val="0"/>
              <w:adjustRightInd w:val="0"/>
              <w:spacing w:line="360" w:lineRule="auto"/>
              <w:jc w:val="center"/>
              <w:cnfStyle w:val="000000100000"/>
              <w:rPr>
                <w:rFonts w:ascii="Arial" w:hAnsi="Arial" w:cs="Arial"/>
                <w:color w:val="000000"/>
                <w:sz w:val="18"/>
                <w:szCs w:val="18"/>
              </w:rPr>
            </w:pPr>
          </w:p>
        </w:tc>
        <w:tc>
          <w:tcPr>
            <w:cnfStyle w:val="000010000000"/>
            <w:tcW w:w="0" w:type="auto"/>
            <w:tcBorders>
              <w:top w:val="nil"/>
              <w:bottom w:val="nil"/>
            </w:tcBorders>
            <w:vAlign w:val="center"/>
          </w:tcPr>
          <w:p w:rsidR="00364C97" w:rsidRPr="00102DE7" w:rsidRDefault="00364C97" w:rsidP="00364C97">
            <w:pPr>
              <w:autoSpaceDE w:val="0"/>
              <w:autoSpaceDN w:val="0"/>
              <w:adjustRightInd w:val="0"/>
              <w:jc w:val="center"/>
              <w:rPr>
                <w:rFonts w:ascii="Arial" w:hAnsi="Arial" w:cs="Arial"/>
                <w:color w:val="000000"/>
                <w:sz w:val="18"/>
                <w:szCs w:val="18"/>
              </w:rPr>
            </w:pPr>
            <w:r w:rsidRPr="00102DE7">
              <w:rPr>
                <w:rFonts w:ascii="Arial" w:hAnsi="Arial" w:cs="Arial"/>
                <w:color w:val="000000"/>
                <w:sz w:val="18"/>
                <w:szCs w:val="18"/>
              </w:rPr>
              <w:t>-3.435125</w:t>
            </w:r>
          </w:p>
        </w:tc>
        <w:tc>
          <w:tcPr>
            <w:tcW w:w="0" w:type="auto"/>
            <w:tcBorders>
              <w:top w:val="nil"/>
              <w:bottom w:val="nil"/>
            </w:tcBorders>
            <w:vAlign w:val="center"/>
          </w:tcPr>
          <w:p w:rsidR="00364C97" w:rsidRPr="004648C4" w:rsidRDefault="00364C97" w:rsidP="00364C97">
            <w:pPr>
              <w:autoSpaceDE w:val="0"/>
              <w:autoSpaceDN w:val="0"/>
              <w:adjustRightInd w:val="0"/>
              <w:spacing w:line="360" w:lineRule="auto"/>
              <w:jc w:val="center"/>
              <w:cnfStyle w:val="000000100000"/>
              <w:rPr>
                <w:rFonts w:ascii="Arial" w:hAnsi="Arial" w:cs="Arial"/>
                <w:color w:val="000000"/>
                <w:sz w:val="18"/>
                <w:szCs w:val="18"/>
              </w:rPr>
            </w:pPr>
          </w:p>
        </w:tc>
        <w:tc>
          <w:tcPr>
            <w:cnfStyle w:val="000010000000"/>
            <w:tcW w:w="0" w:type="auto"/>
            <w:tcBorders>
              <w:top w:val="nil"/>
              <w:bottom w:val="nil"/>
            </w:tcBorders>
            <w:vAlign w:val="center"/>
          </w:tcPr>
          <w:p w:rsidR="00364C97" w:rsidRPr="00B77459" w:rsidRDefault="00364C97" w:rsidP="00364C97">
            <w:pPr>
              <w:autoSpaceDE w:val="0"/>
              <w:autoSpaceDN w:val="0"/>
              <w:adjustRightInd w:val="0"/>
              <w:jc w:val="center"/>
              <w:rPr>
                <w:rFonts w:ascii="Arial" w:hAnsi="Arial" w:cs="Arial"/>
                <w:color w:val="000000"/>
                <w:sz w:val="18"/>
                <w:szCs w:val="18"/>
              </w:rPr>
            </w:pPr>
            <w:r w:rsidRPr="00B77459">
              <w:rPr>
                <w:rFonts w:ascii="Arial" w:hAnsi="Arial" w:cs="Arial"/>
                <w:color w:val="000000"/>
                <w:sz w:val="18"/>
                <w:szCs w:val="18"/>
              </w:rPr>
              <w:t>-3.434036</w:t>
            </w:r>
          </w:p>
        </w:tc>
        <w:tc>
          <w:tcPr>
            <w:tcW w:w="0" w:type="auto"/>
            <w:tcBorders>
              <w:top w:val="nil"/>
              <w:bottom w:val="nil"/>
            </w:tcBorders>
            <w:vAlign w:val="center"/>
          </w:tcPr>
          <w:p w:rsidR="00364C97" w:rsidRPr="004648C4" w:rsidRDefault="00364C97" w:rsidP="00364C97">
            <w:pPr>
              <w:autoSpaceDE w:val="0"/>
              <w:autoSpaceDN w:val="0"/>
              <w:adjustRightInd w:val="0"/>
              <w:spacing w:line="360" w:lineRule="auto"/>
              <w:jc w:val="center"/>
              <w:cnfStyle w:val="000000100000"/>
              <w:rPr>
                <w:rFonts w:ascii="Arial" w:hAnsi="Arial" w:cs="Arial"/>
                <w:color w:val="000000"/>
                <w:sz w:val="18"/>
                <w:szCs w:val="18"/>
              </w:rPr>
            </w:pPr>
          </w:p>
        </w:tc>
        <w:tc>
          <w:tcPr>
            <w:cnfStyle w:val="000010000000"/>
            <w:tcW w:w="0" w:type="auto"/>
            <w:tcBorders>
              <w:top w:val="nil"/>
              <w:bottom w:val="nil"/>
            </w:tcBorders>
            <w:vAlign w:val="center"/>
          </w:tcPr>
          <w:p w:rsidR="00364C97" w:rsidRPr="00364C97" w:rsidRDefault="00364C97" w:rsidP="00364C97">
            <w:pPr>
              <w:autoSpaceDE w:val="0"/>
              <w:autoSpaceDN w:val="0"/>
              <w:adjustRightInd w:val="0"/>
              <w:jc w:val="center"/>
              <w:rPr>
                <w:rFonts w:ascii="Arial" w:hAnsi="Arial" w:cs="Arial"/>
                <w:color w:val="000000"/>
                <w:sz w:val="18"/>
                <w:szCs w:val="18"/>
              </w:rPr>
            </w:pPr>
            <w:r w:rsidRPr="00364C97">
              <w:rPr>
                <w:rFonts w:ascii="Arial" w:hAnsi="Arial" w:cs="Arial"/>
                <w:color w:val="000000"/>
                <w:sz w:val="18"/>
                <w:szCs w:val="18"/>
              </w:rPr>
              <w:t>-1.942536</w:t>
            </w:r>
          </w:p>
        </w:tc>
        <w:tc>
          <w:tcPr>
            <w:tcW w:w="0" w:type="auto"/>
            <w:tcBorders>
              <w:top w:val="nil"/>
              <w:bottom w:val="nil"/>
            </w:tcBorders>
            <w:vAlign w:val="center"/>
          </w:tcPr>
          <w:p w:rsidR="00364C97" w:rsidRPr="004648C4" w:rsidRDefault="00364C97" w:rsidP="00B77459">
            <w:pPr>
              <w:autoSpaceDE w:val="0"/>
              <w:autoSpaceDN w:val="0"/>
              <w:adjustRightInd w:val="0"/>
              <w:spacing w:line="360" w:lineRule="auto"/>
              <w:jc w:val="center"/>
              <w:cnfStyle w:val="000000100000"/>
              <w:rPr>
                <w:rFonts w:ascii="Arial" w:hAnsi="Arial" w:cs="Arial"/>
                <w:color w:val="000000"/>
                <w:sz w:val="18"/>
                <w:szCs w:val="18"/>
              </w:rPr>
            </w:pPr>
          </w:p>
        </w:tc>
      </w:tr>
      <w:tr w:rsidR="00364C97" w:rsidRPr="004648C4" w:rsidTr="00364C97">
        <w:trPr>
          <w:trHeight w:val="225"/>
        </w:trPr>
        <w:tc>
          <w:tcPr>
            <w:cnfStyle w:val="001000000000"/>
            <w:tcW w:w="0" w:type="auto"/>
            <w:tcBorders>
              <w:top w:val="nil"/>
              <w:right w:val="nil"/>
            </w:tcBorders>
            <w:vAlign w:val="center"/>
          </w:tcPr>
          <w:p w:rsidR="00364C97" w:rsidRPr="004648C4" w:rsidRDefault="00364C97" w:rsidP="00B77459">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top w:val="nil"/>
              <w:left w:val="nil"/>
              <w:right w:val="nil"/>
            </w:tcBorders>
            <w:vAlign w:val="center"/>
          </w:tcPr>
          <w:p w:rsidR="00364C97" w:rsidRPr="004648C4" w:rsidRDefault="00364C97" w:rsidP="00B77459">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10% level</w:t>
            </w:r>
          </w:p>
        </w:tc>
        <w:tc>
          <w:tcPr>
            <w:tcW w:w="0" w:type="auto"/>
            <w:tcBorders>
              <w:top w:val="nil"/>
              <w:left w:val="nil"/>
            </w:tcBorders>
            <w:vAlign w:val="center"/>
          </w:tcPr>
          <w:p w:rsidR="00364C97" w:rsidRPr="004648C4" w:rsidRDefault="00364C97" w:rsidP="00B77459">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top w:val="nil"/>
            </w:tcBorders>
            <w:vAlign w:val="center"/>
          </w:tcPr>
          <w:p w:rsidR="00364C97" w:rsidRPr="00102DE7" w:rsidRDefault="00364C97" w:rsidP="00364C97">
            <w:pPr>
              <w:autoSpaceDE w:val="0"/>
              <w:autoSpaceDN w:val="0"/>
              <w:adjustRightInd w:val="0"/>
              <w:jc w:val="center"/>
              <w:rPr>
                <w:rFonts w:ascii="Arial" w:hAnsi="Arial" w:cs="Arial"/>
                <w:color w:val="000000"/>
                <w:sz w:val="18"/>
                <w:szCs w:val="18"/>
              </w:rPr>
            </w:pPr>
            <w:r w:rsidRPr="00102DE7">
              <w:rPr>
                <w:rFonts w:ascii="Arial" w:hAnsi="Arial" w:cs="Arial"/>
                <w:color w:val="000000"/>
                <w:sz w:val="18"/>
                <w:szCs w:val="18"/>
              </w:rPr>
              <w:t>-3.141565</w:t>
            </w:r>
          </w:p>
        </w:tc>
        <w:tc>
          <w:tcPr>
            <w:tcW w:w="0" w:type="auto"/>
            <w:tcBorders>
              <w:top w:val="nil"/>
            </w:tcBorders>
            <w:vAlign w:val="center"/>
          </w:tcPr>
          <w:p w:rsidR="00364C97" w:rsidRPr="004648C4" w:rsidRDefault="00364C97" w:rsidP="00364C97">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top w:val="nil"/>
            </w:tcBorders>
            <w:vAlign w:val="center"/>
          </w:tcPr>
          <w:p w:rsidR="00364C97" w:rsidRPr="00B77459" w:rsidRDefault="00364C97" w:rsidP="00364C97">
            <w:pPr>
              <w:autoSpaceDE w:val="0"/>
              <w:autoSpaceDN w:val="0"/>
              <w:adjustRightInd w:val="0"/>
              <w:jc w:val="center"/>
              <w:rPr>
                <w:rFonts w:ascii="Arial" w:hAnsi="Arial" w:cs="Arial"/>
                <w:color w:val="000000"/>
                <w:sz w:val="18"/>
                <w:szCs w:val="18"/>
              </w:rPr>
            </w:pPr>
            <w:r w:rsidRPr="00B77459">
              <w:rPr>
                <w:rFonts w:ascii="Arial" w:hAnsi="Arial" w:cs="Arial"/>
                <w:color w:val="000000"/>
                <w:sz w:val="18"/>
                <w:szCs w:val="18"/>
              </w:rPr>
              <w:t>-3.140923</w:t>
            </w:r>
          </w:p>
        </w:tc>
        <w:tc>
          <w:tcPr>
            <w:tcW w:w="0" w:type="auto"/>
            <w:tcBorders>
              <w:top w:val="nil"/>
            </w:tcBorders>
            <w:vAlign w:val="center"/>
          </w:tcPr>
          <w:p w:rsidR="00364C97" w:rsidRPr="004648C4" w:rsidRDefault="00364C97" w:rsidP="00364C97">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top w:val="nil"/>
            </w:tcBorders>
            <w:vAlign w:val="center"/>
          </w:tcPr>
          <w:p w:rsidR="00364C97" w:rsidRPr="00364C97" w:rsidRDefault="00364C97" w:rsidP="00364C97">
            <w:pPr>
              <w:autoSpaceDE w:val="0"/>
              <w:autoSpaceDN w:val="0"/>
              <w:adjustRightInd w:val="0"/>
              <w:jc w:val="center"/>
              <w:rPr>
                <w:rFonts w:ascii="Arial" w:hAnsi="Arial" w:cs="Arial"/>
                <w:color w:val="000000"/>
                <w:sz w:val="18"/>
                <w:szCs w:val="18"/>
              </w:rPr>
            </w:pPr>
            <w:r w:rsidRPr="00364C97">
              <w:rPr>
                <w:rFonts w:ascii="Arial" w:hAnsi="Arial" w:cs="Arial"/>
                <w:color w:val="000000"/>
                <w:sz w:val="18"/>
                <w:szCs w:val="18"/>
              </w:rPr>
              <w:t>-1.615571</w:t>
            </w:r>
          </w:p>
        </w:tc>
        <w:tc>
          <w:tcPr>
            <w:tcW w:w="0" w:type="auto"/>
            <w:tcBorders>
              <w:top w:val="nil"/>
            </w:tcBorders>
            <w:vAlign w:val="center"/>
          </w:tcPr>
          <w:p w:rsidR="00364C97" w:rsidRPr="004648C4" w:rsidRDefault="00364C97" w:rsidP="00735207">
            <w:pPr>
              <w:keepNext/>
              <w:autoSpaceDE w:val="0"/>
              <w:autoSpaceDN w:val="0"/>
              <w:adjustRightInd w:val="0"/>
              <w:spacing w:line="360" w:lineRule="auto"/>
              <w:jc w:val="center"/>
              <w:cnfStyle w:val="000000000000"/>
              <w:rPr>
                <w:rFonts w:ascii="Arial" w:hAnsi="Arial" w:cs="Arial"/>
                <w:color w:val="000000"/>
                <w:sz w:val="18"/>
                <w:szCs w:val="18"/>
              </w:rPr>
            </w:pPr>
          </w:p>
        </w:tc>
      </w:tr>
    </w:tbl>
    <w:p w:rsidR="00735207" w:rsidRPr="00735207" w:rsidRDefault="00735207" w:rsidP="00735207">
      <w:pPr>
        <w:pStyle w:val="Caption"/>
        <w:framePr w:hSpace="141" w:wrap="around" w:vAnchor="text" w:hAnchor="margin" w:xAlign="center" w:y="2236"/>
        <w:jc w:val="center"/>
        <w:rPr>
          <w:lang w:val="en-US"/>
        </w:rPr>
      </w:pPr>
      <w:r w:rsidRPr="00735207">
        <w:rPr>
          <w:lang w:val="en-US"/>
        </w:rPr>
        <w:t xml:space="preserve">Table </w:t>
      </w:r>
      <w:r w:rsidR="00DB780A">
        <w:fldChar w:fldCharType="begin"/>
      </w:r>
      <w:r w:rsidRPr="00735207">
        <w:rPr>
          <w:lang w:val="en-US"/>
        </w:rPr>
        <w:instrText xml:space="preserve"> SEQ Table \* ARABIC </w:instrText>
      </w:r>
      <w:r w:rsidR="00DB780A">
        <w:fldChar w:fldCharType="separate"/>
      </w:r>
      <w:r w:rsidR="004454F3">
        <w:rPr>
          <w:noProof/>
          <w:lang w:val="en-US"/>
        </w:rPr>
        <w:t>8</w:t>
      </w:r>
      <w:r w:rsidR="00DB780A">
        <w:fldChar w:fldCharType="end"/>
      </w:r>
      <w:r w:rsidRPr="00735207">
        <w:rPr>
          <w:lang w:val="en-US"/>
        </w:rPr>
        <w:t xml:space="preserve"> | Augmented Dickey-Fuller test results on net income</w:t>
      </w:r>
    </w:p>
    <w:p w:rsidR="00102DE7" w:rsidRDefault="00102DE7" w:rsidP="00735207">
      <w:pPr>
        <w:jc w:val="center"/>
        <w:rPr>
          <w:lang w:val="en-US"/>
        </w:rPr>
      </w:pPr>
    </w:p>
    <w:p w:rsidR="0004118C" w:rsidRDefault="003F282D" w:rsidP="00443B38">
      <w:pPr>
        <w:spacing w:line="360" w:lineRule="auto"/>
        <w:jc w:val="both"/>
        <w:rPr>
          <w:lang w:val="en-US"/>
        </w:rPr>
      </w:pPr>
      <w:r>
        <w:rPr>
          <w:lang w:val="en-US"/>
        </w:rPr>
        <w:t>Testing the net interest rate series</w:t>
      </w:r>
      <w:r w:rsidR="00E62129">
        <w:rPr>
          <w:lang w:val="en-US"/>
        </w:rPr>
        <w:t xml:space="preserve"> (</w:t>
      </w:r>
      <m:oMath>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r</m:t>
                </m:r>
              </m:e>
            </m:acc>
          </m:e>
          <m:sub>
            <m:r>
              <w:rPr>
                <w:rFonts w:ascii="Cambria Math" w:eastAsiaTheme="minorEastAsia" w:hAnsi="Cambria Math"/>
                <w:lang w:val="en-US"/>
              </w:rPr>
              <m:t>t</m:t>
            </m:r>
          </m:sub>
        </m:sSub>
      </m:oMath>
      <w:r w:rsidR="00E62129">
        <w:rPr>
          <w:lang w:val="en-US"/>
        </w:rPr>
        <w:t>)</w:t>
      </w:r>
      <w:r>
        <w:rPr>
          <w:lang w:val="en-US"/>
        </w:rPr>
        <w:t xml:space="preserve"> for existence of a unit root using the Augmented Dickey-Fuller test, shows evidence of a unit root as well. </w:t>
      </w:r>
      <w:r w:rsidR="00741A75">
        <w:rPr>
          <w:lang w:val="en-US"/>
        </w:rPr>
        <w:t>When taking the first difference, the null hypothesis can be rejected. The net interest rate series is integrated of order 1.</w:t>
      </w:r>
    </w:p>
    <w:p w:rsidR="001A2382" w:rsidRDefault="001A2382" w:rsidP="00443B38">
      <w:pPr>
        <w:spacing w:line="360" w:lineRule="auto"/>
        <w:jc w:val="both"/>
        <w:rPr>
          <w:lang w:val="en-US"/>
        </w:rPr>
      </w:pPr>
    </w:p>
    <w:tbl>
      <w:tblPr>
        <w:tblStyle w:val="LightList-Accent11"/>
        <w:tblpPr w:leftFromText="141" w:rightFromText="141" w:vertAnchor="text" w:horzAnchor="margin" w:tblpXSpec="center" w:tblpY="7"/>
        <w:tblW w:w="0" w:type="auto"/>
        <w:tblLook w:val="00A0"/>
      </w:tblPr>
      <w:tblGrid>
        <w:gridCol w:w="2098"/>
        <w:gridCol w:w="1142"/>
        <w:gridCol w:w="247"/>
        <w:gridCol w:w="1037"/>
        <w:gridCol w:w="817"/>
        <w:gridCol w:w="1037"/>
        <w:gridCol w:w="767"/>
      </w:tblGrid>
      <w:tr w:rsidR="00735207" w:rsidRPr="004648C4" w:rsidTr="00735207">
        <w:trPr>
          <w:cnfStyle w:val="100000000000"/>
          <w:trHeight w:val="225"/>
        </w:trPr>
        <w:tc>
          <w:tcPr>
            <w:cnfStyle w:val="001000000000"/>
            <w:tcW w:w="0" w:type="auto"/>
            <w:vAlign w:val="center"/>
          </w:tcPr>
          <w:p w:rsidR="00735207" w:rsidRPr="004648C4" w:rsidRDefault="00735207" w:rsidP="00735207">
            <w:pPr>
              <w:autoSpaceDE w:val="0"/>
              <w:autoSpaceDN w:val="0"/>
              <w:adjustRightInd w:val="0"/>
              <w:spacing w:line="360" w:lineRule="auto"/>
              <w:jc w:val="center"/>
              <w:rPr>
                <w:rFonts w:ascii="Arial" w:hAnsi="Arial" w:cs="Arial"/>
                <w:color w:val="000000"/>
                <w:sz w:val="18"/>
                <w:szCs w:val="18"/>
                <w:lang w:val="en-US"/>
              </w:rPr>
            </w:pPr>
          </w:p>
        </w:tc>
        <w:tc>
          <w:tcPr>
            <w:cnfStyle w:val="000010000000"/>
            <w:tcW w:w="0" w:type="auto"/>
            <w:tcBorders>
              <w:bottom w:val="single" w:sz="8" w:space="0" w:color="4F81BD" w:themeColor="accent1"/>
            </w:tcBorders>
            <w:vAlign w:val="center"/>
          </w:tcPr>
          <w:p w:rsidR="00735207" w:rsidRPr="004648C4" w:rsidRDefault="00735207" w:rsidP="00735207">
            <w:pPr>
              <w:autoSpaceDE w:val="0"/>
              <w:autoSpaceDN w:val="0"/>
              <w:adjustRightInd w:val="0"/>
              <w:spacing w:line="360" w:lineRule="auto"/>
              <w:jc w:val="center"/>
              <w:rPr>
                <w:rFonts w:ascii="Arial" w:hAnsi="Arial" w:cs="Arial"/>
                <w:color w:val="000000"/>
                <w:sz w:val="18"/>
                <w:szCs w:val="18"/>
                <w:lang w:val="en-US"/>
              </w:rPr>
            </w:pPr>
          </w:p>
        </w:tc>
        <w:tc>
          <w:tcPr>
            <w:tcW w:w="0" w:type="auto"/>
            <w:tcBorders>
              <w:bottom w:val="single" w:sz="8" w:space="0" w:color="4F81BD" w:themeColor="accent1"/>
              <w:right w:val="single" w:sz="4" w:space="0" w:color="FFFFFF" w:themeColor="background1"/>
            </w:tcBorders>
            <w:vAlign w:val="center"/>
          </w:tcPr>
          <w:p w:rsidR="00735207" w:rsidRPr="004648C4" w:rsidRDefault="00735207" w:rsidP="00735207">
            <w:pPr>
              <w:autoSpaceDE w:val="0"/>
              <w:autoSpaceDN w:val="0"/>
              <w:adjustRightInd w:val="0"/>
              <w:spacing w:line="360" w:lineRule="auto"/>
              <w:jc w:val="center"/>
              <w:cnfStyle w:val="100000000000"/>
              <w:rPr>
                <w:rFonts w:ascii="Arial" w:hAnsi="Arial" w:cs="Arial"/>
                <w:color w:val="000000"/>
                <w:sz w:val="18"/>
                <w:szCs w:val="18"/>
                <w:lang w:val="en-US"/>
              </w:rPr>
            </w:pPr>
          </w:p>
        </w:tc>
        <w:tc>
          <w:tcPr>
            <w:cnfStyle w:val="000010000000"/>
            <w:tcW w:w="0" w:type="auto"/>
            <w:gridSpan w:val="2"/>
            <w:tcBorders>
              <w:left w:val="single" w:sz="4" w:space="0" w:color="FFFFFF" w:themeColor="background1"/>
              <w:right w:val="single" w:sz="4" w:space="0" w:color="FFFFFF" w:themeColor="background1"/>
            </w:tcBorders>
            <w:vAlign w:val="center"/>
          </w:tcPr>
          <w:p w:rsidR="00735207" w:rsidRPr="004648C4" w:rsidRDefault="00735207" w:rsidP="00735207">
            <w:pPr>
              <w:autoSpaceDE w:val="0"/>
              <w:autoSpaceDN w:val="0"/>
              <w:adjustRightInd w:val="0"/>
              <w:spacing w:line="360" w:lineRule="auto"/>
              <w:jc w:val="center"/>
              <w:rPr>
                <w:rFonts w:ascii="Arial" w:hAnsi="Arial" w:cs="Arial"/>
                <w:sz w:val="18"/>
                <w:szCs w:val="18"/>
              </w:rPr>
            </w:pPr>
            <w:r>
              <w:rPr>
                <w:rFonts w:ascii="Arial" w:hAnsi="Arial" w:cs="Arial"/>
                <w:sz w:val="18"/>
                <w:szCs w:val="18"/>
              </w:rPr>
              <w:t>levels</w:t>
            </w:r>
          </w:p>
        </w:tc>
        <w:tc>
          <w:tcPr>
            <w:tcW w:w="0" w:type="auto"/>
            <w:gridSpan w:val="2"/>
            <w:tcBorders>
              <w:top w:val="single" w:sz="8" w:space="0" w:color="4F81BD" w:themeColor="accent1"/>
              <w:left w:val="single" w:sz="4" w:space="0" w:color="FFFFFF" w:themeColor="background1"/>
              <w:bottom w:val="nil"/>
              <w:right w:val="nil"/>
            </w:tcBorders>
            <w:vAlign w:val="center"/>
          </w:tcPr>
          <w:p w:rsidR="00735207" w:rsidRPr="004648C4" w:rsidRDefault="00735207" w:rsidP="00735207">
            <w:pPr>
              <w:autoSpaceDE w:val="0"/>
              <w:autoSpaceDN w:val="0"/>
              <w:adjustRightInd w:val="0"/>
              <w:spacing w:line="360" w:lineRule="auto"/>
              <w:jc w:val="center"/>
              <w:cnfStyle w:val="100000000000"/>
              <w:rPr>
                <w:rFonts w:ascii="Arial" w:hAnsi="Arial" w:cs="Arial"/>
                <w:sz w:val="18"/>
                <w:szCs w:val="18"/>
              </w:rPr>
            </w:pPr>
            <w:r>
              <w:rPr>
                <w:rFonts w:ascii="Arial" w:hAnsi="Arial" w:cs="Arial"/>
                <w:sz w:val="18"/>
                <w:szCs w:val="18"/>
              </w:rPr>
              <w:t>first difference</w:t>
            </w:r>
          </w:p>
        </w:tc>
      </w:tr>
      <w:tr w:rsidR="00735207" w:rsidRPr="004648C4" w:rsidTr="00735207">
        <w:trPr>
          <w:cnfStyle w:val="000000100000"/>
          <w:trHeight w:val="225"/>
        </w:trPr>
        <w:tc>
          <w:tcPr>
            <w:cnfStyle w:val="001000000000"/>
            <w:tcW w:w="0" w:type="auto"/>
            <w:shd w:val="clear" w:color="auto" w:fill="4F81BD" w:themeFill="accent1"/>
            <w:vAlign w:val="center"/>
          </w:tcPr>
          <w:p w:rsidR="00735207" w:rsidRPr="004648C4" w:rsidRDefault="00735207" w:rsidP="00735207">
            <w:pPr>
              <w:autoSpaceDE w:val="0"/>
              <w:autoSpaceDN w:val="0"/>
              <w:adjustRightInd w:val="0"/>
              <w:spacing w:line="360" w:lineRule="auto"/>
              <w:jc w:val="center"/>
              <w:rPr>
                <w:rFonts w:ascii="Arial" w:hAnsi="Arial" w:cs="Arial"/>
                <w:color w:val="000000"/>
                <w:sz w:val="18"/>
                <w:szCs w:val="18"/>
                <w:lang w:val="en-US"/>
              </w:rPr>
            </w:pPr>
          </w:p>
        </w:tc>
        <w:tc>
          <w:tcPr>
            <w:cnfStyle w:val="000010000000"/>
            <w:tcW w:w="0" w:type="auto"/>
            <w:shd w:val="clear" w:color="auto" w:fill="4F81BD" w:themeFill="accent1"/>
            <w:vAlign w:val="center"/>
          </w:tcPr>
          <w:p w:rsidR="00735207" w:rsidRPr="00F627B2" w:rsidRDefault="00735207" w:rsidP="00735207">
            <w:pPr>
              <w:autoSpaceDE w:val="0"/>
              <w:autoSpaceDN w:val="0"/>
              <w:adjustRightInd w:val="0"/>
              <w:spacing w:line="360" w:lineRule="auto"/>
              <w:jc w:val="center"/>
              <w:rPr>
                <w:rFonts w:ascii="Arial" w:hAnsi="Arial" w:cs="Arial"/>
                <w:color w:val="FFFFFF" w:themeColor="background1"/>
                <w:sz w:val="18"/>
                <w:szCs w:val="18"/>
                <w:lang w:val="en-US"/>
              </w:rPr>
            </w:pPr>
          </w:p>
        </w:tc>
        <w:tc>
          <w:tcPr>
            <w:tcW w:w="0" w:type="auto"/>
            <w:tcBorders>
              <w:right w:val="single" w:sz="4" w:space="0" w:color="FFFFFF" w:themeColor="background1"/>
            </w:tcBorders>
            <w:shd w:val="clear" w:color="auto" w:fill="4F81BD" w:themeFill="accent1"/>
            <w:vAlign w:val="center"/>
          </w:tcPr>
          <w:p w:rsidR="00735207" w:rsidRPr="00F627B2" w:rsidRDefault="00735207" w:rsidP="00735207">
            <w:pPr>
              <w:autoSpaceDE w:val="0"/>
              <w:autoSpaceDN w:val="0"/>
              <w:adjustRightInd w:val="0"/>
              <w:spacing w:line="360" w:lineRule="auto"/>
              <w:jc w:val="center"/>
              <w:cnfStyle w:val="000000100000"/>
              <w:rPr>
                <w:rFonts w:ascii="Arial" w:hAnsi="Arial" w:cs="Arial"/>
                <w:color w:val="FFFFFF" w:themeColor="background1"/>
                <w:sz w:val="18"/>
                <w:szCs w:val="18"/>
                <w:lang w:val="en-US"/>
              </w:rPr>
            </w:pPr>
          </w:p>
        </w:tc>
        <w:tc>
          <w:tcPr>
            <w:cnfStyle w:val="000010000000"/>
            <w:tcW w:w="0" w:type="auto"/>
            <w:tcBorders>
              <w:left w:val="single" w:sz="4" w:space="0" w:color="FFFFFF" w:themeColor="background1"/>
            </w:tcBorders>
            <w:shd w:val="clear" w:color="auto" w:fill="4F81BD" w:themeFill="accent1"/>
            <w:vAlign w:val="center"/>
          </w:tcPr>
          <w:p w:rsidR="00735207" w:rsidRPr="00F627B2" w:rsidRDefault="00735207" w:rsidP="00735207">
            <w:pPr>
              <w:autoSpaceDE w:val="0"/>
              <w:autoSpaceDN w:val="0"/>
              <w:adjustRightInd w:val="0"/>
              <w:spacing w:line="360" w:lineRule="auto"/>
              <w:jc w:val="center"/>
              <w:rPr>
                <w:rFonts w:ascii="Arial" w:hAnsi="Arial" w:cs="Arial"/>
                <w:b/>
                <w:color w:val="FFFFFF" w:themeColor="background1"/>
                <w:sz w:val="18"/>
                <w:szCs w:val="18"/>
              </w:rPr>
            </w:pPr>
            <w:r w:rsidRPr="00F627B2">
              <w:rPr>
                <w:rFonts w:ascii="Arial" w:hAnsi="Arial" w:cs="Arial"/>
                <w:b/>
                <w:color w:val="FFFFFF" w:themeColor="background1"/>
                <w:sz w:val="18"/>
                <w:szCs w:val="18"/>
              </w:rPr>
              <w:t>t-Statistic</w:t>
            </w:r>
          </w:p>
        </w:tc>
        <w:tc>
          <w:tcPr>
            <w:tcW w:w="0" w:type="auto"/>
            <w:tcBorders>
              <w:right w:val="single" w:sz="4" w:space="0" w:color="FFFFFF" w:themeColor="background1"/>
            </w:tcBorders>
            <w:shd w:val="clear" w:color="auto" w:fill="4F81BD" w:themeFill="accent1"/>
            <w:vAlign w:val="center"/>
          </w:tcPr>
          <w:p w:rsidR="00735207" w:rsidRPr="00F627B2" w:rsidRDefault="00735207" w:rsidP="00735207">
            <w:pPr>
              <w:autoSpaceDE w:val="0"/>
              <w:autoSpaceDN w:val="0"/>
              <w:adjustRightInd w:val="0"/>
              <w:spacing w:line="360" w:lineRule="auto"/>
              <w:jc w:val="center"/>
              <w:cnfStyle w:val="000000100000"/>
              <w:rPr>
                <w:rFonts w:ascii="Arial" w:hAnsi="Arial" w:cs="Arial"/>
                <w:b/>
                <w:color w:val="FFFFFF" w:themeColor="background1"/>
                <w:sz w:val="18"/>
                <w:szCs w:val="18"/>
              </w:rPr>
            </w:pPr>
            <w:r>
              <w:rPr>
                <w:rFonts w:ascii="Arial" w:hAnsi="Arial" w:cs="Arial"/>
                <w:b/>
                <w:color w:val="FFFFFF" w:themeColor="background1"/>
                <w:sz w:val="18"/>
                <w:szCs w:val="18"/>
              </w:rPr>
              <w:t>Prob.</w:t>
            </w:r>
          </w:p>
        </w:tc>
        <w:tc>
          <w:tcPr>
            <w:cnfStyle w:val="000010000000"/>
            <w:tcW w:w="0" w:type="auto"/>
            <w:tcBorders>
              <w:top w:val="nil"/>
              <w:left w:val="single" w:sz="4" w:space="0" w:color="FFFFFF" w:themeColor="background1"/>
            </w:tcBorders>
            <w:shd w:val="clear" w:color="auto" w:fill="4F81BD" w:themeFill="accent1"/>
            <w:vAlign w:val="center"/>
          </w:tcPr>
          <w:p w:rsidR="00735207" w:rsidRPr="00F627B2" w:rsidRDefault="00735207" w:rsidP="00735207">
            <w:pPr>
              <w:autoSpaceDE w:val="0"/>
              <w:autoSpaceDN w:val="0"/>
              <w:adjustRightInd w:val="0"/>
              <w:spacing w:line="360" w:lineRule="auto"/>
              <w:jc w:val="center"/>
              <w:rPr>
                <w:rFonts w:ascii="Arial" w:hAnsi="Arial" w:cs="Arial"/>
                <w:b/>
                <w:color w:val="FFFFFF" w:themeColor="background1"/>
                <w:sz w:val="18"/>
                <w:szCs w:val="18"/>
              </w:rPr>
            </w:pPr>
            <w:r w:rsidRPr="00F627B2">
              <w:rPr>
                <w:rFonts w:ascii="Arial" w:hAnsi="Arial" w:cs="Arial"/>
                <w:b/>
                <w:color w:val="FFFFFF" w:themeColor="background1"/>
                <w:sz w:val="18"/>
                <w:szCs w:val="18"/>
              </w:rPr>
              <w:t>t-Statistic</w:t>
            </w:r>
          </w:p>
        </w:tc>
        <w:tc>
          <w:tcPr>
            <w:tcW w:w="0" w:type="auto"/>
            <w:tcBorders>
              <w:top w:val="nil"/>
              <w:right w:val="nil"/>
            </w:tcBorders>
            <w:shd w:val="clear" w:color="auto" w:fill="4F81BD" w:themeFill="accent1"/>
            <w:vAlign w:val="center"/>
          </w:tcPr>
          <w:p w:rsidR="00735207" w:rsidRPr="00F627B2" w:rsidRDefault="00735207" w:rsidP="00735207">
            <w:pPr>
              <w:autoSpaceDE w:val="0"/>
              <w:autoSpaceDN w:val="0"/>
              <w:adjustRightInd w:val="0"/>
              <w:spacing w:line="360" w:lineRule="auto"/>
              <w:jc w:val="center"/>
              <w:cnfStyle w:val="000000100000"/>
              <w:rPr>
                <w:rFonts w:ascii="Arial" w:hAnsi="Arial" w:cs="Arial"/>
                <w:b/>
                <w:color w:val="FFFFFF" w:themeColor="background1"/>
                <w:sz w:val="18"/>
                <w:szCs w:val="18"/>
              </w:rPr>
            </w:pPr>
            <w:r>
              <w:rPr>
                <w:rFonts w:ascii="Arial" w:hAnsi="Arial" w:cs="Arial"/>
                <w:b/>
                <w:color w:val="FFFFFF" w:themeColor="background1"/>
                <w:sz w:val="18"/>
                <w:szCs w:val="18"/>
              </w:rPr>
              <w:t>Prob.</w:t>
            </w:r>
          </w:p>
        </w:tc>
      </w:tr>
      <w:tr w:rsidR="00735207" w:rsidRPr="004648C4" w:rsidTr="00735207">
        <w:trPr>
          <w:trHeight w:hRule="exact" w:val="135"/>
        </w:trPr>
        <w:tc>
          <w:tcPr>
            <w:cnfStyle w:val="001000000000"/>
            <w:tcW w:w="0" w:type="auto"/>
            <w:tcBorders>
              <w:right w:val="nil"/>
            </w:tcBorders>
            <w:vAlign w:val="center"/>
          </w:tcPr>
          <w:p w:rsidR="00735207" w:rsidRPr="004648C4" w:rsidRDefault="00735207" w:rsidP="00735207">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left w:val="nil"/>
              <w:right w:val="nil"/>
            </w:tcBorders>
            <w:vAlign w:val="center"/>
          </w:tcPr>
          <w:p w:rsidR="00735207" w:rsidRPr="004648C4" w:rsidRDefault="00735207" w:rsidP="00735207">
            <w:pPr>
              <w:autoSpaceDE w:val="0"/>
              <w:autoSpaceDN w:val="0"/>
              <w:adjustRightInd w:val="0"/>
              <w:spacing w:line="360" w:lineRule="auto"/>
              <w:jc w:val="center"/>
              <w:rPr>
                <w:rFonts w:ascii="Arial" w:hAnsi="Arial" w:cs="Arial"/>
                <w:color w:val="000000"/>
                <w:sz w:val="18"/>
                <w:szCs w:val="18"/>
              </w:rPr>
            </w:pPr>
          </w:p>
        </w:tc>
        <w:tc>
          <w:tcPr>
            <w:tcW w:w="0" w:type="auto"/>
            <w:tcBorders>
              <w:left w:val="nil"/>
            </w:tcBorders>
            <w:vAlign w:val="center"/>
          </w:tcPr>
          <w:p w:rsidR="00735207" w:rsidRPr="004648C4" w:rsidRDefault="00735207" w:rsidP="00735207">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vAlign w:val="center"/>
          </w:tcPr>
          <w:p w:rsidR="00735207" w:rsidRPr="004648C4" w:rsidRDefault="00735207" w:rsidP="00735207">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735207" w:rsidRPr="004648C4" w:rsidRDefault="00735207" w:rsidP="00735207">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vAlign w:val="center"/>
          </w:tcPr>
          <w:p w:rsidR="00735207" w:rsidRPr="004648C4" w:rsidRDefault="00735207" w:rsidP="00735207">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735207" w:rsidRPr="004648C4" w:rsidRDefault="00735207" w:rsidP="00735207">
            <w:pPr>
              <w:autoSpaceDE w:val="0"/>
              <w:autoSpaceDN w:val="0"/>
              <w:adjustRightInd w:val="0"/>
              <w:spacing w:line="360" w:lineRule="auto"/>
              <w:jc w:val="center"/>
              <w:cnfStyle w:val="000000000000"/>
              <w:rPr>
                <w:rFonts w:ascii="Arial" w:hAnsi="Arial" w:cs="Arial"/>
                <w:color w:val="000000"/>
                <w:sz w:val="18"/>
                <w:szCs w:val="18"/>
              </w:rPr>
            </w:pPr>
          </w:p>
        </w:tc>
      </w:tr>
      <w:tr w:rsidR="00735207" w:rsidRPr="004648C4" w:rsidTr="00735207">
        <w:trPr>
          <w:cnfStyle w:val="000000100000"/>
          <w:trHeight w:val="225"/>
        </w:trPr>
        <w:tc>
          <w:tcPr>
            <w:cnfStyle w:val="001000000000"/>
            <w:tcW w:w="0" w:type="auto"/>
            <w:gridSpan w:val="3"/>
            <w:vAlign w:val="center"/>
          </w:tcPr>
          <w:p w:rsidR="00735207" w:rsidRPr="004648C4" w:rsidRDefault="00735207" w:rsidP="00735207">
            <w:pPr>
              <w:autoSpaceDE w:val="0"/>
              <w:autoSpaceDN w:val="0"/>
              <w:adjustRightInd w:val="0"/>
              <w:spacing w:line="360" w:lineRule="auto"/>
              <w:jc w:val="center"/>
              <w:rPr>
                <w:rFonts w:ascii="Arial" w:hAnsi="Arial" w:cs="Arial"/>
                <w:color w:val="000000"/>
                <w:sz w:val="18"/>
                <w:szCs w:val="18"/>
                <w:lang w:val="en-US"/>
              </w:rPr>
            </w:pPr>
            <w:r w:rsidRPr="004648C4">
              <w:rPr>
                <w:rFonts w:ascii="Arial" w:hAnsi="Arial" w:cs="Arial"/>
                <w:color w:val="000000"/>
                <w:sz w:val="18"/>
                <w:szCs w:val="18"/>
                <w:lang w:val="en-US"/>
              </w:rPr>
              <w:t>Augmented Dickey-Fuller test statistic</w:t>
            </w:r>
          </w:p>
        </w:tc>
        <w:tc>
          <w:tcPr>
            <w:cnfStyle w:val="000010000000"/>
            <w:tcW w:w="0" w:type="auto"/>
            <w:vAlign w:val="center"/>
          </w:tcPr>
          <w:p w:rsidR="00735207" w:rsidRPr="00102DE7" w:rsidRDefault="00735207" w:rsidP="00735207">
            <w:pPr>
              <w:autoSpaceDE w:val="0"/>
              <w:autoSpaceDN w:val="0"/>
              <w:adjustRightInd w:val="0"/>
              <w:jc w:val="center"/>
              <w:rPr>
                <w:rFonts w:ascii="Arial" w:hAnsi="Arial" w:cs="Arial"/>
                <w:color w:val="000000"/>
                <w:sz w:val="18"/>
                <w:szCs w:val="18"/>
              </w:rPr>
            </w:pPr>
            <w:r w:rsidRPr="003F282D">
              <w:rPr>
                <w:rFonts w:ascii="Arial" w:hAnsi="Arial" w:cs="Arial"/>
                <w:color w:val="000000"/>
                <w:sz w:val="18"/>
                <w:szCs w:val="18"/>
              </w:rPr>
              <w:t>-2.678807</w:t>
            </w:r>
          </w:p>
        </w:tc>
        <w:tc>
          <w:tcPr>
            <w:tcW w:w="0" w:type="auto"/>
            <w:vAlign w:val="center"/>
          </w:tcPr>
          <w:p w:rsidR="00735207" w:rsidRPr="004648C4" w:rsidRDefault="00735207" w:rsidP="00735207">
            <w:pPr>
              <w:autoSpaceDE w:val="0"/>
              <w:autoSpaceDN w:val="0"/>
              <w:adjustRightInd w:val="0"/>
              <w:spacing w:line="360" w:lineRule="auto"/>
              <w:jc w:val="center"/>
              <w:cnfStyle w:val="000000100000"/>
              <w:rPr>
                <w:rFonts w:ascii="Arial" w:hAnsi="Arial" w:cs="Arial"/>
                <w:color w:val="000000"/>
                <w:sz w:val="18"/>
                <w:szCs w:val="18"/>
              </w:rPr>
            </w:pPr>
            <w:r w:rsidRPr="003F282D">
              <w:rPr>
                <w:rFonts w:ascii="Arial" w:hAnsi="Arial" w:cs="Arial"/>
                <w:color w:val="000000"/>
                <w:sz w:val="18"/>
                <w:szCs w:val="18"/>
              </w:rPr>
              <w:t> 0.2467</w:t>
            </w:r>
          </w:p>
        </w:tc>
        <w:tc>
          <w:tcPr>
            <w:cnfStyle w:val="000010000000"/>
            <w:tcW w:w="0" w:type="auto"/>
            <w:vAlign w:val="center"/>
          </w:tcPr>
          <w:p w:rsidR="00735207" w:rsidRPr="00B77459" w:rsidRDefault="00735207" w:rsidP="00735207">
            <w:pPr>
              <w:autoSpaceDE w:val="0"/>
              <w:autoSpaceDN w:val="0"/>
              <w:adjustRightInd w:val="0"/>
              <w:jc w:val="center"/>
              <w:rPr>
                <w:rFonts w:ascii="Arial" w:hAnsi="Arial" w:cs="Arial"/>
                <w:color w:val="000000"/>
                <w:sz w:val="18"/>
                <w:szCs w:val="18"/>
              </w:rPr>
            </w:pPr>
            <w:r w:rsidRPr="00741A75">
              <w:rPr>
                <w:rFonts w:ascii="Arial" w:hAnsi="Arial" w:cs="Arial"/>
                <w:color w:val="000000"/>
                <w:sz w:val="18"/>
                <w:szCs w:val="18"/>
              </w:rPr>
              <w:t>-8.367069</w:t>
            </w:r>
          </w:p>
        </w:tc>
        <w:tc>
          <w:tcPr>
            <w:tcW w:w="0" w:type="auto"/>
            <w:vAlign w:val="center"/>
          </w:tcPr>
          <w:p w:rsidR="00735207" w:rsidRPr="00B77459" w:rsidRDefault="00735207" w:rsidP="00735207">
            <w:pPr>
              <w:autoSpaceDE w:val="0"/>
              <w:autoSpaceDN w:val="0"/>
              <w:adjustRightInd w:val="0"/>
              <w:jc w:val="center"/>
              <w:cnfStyle w:val="000000100000"/>
              <w:rPr>
                <w:rFonts w:ascii="Arial" w:hAnsi="Arial" w:cs="Arial"/>
                <w:color w:val="000000"/>
                <w:sz w:val="18"/>
                <w:szCs w:val="18"/>
              </w:rPr>
            </w:pPr>
            <w:r w:rsidRPr="00741A75">
              <w:rPr>
                <w:rFonts w:ascii="Arial" w:hAnsi="Arial" w:cs="Arial"/>
                <w:color w:val="000000"/>
                <w:sz w:val="18"/>
                <w:szCs w:val="18"/>
              </w:rPr>
              <w:t>0.0000</w:t>
            </w:r>
          </w:p>
        </w:tc>
      </w:tr>
      <w:tr w:rsidR="00735207" w:rsidRPr="004648C4" w:rsidTr="00735207">
        <w:trPr>
          <w:trHeight w:val="225"/>
        </w:trPr>
        <w:tc>
          <w:tcPr>
            <w:cnfStyle w:val="001000000000"/>
            <w:tcW w:w="0" w:type="auto"/>
            <w:tcBorders>
              <w:bottom w:val="nil"/>
              <w:right w:val="nil"/>
            </w:tcBorders>
            <w:vAlign w:val="center"/>
          </w:tcPr>
          <w:p w:rsidR="00735207" w:rsidRPr="004648C4" w:rsidRDefault="00735207" w:rsidP="00735207">
            <w:pPr>
              <w:autoSpaceDE w:val="0"/>
              <w:autoSpaceDN w:val="0"/>
              <w:adjustRightInd w:val="0"/>
              <w:spacing w:line="360" w:lineRule="auto"/>
              <w:rPr>
                <w:rFonts w:ascii="Arial" w:hAnsi="Arial" w:cs="Arial"/>
                <w:color w:val="000000"/>
                <w:sz w:val="18"/>
                <w:szCs w:val="18"/>
              </w:rPr>
            </w:pPr>
            <w:r w:rsidRPr="004648C4">
              <w:rPr>
                <w:rFonts w:ascii="Arial" w:hAnsi="Arial" w:cs="Arial"/>
                <w:color w:val="000000"/>
                <w:sz w:val="18"/>
                <w:szCs w:val="18"/>
              </w:rPr>
              <w:t>Test critical values:</w:t>
            </w:r>
          </w:p>
        </w:tc>
        <w:tc>
          <w:tcPr>
            <w:cnfStyle w:val="000010000000"/>
            <w:tcW w:w="0" w:type="auto"/>
            <w:tcBorders>
              <w:left w:val="nil"/>
              <w:bottom w:val="nil"/>
              <w:right w:val="nil"/>
            </w:tcBorders>
            <w:vAlign w:val="center"/>
          </w:tcPr>
          <w:p w:rsidR="00735207" w:rsidRPr="004648C4" w:rsidRDefault="00735207" w:rsidP="00735207">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1% level</w:t>
            </w:r>
          </w:p>
        </w:tc>
        <w:tc>
          <w:tcPr>
            <w:tcW w:w="0" w:type="auto"/>
            <w:tcBorders>
              <w:left w:val="nil"/>
              <w:bottom w:val="nil"/>
            </w:tcBorders>
            <w:vAlign w:val="center"/>
          </w:tcPr>
          <w:p w:rsidR="00735207" w:rsidRPr="004648C4" w:rsidRDefault="00735207" w:rsidP="00735207">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bottom w:val="nil"/>
            </w:tcBorders>
            <w:vAlign w:val="center"/>
          </w:tcPr>
          <w:p w:rsidR="00735207" w:rsidRPr="003F282D" w:rsidRDefault="00735207" w:rsidP="00735207">
            <w:pPr>
              <w:autoSpaceDE w:val="0"/>
              <w:autoSpaceDN w:val="0"/>
              <w:adjustRightInd w:val="0"/>
              <w:jc w:val="center"/>
              <w:rPr>
                <w:rFonts w:ascii="Arial" w:hAnsi="Arial" w:cs="Arial"/>
                <w:color w:val="000000"/>
                <w:sz w:val="18"/>
                <w:szCs w:val="18"/>
              </w:rPr>
            </w:pPr>
            <w:r w:rsidRPr="003F282D">
              <w:rPr>
                <w:rFonts w:ascii="Arial" w:hAnsi="Arial" w:cs="Arial"/>
                <w:color w:val="000000"/>
                <w:sz w:val="18"/>
                <w:szCs w:val="18"/>
              </w:rPr>
              <w:t>-4.006566</w:t>
            </w:r>
          </w:p>
        </w:tc>
        <w:tc>
          <w:tcPr>
            <w:tcW w:w="0" w:type="auto"/>
            <w:tcBorders>
              <w:bottom w:val="nil"/>
            </w:tcBorders>
            <w:vAlign w:val="center"/>
          </w:tcPr>
          <w:p w:rsidR="00735207" w:rsidRPr="004648C4" w:rsidRDefault="00735207" w:rsidP="00735207">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bottom w:val="nil"/>
            </w:tcBorders>
            <w:vAlign w:val="center"/>
          </w:tcPr>
          <w:p w:rsidR="00735207" w:rsidRPr="00741A75" w:rsidRDefault="00735207" w:rsidP="00735207">
            <w:pPr>
              <w:autoSpaceDE w:val="0"/>
              <w:autoSpaceDN w:val="0"/>
              <w:adjustRightInd w:val="0"/>
              <w:jc w:val="center"/>
              <w:rPr>
                <w:rFonts w:ascii="Arial" w:hAnsi="Arial" w:cs="Arial"/>
                <w:color w:val="000000"/>
                <w:sz w:val="18"/>
                <w:szCs w:val="18"/>
              </w:rPr>
            </w:pPr>
            <w:r w:rsidRPr="00741A75">
              <w:rPr>
                <w:rFonts w:ascii="Arial" w:hAnsi="Arial" w:cs="Arial"/>
                <w:color w:val="000000"/>
                <w:sz w:val="18"/>
                <w:szCs w:val="18"/>
              </w:rPr>
              <w:t>-3.464460</w:t>
            </w:r>
          </w:p>
        </w:tc>
        <w:tc>
          <w:tcPr>
            <w:tcW w:w="0" w:type="auto"/>
            <w:tcBorders>
              <w:bottom w:val="nil"/>
            </w:tcBorders>
            <w:vAlign w:val="center"/>
          </w:tcPr>
          <w:p w:rsidR="00735207" w:rsidRPr="004648C4" w:rsidRDefault="00735207" w:rsidP="00735207">
            <w:pPr>
              <w:autoSpaceDE w:val="0"/>
              <w:autoSpaceDN w:val="0"/>
              <w:adjustRightInd w:val="0"/>
              <w:spacing w:line="360" w:lineRule="auto"/>
              <w:jc w:val="center"/>
              <w:cnfStyle w:val="000000000000"/>
              <w:rPr>
                <w:rFonts w:ascii="Arial" w:hAnsi="Arial" w:cs="Arial"/>
                <w:color w:val="000000"/>
                <w:sz w:val="18"/>
                <w:szCs w:val="18"/>
              </w:rPr>
            </w:pPr>
          </w:p>
        </w:tc>
      </w:tr>
      <w:tr w:rsidR="00735207" w:rsidRPr="004648C4" w:rsidTr="00735207">
        <w:trPr>
          <w:cnfStyle w:val="000000100000"/>
          <w:trHeight w:val="225"/>
        </w:trPr>
        <w:tc>
          <w:tcPr>
            <w:cnfStyle w:val="001000000000"/>
            <w:tcW w:w="0" w:type="auto"/>
            <w:tcBorders>
              <w:top w:val="nil"/>
              <w:bottom w:val="nil"/>
              <w:right w:val="nil"/>
            </w:tcBorders>
            <w:vAlign w:val="center"/>
          </w:tcPr>
          <w:p w:rsidR="00735207" w:rsidRPr="004648C4" w:rsidRDefault="00735207" w:rsidP="00735207">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top w:val="nil"/>
              <w:left w:val="nil"/>
              <w:bottom w:val="nil"/>
              <w:right w:val="nil"/>
            </w:tcBorders>
            <w:vAlign w:val="center"/>
          </w:tcPr>
          <w:p w:rsidR="00735207" w:rsidRPr="004648C4" w:rsidRDefault="00735207" w:rsidP="00735207">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5% level</w:t>
            </w:r>
          </w:p>
        </w:tc>
        <w:tc>
          <w:tcPr>
            <w:tcW w:w="0" w:type="auto"/>
            <w:tcBorders>
              <w:top w:val="nil"/>
              <w:left w:val="nil"/>
              <w:bottom w:val="nil"/>
            </w:tcBorders>
            <w:vAlign w:val="center"/>
          </w:tcPr>
          <w:p w:rsidR="00735207" w:rsidRPr="004648C4" w:rsidRDefault="00735207" w:rsidP="00735207">
            <w:pPr>
              <w:autoSpaceDE w:val="0"/>
              <w:autoSpaceDN w:val="0"/>
              <w:adjustRightInd w:val="0"/>
              <w:spacing w:line="360" w:lineRule="auto"/>
              <w:jc w:val="center"/>
              <w:cnfStyle w:val="000000100000"/>
              <w:rPr>
                <w:rFonts w:ascii="Arial" w:hAnsi="Arial" w:cs="Arial"/>
                <w:color w:val="000000"/>
                <w:sz w:val="18"/>
                <w:szCs w:val="18"/>
              </w:rPr>
            </w:pPr>
          </w:p>
        </w:tc>
        <w:tc>
          <w:tcPr>
            <w:cnfStyle w:val="000010000000"/>
            <w:tcW w:w="0" w:type="auto"/>
            <w:tcBorders>
              <w:top w:val="nil"/>
              <w:bottom w:val="nil"/>
            </w:tcBorders>
            <w:vAlign w:val="center"/>
          </w:tcPr>
          <w:p w:rsidR="00735207" w:rsidRPr="003F282D" w:rsidRDefault="00735207" w:rsidP="00735207">
            <w:pPr>
              <w:autoSpaceDE w:val="0"/>
              <w:autoSpaceDN w:val="0"/>
              <w:adjustRightInd w:val="0"/>
              <w:jc w:val="center"/>
              <w:rPr>
                <w:rFonts w:ascii="Arial" w:hAnsi="Arial" w:cs="Arial"/>
                <w:color w:val="000000"/>
                <w:sz w:val="18"/>
                <w:szCs w:val="18"/>
              </w:rPr>
            </w:pPr>
            <w:r w:rsidRPr="003F282D">
              <w:rPr>
                <w:rFonts w:ascii="Arial" w:hAnsi="Arial" w:cs="Arial"/>
                <w:color w:val="000000"/>
                <w:sz w:val="18"/>
                <w:szCs w:val="18"/>
              </w:rPr>
              <w:t>-3.433401</w:t>
            </w:r>
          </w:p>
        </w:tc>
        <w:tc>
          <w:tcPr>
            <w:tcW w:w="0" w:type="auto"/>
            <w:tcBorders>
              <w:top w:val="nil"/>
              <w:bottom w:val="nil"/>
            </w:tcBorders>
            <w:vAlign w:val="center"/>
          </w:tcPr>
          <w:p w:rsidR="00735207" w:rsidRPr="004648C4" w:rsidRDefault="00735207" w:rsidP="00735207">
            <w:pPr>
              <w:autoSpaceDE w:val="0"/>
              <w:autoSpaceDN w:val="0"/>
              <w:adjustRightInd w:val="0"/>
              <w:spacing w:line="360" w:lineRule="auto"/>
              <w:jc w:val="center"/>
              <w:cnfStyle w:val="000000100000"/>
              <w:rPr>
                <w:rFonts w:ascii="Arial" w:hAnsi="Arial" w:cs="Arial"/>
                <w:color w:val="000000"/>
                <w:sz w:val="18"/>
                <w:szCs w:val="18"/>
              </w:rPr>
            </w:pPr>
          </w:p>
        </w:tc>
        <w:tc>
          <w:tcPr>
            <w:cnfStyle w:val="000010000000"/>
            <w:tcW w:w="0" w:type="auto"/>
            <w:tcBorders>
              <w:top w:val="nil"/>
              <w:bottom w:val="nil"/>
            </w:tcBorders>
            <w:vAlign w:val="center"/>
          </w:tcPr>
          <w:p w:rsidR="00735207" w:rsidRPr="00741A75" w:rsidRDefault="00735207" w:rsidP="00735207">
            <w:pPr>
              <w:autoSpaceDE w:val="0"/>
              <w:autoSpaceDN w:val="0"/>
              <w:adjustRightInd w:val="0"/>
              <w:jc w:val="center"/>
              <w:rPr>
                <w:rFonts w:ascii="Arial" w:hAnsi="Arial" w:cs="Arial"/>
                <w:color w:val="000000"/>
                <w:sz w:val="18"/>
                <w:szCs w:val="18"/>
              </w:rPr>
            </w:pPr>
            <w:r w:rsidRPr="00741A75">
              <w:rPr>
                <w:rFonts w:ascii="Arial" w:hAnsi="Arial" w:cs="Arial"/>
                <w:color w:val="000000"/>
                <w:sz w:val="18"/>
                <w:szCs w:val="18"/>
              </w:rPr>
              <w:t>-2.876435</w:t>
            </w:r>
          </w:p>
        </w:tc>
        <w:tc>
          <w:tcPr>
            <w:tcW w:w="0" w:type="auto"/>
            <w:tcBorders>
              <w:top w:val="nil"/>
              <w:bottom w:val="nil"/>
            </w:tcBorders>
            <w:vAlign w:val="center"/>
          </w:tcPr>
          <w:p w:rsidR="00735207" w:rsidRPr="004648C4" w:rsidRDefault="00735207" w:rsidP="00735207">
            <w:pPr>
              <w:autoSpaceDE w:val="0"/>
              <w:autoSpaceDN w:val="0"/>
              <w:adjustRightInd w:val="0"/>
              <w:spacing w:line="360" w:lineRule="auto"/>
              <w:jc w:val="center"/>
              <w:cnfStyle w:val="000000100000"/>
              <w:rPr>
                <w:rFonts w:ascii="Arial" w:hAnsi="Arial" w:cs="Arial"/>
                <w:color w:val="000000"/>
                <w:sz w:val="18"/>
                <w:szCs w:val="18"/>
              </w:rPr>
            </w:pPr>
          </w:p>
        </w:tc>
      </w:tr>
      <w:tr w:rsidR="00735207" w:rsidRPr="004648C4" w:rsidTr="00735207">
        <w:trPr>
          <w:trHeight w:val="225"/>
        </w:trPr>
        <w:tc>
          <w:tcPr>
            <w:cnfStyle w:val="001000000000"/>
            <w:tcW w:w="0" w:type="auto"/>
            <w:tcBorders>
              <w:top w:val="nil"/>
              <w:right w:val="nil"/>
            </w:tcBorders>
            <w:vAlign w:val="center"/>
          </w:tcPr>
          <w:p w:rsidR="00735207" w:rsidRPr="004648C4" w:rsidRDefault="00735207" w:rsidP="00735207">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top w:val="nil"/>
              <w:left w:val="nil"/>
              <w:right w:val="nil"/>
            </w:tcBorders>
            <w:vAlign w:val="center"/>
          </w:tcPr>
          <w:p w:rsidR="00735207" w:rsidRPr="004648C4" w:rsidRDefault="00735207" w:rsidP="00735207">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10% level</w:t>
            </w:r>
          </w:p>
        </w:tc>
        <w:tc>
          <w:tcPr>
            <w:tcW w:w="0" w:type="auto"/>
            <w:tcBorders>
              <w:top w:val="nil"/>
              <w:left w:val="nil"/>
            </w:tcBorders>
            <w:vAlign w:val="center"/>
          </w:tcPr>
          <w:p w:rsidR="00735207" w:rsidRPr="004648C4" w:rsidRDefault="00735207" w:rsidP="00735207">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top w:val="nil"/>
            </w:tcBorders>
            <w:vAlign w:val="center"/>
          </w:tcPr>
          <w:p w:rsidR="00735207" w:rsidRPr="003F282D" w:rsidRDefault="00735207" w:rsidP="00735207">
            <w:pPr>
              <w:autoSpaceDE w:val="0"/>
              <w:autoSpaceDN w:val="0"/>
              <w:adjustRightInd w:val="0"/>
              <w:jc w:val="center"/>
              <w:rPr>
                <w:rFonts w:ascii="Arial" w:hAnsi="Arial" w:cs="Arial"/>
                <w:color w:val="000000"/>
                <w:sz w:val="18"/>
                <w:szCs w:val="18"/>
              </w:rPr>
            </w:pPr>
            <w:r w:rsidRPr="003F282D">
              <w:rPr>
                <w:rFonts w:ascii="Arial" w:hAnsi="Arial" w:cs="Arial"/>
                <w:color w:val="000000"/>
                <w:sz w:val="18"/>
                <w:szCs w:val="18"/>
              </w:rPr>
              <w:t>-3.140550</w:t>
            </w:r>
          </w:p>
        </w:tc>
        <w:tc>
          <w:tcPr>
            <w:tcW w:w="0" w:type="auto"/>
            <w:tcBorders>
              <w:top w:val="nil"/>
            </w:tcBorders>
            <w:vAlign w:val="center"/>
          </w:tcPr>
          <w:p w:rsidR="00735207" w:rsidRPr="004648C4" w:rsidRDefault="00735207" w:rsidP="00735207">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top w:val="nil"/>
            </w:tcBorders>
            <w:vAlign w:val="center"/>
          </w:tcPr>
          <w:p w:rsidR="00735207" w:rsidRPr="00741A75" w:rsidRDefault="00735207" w:rsidP="00735207">
            <w:pPr>
              <w:autoSpaceDE w:val="0"/>
              <w:autoSpaceDN w:val="0"/>
              <w:adjustRightInd w:val="0"/>
              <w:jc w:val="center"/>
              <w:rPr>
                <w:rFonts w:ascii="Arial" w:hAnsi="Arial" w:cs="Arial"/>
                <w:color w:val="000000"/>
                <w:sz w:val="18"/>
                <w:szCs w:val="18"/>
              </w:rPr>
            </w:pPr>
            <w:r w:rsidRPr="00741A75">
              <w:rPr>
                <w:rFonts w:ascii="Arial" w:hAnsi="Arial" w:cs="Arial"/>
                <w:color w:val="000000"/>
                <w:sz w:val="18"/>
                <w:szCs w:val="18"/>
              </w:rPr>
              <w:t>-2.574788</w:t>
            </w:r>
          </w:p>
        </w:tc>
        <w:tc>
          <w:tcPr>
            <w:tcW w:w="0" w:type="auto"/>
            <w:tcBorders>
              <w:top w:val="nil"/>
            </w:tcBorders>
            <w:vAlign w:val="center"/>
          </w:tcPr>
          <w:p w:rsidR="00735207" w:rsidRPr="004648C4" w:rsidRDefault="00735207" w:rsidP="00735207">
            <w:pPr>
              <w:keepNext/>
              <w:autoSpaceDE w:val="0"/>
              <w:autoSpaceDN w:val="0"/>
              <w:adjustRightInd w:val="0"/>
              <w:spacing w:line="360" w:lineRule="auto"/>
              <w:jc w:val="center"/>
              <w:cnfStyle w:val="000000000000"/>
              <w:rPr>
                <w:rFonts w:ascii="Arial" w:hAnsi="Arial" w:cs="Arial"/>
                <w:color w:val="000000"/>
                <w:sz w:val="18"/>
                <w:szCs w:val="18"/>
              </w:rPr>
            </w:pPr>
          </w:p>
        </w:tc>
      </w:tr>
    </w:tbl>
    <w:p w:rsidR="003F282D" w:rsidRDefault="003F282D">
      <w:pPr>
        <w:rPr>
          <w:lang w:val="en-US"/>
        </w:rPr>
      </w:pPr>
    </w:p>
    <w:p w:rsidR="00102DE7" w:rsidRDefault="00102DE7">
      <w:pPr>
        <w:rPr>
          <w:lang w:val="en-US"/>
        </w:rPr>
      </w:pPr>
    </w:p>
    <w:p w:rsidR="00735207" w:rsidRDefault="00735207" w:rsidP="00CE2BA2">
      <w:pPr>
        <w:jc w:val="both"/>
        <w:rPr>
          <w:lang w:val="en-US"/>
        </w:rPr>
      </w:pPr>
    </w:p>
    <w:p w:rsidR="00735207" w:rsidRDefault="00735207" w:rsidP="00CE2BA2">
      <w:pPr>
        <w:jc w:val="both"/>
        <w:rPr>
          <w:lang w:val="en-US"/>
        </w:rPr>
      </w:pPr>
    </w:p>
    <w:p w:rsidR="00735207" w:rsidRPr="00735207" w:rsidRDefault="00735207" w:rsidP="00735207">
      <w:pPr>
        <w:pStyle w:val="Caption"/>
        <w:framePr w:h="246" w:hRule="exact" w:hSpace="141" w:wrap="around" w:vAnchor="text" w:hAnchor="page" w:x="3521" w:y="147"/>
        <w:rPr>
          <w:lang w:val="en-US"/>
        </w:rPr>
      </w:pPr>
      <w:r w:rsidRPr="00735207">
        <w:rPr>
          <w:lang w:val="en-US"/>
        </w:rPr>
        <w:t xml:space="preserve">Table </w:t>
      </w:r>
      <w:r w:rsidR="00DB780A">
        <w:fldChar w:fldCharType="begin"/>
      </w:r>
      <w:r w:rsidRPr="00735207">
        <w:rPr>
          <w:lang w:val="en-US"/>
        </w:rPr>
        <w:instrText xml:space="preserve"> SEQ Table \* ARABIC </w:instrText>
      </w:r>
      <w:r w:rsidR="00DB780A">
        <w:fldChar w:fldCharType="separate"/>
      </w:r>
      <w:r w:rsidR="004454F3">
        <w:rPr>
          <w:noProof/>
          <w:lang w:val="en-US"/>
        </w:rPr>
        <w:t>9</w:t>
      </w:r>
      <w:r w:rsidR="00DB780A">
        <w:fldChar w:fldCharType="end"/>
      </w:r>
      <w:r w:rsidRPr="00735207">
        <w:rPr>
          <w:lang w:val="en-US"/>
        </w:rPr>
        <w:t xml:space="preserve"> | Augmented Dickey-Fuller test results on net interest rate</w:t>
      </w:r>
    </w:p>
    <w:p w:rsidR="00735207" w:rsidRDefault="00735207" w:rsidP="00CE2BA2">
      <w:pPr>
        <w:jc w:val="both"/>
        <w:rPr>
          <w:lang w:val="en-US"/>
        </w:rPr>
      </w:pPr>
    </w:p>
    <w:p w:rsidR="00D8702C" w:rsidRDefault="00CD6748" w:rsidP="00CE2BA2">
      <w:pPr>
        <w:jc w:val="both"/>
        <w:rPr>
          <w:lang w:val="en-US"/>
        </w:rPr>
      </w:pPr>
      <w:r>
        <w:rPr>
          <w:lang w:val="en-US"/>
        </w:rPr>
        <w:t>Testing the (non-log) net expected inflation series</w:t>
      </w:r>
      <w:r w:rsidR="00E62129">
        <w:rPr>
          <w:lang w:val="en-US"/>
        </w:rPr>
        <w:t xml:space="preserve"> (</w:t>
      </w:r>
      <m:oMath>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P</m:t>
                </m:r>
              </m:e>
            </m:acc>
          </m:e>
          <m:sub>
            <m:r>
              <w:rPr>
                <w:rFonts w:ascii="Cambria Math" w:eastAsiaTheme="minorEastAsia" w:hAnsi="Cambria Math"/>
                <w:lang w:val="en-US"/>
              </w:rPr>
              <m:t>t</m:t>
            </m:r>
          </m:sub>
          <m:sup>
            <m:r>
              <w:rPr>
                <w:rFonts w:ascii="Cambria Math" w:eastAsiaTheme="minorEastAsia" w:hAnsi="Cambria Math"/>
                <w:lang w:val="en-US"/>
              </w:rPr>
              <m:t>e</m:t>
            </m:r>
          </m:sup>
        </m:sSubSup>
      </m:oMath>
      <w:r w:rsidR="00E62129">
        <w:rPr>
          <w:lang w:val="en-US"/>
        </w:rPr>
        <w:t>)</w:t>
      </w:r>
      <w:r>
        <w:rPr>
          <w:lang w:val="en-US"/>
        </w:rPr>
        <w:t xml:space="preserve"> for </w:t>
      </w:r>
      <w:r w:rsidR="00CC0A92">
        <w:rPr>
          <w:lang w:val="en-US"/>
        </w:rPr>
        <w:t>existence of a unit root shows no evidence for a unit root. The null hypothesis can be rejected. The net expected inflation series is not integrated.</w:t>
      </w:r>
    </w:p>
    <w:tbl>
      <w:tblPr>
        <w:tblStyle w:val="LightList-Accent11"/>
        <w:tblpPr w:leftFromText="141" w:rightFromText="141" w:vertAnchor="text" w:horzAnchor="margin" w:tblpXSpec="center" w:tblpY="83"/>
        <w:tblW w:w="0" w:type="auto"/>
        <w:tblLook w:val="00A0"/>
      </w:tblPr>
      <w:tblGrid>
        <w:gridCol w:w="2098"/>
        <w:gridCol w:w="1142"/>
        <w:gridCol w:w="247"/>
        <w:gridCol w:w="1037"/>
        <w:gridCol w:w="817"/>
      </w:tblGrid>
      <w:tr w:rsidR="00CC0A92" w:rsidRPr="004648C4" w:rsidTr="00CC0A92">
        <w:trPr>
          <w:cnfStyle w:val="100000000000"/>
          <w:trHeight w:val="225"/>
        </w:trPr>
        <w:tc>
          <w:tcPr>
            <w:cnfStyle w:val="001000000000"/>
            <w:tcW w:w="0" w:type="auto"/>
            <w:vAlign w:val="center"/>
          </w:tcPr>
          <w:p w:rsidR="00CC0A92" w:rsidRPr="004648C4" w:rsidRDefault="00CC0A92" w:rsidP="00CC0A92">
            <w:pPr>
              <w:autoSpaceDE w:val="0"/>
              <w:autoSpaceDN w:val="0"/>
              <w:adjustRightInd w:val="0"/>
              <w:spacing w:line="360" w:lineRule="auto"/>
              <w:jc w:val="center"/>
              <w:rPr>
                <w:rFonts w:ascii="Arial" w:hAnsi="Arial" w:cs="Arial"/>
                <w:color w:val="000000"/>
                <w:sz w:val="18"/>
                <w:szCs w:val="18"/>
                <w:lang w:val="en-US"/>
              </w:rPr>
            </w:pPr>
          </w:p>
        </w:tc>
        <w:tc>
          <w:tcPr>
            <w:cnfStyle w:val="000010000000"/>
            <w:tcW w:w="0" w:type="auto"/>
            <w:tcBorders>
              <w:bottom w:val="single" w:sz="8" w:space="0" w:color="4F81BD" w:themeColor="accent1"/>
            </w:tcBorders>
            <w:vAlign w:val="center"/>
          </w:tcPr>
          <w:p w:rsidR="00CC0A92" w:rsidRPr="004648C4" w:rsidRDefault="00CC0A92" w:rsidP="00CC0A92">
            <w:pPr>
              <w:autoSpaceDE w:val="0"/>
              <w:autoSpaceDN w:val="0"/>
              <w:adjustRightInd w:val="0"/>
              <w:spacing w:line="360" w:lineRule="auto"/>
              <w:jc w:val="center"/>
              <w:rPr>
                <w:rFonts w:ascii="Arial" w:hAnsi="Arial" w:cs="Arial"/>
                <w:color w:val="000000"/>
                <w:sz w:val="18"/>
                <w:szCs w:val="18"/>
                <w:lang w:val="en-US"/>
              </w:rPr>
            </w:pPr>
          </w:p>
        </w:tc>
        <w:tc>
          <w:tcPr>
            <w:tcW w:w="0" w:type="auto"/>
            <w:tcBorders>
              <w:bottom w:val="single" w:sz="8" w:space="0" w:color="4F81BD" w:themeColor="accent1"/>
              <w:right w:val="single" w:sz="4" w:space="0" w:color="FFFFFF" w:themeColor="background1"/>
            </w:tcBorders>
            <w:vAlign w:val="center"/>
          </w:tcPr>
          <w:p w:rsidR="00CC0A92" w:rsidRPr="004648C4" w:rsidRDefault="00CC0A92" w:rsidP="00CC0A92">
            <w:pPr>
              <w:autoSpaceDE w:val="0"/>
              <w:autoSpaceDN w:val="0"/>
              <w:adjustRightInd w:val="0"/>
              <w:spacing w:line="360" w:lineRule="auto"/>
              <w:jc w:val="center"/>
              <w:cnfStyle w:val="100000000000"/>
              <w:rPr>
                <w:rFonts w:ascii="Arial" w:hAnsi="Arial" w:cs="Arial"/>
                <w:color w:val="000000"/>
                <w:sz w:val="18"/>
                <w:szCs w:val="18"/>
                <w:lang w:val="en-US"/>
              </w:rPr>
            </w:pPr>
          </w:p>
        </w:tc>
        <w:tc>
          <w:tcPr>
            <w:cnfStyle w:val="000010000000"/>
            <w:tcW w:w="0" w:type="auto"/>
            <w:gridSpan w:val="2"/>
            <w:tcBorders>
              <w:left w:val="single" w:sz="4" w:space="0" w:color="FFFFFF" w:themeColor="background1"/>
              <w:bottom w:val="nil"/>
              <w:right w:val="nil"/>
            </w:tcBorders>
            <w:vAlign w:val="center"/>
          </w:tcPr>
          <w:p w:rsidR="00CC0A92" w:rsidRPr="004648C4" w:rsidRDefault="00CC0A92" w:rsidP="00CC0A92">
            <w:pPr>
              <w:autoSpaceDE w:val="0"/>
              <w:autoSpaceDN w:val="0"/>
              <w:adjustRightInd w:val="0"/>
              <w:spacing w:line="360" w:lineRule="auto"/>
              <w:jc w:val="center"/>
              <w:rPr>
                <w:rFonts w:ascii="Arial" w:hAnsi="Arial" w:cs="Arial"/>
                <w:sz w:val="18"/>
                <w:szCs w:val="18"/>
              </w:rPr>
            </w:pPr>
            <w:r>
              <w:rPr>
                <w:rFonts w:ascii="Arial" w:hAnsi="Arial" w:cs="Arial"/>
                <w:sz w:val="18"/>
                <w:szCs w:val="18"/>
              </w:rPr>
              <w:t>levels</w:t>
            </w:r>
          </w:p>
        </w:tc>
      </w:tr>
      <w:tr w:rsidR="00CC0A92" w:rsidRPr="004648C4" w:rsidTr="00CC0A92">
        <w:trPr>
          <w:cnfStyle w:val="000000100000"/>
          <w:trHeight w:val="225"/>
        </w:trPr>
        <w:tc>
          <w:tcPr>
            <w:cnfStyle w:val="001000000000"/>
            <w:tcW w:w="0" w:type="auto"/>
            <w:shd w:val="clear" w:color="auto" w:fill="4F81BD" w:themeFill="accent1"/>
            <w:vAlign w:val="center"/>
          </w:tcPr>
          <w:p w:rsidR="00CC0A92" w:rsidRPr="004648C4" w:rsidRDefault="00CC0A92" w:rsidP="00CC0A92">
            <w:pPr>
              <w:autoSpaceDE w:val="0"/>
              <w:autoSpaceDN w:val="0"/>
              <w:adjustRightInd w:val="0"/>
              <w:spacing w:line="360" w:lineRule="auto"/>
              <w:jc w:val="center"/>
              <w:rPr>
                <w:rFonts w:ascii="Arial" w:hAnsi="Arial" w:cs="Arial"/>
                <w:color w:val="000000"/>
                <w:sz w:val="18"/>
                <w:szCs w:val="18"/>
                <w:lang w:val="en-US"/>
              </w:rPr>
            </w:pPr>
          </w:p>
        </w:tc>
        <w:tc>
          <w:tcPr>
            <w:cnfStyle w:val="000010000000"/>
            <w:tcW w:w="0" w:type="auto"/>
            <w:shd w:val="clear" w:color="auto" w:fill="4F81BD" w:themeFill="accent1"/>
            <w:vAlign w:val="center"/>
          </w:tcPr>
          <w:p w:rsidR="00CC0A92" w:rsidRPr="00F627B2" w:rsidRDefault="00CC0A92" w:rsidP="00CC0A92">
            <w:pPr>
              <w:autoSpaceDE w:val="0"/>
              <w:autoSpaceDN w:val="0"/>
              <w:adjustRightInd w:val="0"/>
              <w:spacing w:line="360" w:lineRule="auto"/>
              <w:jc w:val="center"/>
              <w:rPr>
                <w:rFonts w:ascii="Arial" w:hAnsi="Arial" w:cs="Arial"/>
                <w:color w:val="FFFFFF" w:themeColor="background1"/>
                <w:sz w:val="18"/>
                <w:szCs w:val="18"/>
                <w:lang w:val="en-US"/>
              </w:rPr>
            </w:pPr>
          </w:p>
        </w:tc>
        <w:tc>
          <w:tcPr>
            <w:tcW w:w="0" w:type="auto"/>
            <w:tcBorders>
              <w:right w:val="single" w:sz="4" w:space="0" w:color="FFFFFF" w:themeColor="background1"/>
            </w:tcBorders>
            <w:shd w:val="clear" w:color="auto" w:fill="4F81BD" w:themeFill="accent1"/>
            <w:vAlign w:val="center"/>
          </w:tcPr>
          <w:p w:rsidR="00CC0A92" w:rsidRPr="00F627B2" w:rsidRDefault="00CC0A92" w:rsidP="00CC0A92">
            <w:pPr>
              <w:autoSpaceDE w:val="0"/>
              <w:autoSpaceDN w:val="0"/>
              <w:adjustRightInd w:val="0"/>
              <w:spacing w:line="360" w:lineRule="auto"/>
              <w:jc w:val="center"/>
              <w:cnfStyle w:val="000000100000"/>
              <w:rPr>
                <w:rFonts w:ascii="Arial" w:hAnsi="Arial" w:cs="Arial"/>
                <w:color w:val="FFFFFF" w:themeColor="background1"/>
                <w:sz w:val="18"/>
                <w:szCs w:val="18"/>
                <w:lang w:val="en-US"/>
              </w:rPr>
            </w:pPr>
          </w:p>
        </w:tc>
        <w:tc>
          <w:tcPr>
            <w:cnfStyle w:val="000010000000"/>
            <w:tcW w:w="0" w:type="auto"/>
            <w:tcBorders>
              <w:top w:val="nil"/>
              <w:left w:val="single" w:sz="4" w:space="0" w:color="FFFFFF" w:themeColor="background1"/>
            </w:tcBorders>
            <w:shd w:val="clear" w:color="auto" w:fill="4F81BD" w:themeFill="accent1"/>
            <w:vAlign w:val="center"/>
          </w:tcPr>
          <w:p w:rsidR="00CC0A92" w:rsidRPr="00F627B2" w:rsidRDefault="00CC0A92" w:rsidP="00CC0A92">
            <w:pPr>
              <w:autoSpaceDE w:val="0"/>
              <w:autoSpaceDN w:val="0"/>
              <w:adjustRightInd w:val="0"/>
              <w:spacing w:line="360" w:lineRule="auto"/>
              <w:jc w:val="center"/>
              <w:rPr>
                <w:rFonts w:ascii="Arial" w:hAnsi="Arial" w:cs="Arial"/>
                <w:b/>
                <w:color w:val="FFFFFF" w:themeColor="background1"/>
                <w:sz w:val="18"/>
                <w:szCs w:val="18"/>
              </w:rPr>
            </w:pPr>
            <w:r w:rsidRPr="00F627B2">
              <w:rPr>
                <w:rFonts w:ascii="Arial" w:hAnsi="Arial" w:cs="Arial"/>
                <w:b/>
                <w:color w:val="FFFFFF" w:themeColor="background1"/>
                <w:sz w:val="18"/>
                <w:szCs w:val="18"/>
              </w:rPr>
              <w:t>t-Statistic</w:t>
            </w:r>
          </w:p>
        </w:tc>
        <w:tc>
          <w:tcPr>
            <w:tcW w:w="0" w:type="auto"/>
            <w:tcBorders>
              <w:top w:val="nil"/>
              <w:right w:val="nil"/>
            </w:tcBorders>
            <w:shd w:val="clear" w:color="auto" w:fill="4F81BD" w:themeFill="accent1"/>
            <w:vAlign w:val="center"/>
          </w:tcPr>
          <w:p w:rsidR="00CC0A92" w:rsidRPr="00F627B2" w:rsidRDefault="00CC0A92" w:rsidP="00CC0A92">
            <w:pPr>
              <w:autoSpaceDE w:val="0"/>
              <w:autoSpaceDN w:val="0"/>
              <w:adjustRightInd w:val="0"/>
              <w:spacing w:line="360" w:lineRule="auto"/>
              <w:jc w:val="center"/>
              <w:cnfStyle w:val="000000100000"/>
              <w:rPr>
                <w:rFonts w:ascii="Arial" w:hAnsi="Arial" w:cs="Arial"/>
                <w:b/>
                <w:color w:val="FFFFFF" w:themeColor="background1"/>
                <w:sz w:val="18"/>
                <w:szCs w:val="18"/>
              </w:rPr>
            </w:pPr>
            <w:r w:rsidRPr="00F627B2">
              <w:rPr>
                <w:rFonts w:ascii="Arial" w:hAnsi="Arial" w:cs="Arial"/>
                <w:b/>
                <w:color w:val="FFFFFF" w:themeColor="background1"/>
                <w:sz w:val="18"/>
                <w:szCs w:val="18"/>
              </w:rPr>
              <w:t>Prob.</w:t>
            </w:r>
          </w:p>
        </w:tc>
      </w:tr>
      <w:tr w:rsidR="00CC0A92" w:rsidRPr="004648C4" w:rsidTr="006D50B6">
        <w:trPr>
          <w:trHeight w:hRule="exact" w:val="135"/>
        </w:trPr>
        <w:tc>
          <w:tcPr>
            <w:cnfStyle w:val="001000000000"/>
            <w:tcW w:w="0" w:type="auto"/>
            <w:tcBorders>
              <w:right w:val="nil"/>
            </w:tcBorders>
            <w:vAlign w:val="center"/>
          </w:tcPr>
          <w:p w:rsidR="00CC0A92" w:rsidRPr="004648C4" w:rsidRDefault="00CC0A92" w:rsidP="006D50B6">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left w:val="nil"/>
              <w:right w:val="nil"/>
            </w:tcBorders>
            <w:vAlign w:val="center"/>
          </w:tcPr>
          <w:p w:rsidR="00CC0A92" w:rsidRPr="004648C4" w:rsidRDefault="00CC0A92" w:rsidP="006D50B6">
            <w:pPr>
              <w:autoSpaceDE w:val="0"/>
              <w:autoSpaceDN w:val="0"/>
              <w:adjustRightInd w:val="0"/>
              <w:spacing w:line="360" w:lineRule="auto"/>
              <w:jc w:val="center"/>
              <w:rPr>
                <w:rFonts w:ascii="Arial" w:hAnsi="Arial" w:cs="Arial"/>
                <w:color w:val="000000"/>
                <w:sz w:val="18"/>
                <w:szCs w:val="18"/>
              </w:rPr>
            </w:pPr>
          </w:p>
        </w:tc>
        <w:tc>
          <w:tcPr>
            <w:tcW w:w="0" w:type="auto"/>
            <w:tcBorders>
              <w:left w:val="nil"/>
            </w:tcBorders>
            <w:vAlign w:val="center"/>
          </w:tcPr>
          <w:p w:rsidR="00CC0A92" w:rsidRPr="004648C4" w:rsidRDefault="00CC0A92" w:rsidP="006D50B6">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vAlign w:val="center"/>
          </w:tcPr>
          <w:p w:rsidR="00CC0A92" w:rsidRPr="004648C4" w:rsidRDefault="00CC0A92" w:rsidP="006D50B6">
            <w:pPr>
              <w:autoSpaceDE w:val="0"/>
              <w:autoSpaceDN w:val="0"/>
              <w:adjustRightInd w:val="0"/>
              <w:spacing w:line="360" w:lineRule="auto"/>
              <w:jc w:val="center"/>
              <w:rPr>
                <w:rFonts w:ascii="Arial" w:hAnsi="Arial" w:cs="Arial"/>
                <w:color w:val="000000"/>
                <w:sz w:val="18"/>
                <w:szCs w:val="18"/>
              </w:rPr>
            </w:pPr>
          </w:p>
        </w:tc>
        <w:tc>
          <w:tcPr>
            <w:tcW w:w="0" w:type="auto"/>
            <w:vAlign w:val="center"/>
          </w:tcPr>
          <w:p w:rsidR="00CC0A92" w:rsidRPr="004648C4" w:rsidRDefault="00CC0A92" w:rsidP="006D50B6">
            <w:pPr>
              <w:autoSpaceDE w:val="0"/>
              <w:autoSpaceDN w:val="0"/>
              <w:adjustRightInd w:val="0"/>
              <w:spacing w:line="360" w:lineRule="auto"/>
              <w:jc w:val="center"/>
              <w:cnfStyle w:val="000000000000"/>
              <w:rPr>
                <w:rFonts w:ascii="Arial" w:hAnsi="Arial" w:cs="Arial"/>
                <w:color w:val="000000"/>
                <w:sz w:val="18"/>
                <w:szCs w:val="18"/>
              </w:rPr>
            </w:pPr>
          </w:p>
        </w:tc>
      </w:tr>
      <w:tr w:rsidR="00CC0A92" w:rsidRPr="004648C4" w:rsidTr="006D50B6">
        <w:trPr>
          <w:cnfStyle w:val="000000100000"/>
          <w:trHeight w:val="225"/>
        </w:trPr>
        <w:tc>
          <w:tcPr>
            <w:cnfStyle w:val="001000000000"/>
            <w:tcW w:w="0" w:type="auto"/>
            <w:gridSpan w:val="3"/>
            <w:vAlign w:val="center"/>
          </w:tcPr>
          <w:p w:rsidR="00CC0A92" w:rsidRPr="004648C4" w:rsidRDefault="00CC0A92" w:rsidP="006D50B6">
            <w:pPr>
              <w:autoSpaceDE w:val="0"/>
              <w:autoSpaceDN w:val="0"/>
              <w:adjustRightInd w:val="0"/>
              <w:spacing w:line="360" w:lineRule="auto"/>
              <w:jc w:val="center"/>
              <w:rPr>
                <w:rFonts w:ascii="Arial" w:hAnsi="Arial" w:cs="Arial"/>
                <w:color w:val="000000"/>
                <w:sz w:val="18"/>
                <w:szCs w:val="18"/>
                <w:lang w:val="en-US"/>
              </w:rPr>
            </w:pPr>
            <w:r w:rsidRPr="004648C4">
              <w:rPr>
                <w:rFonts w:ascii="Arial" w:hAnsi="Arial" w:cs="Arial"/>
                <w:color w:val="000000"/>
                <w:sz w:val="18"/>
                <w:szCs w:val="18"/>
                <w:lang w:val="en-US"/>
              </w:rPr>
              <w:t>Augmented Dickey-Fuller test statistic</w:t>
            </w:r>
          </w:p>
        </w:tc>
        <w:tc>
          <w:tcPr>
            <w:cnfStyle w:val="000010000000"/>
            <w:tcW w:w="0" w:type="auto"/>
            <w:vAlign w:val="center"/>
          </w:tcPr>
          <w:p w:rsidR="00CC0A92" w:rsidRPr="00102DE7" w:rsidRDefault="00CC0A92" w:rsidP="006D50B6">
            <w:pPr>
              <w:autoSpaceDE w:val="0"/>
              <w:autoSpaceDN w:val="0"/>
              <w:adjustRightInd w:val="0"/>
              <w:jc w:val="center"/>
              <w:rPr>
                <w:rFonts w:ascii="Arial" w:hAnsi="Arial" w:cs="Arial"/>
                <w:color w:val="000000"/>
                <w:sz w:val="18"/>
                <w:szCs w:val="18"/>
              </w:rPr>
            </w:pPr>
            <w:r w:rsidRPr="00CC0A92">
              <w:rPr>
                <w:rFonts w:ascii="Arial" w:hAnsi="Arial" w:cs="Arial"/>
                <w:color w:val="000000"/>
                <w:sz w:val="18"/>
                <w:szCs w:val="18"/>
              </w:rPr>
              <w:t>-8.635499</w:t>
            </w:r>
          </w:p>
        </w:tc>
        <w:tc>
          <w:tcPr>
            <w:tcW w:w="0" w:type="auto"/>
            <w:vAlign w:val="center"/>
          </w:tcPr>
          <w:p w:rsidR="00CC0A92" w:rsidRPr="004648C4" w:rsidRDefault="00CC0A92" w:rsidP="006D50B6">
            <w:pPr>
              <w:autoSpaceDE w:val="0"/>
              <w:autoSpaceDN w:val="0"/>
              <w:adjustRightInd w:val="0"/>
              <w:spacing w:line="360" w:lineRule="auto"/>
              <w:jc w:val="center"/>
              <w:cnfStyle w:val="000000100000"/>
              <w:rPr>
                <w:rFonts w:ascii="Arial" w:hAnsi="Arial" w:cs="Arial"/>
                <w:color w:val="000000"/>
                <w:sz w:val="18"/>
                <w:szCs w:val="18"/>
              </w:rPr>
            </w:pPr>
            <w:r w:rsidRPr="003F282D">
              <w:rPr>
                <w:rFonts w:ascii="Arial" w:hAnsi="Arial" w:cs="Arial"/>
                <w:color w:val="000000"/>
                <w:sz w:val="18"/>
                <w:szCs w:val="18"/>
              </w:rPr>
              <w:t> </w:t>
            </w:r>
            <w:r w:rsidRPr="00CC0A92">
              <w:rPr>
                <w:rFonts w:ascii="Arial" w:hAnsi="Arial" w:cs="Arial"/>
                <w:color w:val="000000"/>
                <w:sz w:val="18"/>
                <w:szCs w:val="18"/>
              </w:rPr>
              <w:t>0.0000</w:t>
            </w:r>
          </w:p>
        </w:tc>
      </w:tr>
      <w:tr w:rsidR="00CC0A92" w:rsidRPr="004648C4" w:rsidTr="00CC0A92">
        <w:trPr>
          <w:trHeight w:val="225"/>
        </w:trPr>
        <w:tc>
          <w:tcPr>
            <w:cnfStyle w:val="001000000000"/>
            <w:tcW w:w="0" w:type="auto"/>
            <w:tcBorders>
              <w:bottom w:val="nil"/>
              <w:right w:val="nil"/>
            </w:tcBorders>
            <w:vAlign w:val="center"/>
          </w:tcPr>
          <w:p w:rsidR="00CC0A92" w:rsidRPr="004648C4" w:rsidRDefault="00CC0A92" w:rsidP="006D50B6">
            <w:pPr>
              <w:autoSpaceDE w:val="0"/>
              <w:autoSpaceDN w:val="0"/>
              <w:adjustRightInd w:val="0"/>
              <w:spacing w:line="360" w:lineRule="auto"/>
              <w:rPr>
                <w:rFonts w:ascii="Arial" w:hAnsi="Arial" w:cs="Arial"/>
                <w:color w:val="000000"/>
                <w:sz w:val="18"/>
                <w:szCs w:val="18"/>
              </w:rPr>
            </w:pPr>
            <w:r w:rsidRPr="004648C4">
              <w:rPr>
                <w:rFonts w:ascii="Arial" w:hAnsi="Arial" w:cs="Arial"/>
                <w:color w:val="000000"/>
                <w:sz w:val="18"/>
                <w:szCs w:val="18"/>
              </w:rPr>
              <w:t>Test critical values:</w:t>
            </w:r>
          </w:p>
        </w:tc>
        <w:tc>
          <w:tcPr>
            <w:cnfStyle w:val="000010000000"/>
            <w:tcW w:w="0" w:type="auto"/>
            <w:tcBorders>
              <w:left w:val="nil"/>
              <w:bottom w:val="nil"/>
              <w:right w:val="nil"/>
            </w:tcBorders>
            <w:vAlign w:val="center"/>
          </w:tcPr>
          <w:p w:rsidR="00CC0A92" w:rsidRPr="004648C4" w:rsidRDefault="00CC0A92" w:rsidP="006D50B6">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1% level</w:t>
            </w:r>
          </w:p>
        </w:tc>
        <w:tc>
          <w:tcPr>
            <w:tcW w:w="0" w:type="auto"/>
            <w:tcBorders>
              <w:left w:val="nil"/>
              <w:bottom w:val="nil"/>
            </w:tcBorders>
            <w:vAlign w:val="center"/>
          </w:tcPr>
          <w:p w:rsidR="00CC0A92" w:rsidRPr="004648C4" w:rsidRDefault="00CC0A92" w:rsidP="006D50B6">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bottom w:val="nil"/>
            </w:tcBorders>
            <w:vAlign w:val="center"/>
          </w:tcPr>
          <w:p w:rsidR="00CC0A92" w:rsidRPr="00CC0A92" w:rsidRDefault="00CC0A92" w:rsidP="00CC0A92">
            <w:pPr>
              <w:autoSpaceDE w:val="0"/>
              <w:autoSpaceDN w:val="0"/>
              <w:adjustRightInd w:val="0"/>
              <w:jc w:val="center"/>
              <w:rPr>
                <w:rFonts w:ascii="Arial" w:hAnsi="Arial" w:cs="Arial"/>
                <w:color w:val="000000"/>
                <w:sz w:val="18"/>
                <w:szCs w:val="18"/>
              </w:rPr>
            </w:pPr>
            <w:r w:rsidRPr="00CC0A92">
              <w:rPr>
                <w:rFonts w:ascii="Arial" w:hAnsi="Arial" w:cs="Arial"/>
                <w:color w:val="000000"/>
                <w:sz w:val="18"/>
                <w:szCs w:val="18"/>
              </w:rPr>
              <w:t>-2.576999</w:t>
            </w:r>
          </w:p>
        </w:tc>
        <w:tc>
          <w:tcPr>
            <w:tcW w:w="0" w:type="auto"/>
            <w:tcBorders>
              <w:bottom w:val="nil"/>
            </w:tcBorders>
            <w:vAlign w:val="center"/>
          </w:tcPr>
          <w:p w:rsidR="00CC0A92" w:rsidRPr="004648C4" w:rsidRDefault="00CC0A92" w:rsidP="006D50B6">
            <w:pPr>
              <w:autoSpaceDE w:val="0"/>
              <w:autoSpaceDN w:val="0"/>
              <w:adjustRightInd w:val="0"/>
              <w:spacing w:line="360" w:lineRule="auto"/>
              <w:jc w:val="center"/>
              <w:cnfStyle w:val="000000000000"/>
              <w:rPr>
                <w:rFonts w:ascii="Arial" w:hAnsi="Arial" w:cs="Arial"/>
                <w:color w:val="000000"/>
                <w:sz w:val="18"/>
                <w:szCs w:val="18"/>
              </w:rPr>
            </w:pPr>
          </w:p>
        </w:tc>
      </w:tr>
      <w:tr w:rsidR="00CC0A92" w:rsidRPr="004648C4" w:rsidTr="00CC0A92">
        <w:trPr>
          <w:cnfStyle w:val="000000100000"/>
          <w:trHeight w:val="225"/>
        </w:trPr>
        <w:tc>
          <w:tcPr>
            <w:cnfStyle w:val="001000000000"/>
            <w:tcW w:w="0" w:type="auto"/>
            <w:tcBorders>
              <w:top w:val="nil"/>
              <w:bottom w:val="nil"/>
              <w:right w:val="nil"/>
            </w:tcBorders>
            <w:vAlign w:val="center"/>
          </w:tcPr>
          <w:p w:rsidR="00CC0A92" w:rsidRPr="004648C4" w:rsidRDefault="00CC0A92" w:rsidP="006D50B6">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top w:val="nil"/>
              <w:left w:val="nil"/>
              <w:bottom w:val="nil"/>
              <w:right w:val="nil"/>
            </w:tcBorders>
            <w:vAlign w:val="center"/>
          </w:tcPr>
          <w:p w:rsidR="00CC0A92" w:rsidRPr="004648C4" w:rsidRDefault="00CC0A92" w:rsidP="006D50B6">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5% level</w:t>
            </w:r>
          </w:p>
        </w:tc>
        <w:tc>
          <w:tcPr>
            <w:tcW w:w="0" w:type="auto"/>
            <w:tcBorders>
              <w:top w:val="nil"/>
              <w:left w:val="nil"/>
              <w:bottom w:val="nil"/>
            </w:tcBorders>
            <w:vAlign w:val="center"/>
          </w:tcPr>
          <w:p w:rsidR="00CC0A92" w:rsidRPr="004648C4" w:rsidRDefault="00CC0A92" w:rsidP="006D50B6">
            <w:pPr>
              <w:autoSpaceDE w:val="0"/>
              <w:autoSpaceDN w:val="0"/>
              <w:adjustRightInd w:val="0"/>
              <w:spacing w:line="360" w:lineRule="auto"/>
              <w:jc w:val="center"/>
              <w:cnfStyle w:val="000000100000"/>
              <w:rPr>
                <w:rFonts w:ascii="Arial" w:hAnsi="Arial" w:cs="Arial"/>
                <w:color w:val="000000"/>
                <w:sz w:val="18"/>
                <w:szCs w:val="18"/>
              </w:rPr>
            </w:pPr>
          </w:p>
        </w:tc>
        <w:tc>
          <w:tcPr>
            <w:cnfStyle w:val="000010000000"/>
            <w:tcW w:w="0" w:type="auto"/>
            <w:tcBorders>
              <w:top w:val="nil"/>
              <w:bottom w:val="nil"/>
            </w:tcBorders>
            <w:vAlign w:val="center"/>
          </w:tcPr>
          <w:p w:rsidR="00CC0A92" w:rsidRPr="00CC0A92" w:rsidRDefault="00CC0A92" w:rsidP="00CC0A92">
            <w:pPr>
              <w:autoSpaceDE w:val="0"/>
              <w:autoSpaceDN w:val="0"/>
              <w:adjustRightInd w:val="0"/>
              <w:jc w:val="center"/>
              <w:rPr>
                <w:rFonts w:ascii="Arial" w:hAnsi="Arial" w:cs="Arial"/>
                <w:color w:val="000000"/>
                <w:sz w:val="18"/>
                <w:szCs w:val="18"/>
              </w:rPr>
            </w:pPr>
            <w:r w:rsidRPr="00CC0A92">
              <w:rPr>
                <w:rFonts w:ascii="Arial" w:hAnsi="Arial" w:cs="Arial"/>
                <w:color w:val="000000"/>
                <w:sz w:val="18"/>
                <w:szCs w:val="18"/>
              </w:rPr>
              <w:t>-1.942482</w:t>
            </w:r>
          </w:p>
        </w:tc>
        <w:tc>
          <w:tcPr>
            <w:tcW w:w="0" w:type="auto"/>
            <w:tcBorders>
              <w:top w:val="nil"/>
              <w:bottom w:val="nil"/>
            </w:tcBorders>
            <w:vAlign w:val="center"/>
          </w:tcPr>
          <w:p w:rsidR="00CC0A92" w:rsidRPr="004648C4" w:rsidRDefault="00CC0A92" w:rsidP="006D50B6">
            <w:pPr>
              <w:autoSpaceDE w:val="0"/>
              <w:autoSpaceDN w:val="0"/>
              <w:adjustRightInd w:val="0"/>
              <w:spacing w:line="360" w:lineRule="auto"/>
              <w:jc w:val="center"/>
              <w:cnfStyle w:val="000000100000"/>
              <w:rPr>
                <w:rFonts w:ascii="Arial" w:hAnsi="Arial" w:cs="Arial"/>
                <w:color w:val="000000"/>
                <w:sz w:val="18"/>
                <w:szCs w:val="18"/>
              </w:rPr>
            </w:pPr>
          </w:p>
        </w:tc>
      </w:tr>
      <w:tr w:rsidR="00CC0A92" w:rsidRPr="004648C4" w:rsidTr="00CC0A92">
        <w:trPr>
          <w:trHeight w:val="225"/>
        </w:trPr>
        <w:tc>
          <w:tcPr>
            <w:cnfStyle w:val="001000000000"/>
            <w:tcW w:w="0" w:type="auto"/>
            <w:tcBorders>
              <w:top w:val="nil"/>
              <w:right w:val="nil"/>
            </w:tcBorders>
            <w:vAlign w:val="center"/>
          </w:tcPr>
          <w:p w:rsidR="00CC0A92" w:rsidRPr="004648C4" w:rsidRDefault="00CC0A92" w:rsidP="006D50B6">
            <w:pPr>
              <w:autoSpaceDE w:val="0"/>
              <w:autoSpaceDN w:val="0"/>
              <w:adjustRightInd w:val="0"/>
              <w:spacing w:line="360" w:lineRule="auto"/>
              <w:jc w:val="center"/>
              <w:rPr>
                <w:rFonts w:ascii="Arial" w:hAnsi="Arial" w:cs="Arial"/>
                <w:color w:val="000000"/>
                <w:sz w:val="18"/>
                <w:szCs w:val="18"/>
              </w:rPr>
            </w:pPr>
          </w:p>
        </w:tc>
        <w:tc>
          <w:tcPr>
            <w:cnfStyle w:val="000010000000"/>
            <w:tcW w:w="0" w:type="auto"/>
            <w:tcBorders>
              <w:top w:val="nil"/>
              <w:left w:val="nil"/>
              <w:right w:val="nil"/>
            </w:tcBorders>
            <w:vAlign w:val="center"/>
          </w:tcPr>
          <w:p w:rsidR="00CC0A92" w:rsidRPr="004648C4" w:rsidRDefault="00CC0A92" w:rsidP="006D50B6">
            <w:pPr>
              <w:autoSpaceDE w:val="0"/>
              <w:autoSpaceDN w:val="0"/>
              <w:adjustRightInd w:val="0"/>
              <w:spacing w:line="360" w:lineRule="auto"/>
              <w:jc w:val="center"/>
              <w:rPr>
                <w:rFonts w:ascii="Arial" w:hAnsi="Arial" w:cs="Arial"/>
                <w:b/>
                <w:color w:val="000000"/>
                <w:sz w:val="18"/>
                <w:szCs w:val="18"/>
              </w:rPr>
            </w:pPr>
            <w:r w:rsidRPr="004648C4">
              <w:rPr>
                <w:rFonts w:ascii="Arial" w:hAnsi="Arial" w:cs="Arial"/>
                <w:b/>
                <w:color w:val="000000"/>
                <w:sz w:val="18"/>
                <w:szCs w:val="18"/>
              </w:rPr>
              <w:t>10% level</w:t>
            </w:r>
          </w:p>
        </w:tc>
        <w:tc>
          <w:tcPr>
            <w:tcW w:w="0" w:type="auto"/>
            <w:tcBorders>
              <w:top w:val="nil"/>
              <w:left w:val="nil"/>
            </w:tcBorders>
            <w:vAlign w:val="center"/>
          </w:tcPr>
          <w:p w:rsidR="00CC0A92" w:rsidRPr="004648C4" w:rsidRDefault="00CC0A92" w:rsidP="006D50B6">
            <w:pPr>
              <w:autoSpaceDE w:val="0"/>
              <w:autoSpaceDN w:val="0"/>
              <w:adjustRightInd w:val="0"/>
              <w:spacing w:line="360" w:lineRule="auto"/>
              <w:jc w:val="center"/>
              <w:cnfStyle w:val="000000000000"/>
              <w:rPr>
                <w:rFonts w:ascii="Arial" w:hAnsi="Arial" w:cs="Arial"/>
                <w:color w:val="000000"/>
                <w:sz w:val="18"/>
                <w:szCs w:val="18"/>
              </w:rPr>
            </w:pPr>
          </w:p>
        </w:tc>
        <w:tc>
          <w:tcPr>
            <w:cnfStyle w:val="000010000000"/>
            <w:tcW w:w="0" w:type="auto"/>
            <w:tcBorders>
              <w:top w:val="nil"/>
            </w:tcBorders>
            <w:vAlign w:val="center"/>
          </w:tcPr>
          <w:p w:rsidR="00CC0A92" w:rsidRPr="00CC0A92" w:rsidRDefault="00CC0A92" w:rsidP="00CC0A92">
            <w:pPr>
              <w:autoSpaceDE w:val="0"/>
              <w:autoSpaceDN w:val="0"/>
              <w:adjustRightInd w:val="0"/>
              <w:jc w:val="center"/>
              <w:rPr>
                <w:rFonts w:ascii="Arial" w:hAnsi="Arial" w:cs="Arial"/>
                <w:color w:val="000000"/>
                <w:sz w:val="18"/>
                <w:szCs w:val="18"/>
              </w:rPr>
            </w:pPr>
            <w:r w:rsidRPr="00CC0A92">
              <w:rPr>
                <w:rFonts w:ascii="Arial" w:hAnsi="Arial" w:cs="Arial"/>
                <w:color w:val="000000"/>
                <w:sz w:val="18"/>
                <w:szCs w:val="18"/>
              </w:rPr>
              <w:t>-1.615606</w:t>
            </w:r>
          </w:p>
        </w:tc>
        <w:tc>
          <w:tcPr>
            <w:tcW w:w="0" w:type="auto"/>
            <w:tcBorders>
              <w:top w:val="nil"/>
            </w:tcBorders>
            <w:vAlign w:val="center"/>
          </w:tcPr>
          <w:p w:rsidR="00CC0A92" w:rsidRPr="004648C4" w:rsidRDefault="00CC0A92" w:rsidP="00735207">
            <w:pPr>
              <w:keepNext/>
              <w:autoSpaceDE w:val="0"/>
              <w:autoSpaceDN w:val="0"/>
              <w:adjustRightInd w:val="0"/>
              <w:spacing w:line="360" w:lineRule="auto"/>
              <w:jc w:val="center"/>
              <w:cnfStyle w:val="000000000000"/>
              <w:rPr>
                <w:rFonts w:ascii="Arial" w:hAnsi="Arial" w:cs="Arial"/>
                <w:color w:val="000000"/>
                <w:sz w:val="18"/>
                <w:szCs w:val="18"/>
              </w:rPr>
            </w:pPr>
          </w:p>
        </w:tc>
      </w:tr>
    </w:tbl>
    <w:p w:rsidR="00CC0A92" w:rsidRDefault="00CC0A92">
      <w:pPr>
        <w:rPr>
          <w:lang w:val="en-US"/>
        </w:rPr>
      </w:pPr>
    </w:p>
    <w:p w:rsidR="00D8702C" w:rsidRDefault="00D8702C">
      <w:pPr>
        <w:rPr>
          <w:lang w:val="en-US"/>
        </w:rPr>
      </w:pPr>
    </w:p>
    <w:p w:rsidR="003F019C" w:rsidRDefault="003F019C">
      <w:pPr>
        <w:rPr>
          <w:lang w:val="en-US"/>
        </w:rPr>
      </w:pPr>
    </w:p>
    <w:p w:rsidR="003F019C" w:rsidRDefault="003F019C">
      <w:pPr>
        <w:rPr>
          <w:lang w:val="en-US"/>
        </w:rPr>
      </w:pPr>
    </w:p>
    <w:p w:rsidR="00735207" w:rsidRPr="00735207" w:rsidRDefault="00735207" w:rsidP="00735207">
      <w:pPr>
        <w:pStyle w:val="Caption"/>
        <w:framePr w:h="261" w:hRule="exact" w:hSpace="141" w:wrap="around" w:vAnchor="text" w:hAnchor="margin" w:xAlign="center" w:y="249"/>
        <w:rPr>
          <w:lang w:val="en-US"/>
        </w:rPr>
      </w:pPr>
      <w:r w:rsidRPr="00735207">
        <w:rPr>
          <w:lang w:val="en-US"/>
        </w:rPr>
        <w:t xml:space="preserve">Table </w:t>
      </w:r>
      <w:r w:rsidR="00DB780A">
        <w:fldChar w:fldCharType="begin"/>
      </w:r>
      <w:r w:rsidRPr="00735207">
        <w:rPr>
          <w:lang w:val="en-US"/>
        </w:rPr>
        <w:instrText xml:space="preserve"> SEQ Table \* ARABIC </w:instrText>
      </w:r>
      <w:r w:rsidR="00DB780A">
        <w:fldChar w:fldCharType="separate"/>
      </w:r>
      <w:r w:rsidR="004454F3">
        <w:rPr>
          <w:noProof/>
          <w:lang w:val="en-US"/>
        </w:rPr>
        <w:t>10</w:t>
      </w:r>
      <w:r w:rsidR="00DB780A">
        <w:fldChar w:fldCharType="end"/>
      </w:r>
      <w:r w:rsidRPr="00735207">
        <w:rPr>
          <w:lang w:val="en-US"/>
        </w:rPr>
        <w:t xml:space="preserve"> | Augmented Dickey-Fuller test results on net expected inflation</w:t>
      </w:r>
    </w:p>
    <w:p w:rsidR="003F019C" w:rsidRPr="003F019C" w:rsidRDefault="003F019C" w:rsidP="003F019C">
      <w:pPr>
        <w:autoSpaceDE w:val="0"/>
        <w:autoSpaceDN w:val="0"/>
        <w:adjustRightInd w:val="0"/>
        <w:spacing w:after="0" w:line="240" w:lineRule="auto"/>
        <w:rPr>
          <w:rFonts w:ascii="Arial" w:hAnsi="Arial" w:cs="Arial"/>
          <w:sz w:val="18"/>
          <w:szCs w:val="18"/>
          <w:lang w:val="en-US"/>
        </w:rPr>
      </w:pPr>
    </w:p>
    <w:p w:rsidR="00735207" w:rsidRDefault="003F019C" w:rsidP="00CE2BA2">
      <w:pPr>
        <w:jc w:val="both"/>
        <w:rPr>
          <w:lang w:val="en-US"/>
        </w:rPr>
      </w:pPr>
      <w:r w:rsidRPr="003F019C">
        <w:rPr>
          <w:rFonts w:ascii="Arial" w:hAnsi="Arial" w:cs="Arial"/>
          <w:sz w:val="18"/>
          <w:szCs w:val="18"/>
          <w:lang w:val="en-US"/>
        </w:rPr>
        <w:br/>
      </w:r>
    </w:p>
    <w:p w:rsidR="003F019C" w:rsidRDefault="001537AF" w:rsidP="00CE2BA2">
      <w:pPr>
        <w:jc w:val="both"/>
        <w:rPr>
          <w:lang w:val="en-US"/>
        </w:rPr>
      </w:pPr>
      <w:r>
        <w:rPr>
          <w:lang w:val="en-US"/>
        </w:rPr>
        <w:t>Using this information, the equation to be estimated should be altered as follows:</w:t>
      </w:r>
    </w:p>
    <w:p w:rsidR="00F61D97" w:rsidRDefault="00DB780A" w:rsidP="00F61D97">
      <w:pPr>
        <w:spacing w:line="360" w:lineRule="auto"/>
        <w:jc w:val="right"/>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eastAsiaTheme="minorEastAsia"/>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1</m:t>
            </m:r>
          </m:sub>
        </m:sSub>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m</m:t>
                </m:r>
              </m:e>
            </m:acc>
          </m:e>
          <m:sub>
            <m:r>
              <w:rPr>
                <w:rFonts w:ascii="Cambria Math" w:eastAsiaTheme="minorEastAsia" w:hAnsi="Cambria Math"/>
                <w:lang w:val="en-US"/>
              </w:rPr>
              <m:t>t</m:t>
            </m:r>
          </m:sub>
        </m:sSub>
        <m:r>
          <w:rPr>
            <w:rFonts w:ascii="Cambria Math" w:eastAsiaTheme="minorEastAsia"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2</m:t>
            </m:r>
          </m:sub>
        </m:sSub>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acc>
          <m:accPr>
            <m:chr m:val="̃"/>
            <m:ctrlPr>
              <w:rPr>
                <w:rFonts w:ascii="Cambria Math" w:eastAsiaTheme="minorEastAsia" w:hAnsi="Cambria Math"/>
                <w:i/>
                <w:lang w:val="en-US"/>
              </w:rPr>
            </m:ctrlPr>
          </m:acc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t</m:t>
                </m:r>
              </m:sub>
            </m:sSub>
          </m:e>
        </m:acc>
        <m:r>
          <w:rPr>
            <w:rFonts w:ascii="Cambria Math" w:eastAsiaTheme="minorEastAsia"/>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3</m:t>
            </m:r>
          </m:sub>
        </m:sSub>
        <m:r>
          <w:rPr>
            <w:rFonts w:ascii="Cambria Math" w:hAnsi="Cambria Math"/>
            <w:lang w:val="en-US"/>
          </w:rPr>
          <m:t>∆</m:t>
        </m:r>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r</m:t>
                </m:r>
              </m:e>
            </m:acc>
          </m:e>
          <m:sub>
            <m:r>
              <w:rPr>
                <w:rFonts w:ascii="Cambria Math" w:eastAsiaTheme="minorEastAsia" w:hAnsi="Cambria Math"/>
                <w:lang w:val="en-US"/>
              </w:rPr>
              <m:t>t</m:t>
            </m:r>
          </m:sub>
        </m:sSub>
        <m:r>
          <w:rPr>
            <w:rFonts w:ascii="Cambria Math" w:eastAsiaTheme="minorEastAsia"/>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4</m:t>
            </m:r>
          </m:sub>
        </m:sSub>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P</m:t>
                </m:r>
              </m:e>
            </m:acc>
          </m:e>
          <m:sub>
            <m:r>
              <w:rPr>
                <w:rFonts w:ascii="Cambria Math" w:eastAsiaTheme="minorEastAsia" w:hAnsi="Cambria Math"/>
                <w:lang w:val="en-US"/>
              </w:rPr>
              <m:t>t</m:t>
            </m:r>
          </m:sub>
          <m:sup>
            <m:r>
              <w:rPr>
                <w:rFonts w:ascii="Cambria Math" w:eastAsiaTheme="minorEastAsia" w:hAnsi="Cambria Math"/>
                <w:lang w:val="en-US"/>
              </w:rPr>
              <m:t>e</m:t>
            </m:r>
          </m:sup>
        </m:sSubSup>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oMath>
      <w:r w:rsidR="00C05BE8">
        <w:rPr>
          <w:rFonts w:eastAsiaTheme="minorEastAsia"/>
          <w:lang w:val="en-US"/>
        </w:rPr>
        <w:tab/>
      </w:r>
      <w:r w:rsidR="00C05BE8">
        <w:rPr>
          <w:rFonts w:eastAsiaTheme="minorEastAsia"/>
          <w:lang w:val="en-US"/>
        </w:rPr>
        <w:tab/>
        <w:t xml:space="preserve">       </w:t>
      </w:r>
      <w:r w:rsidR="00C05BE8">
        <w:rPr>
          <w:rFonts w:eastAsiaTheme="minorEastAsia"/>
          <w:lang w:val="en-US"/>
        </w:rPr>
        <w:tab/>
        <w:t xml:space="preserve">         (2.</w:t>
      </w:r>
      <w:r w:rsidR="00F61D97">
        <w:rPr>
          <w:rFonts w:eastAsiaTheme="minorEastAsia"/>
          <w:lang w:val="en-US"/>
        </w:rPr>
        <w:t>6)</w:t>
      </w:r>
    </w:p>
    <w:p w:rsidR="001537AF" w:rsidRDefault="007C6E94" w:rsidP="00CE2BA2">
      <w:pPr>
        <w:jc w:val="both"/>
        <w:rPr>
          <w:lang w:val="en-US"/>
        </w:rPr>
      </w:pPr>
      <w:r>
        <w:rPr>
          <w:lang w:val="en-US"/>
        </w:rPr>
        <w:t>Using Ordinary Least Squares regression, the estimated equation looks as follows:</w:t>
      </w:r>
    </w:p>
    <w:p w:rsidR="007C6E94" w:rsidRDefault="00DB780A" w:rsidP="007C6E94">
      <w:pPr>
        <w:spacing w:line="360" w:lineRule="auto"/>
        <w:jc w:val="right"/>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eastAsiaTheme="minorEastAsia"/>
            <w:lang w:val="en-US"/>
          </w:rPr>
          <m:t>=</m:t>
        </m:r>
        <m:r>
          <w:rPr>
            <w:rFonts w:ascii="Cambria Math" w:hAnsi="Cambria Math"/>
            <w:lang w:val="en-US"/>
          </w:rPr>
          <m:t>0.01-1.19</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m</m:t>
                </m:r>
              </m:e>
            </m:acc>
          </m:e>
          <m:sub>
            <m:r>
              <w:rPr>
                <w:rFonts w:ascii="Cambria Math" w:eastAsiaTheme="minorEastAsia" w:hAnsi="Cambria Math"/>
                <w:lang w:val="en-US"/>
              </w:rPr>
              <m:t>t</m:t>
            </m:r>
          </m:sub>
        </m:sSub>
        <m:r>
          <w:rPr>
            <w:rFonts w:ascii="Cambria Math" w:eastAsiaTheme="minorEastAsia" w:hAnsi="Cambria Math"/>
            <w:lang w:val="en-US"/>
          </w:rPr>
          <m:t>+</m:t>
        </m:r>
        <m:r>
          <w:rPr>
            <w:rFonts w:ascii="Cambria Math" w:hAnsi="Cambria Math"/>
            <w:lang w:val="en-US"/>
          </w:rPr>
          <m:t>20.07</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acc>
          <m:accPr>
            <m:chr m:val="̃"/>
            <m:ctrlPr>
              <w:rPr>
                <w:rFonts w:ascii="Cambria Math" w:eastAsiaTheme="minorEastAsia" w:hAnsi="Cambria Math"/>
                <w:i/>
                <w:lang w:val="en-US"/>
              </w:rPr>
            </m:ctrlPr>
          </m:acc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t</m:t>
                </m:r>
              </m:sub>
            </m:sSub>
          </m:e>
        </m:acc>
        <m:r>
          <w:rPr>
            <w:rFonts w:ascii="Cambria Math" w:eastAsiaTheme="minorEastAsia"/>
            <w:lang w:val="en-US"/>
          </w:rPr>
          <m:t>+0.13</m:t>
        </m:r>
        <m:r>
          <w:rPr>
            <w:rFonts w:ascii="Cambria Math" w:hAnsi="Cambria Math"/>
            <w:lang w:val="en-US"/>
          </w:rPr>
          <m:t>∆</m:t>
        </m:r>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r</m:t>
                </m:r>
              </m:e>
            </m:acc>
          </m:e>
          <m:sub>
            <m:r>
              <w:rPr>
                <w:rFonts w:ascii="Cambria Math" w:eastAsiaTheme="minorEastAsia" w:hAnsi="Cambria Math"/>
                <w:lang w:val="en-US"/>
              </w:rPr>
              <m:t>t</m:t>
            </m:r>
          </m:sub>
        </m:sSub>
        <m:r>
          <w:rPr>
            <w:rFonts w:ascii="Cambria Math" w:eastAsiaTheme="minorEastAsia"/>
            <w:lang w:val="en-US"/>
          </w:rPr>
          <m:t>-</m:t>
        </m:r>
        <m:r>
          <w:rPr>
            <w:rFonts w:ascii="Cambria Math" w:eastAsiaTheme="minorEastAsia"/>
            <w:lang w:val="en-US"/>
          </w:rPr>
          <m:t>1.09</m:t>
        </m:r>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P</m:t>
                </m:r>
              </m:e>
            </m:acc>
          </m:e>
          <m:sub>
            <m:r>
              <w:rPr>
                <w:rFonts w:ascii="Cambria Math" w:eastAsiaTheme="minorEastAsia" w:hAnsi="Cambria Math"/>
                <w:lang w:val="en-US"/>
              </w:rPr>
              <m:t>t</m:t>
            </m:r>
          </m:sub>
          <m:sup>
            <m:r>
              <w:rPr>
                <w:rFonts w:ascii="Cambria Math" w:eastAsiaTheme="minorEastAsia" w:hAnsi="Cambria Math"/>
                <w:lang w:val="en-US"/>
              </w:rPr>
              <m:t>e</m:t>
            </m:r>
          </m:sup>
        </m:sSubSup>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t</m:t>
            </m:r>
          </m:sub>
        </m:sSub>
      </m:oMath>
      <w:r w:rsidR="007C6E94">
        <w:rPr>
          <w:rFonts w:eastAsiaTheme="minorEastAsia"/>
          <w:lang w:val="en-US"/>
        </w:rPr>
        <w:tab/>
      </w:r>
      <w:r w:rsidR="00C05BE8">
        <w:rPr>
          <w:rFonts w:eastAsiaTheme="minorEastAsia"/>
          <w:lang w:val="en-US"/>
        </w:rPr>
        <w:t xml:space="preserve">                 (</w:t>
      </w:r>
      <w:r w:rsidR="007C6E94">
        <w:rPr>
          <w:rFonts w:eastAsiaTheme="minorEastAsia"/>
          <w:lang w:val="en-US"/>
        </w:rPr>
        <w:t>2.</w:t>
      </w:r>
      <w:r w:rsidR="00C05BE8">
        <w:rPr>
          <w:rFonts w:eastAsiaTheme="minorEastAsia"/>
          <w:lang w:val="en-US"/>
        </w:rPr>
        <w:t>7</w:t>
      </w:r>
      <w:r w:rsidR="007C6E94">
        <w:rPr>
          <w:rFonts w:eastAsiaTheme="minorEastAsia"/>
          <w:lang w:val="en-US"/>
        </w:rPr>
        <w:t>)</w:t>
      </w:r>
    </w:p>
    <w:tbl>
      <w:tblPr>
        <w:tblStyle w:val="LightList-Accent11"/>
        <w:tblW w:w="0" w:type="auto"/>
        <w:jc w:val="center"/>
        <w:tblLook w:val="00A0"/>
      </w:tblPr>
      <w:tblGrid>
        <w:gridCol w:w="2015"/>
        <w:gridCol w:w="1216"/>
        <w:gridCol w:w="1128"/>
        <w:gridCol w:w="1155"/>
        <w:gridCol w:w="1130"/>
      </w:tblGrid>
      <w:tr w:rsidR="00C05BE8" w:rsidRPr="009A1768" w:rsidTr="006D50B6">
        <w:trPr>
          <w:cnfStyle w:val="100000000000"/>
          <w:trHeight w:val="324"/>
          <w:jc w:val="center"/>
        </w:trPr>
        <w:tc>
          <w:tcPr>
            <w:cnfStyle w:val="001000000000"/>
            <w:tcW w:w="0" w:type="auto"/>
            <w:gridSpan w:val="5"/>
            <w:tcBorders>
              <w:top w:val="single" w:sz="8" w:space="0" w:color="4F81BD" w:themeColor="accent1"/>
              <w:bottom w:val="single" w:sz="4" w:space="0" w:color="FFFFFF" w:themeColor="background1"/>
            </w:tcBorders>
          </w:tcPr>
          <w:p w:rsidR="00C05BE8" w:rsidRPr="009A1768" w:rsidRDefault="00C05BE8" w:rsidP="006D50B6">
            <w:pPr>
              <w:autoSpaceDE w:val="0"/>
              <w:autoSpaceDN w:val="0"/>
              <w:adjustRightInd w:val="0"/>
              <w:rPr>
                <w:rFonts w:cs="Arial"/>
                <w:lang w:val="en-US"/>
              </w:rPr>
            </w:pPr>
            <w:r w:rsidRPr="009A1768">
              <w:rPr>
                <w:rFonts w:cs="Arial"/>
                <w:lang w:val="en-US"/>
              </w:rPr>
              <w:t xml:space="preserve">Dependent Variable: </w:t>
            </w:r>
            <w:r>
              <w:rPr>
                <w:rFonts w:ascii="Cambria Math" w:hAnsi="Cambria Math"/>
                <w:i/>
                <w:lang w:val="en-US"/>
              </w:rPr>
              <w:t>∆s</w:t>
            </w:r>
            <w:r>
              <w:rPr>
                <w:rFonts w:ascii="Cambria Math" w:hAnsi="Cambria Math"/>
                <w:i/>
                <w:vertAlign w:val="subscript"/>
                <w:lang w:val="en-US"/>
              </w:rPr>
              <w:t>t</w:t>
            </w:r>
            <w:r>
              <w:rPr>
                <w:rFonts w:ascii="Cambria Math" w:hAnsi="Cambria Math"/>
                <w:lang w:val="en-US"/>
              </w:rPr>
              <w:t xml:space="preserve">  </w:t>
            </w:r>
          </w:p>
        </w:tc>
      </w:tr>
      <w:tr w:rsidR="00C05BE8" w:rsidRPr="00CC60EF" w:rsidTr="006D50B6">
        <w:trPr>
          <w:cnfStyle w:val="000000100000"/>
          <w:trHeight w:val="225"/>
          <w:jc w:val="center"/>
        </w:trPr>
        <w:tc>
          <w:tcPr>
            <w:cnfStyle w:val="001000000000"/>
            <w:tcW w:w="0" w:type="auto"/>
            <w:tcBorders>
              <w:top w:val="single" w:sz="4" w:space="0" w:color="FFFFFF" w:themeColor="background1"/>
              <w:bottom w:val="single" w:sz="4" w:space="0" w:color="FFFFFF" w:themeColor="background1"/>
            </w:tcBorders>
            <w:shd w:val="clear" w:color="auto" w:fill="4F81BD" w:themeFill="accent1"/>
          </w:tcPr>
          <w:p w:rsidR="00C05BE8" w:rsidRPr="00CC60EF" w:rsidRDefault="00C05BE8" w:rsidP="006D50B6">
            <w:pPr>
              <w:autoSpaceDE w:val="0"/>
              <w:autoSpaceDN w:val="0"/>
              <w:adjustRightInd w:val="0"/>
              <w:jc w:val="center"/>
              <w:rPr>
                <w:rFonts w:cs="Arial"/>
                <w:color w:val="FFFFFF" w:themeColor="background1"/>
                <w:lang w:val="en-US"/>
              </w:rPr>
            </w:pPr>
            <w:r w:rsidRPr="00CC60EF">
              <w:rPr>
                <w:rFonts w:cs="Arial"/>
                <w:color w:val="FFFFFF" w:themeColor="background1"/>
                <w:lang w:val="en-US"/>
              </w:rPr>
              <w:t>Variable</w:t>
            </w:r>
          </w:p>
        </w:tc>
        <w:tc>
          <w:tcPr>
            <w:cnfStyle w:val="000010000000"/>
            <w:tcW w:w="0" w:type="auto"/>
            <w:tcBorders>
              <w:top w:val="single" w:sz="4" w:space="0" w:color="FFFFFF" w:themeColor="background1"/>
              <w:bottom w:val="single" w:sz="4" w:space="0" w:color="548DD4" w:themeColor="text2" w:themeTint="99"/>
            </w:tcBorders>
            <w:shd w:val="clear" w:color="auto" w:fill="4F81BD" w:themeFill="accent1"/>
          </w:tcPr>
          <w:p w:rsidR="00C05BE8" w:rsidRPr="00CC60EF" w:rsidRDefault="00C05BE8" w:rsidP="006D50B6">
            <w:pPr>
              <w:autoSpaceDE w:val="0"/>
              <w:autoSpaceDN w:val="0"/>
              <w:adjustRightInd w:val="0"/>
              <w:ind w:right="10"/>
              <w:jc w:val="right"/>
              <w:rPr>
                <w:rFonts w:cs="Arial"/>
                <w:b/>
                <w:color w:val="FFFFFF" w:themeColor="background1"/>
                <w:lang w:val="en-US"/>
              </w:rPr>
            </w:pPr>
            <w:r w:rsidRPr="00CC60EF">
              <w:rPr>
                <w:rFonts w:cs="Arial"/>
                <w:b/>
                <w:color w:val="FFFFFF" w:themeColor="background1"/>
                <w:lang w:val="en-US"/>
              </w:rPr>
              <w:t>Coefficient</w:t>
            </w:r>
          </w:p>
        </w:tc>
        <w:tc>
          <w:tcPr>
            <w:tcW w:w="0" w:type="auto"/>
            <w:tcBorders>
              <w:top w:val="single" w:sz="4" w:space="0" w:color="FFFFFF" w:themeColor="background1"/>
              <w:bottom w:val="single" w:sz="4" w:space="0" w:color="548DD4" w:themeColor="text2" w:themeTint="99"/>
            </w:tcBorders>
            <w:shd w:val="clear" w:color="auto" w:fill="4F81BD" w:themeFill="accent1"/>
          </w:tcPr>
          <w:p w:rsidR="00C05BE8" w:rsidRPr="00CC60EF" w:rsidRDefault="00C05BE8" w:rsidP="006D50B6">
            <w:pPr>
              <w:autoSpaceDE w:val="0"/>
              <w:autoSpaceDN w:val="0"/>
              <w:adjustRightInd w:val="0"/>
              <w:ind w:right="10"/>
              <w:jc w:val="right"/>
              <w:cnfStyle w:val="000000100000"/>
              <w:rPr>
                <w:rFonts w:cs="Arial"/>
                <w:b/>
                <w:color w:val="FFFFFF" w:themeColor="background1"/>
                <w:lang w:val="en-US"/>
              </w:rPr>
            </w:pPr>
            <w:r w:rsidRPr="00CC60EF">
              <w:rPr>
                <w:rFonts w:cs="Arial"/>
                <w:b/>
                <w:color w:val="FFFFFF" w:themeColor="background1"/>
                <w:lang w:val="en-US"/>
              </w:rPr>
              <w:t>Std. Error</w:t>
            </w:r>
          </w:p>
        </w:tc>
        <w:tc>
          <w:tcPr>
            <w:cnfStyle w:val="000010000000"/>
            <w:tcW w:w="0" w:type="auto"/>
            <w:tcBorders>
              <w:top w:val="single" w:sz="4" w:space="0" w:color="FFFFFF" w:themeColor="background1"/>
              <w:bottom w:val="single" w:sz="4" w:space="0" w:color="548DD4" w:themeColor="text2" w:themeTint="99"/>
            </w:tcBorders>
            <w:shd w:val="clear" w:color="auto" w:fill="4F81BD" w:themeFill="accent1"/>
          </w:tcPr>
          <w:p w:rsidR="00C05BE8" w:rsidRPr="00CC60EF" w:rsidRDefault="00C05BE8" w:rsidP="006D50B6">
            <w:pPr>
              <w:autoSpaceDE w:val="0"/>
              <w:autoSpaceDN w:val="0"/>
              <w:adjustRightInd w:val="0"/>
              <w:ind w:right="10"/>
              <w:jc w:val="right"/>
              <w:rPr>
                <w:rFonts w:cs="Arial"/>
                <w:b/>
                <w:color w:val="FFFFFF" w:themeColor="background1"/>
                <w:lang w:val="en-US"/>
              </w:rPr>
            </w:pPr>
            <w:r w:rsidRPr="00CC60EF">
              <w:rPr>
                <w:rFonts w:cs="Arial"/>
                <w:b/>
                <w:color w:val="FFFFFF" w:themeColor="background1"/>
                <w:lang w:val="en-US"/>
              </w:rPr>
              <w:t>t-Statistic</w:t>
            </w:r>
          </w:p>
        </w:tc>
        <w:tc>
          <w:tcPr>
            <w:tcW w:w="0" w:type="auto"/>
            <w:tcBorders>
              <w:top w:val="single" w:sz="4" w:space="0" w:color="FFFFFF" w:themeColor="background1"/>
              <w:bottom w:val="single" w:sz="4" w:space="0" w:color="548DD4" w:themeColor="text2" w:themeTint="99"/>
            </w:tcBorders>
            <w:shd w:val="clear" w:color="auto" w:fill="4F81BD" w:themeFill="accent1"/>
          </w:tcPr>
          <w:p w:rsidR="00C05BE8" w:rsidRPr="00CC60EF" w:rsidRDefault="00C05BE8" w:rsidP="006D50B6">
            <w:pPr>
              <w:autoSpaceDE w:val="0"/>
              <w:autoSpaceDN w:val="0"/>
              <w:adjustRightInd w:val="0"/>
              <w:ind w:right="10"/>
              <w:jc w:val="right"/>
              <w:cnfStyle w:val="000000100000"/>
              <w:rPr>
                <w:rFonts w:cs="Arial"/>
                <w:b/>
                <w:color w:val="FFFFFF" w:themeColor="background1"/>
                <w:lang w:val="en-US"/>
              </w:rPr>
            </w:pPr>
            <w:r w:rsidRPr="00CC60EF">
              <w:rPr>
                <w:rFonts w:cs="Arial"/>
                <w:b/>
                <w:color w:val="FFFFFF" w:themeColor="background1"/>
                <w:lang w:val="en-US"/>
              </w:rPr>
              <w:t>Prob.  </w:t>
            </w:r>
          </w:p>
        </w:tc>
      </w:tr>
      <w:tr w:rsidR="00C24D45" w:rsidRPr="00CC60EF" w:rsidTr="00C05BE8">
        <w:trPr>
          <w:trHeight w:val="225"/>
          <w:jc w:val="center"/>
        </w:trPr>
        <w:tc>
          <w:tcPr>
            <w:cnfStyle w:val="001000000000"/>
            <w:tcW w:w="0" w:type="auto"/>
            <w:tcBorders>
              <w:top w:val="single" w:sz="4" w:space="0" w:color="FFFFFF" w:themeColor="background1"/>
              <w:bottom w:val="single" w:sz="8" w:space="0" w:color="4F81BD" w:themeColor="accent1"/>
              <w:right w:val="single" w:sz="4" w:space="0" w:color="548DD4" w:themeColor="text2" w:themeTint="99"/>
            </w:tcBorders>
            <w:shd w:val="clear" w:color="auto" w:fill="4F81BD" w:themeFill="accent1"/>
          </w:tcPr>
          <w:p w:rsidR="00C24D45" w:rsidRPr="00111AB3" w:rsidRDefault="00FC3C21" w:rsidP="00172700">
            <w:pPr>
              <w:autoSpaceDE w:val="0"/>
              <w:autoSpaceDN w:val="0"/>
              <w:adjustRightInd w:val="0"/>
              <w:jc w:val="center"/>
              <w:rPr>
                <w:rFonts w:ascii="Cambria Math" w:hAnsi="Cambria Math" w:cs="Arial"/>
                <w:i/>
                <w:color w:val="FFFFFF" w:themeColor="background1"/>
                <w:vertAlign w:val="subscript"/>
                <w:lang w:val="en-US"/>
              </w:rPr>
            </w:pPr>
            <w:r>
              <w:rPr>
                <w:rFonts w:ascii="Cambria Math" w:hAnsi="Cambria Math" w:cs="Arial"/>
                <w:i/>
                <w:color w:val="FFFFFF" w:themeColor="background1"/>
                <w:lang w:val="en-US"/>
              </w:rPr>
              <w:t>constant</w:t>
            </w:r>
          </w:p>
        </w:tc>
        <w:tc>
          <w:tcPr>
            <w:cnfStyle w:val="000010000000"/>
            <w:tcW w:w="0" w:type="auto"/>
            <w:tcBorders>
              <w:top w:val="single" w:sz="4" w:space="0" w:color="548DD4" w:themeColor="text2" w:themeTint="99"/>
              <w:left w:val="single" w:sz="4" w:space="0" w:color="548DD4" w:themeColor="text2" w:themeTint="99"/>
              <w:bottom w:val="nil"/>
              <w:right w:val="nil"/>
            </w:tcBorders>
            <w:vAlign w:val="center"/>
          </w:tcPr>
          <w:p w:rsidR="00C24D45" w:rsidRPr="00B551A4" w:rsidRDefault="00C24D45" w:rsidP="00C05BE8">
            <w:pPr>
              <w:jc w:val="center"/>
            </w:pPr>
            <w:r w:rsidRPr="00B551A4">
              <w:t>0.014851</w:t>
            </w:r>
          </w:p>
        </w:tc>
        <w:tc>
          <w:tcPr>
            <w:tcW w:w="0" w:type="auto"/>
            <w:tcBorders>
              <w:top w:val="single" w:sz="4" w:space="0" w:color="548DD4" w:themeColor="text2" w:themeTint="99"/>
              <w:left w:val="nil"/>
              <w:bottom w:val="nil"/>
              <w:right w:val="nil"/>
            </w:tcBorders>
            <w:vAlign w:val="center"/>
          </w:tcPr>
          <w:p w:rsidR="00C24D45" w:rsidRPr="00B551A4" w:rsidRDefault="00C24D45" w:rsidP="00C05BE8">
            <w:pPr>
              <w:jc w:val="center"/>
              <w:cnfStyle w:val="000000000000"/>
            </w:pPr>
            <w:r w:rsidRPr="00B551A4">
              <w:t>0.002365</w:t>
            </w:r>
          </w:p>
        </w:tc>
        <w:tc>
          <w:tcPr>
            <w:cnfStyle w:val="000010000000"/>
            <w:tcW w:w="0" w:type="auto"/>
            <w:tcBorders>
              <w:top w:val="single" w:sz="4" w:space="0" w:color="548DD4" w:themeColor="text2" w:themeTint="99"/>
              <w:left w:val="nil"/>
              <w:bottom w:val="nil"/>
              <w:right w:val="nil"/>
            </w:tcBorders>
            <w:vAlign w:val="center"/>
          </w:tcPr>
          <w:p w:rsidR="00C24D45" w:rsidRPr="00B551A4" w:rsidRDefault="00C24D45" w:rsidP="00C05BE8">
            <w:pPr>
              <w:jc w:val="center"/>
            </w:pPr>
            <w:r w:rsidRPr="00B551A4">
              <w:t>6.278399</w:t>
            </w:r>
          </w:p>
        </w:tc>
        <w:tc>
          <w:tcPr>
            <w:tcW w:w="0" w:type="auto"/>
            <w:tcBorders>
              <w:top w:val="single" w:sz="4" w:space="0" w:color="548DD4" w:themeColor="text2" w:themeTint="99"/>
              <w:left w:val="nil"/>
              <w:bottom w:val="nil"/>
              <w:right w:val="single" w:sz="4" w:space="0" w:color="548DD4" w:themeColor="text2" w:themeTint="99"/>
            </w:tcBorders>
            <w:vAlign w:val="center"/>
          </w:tcPr>
          <w:p w:rsidR="00C24D45" w:rsidRDefault="00C24D45" w:rsidP="00C05BE8">
            <w:pPr>
              <w:jc w:val="center"/>
              <w:cnfStyle w:val="000000000000"/>
            </w:pPr>
            <w:r w:rsidRPr="00B551A4">
              <w:t>0.0000</w:t>
            </w:r>
          </w:p>
        </w:tc>
      </w:tr>
      <w:tr w:rsidR="00C24D45" w:rsidRPr="009A1768" w:rsidTr="00C05BE8">
        <w:trPr>
          <w:cnfStyle w:val="000000100000"/>
          <w:trHeight w:val="225"/>
          <w:jc w:val="center"/>
        </w:trPr>
        <w:tc>
          <w:tcPr>
            <w:cnfStyle w:val="001000000000"/>
            <w:tcW w:w="0" w:type="auto"/>
            <w:tcBorders>
              <w:bottom w:val="nil"/>
              <w:right w:val="single" w:sz="4" w:space="0" w:color="548DD4" w:themeColor="text2" w:themeTint="99"/>
            </w:tcBorders>
            <w:shd w:val="clear" w:color="auto" w:fill="4F81BD" w:themeFill="accent1"/>
          </w:tcPr>
          <w:p w:rsidR="00C24D45" w:rsidRPr="00C24D45" w:rsidRDefault="00DB780A" w:rsidP="00172700">
            <w:pPr>
              <w:autoSpaceDE w:val="0"/>
              <w:autoSpaceDN w:val="0"/>
              <w:adjustRightInd w:val="0"/>
              <w:jc w:val="center"/>
              <w:rPr>
                <w:rFonts w:ascii="Cambria Math" w:hAnsi="Cambria Math" w:cs="Arial"/>
                <w:bCs w:val="0"/>
                <w:i/>
                <w:color w:val="FFFFFF" w:themeColor="background1"/>
                <w:lang w:val="en-US"/>
              </w:rPr>
            </w:pPr>
            <m:oMathPara>
              <m:oMath>
                <m:sSup>
                  <m:sSupPr>
                    <m:ctrlPr>
                      <w:rPr>
                        <w:rFonts w:ascii="Cambria Math" w:hAnsi="Cambria Math"/>
                        <w:i/>
                        <w:color w:val="FFFFFF" w:themeColor="background1"/>
                        <w:lang w:val="en-US"/>
                      </w:rPr>
                    </m:ctrlPr>
                  </m:sSupPr>
                  <m:e>
                    <m:r>
                      <m:rPr>
                        <m:sty m:val="bi"/>
                      </m:rPr>
                      <w:rPr>
                        <w:rFonts w:ascii="Cambria Math" w:hAnsi="Cambria Math"/>
                        <w:color w:val="FFFFFF" w:themeColor="background1"/>
                        <w:lang w:val="en-US"/>
                      </w:rPr>
                      <m:t>∆</m:t>
                    </m:r>
                  </m:e>
                  <m:sup>
                    <m:r>
                      <m:rPr>
                        <m:sty m:val="bi"/>
                      </m:rPr>
                      <w:rPr>
                        <w:rFonts w:ascii="Cambria Math" w:hAnsi="Cambria Math"/>
                        <w:color w:val="FFFFFF" w:themeColor="background1"/>
                        <w:lang w:val="en-US"/>
                      </w:rPr>
                      <m:t>2</m:t>
                    </m:r>
                  </m:sup>
                </m:sSup>
                <m:sSub>
                  <m:sSubPr>
                    <m:ctrlPr>
                      <w:rPr>
                        <w:rFonts w:ascii="Cambria Math" w:eastAsiaTheme="minorEastAsia" w:hAnsi="Cambria Math"/>
                        <w:i/>
                        <w:color w:val="FFFFFF" w:themeColor="background1"/>
                        <w:lang w:val="en-US"/>
                      </w:rPr>
                    </m:ctrlPr>
                  </m:sSubPr>
                  <m:e>
                    <m:acc>
                      <m:accPr>
                        <m:chr m:val="̃"/>
                        <m:ctrlPr>
                          <w:rPr>
                            <w:rFonts w:ascii="Cambria Math" w:eastAsiaTheme="minorEastAsia" w:hAnsi="Cambria Math"/>
                            <w:i/>
                            <w:color w:val="FFFFFF" w:themeColor="background1"/>
                            <w:lang w:val="en-US"/>
                          </w:rPr>
                        </m:ctrlPr>
                      </m:accPr>
                      <m:e>
                        <m:r>
                          <m:rPr>
                            <m:sty m:val="bi"/>
                          </m:rPr>
                          <w:rPr>
                            <w:rFonts w:ascii="Cambria Math" w:eastAsiaTheme="minorEastAsia" w:hAnsi="Cambria Math"/>
                            <w:color w:val="FFFFFF" w:themeColor="background1"/>
                            <w:lang w:val="en-US"/>
                          </w:rPr>
                          <m:t>m</m:t>
                        </m:r>
                      </m:e>
                    </m:acc>
                  </m:e>
                  <m:sub>
                    <m:r>
                      <m:rPr>
                        <m:sty m:val="bi"/>
                      </m:rPr>
                      <w:rPr>
                        <w:rFonts w:ascii="Cambria Math" w:eastAsiaTheme="minorEastAsia" w:hAnsi="Cambria Math"/>
                        <w:color w:val="FFFFFF" w:themeColor="background1"/>
                        <w:lang w:val="en-US"/>
                      </w:rPr>
                      <m:t>t</m:t>
                    </m:r>
                  </m:sub>
                </m:sSub>
              </m:oMath>
            </m:oMathPara>
          </w:p>
        </w:tc>
        <w:tc>
          <w:tcPr>
            <w:cnfStyle w:val="000010000000"/>
            <w:tcW w:w="0" w:type="auto"/>
            <w:tcBorders>
              <w:top w:val="nil"/>
              <w:left w:val="single" w:sz="4" w:space="0" w:color="548DD4" w:themeColor="text2" w:themeTint="99"/>
              <w:bottom w:val="nil"/>
              <w:right w:val="nil"/>
            </w:tcBorders>
            <w:vAlign w:val="center"/>
          </w:tcPr>
          <w:p w:rsidR="00C24D45" w:rsidRPr="00B71405" w:rsidRDefault="00C24D45" w:rsidP="00C05BE8">
            <w:pPr>
              <w:jc w:val="center"/>
            </w:pPr>
            <w:r w:rsidRPr="00B71405">
              <w:t>-1.186161</w:t>
            </w:r>
          </w:p>
        </w:tc>
        <w:tc>
          <w:tcPr>
            <w:tcW w:w="0" w:type="auto"/>
            <w:tcBorders>
              <w:top w:val="nil"/>
              <w:left w:val="nil"/>
              <w:bottom w:val="nil"/>
              <w:right w:val="nil"/>
            </w:tcBorders>
            <w:vAlign w:val="center"/>
          </w:tcPr>
          <w:p w:rsidR="00C24D45" w:rsidRPr="00B71405" w:rsidRDefault="00C24D45" w:rsidP="00C05BE8">
            <w:pPr>
              <w:jc w:val="center"/>
              <w:cnfStyle w:val="000000100000"/>
            </w:pPr>
            <w:r w:rsidRPr="00B71405">
              <w:t>0.759695</w:t>
            </w:r>
          </w:p>
        </w:tc>
        <w:tc>
          <w:tcPr>
            <w:cnfStyle w:val="000010000000"/>
            <w:tcW w:w="0" w:type="auto"/>
            <w:tcBorders>
              <w:top w:val="nil"/>
              <w:left w:val="nil"/>
              <w:bottom w:val="nil"/>
              <w:right w:val="nil"/>
            </w:tcBorders>
            <w:vAlign w:val="center"/>
          </w:tcPr>
          <w:p w:rsidR="00C24D45" w:rsidRPr="00B71405" w:rsidRDefault="00C24D45" w:rsidP="00C05BE8">
            <w:pPr>
              <w:jc w:val="center"/>
            </w:pPr>
            <w:r w:rsidRPr="00B71405">
              <w:t>-1.561364</w:t>
            </w:r>
          </w:p>
        </w:tc>
        <w:tc>
          <w:tcPr>
            <w:tcW w:w="0" w:type="auto"/>
            <w:tcBorders>
              <w:top w:val="nil"/>
              <w:left w:val="nil"/>
              <w:bottom w:val="nil"/>
              <w:right w:val="single" w:sz="4" w:space="0" w:color="548DD4" w:themeColor="text2" w:themeTint="99"/>
            </w:tcBorders>
            <w:vAlign w:val="center"/>
          </w:tcPr>
          <w:p w:rsidR="00C24D45" w:rsidRDefault="00C24D45" w:rsidP="00C05BE8">
            <w:pPr>
              <w:jc w:val="center"/>
              <w:cnfStyle w:val="000000100000"/>
            </w:pPr>
            <w:r w:rsidRPr="00B71405">
              <w:t>0.1210</w:t>
            </w:r>
          </w:p>
        </w:tc>
      </w:tr>
      <w:tr w:rsidR="00C24D45" w:rsidRPr="009A1768" w:rsidTr="00C05BE8">
        <w:trPr>
          <w:trHeight w:val="225"/>
          <w:jc w:val="center"/>
        </w:trPr>
        <w:tc>
          <w:tcPr>
            <w:cnfStyle w:val="001000000000"/>
            <w:tcW w:w="0" w:type="auto"/>
            <w:tcBorders>
              <w:top w:val="nil"/>
              <w:bottom w:val="nil"/>
              <w:right w:val="single" w:sz="4" w:space="0" w:color="548DD4" w:themeColor="text2" w:themeTint="99"/>
            </w:tcBorders>
            <w:shd w:val="clear" w:color="auto" w:fill="4F81BD" w:themeFill="accent1"/>
          </w:tcPr>
          <w:p w:rsidR="00C24D45" w:rsidRPr="00C24D45" w:rsidRDefault="00DB780A" w:rsidP="00172700">
            <w:pPr>
              <w:autoSpaceDE w:val="0"/>
              <w:autoSpaceDN w:val="0"/>
              <w:adjustRightInd w:val="0"/>
              <w:jc w:val="center"/>
              <w:rPr>
                <w:rFonts w:ascii="Cambria Math" w:hAnsi="Cambria Math" w:cs="Arial"/>
                <w:bCs w:val="0"/>
                <w:i/>
                <w:color w:val="FFFFFF" w:themeColor="background1"/>
                <w:lang w:val="en-US"/>
              </w:rPr>
            </w:pPr>
            <m:oMathPara>
              <m:oMath>
                <m:sSup>
                  <m:sSupPr>
                    <m:ctrlPr>
                      <w:rPr>
                        <w:rFonts w:ascii="Cambria Math" w:hAnsi="Cambria Math"/>
                        <w:i/>
                        <w:color w:val="FFFFFF" w:themeColor="background1"/>
                        <w:lang w:val="en-US"/>
                      </w:rPr>
                    </m:ctrlPr>
                  </m:sSupPr>
                  <m:e>
                    <m:r>
                      <m:rPr>
                        <m:sty m:val="bi"/>
                      </m:rPr>
                      <w:rPr>
                        <w:rFonts w:ascii="Cambria Math" w:hAnsi="Cambria Math"/>
                        <w:color w:val="FFFFFF" w:themeColor="background1"/>
                        <w:lang w:val="en-US"/>
                      </w:rPr>
                      <m:t>∆</m:t>
                    </m:r>
                  </m:e>
                  <m:sup>
                    <m:r>
                      <m:rPr>
                        <m:sty m:val="bi"/>
                      </m:rPr>
                      <w:rPr>
                        <w:rFonts w:ascii="Cambria Math" w:hAnsi="Cambria Math"/>
                        <w:color w:val="FFFFFF" w:themeColor="background1"/>
                        <w:lang w:val="en-US"/>
                      </w:rPr>
                      <m:t>2</m:t>
                    </m:r>
                  </m:sup>
                </m:sSup>
                <m:sSub>
                  <m:sSubPr>
                    <m:ctrlPr>
                      <w:rPr>
                        <w:rFonts w:ascii="Cambria Math" w:eastAsiaTheme="minorEastAsia" w:hAnsi="Cambria Math"/>
                        <w:i/>
                        <w:color w:val="FFFFFF" w:themeColor="background1"/>
                        <w:lang w:val="en-US"/>
                      </w:rPr>
                    </m:ctrlPr>
                  </m:sSubPr>
                  <m:e>
                    <m:acc>
                      <m:accPr>
                        <m:chr m:val="̃"/>
                        <m:ctrlPr>
                          <w:rPr>
                            <w:rFonts w:ascii="Cambria Math" w:eastAsiaTheme="minorEastAsia" w:hAnsi="Cambria Math"/>
                            <w:i/>
                            <w:color w:val="FFFFFF" w:themeColor="background1"/>
                            <w:lang w:val="en-US"/>
                          </w:rPr>
                        </m:ctrlPr>
                      </m:accPr>
                      <m:e>
                        <m:r>
                          <m:rPr>
                            <m:sty m:val="bi"/>
                          </m:rPr>
                          <w:rPr>
                            <w:rFonts w:ascii="Cambria Math" w:eastAsiaTheme="minorEastAsia" w:hAnsi="Cambria Math"/>
                            <w:color w:val="FFFFFF" w:themeColor="background1"/>
                            <w:lang w:val="en-US"/>
                          </w:rPr>
                          <m:t>y</m:t>
                        </m:r>
                      </m:e>
                    </m:acc>
                  </m:e>
                  <m:sub>
                    <m:r>
                      <m:rPr>
                        <m:sty m:val="bi"/>
                      </m:rPr>
                      <w:rPr>
                        <w:rFonts w:ascii="Cambria Math" w:eastAsiaTheme="minorEastAsia" w:hAnsi="Cambria Math"/>
                        <w:color w:val="FFFFFF" w:themeColor="background1"/>
                        <w:lang w:val="en-US"/>
                      </w:rPr>
                      <m:t>t</m:t>
                    </m:r>
                  </m:sub>
                </m:sSub>
              </m:oMath>
            </m:oMathPara>
          </w:p>
        </w:tc>
        <w:tc>
          <w:tcPr>
            <w:cnfStyle w:val="000010000000"/>
            <w:tcW w:w="0" w:type="auto"/>
            <w:tcBorders>
              <w:top w:val="nil"/>
              <w:left w:val="single" w:sz="4" w:space="0" w:color="548DD4" w:themeColor="text2" w:themeTint="99"/>
              <w:bottom w:val="nil"/>
              <w:right w:val="nil"/>
            </w:tcBorders>
            <w:vAlign w:val="center"/>
          </w:tcPr>
          <w:p w:rsidR="00C24D45" w:rsidRPr="00AC66ED" w:rsidRDefault="00C24D45" w:rsidP="00C05BE8">
            <w:pPr>
              <w:jc w:val="center"/>
            </w:pPr>
            <w:r w:rsidRPr="00AC66ED">
              <w:t>20.06626</w:t>
            </w:r>
          </w:p>
        </w:tc>
        <w:tc>
          <w:tcPr>
            <w:tcW w:w="0" w:type="auto"/>
            <w:tcBorders>
              <w:top w:val="nil"/>
              <w:left w:val="nil"/>
              <w:bottom w:val="nil"/>
              <w:right w:val="nil"/>
            </w:tcBorders>
            <w:vAlign w:val="center"/>
          </w:tcPr>
          <w:p w:rsidR="00C24D45" w:rsidRPr="00AC66ED" w:rsidRDefault="00C24D45" w:rsidP="00C05BE8">
            <w:pPr>
              <w:jc w:val="center"/>
              <w:cnfStyle w:val="000000000000"/>
            </w:pPr>
            <w:r w:rsidRPr="00AC66ED">
              <w:t>27.89690</w:t>
            </w:r>
          </w:p>
        </w:tc>
        <w:tc>
          <w:tcPr>
            <w:cnfStyle w:val="000010000000"/>
            <w:tcW w:w="0" w:type="auto"/>
            <w:tcBorders>
              <w:top w:val="nil"/>
              <w:left w:val="nil"/>
              <w:bottom w:val="nil"/>
              <w:right w:val="nil"/>
            </w:tcBorders>
            <w:vAlign w:val="center"/>
          </w:tcPr>
          <w:p w:rsidR="00C24D45" w:rsidRPr="00AC66ED" w:rsidRDefault="00C24D45" w:rsidP="00C05BE8">
            <w:pPr>
              <w:jc w:val="center"/>
            </w:pPr>
            <w:r w:rsidRPr="00AC66ED">
              <w:t>0.719301</w:t>
            </w:r>
          </w:p>
        </w:tc>
        <w:tc>
          <w:tcPr>
            <w:tcW w:w="0" w:type="auto"/>
            <w:tcBorders>
              <w:top w:val="nil"/>
              <w:left w:val="nil"/>
              <w:bottom w:val="nil"/>
              <w:right w:val="single" w:sz="4" w:space="0" w:color="548DD4" w:themeColor="text2" w:themeTint="99"/>
            </w:tcBorders>
            <w:vAlign w:val="center"/>
          </w:tcPr>
          <w:p w:rsidR="00C24D45" w:rsidRDefault="00C24D45" w:rsidP="00C05BE8">
            <w:pPr>
              <w:jc w:val="center"/>
              <w:cnfStyle w:val="000000000000"/>
            </w:pPr>
            <w:r w:rsidRPr="00AC66ED">
              <w:t>0.4733</w:t>
            </w:r>
          </w:p>
        </w:tc>
      </w:tr>
      <w:tr w:rsidR="00C24D45" w:rsidRPr="009A1768" w:rsidTr="00C05BE8">
        <w:trPr>
          <w:cnfStyle w:val="000000100000"/>
          <w:trHeight w:val="225"/>
          <w:jc w:val="center"/>
        </w:trPr>
        <w:tc>
          <w:tcPr>
            <w:cnfStyle w:val="001000000000"/>
            <w:tcW w:w="0" w:type="auto"/>
            <w:tcBorders>
              <w:top w:val="nil"/>
              <w:bottom w:val="nil"/>
              <w:right w:val="single" w:sz="4" w:space="0" w:color="548DD4" w:themeColor="text2" w:themeTint="99"/>
            </w:tcBorders>
            <w:shd w:val="clear" w:color="auto" w:fill="4F81BD" w:themeFill="accent1"/>
          </w:tcPr>
          <w:p w:rsidR="00C24D45" w:rsidRPr="00C24D45" w:rsidRDefault="00C24D45" w:rsidP="00172700">
            <m:oMathPara>
              <m:oMath>
                <m:r>
                  <m:rPr>
                    <m:sty m:val="bi"/>
                  </m:rPr>
                  <w:rPr>
                    <w:rFonts w:ascii="Cambria Math" w:hAnsi="Cambria Math"/>
                    <w:color w:val="FFFFFF" w:themeColor="background1"/>
                    <w:lang w:val="en-US"/>
                  </w:rPr>
                  <m:t>∆</m:t>
                </m:r>
                <m:sSub>
                  <m:sSubPr>
                    <m:ctrlPr>
                      <w:rPr>
                        <w:rFonts w:ascii="Cambria Math" w:eastAsiaTheme="minorEastAsia" w:hAnsi="Cambria Math"/>
                        <w:i/>
                        <w:color w:val="FFFFFF" w:themeColor="background1"/>
                        <w:lang w:val="en-US"/>
                      </w:rPr>
                    </m:ctrlPr>
                  </m:sSubPr>
                  <m:e>
                    <m:acc>
                      <m:accPr>
                        <m:chr m:val="̃"/>
                        <m:ctrlPr>
                          <w:rPr>
                            <w:rFonts w:ascii="Cambria Math" w:eastAsiaTheme="minorEastAsia" w:hAnsi="Cambria Math"/>
                            <w:i/>
                            <w:color w:val="FFFFFF" w:themeColor="background1"/>
                            <w:lang w:val="en-US"/>
                          </w:rPr>
                        </m:ctrlPr>
                      </m:accPr>
                      <m:e>
                        <m:r>
                          <m:rPr>
                            <m:sty m:val="bi"/>
                          </m:rPr>
                          <w:rPr>
                            <w:rFonts w:ascii="Cambria Math" w:eastAsiaTheme="minorEastAsia" w:hAnsi="Cambria Math"/>
                            <w:color w:val="FFFFFF" w:themeColor="background1"/>
                            <w:lang w:val="en-US"/>
                          </w:rPr>
                          <m:t>r</m:t>
                        </m:r>
                      </m:e>
                    </m:acc>
                  </m:e>
                  <m:sub>
                    <m:r>
                      <m:rPr>
                        <m:sty m:val="bi"/>
                      </m:rPr>
                      <w:rPr>
                        <w:rFonts w:ascii="Cambria Math" w:eastAsiaTheme="minorEastAsia" w:hAnsi="Cambria Math"/>
                        <w:color w:val="FFFFFF" w:themeColor="background1"/>
                        <w:lang w:val="en-US"/>
                      </w:rPr>
                      <m:t>t</m:t>
                    </m:r>
                  </m:sub>
                </m:sSub>
              </m:oMath>
            </m:oMathPara>
          </w:p>
        </w:tc>
        <w:tc>
          <w:tcPr>
            <w:cnfStyle w:val="000010000000"/>
            <w:tcW w:w="0" w:type="auto"/>
            <w:tcBorders>
              <w:top w:val="nil"/>
              <w:left w:val="single" w:sz="4" w:space="0" w:color="548DD4" w:themeColor="text2" w:themeTint="99"/>
              <w:bottom w:val="nil"/>
              <w:right w:val="nil"/>
            </w:tcBorders>
            <w:vAlign w:val="center"/>
          </w:tcPr>
          <w:p w:rsidR="00C24D45" w:rsidRPr="0044706D" w:rsidRDefault="00C24D45" w:rsidP="00C05BE8">
            <w:pPr>
              <w:jc w:val="center"/>
            </w:pPr>
            <w:r w:rsidRPr="0044706D">
              <w:t>0.134036</w:t>
            </w:r>
          </w:p>
        </w:tc>
        <w:tc>
          <w:tcPr>
            <w:tcW w:w="0" w:type="auto"/>
            <w:tcBorders>
              <w:top w:val="nil"/>
              <w:left w:val="nil"/>
              <w:bottom w:val="nil"/>
              <w:right w:val="nil"/>
            </w:tcBorders>
            <w:vAlign w:val="center"/>
          </w:tcPr>
          <w:p w:rsidR="00C24D45" w:rsidRPr="0044706D" w:rsidRDefault="00C24D45" w:rsidP="00C05BE8">
            <w:pPr>
              <w:jc w:val="center"/>
              <w:cnfStyle w:val="000000100000"/>
            </w:pPr>
            <w:r w:rsidRPr="0044706D">
              <w:t>0.058583</w:t>
            </w:r>
          </w:p>
        </w:tc>
        <w:tc>
          <w:tcPr>
            <w:cnfStyle w:val="000010000000"/>
            <w:tcW w:w="0" w:type="auto"/>
            <w:tcBorders>
              <w:top w:val="nil"/>
              <w:left w:val="nil"/>
              <w:bottom w:val="nil"/>
              <w:right w:val="nil"/>
            </w:tcBorders>
            <w:vAlign w:val="center"/>
          </w:tcPr>
          <w:p w:rsidR="00C24D45" w:rsidRPr="0044706D" w:rsidRDefault="00C24D45" w:rsidP="00C05BE8">
            <w:pPr>
              <w:jc w:val="center"/>
            </w:pPr>
            <w:r w:rsidRPr="0044706D">
              <w:t>2.287987</w:t>
            </w:r>
          </w:p>
        </w:tc>
        <w:tc>
          <w:tcPr>
            <w:tcW w:w="0" w:type="auto"/>
            <w:tcBorders>
              <w:top w:val="nil"/>
              <w:left w:val="nil"/>
              <w:bottom w:val="nil"/>
              <w:right w:val="single" w:sz="4" w:space="0" w:color="548DD4" w:themeColor="text2" w:themeTint="99"/>
            </w:tcBorders>
            <w:vAlign w:val="center"/>
          </w:tcPr>
          <w:p w:rsidR="00C24D45" w:rsidRDefault="00C24D45" w:rsidP="00C05BE8">
            <w:pPr>
              <w:jc w:val="center"/>
              <w:cnfStyle w:val="000000100000"/>
            </w:pPr>
            <w:r w:rsidRPr="0044706D">
              <w:t>0.0239</w:t>
            </w:r>
          </w:p>
        </w:tc>
      </w:tr>
      <w:tr w:rsidR="00C05BE8" w:rsidRPr="009A1768" w:rsidTr="00C05BE8">
        <w:trPr>
          <w:trHeight w:val="225"/>
          <w:jc w:val="center"/>
        </w:trPr>
        <w:tc>
          <w:tcPr>
            <w:cnfStyle w:val="001000000000"/>
            <w:tcW w:w="0" w:type="auto"/>
            <w:tcBorders>
              <w:top w:val="nil"/>
              <w:bottom w:val="single" w:sz="4" w:space="0" w:color="FFFFFF" w:themeColor="background1"/>
              <w:right w:val="single" w:sz="4" w:space="0" w:color="548DD4" w:themeColor="text2" w:themeTint="99"/>
            </w:tcBorders>
            <w:shd w:val="clear" w:color="auto" w:fill="4F81BD" w:themeFill="accent1"/>
          </w:tcPr>
          <w:p w:rsidR="00C05BE8" w:rsidRPr="00C24D45" w:rsidRDefault="00DB780A" w:rsidP="006D50B6">
            <w:pPr>
              <w:autoSpaceDE w:val="0"/>
              <w:autoSpaceDN w:val="0"/>
              <w:adjustRightInd w:val="0"/>
              <w:jc w:val="center"/>
              <w:rPr>
                <w:rFonts w:ascii="Cambria Math" w:hAnsi="Cambria Math" w:cs="Arial"/>
                <w:i/>
                <w:color w:val="FFFFFF" w:themeColor="background1"/>
                <w:vertAlign w:val="subscript"/>
                <w:lang w:val="en-US"/>
              </w:rPr>
            </w:pPr>
            <m:oMathPara>
              <m:oMath>
                <m:sSubSup>
                  <m:sSubSupPr>
                    <m:ctrlPr>
                      <w:rPr>
                        <w:rFonts w:ascii="Cambria Math" w:eastAsiaTheme="minorEastAsia" w:hAnsi="Cambria Math"/>
                        <w:i/>
                        <w:color w:val="FFFFFF" w:themeColor="background1"/>
                        <w:lang w:val="en-US"/>
                      </w:rPr>
                    </m:ctrlPr>
                  </m:sSubSupPr>
                  <m:e>
                    <m:acc>
                      <m:accPr>
                        <m:chr m:val="̃"/>
                        <m:ctrlPr>
                          <w:rPr>
                            <w:rFonts w:ascii="Cambria Math" w:eastAsiaTheme="minorEastAsia" w:hAnsi="Cambria Math"/>
                            <w:i/>
                            <w:color w:val="FFFFFF" w:themeColor="background1"/>
                            <w:lang w:val="en-US"/>
                          </w:rPr>
                        </m:ctrlPr>
                      </m:accPr>
                      <m:e>
                        <m:r>
                          <m:rPr>
                            <m:sty m:val="bi"/>
                          </m:rPr>
                          <w:rPr>
                            <w:rFonts w:ascii="Cambria Math" w:eastAsiaTheme="minorEastAsia" w:hAnsi="Cambria Math"/>
                            <w:color w:val="FFFFFF" w:themeColor="background1"/>
                            <w:lang w:val="en-US"/>
                          </w:rPr>
                          <m:t>P</m:t>
                        </m:r>
                      </m:e>
                    </m:acc>
                  </m:e>
                  <m:sub>
                    <m:r>
                      <m:rPr>
                        <m:sty m:val="bi"/>
                      </m:rPr>
                      <w:rPr>
                        <w:rFonts w:ascii="Cambria Math" w:eastAsiaTheme="minorEastAsia" w:hAnsi="Cambria Math"/>
                        <w:color w:val="FFFFFF" w:themeColor="background1"/>
                        <w:lang w:val="en-US"/>
                      </w:rPr>
                      <m:t>t</m:t>
                    </m:r>
                  </m:sub>
                  <m:sup>
                    <m:r>
                      <m:rPr>
                        <m:sty m:val="bi"/>
                      </m:rPr>
                      <w:rPr>
                        <w:rFonts w:ascii="Cambria Math" w:eastAsiaTheme="minorEastAsia" w:hAnsi="Cambria Math"/>
                        <w:color w:val="FFFFFF" w:themeColor="background1"/>
                        <w:lang w:val="en-US"/>
                      </w:rPr>
                      <m:t>e</m:t>
                    </m:r>
                  </m:sup>
                </m:sSubSup>
              </m:oMath>
            </m:oMathPara>
          </w:p>
        </w:tc>
        <w:tc>
          <w:tcPr>
            <w:cnfStyle w:val="000010000000"/>
            <w:tcW w:w="0" w:type="auto"/>
            <w:tcBorders>
              <w:top w:val="nil"/>
              <w:left w:val="single" w:sz="4" w:space="0" w:color="548DD4" w:themeColor="text2" w:themeTint="99"/>
              <w:bottom w:val="single" w:sz="4" w:space="0" w:color="548DD4" w:themeColor="text2" w:themeTint="99"/>
              <w:right w:val="nil"/>
            </w:tcBorders>
            <w:vAlign w:val="center"/>
          </w:tcPr>
          <w:p w:rsidR="00C05BE8" w:rsidRPr="00FE0B3F" w:rsidRDefault="00C05BE8" w:rsidP="00C05BE8">
            <w:pPr>
              <w:jc w:val="center"/>
            </w:pPr>
            <w:r w:rsidRPr="00FE0B3F">
              <w:t>-1.088573</w:t>
            </w:r>
          </w:p>
        </w:tc>
        <w:tc>
          <w:tcPr>
            <w:tcW w:w="0" w:type="auto"/>
            <w:tcBorders>
              <w:top w:val="nil"/>
              <w:left w:val="nil"/>
              <w:bottom w:val="single" w:sz="4" w:space="0" w:color="548DD4" w:themeColor="text2" w:themeTint="99"/>
              <w:right w:val="nil"/>
            </w:tcBorders>
            <w:vAlign w:val="center"/>
          </w:tcPr>
          <w:p w:rsidR="00C05BE8" w:rsidRPr="00FE0B3F" w:rsidRDefault="00C05BE8" w:rsidP="00C05BE8">
            <w:pPr>
              <w:jc w:val="center"/>
              <w:cnfStyle w:val="000000000000"/>
            </w:pPr>
            <w:r w:rsidRPr="00FE0B3F">
              <w:t>0.040274</w:t>
            </w:r>
          </w:p>
        </w:tc>
        <w:tc>
          <w:tcPr>
            <w:cnfStyle w:val="000010000000"/>
            <w:tcW w:w="0" w:type="auto"/>
            <w:tcBorders>
              <w:top w:val="nil"/>
              <w:left w:val="nil"/>
              <w:bottom w:val="single" w:sz="4" w:space="0" w:color="548DD4" w:themeColor="text2" w:themeTint="99"/>
              <w:right w:val="nil"/>
            </w:tcBorders>
            <w:vAlign w:val="center"/>
          </w:tcPr>
          <w:p w:rsidR="00C05BE8" w:rsidRPr="00FE0B3F" w:rsidRDefault="00C05BE8" w:rsidP="00C05BE8">
            <w:pPr>
              <w:jc w:val="center"/>
            </w:pPr>
            <w:r w:rsidRPr="00FE0B3F">
              <w:t>-27.02894</w:t>
            </w:r>
          </w:p>
        </w:tc>
        <w:tc>
          <w:tcPr>
            <w:tcW w:w="0" w:type="auto"/>
            <w:tcBorders>
              <w:top w:val="nil"/>
              <w:left w:val="nil"/>
              <w:bottom w:val="single" w:sz="4" w:space="0" w:color="548DD4" w:themeColor="text2" w:themeTint="99"/>
              <w:right w:val="single" w:sz="4" w:space="0" w:color="548DD4" w:themeColor="text2" w:themeTint="99"/>
            </w:tcBorders>
            <w:vAlign w:val="center"/>
          </w:tcPr>
          <w:p w:rsidR="00C05BE8" w:rsidRDefault="00C05BE8" w:rsidP="00C05BE8">
            <w:pPr>
              <w:jc w:val="center"/>
              <w:cnfStyle w:val="000000000000"/>
            </w:pPr>
            <w:r w:rsidRPr="00FE0B3F">
              <w:t>0.0000</w:t>
            </w:r>
          </w:p>
        </w:tc>
      </w:tr>
      <w:tr w:rsidR="00C05BE8" w:rsidRPr="009A1768" w:rsidTr="006D50B6">
        <w:trPr>
          <w:cnfStyle w:val="000000100000"/>
          <w:trHeight w:val="225"/>
          <w:jc w:val="center"/>
        </w:trPr>
        <w:tc>
          <w:tcPr>
            <w:cnfStyle w:val="001000000000"/>
            <w:tcW w:w="0" w:type="auto"/>
            <w:tcBorders>
              <w:top w:val="single" w:sz="4" w:space="0" w:color="FFFFFF" w:themeColor="background1"/>
              <w:right w:val="single" w:sz="4" w:space="0" w:color="548DD4" w:themeColor="text2" w:themeTint="99"/>
            </w:tcBorders>
            <w:shd w:val="clear" w:color="auto" w:fill="4F81BD" w:themeFill="accent1"/>
          </w:tcPr>
          <w:p w:rsidR="00C05BE8" w:rsidRPr="009A1768" w:rsidRDefault="00C05BE8" w:rsidP="006D50B6">
            <w:pPr>
              <w:autoSpaceDE w:val="0"/>
              <w:autoSpaceDN w:val="0"/>
              <w:adjustRightInd w:val="0"/>
              <w:rPr>
                <w:rFonts w:cs="Arial"/>
                <w:color w:val="FFFFFF" w:themeColor="background1"/>
              </w:rPr>
            </w:pPr>
            <w:r w:rsidRPr="009A1768">
              <w:rPr>
                <w:rFonts w:cs="Arial"/>
                <w:color w:val="FFFFFF" w:themeColor="background1"/>
              </w:rPr>
              <w:t>Adjusted R-squared</w:t>
            </w:r>
          </w:p>
        </w:tc>
        <w:tc>
          <w:tcPr>
            <w:cnfStyle w:val="000010000000"/>
            <w:tcW w:w="0" w:type="auto"/>
            <w:tcBorders>
              <w:top w:val="single" w:sz="4" w:space="0" w:color="548DD4" w:themeColor="text2" w:themeTint="99"/>
              <w:left w:val="single" w:sz="4" w:space="0" w:color="548DD4" w:themeColor="text2" w:themeTint="99"/>
              <w:bottom w:val="nil"/>
              <w:right w:val="single" w:sz="4" w:space="0" w:color="548DD4" w:themeColor="text2" w:themeTint="99"/>
            </w:tcBorders>
          </w:tcPr>
          <w:p w:rsidR="00C05BE8" w:rsidRPr="009A1768" w:rsidRDefault="00C05BE8" w:rsidP="006D50B6">
            <w:pPr>
              <w:autoSpaceDE w:val="0"/>
              <w:autoSpaceDN w:val="0"/>
              <w:adjustRightInd w:val="0"/>
              <w:ind w:right="10"/>
              <w:jc w:val="right"/>
              <w:rPr>
                <w:rFonts w:cs="Arial"/>
                <w:color w:val="000000"/>
              </w:rPr>
            </w:pPr>
            <w:r w:rsidRPr="00C05BE8">
              <w:rPr>
                <w:rFonts w:cs="Arial"/>
                <w:color w:val="000000"/>
              </w:rPr>
              <w:t>0.978776</w:t>
            </w:r>
          </w:p>
        </w:tc>
        <w:tc>
          <w:tcPr>
            <w:tcW w:w="0" w:type="auto"/>
            <w:gridSpan w:val="2"/>
            <w:tcBorders>
              <w:top w:val="single" w:sz="4" w:space="0" w:color="548DD4" w:themeColor="text2" w:themeTint="99"/>
              <w:left w:val="single" w:sz="4" w:space="0" w:color="548DD4" w:themeColor="text2" w:themeTint="99"/>
              <w:right w:val="single" w:sz="4" w:space="0" w:color="548DD4" w:themeColor="text2" w:themeTint="99"/>
            </w:tcBorders>
            <w:shd w:val="clear" w:color="auto" w:fill="4F81BD" w:themeFill="accent1"/>
          </w:tcPr>
          <w:p w:rsidR="00C05BE8" w:rsidRPr="009A1768" w:rsidRDefault="00C05BE8" w:rsidP="006D50B6">
            <w:pPr>
              <w:autoSpaceDE w:val="0"/>
              <w:autoSpaceDN w:val="0"/>
              <w:adjustRightInd w:val="0"/>
              <w:ind w:right="10"/>
              <w:cnfStyle w:val="000000100000"/>
              <w:rPr>
                <w:rFonts w:cs="Arial"/>
                <w:b/>
                <w:color w:val="FFFFFF" w:themeColor="background1"/>
              </w:rPr>
            </w:pPr>
            <w:r w:rsidRPr="009A1768">
              <w:rPr>
                <w:rFonts w:cs="Arial"/>
                <w:b/>
                <w:color w:val="FFFFFF" w:themeColor="background1"/>
              </w:rPr>
              <w:t>    Akaike info criterion</w:t>
            </w:r>
          </w:p>
        </w:tc>
        <w:tc>
          <w:tcPr>
            <w:cnfStyle w:val="000010000000"/>
            <w:tcW w:w="0" w:type="auto"/>
            <w:tcBorders>
              <w:top w:val="single" w:sz="4" w:space="0" w:color="548DD4" w:themeColor="text2" w:themeTint="99"/>
              <w:left w:val="single" w:sz="4" w:space="0" w:color="548DD4" w:themeColor="text2" w:themeTint="99"/>
              <w:bottom w:val="nil"/>
              <w:right w:val="single" w:sz="4" w:space="0" w:color="548DD4" w:themeColor="text2" w:themeTint="99"/>
            </w:tcBorders>
          </w:tcPr>
          <w:p w:rsidR="00C05BE8" w:rsidRPr="009A1768" w:rsidRDefault="00C05BE8" w:rsidP="006D50B6">
            <w:pPr>
              <w:autoSpaceDE w:val="0"/>
              <w:autoSpaceDN w:val="0"/>
              <w:adjustRightInd w:val="0"/>
              <w:ind w:right="10"/>
              <w:jc w:val="right"/>
              <w:rPr>
                <w:rFonts w:cs="Arial"/>
                <w:color w:val="000000"/>
              </w:rPr>
            </w:pPr>
            <w:r w:rsidRPr="00C05BE8">
              <w:rPr>
                <w:rFonts w:cs="Arial"/>
                <w:color w:val="000000"/>
              </w:rPr>
              <w:t>-4.525178</w:t>
            </w:r>
          </w:p>
        </w:tc>
      </w:tr>
      <w:tr w:rsidR="00C05BE8" w:rsidRPr="009A1768" w:rsidTr="006D50B6">
        <w:trPr>
          <w:trHeight w:val="225"/>
          <w:jc w:val="center"/>
        </w:trPr>
        <w:tc>
          <w:tcPr>
            <w:cnfStyle w:val="001000000000"/>
            <w:tcW w:w="0" w:type="auto"/>
            <w:tcBorders>
              <w:right w:val="single" w:sz="4" w:space="0" w:color="548DD4" w:themeColor="text2" w:themeTint="99"/>
            </w:tcBorders>
            <w:shd w:val="clear" w:color="auto" w:fill="4F81BD" w:themeFill="accent1"/>
          </w:tcPr>
          <w:p w:rsidR="00C05BE8" w:rsidRPr="009A1768" w:rsidRDefault="00C05BE8" w:rsidP="006D50B6">
            <w:pPr>
              <w:autoSpaceDE w:val="0"/>
              <w:autoSpaceDN w:val="0"/>
              <w:adjustRightInd w:val="0"/>
              <w:rPr>
                <w:rFonts w:cs="Arial"/>
                <w:color w:val="FFFFFF" w:themeColor="background1"/>
              </w:rPr>
            </w:pPr>
            <w:r w:rsidRPr="009A1768">
              <w:rPr>
                <w:rFonts w:cs="Arial"/>
                <w:color w:val="FFFFFF" w:themeColor="background1"/>
              </w:rPr>
              <w:t>S.E. of regression</w:t>
            </w:r>
          </w:p>
        </w:tc>
        <w:tc>
          <w:tcPr>
            <w:cnfStyle w:val="000010000000"/>
            <w:tcW w:w="0" w:type="auto"/>
            <w:tcBorders>
              <w:top w:val="nil"/>
              <w:left w:val="single" w:sz="4" w:space="0" w:color="548DD4" w:themeColor="text2" w:themeTint="99"/>
              <w:bottom w:val="single" w:sz="4" w:space="0" w:color="548DD4" w:themeColor="text2" w:themeTint="99"/>
              <w:right w:val="single" w:sz="4" w:space="0" w:color="548DD4" w:themeColor="text2" w:themeTint="99"/>
            </w:tcBorders>
          </w:tcPr>
          <w:p w:rsidR="00C05BE8" w:rsidRPr="009A1768" w:rsidRDefault="00C05BE8" w:rsidP="006D50B6">
            <w:pPr>
              <w:autoSpaceDE w:val="0"/>
              <w:autoSpaceDN w:val="0"/>
              <w:adjustRightInd w:val="0"/>
              <w:ind w:right="10"/>
              <w:jc w:val="right"/>
              <w:rPr>
                <w:rFonts w:cs="Arial"/>
                <w:color w:val="000000"/>
              </w:rPr>
            </w:pPr>
            <w:r w:rsidRPr="00C05BE8">
              <w:rPr>
                <w:rFonts w:cs="Arial"/>
                <w:color w:val="000000"/>
              </w:rPr>
              <w:t>0.024700</w:t>
            </w:r>
          </w:p>
        </w:tc>
        <w:tc>
          <w:tcPr>
            <w:tcW w:w="0" w:type="auto"/>
            <w:gridSpan w:val="2"/>
            <w:tcBorders>
              <w:left w:val="single" w:sz="4" w:space="0" w:color="548DD4" w:themeColor="text2" w:themeTint="99"/>
              <w:right w:val="single" w:sz="4" w:space="0" w:color="548DD4" w:themeColor="text2" w:themeTint="99"/>
            </w:tcBorders>
            <w:shd w:val="clear" w:color="auto" w:fill="4F81BD" w:themeFill="accent1"/>
          </w:tcPr>
          <w:p w:rsidR="00C05BE8" w:rsidRPr="009A1768" w:rsidRDefault="00C05BE8" w:rsidP="006D50B6">
            <w:pPr>
              <w:autoSpaceDE w:val="0"/>
              <w:autoSpaceDN w:val="0"/>
              <w:adjustRightInd w:val="0"/>
              <w:ind w:right="10"/>
              <w:cnfStyle w:val="000000000000"/>
              <w:rPr>
                <w:rFonts w:cs="Arial"/>
                <w:b/>
                <w:color w:val="FFFFFF" w:themeColor="background1"/>
              </w:rPr>
            </w:pPr>
            <w:r w:rsidRPr="009A1768">
              <w:rPr>
                <w:rFonts w:cs="Arial"/>
                <w:b/>
                <w:color w:val="FFFFFF" w:themeColor="background1"/>
              </w:rPr>
              <w:t>    Durbin-Watson stat</w:t>
            </w:r>
          </w:p>
        </w:tc>
        <w:tc>
          <w:tcPr>
            <w:cnfStyle w:val="000010000000"/>
            <w:tcW w:w="0" w:type="auto"/>
            <w:tcBorders>
              <w:top w:val="nil"/>
              <w:left w:val="single" w:sz="4" w:space="0" w:color="548DD4" w:themeColor="text2" w:themeTint="99"/>
              <w:bottom w:val="single" w:sz="4" w:space="0" w:color="548DD4" w:themeColor="text2" w:themeTint="99"/>
              <w:right w:val="single" w:sz="4" w:space="0" w:color="548DD4" w:themeColor="text2" w:themeTint="99"/>
            </w:tcBorders>
          </w:tcPr>
          <w:p w:rsidR="00C05BE8" w:rsidRPr="009A1768" w:rsidRDefault="00C05BE8" w:rsidP="00735207">
            <w:pPr>
              <w:keepNext/>
              <w:autoSpaceDE w:val="0"/>
              <w:autoSpaceDN w:val="0"/>
              <w:adjustRightInd w:val="0"/>
              <w:ind w:right="10"/>
              <w:jc w:val="right"/>
              <w:rPr>
                <w:rFonts w:cs="Arial"/>
                <w:color w:val="000000"/>
              </w:rPr>
            </w:pPr>
            <w:r w:rsidRPr="00C05BE8">
              <w:rPr>
                <w:rFonts w:cs="Arial"/>
                <w:color w:val="000000"/>
              </w:rPr>
              <w:t>1.823867</w:t>
            </w:r>
          </w:p>
        </w:tc>
      </w:tr>
    </w:tbl>
    <w:p w:rsidR="00735207" w:rsidRPr="00735207" w:rsidRDefault="00735207" w:rsidP="00735207">
      <w:pPr>
        <w:pStyle w:val="Caption"/>
        <w:jc w:val="center"/>
        <w:rPr>
          <w:lang w:val="en-US"/>
        </w:rPr>
      </w:pPr>
      <w:r w:rsidRPr="00735207">
        <w:rPr>
          <w:lang w:val="en-US"/>
        </w:rPr>
        <w:t xml:space="preserve">Table </w:t>
      </w:r>
      <w:r w:rsidR="00DB780A">
        <w:fldChar w:fldCharType="begin"/>
      </w:r>
      <w:r w:rsidRPr="00735207">
        <w:rPr>
          <w:lang w:val="en-US"/>
        </w:rPr>
        <w:instrText xml:space="preserve"> SEQ Table \* ARABIC </w:instrText>
      </w:r>
      <w:r w:rsidR="00DB780A">
        <w:fldChar w:fldCharType="separate"/>
      </w:r>
      <w:r w:rsidR="004454F3">
        <w:rPr>
          <w:noProof/>
          <w:lang w:val="en-US"/>
        </w:rPr>
        <w:t>11</w:t>
      </w:r>
      <w:r w:rsidR="00DB780A">
        <w:fldChar w:fldCharType="end"/>
      </w:r>
      <w:r w:rsidRPr="00735207">
        <w:rPr>
          <w:lang w:val="en-US"/>
        </w:rPr>
        <w:t xml:space="preserve"> | OLS estimation results of equation </w:t>
      </w:r>
      <w:r>
        <w:rPr>
          <w:lang w:val="en-US"/>
        </w:rPr>
        <w:t>2.7</w:t>
      </w:r>
    </w:p>
    <w:p w:rsidR="007C6E94" w:rsidRDefault="00F13942" w:rsidP="00CE2BA2">
      <w:pPr>
        <w:spacing w:line="360" w:lineRule="auto"/>
        <w:jc w:val="both"/>
        <w:rPr>
          <w:lang w:val="en-US"/>
        </w:rPr>
      </w:pPr>
      <w:r>
        <w:rPr>
          <w:lang w:val="en-US"/>
        </w:rPr>
        <w:t xml:space="preserve">An R-squared that close to unity raises suspicion. In fact, recall from </w:t>
      </w:r>
      <w:r w:rsidRPr="006E025D">
        <w:rPr>
          <w:lang w:val="en-US"/>
        </w:rPr>
        <w:t xml:space="preserve">page </w:t>
      </w:r>
      <w:r w:rsidR="006E025D">
        <w:rPr>
          <w:lang w:val="en-US"/>
        </w:rPr>
        <w:t>1</w:t>
      </w:r>
      <w:r w:rsidR="003A757B">
        <w:rPr>
          <w:lang w:val="en-US"/>
        </w:rPr>
        <w:t>1</w:t>
      </w:r>
      <w:r>
        <w:rPr>
          <w:b/>
          <w:lang w:val="en-US"/>
        </w:rPr>
        <w:t xml:space="preserve"> </w:t>
      </w:r>
      <w:r>
        <w:rPr>
          <w:lang w:val="en-US"/>
        </w:rPr>
        <w:t>that collinearity could very well be the problem here. If it is, we cannot interpret the estimated coefficients</w:t>
      </w:r>
      <w:r w:rsidR="00E34E36">
        <w:rPr>
          <w:lang w:val="en-US"/>
        </w:rPr>
        <w:t xml:space="preserve">, as the t-statistics and accompanying probabilities are likely to be incorrect. This would result in failure to reject the null hypothesis that the coefficients are zero, when it might entirely be possible that the coefficients are different from zero. Specifically, we cannot conclude that, for example, </w:t>
      </w:r>
      <w:r w:rsidR="00E34E36" w:rsidRPr="00E34E36">
        <w:rPr>
          <w:rFonts w:ascii="Cambria Math" w:hAnsi="Cambria Math" w:cs="Arial"/>
          <w:i/>
          <w:lang w:val="en-US"/>
        </w:rPr>
        <w:t>b</w:t>
      </w:r>
      <w:r w:rsidR="00E34E36" w:rsidRPr="00E34E36">
        <w:rPr>
          <w:rFonts w:ascii="Cambria Math" w:hAnsi="Cambria Math" w:cs="Arial"/>
          <w:i/>
          <w:vertAlign w:val="subscript"/>
          <w:lang w:val="en-US"/>
        </w:rPr>
        <w:t>2</w:t>
      </w:r>
      <w:r w:rsidR="00E34E36" w:rsidRPr="00E34E36">
        <w:rPr>
          <w:lang w:val="en-US"/>
        </w:rPr>
        <w:t xml:space="preserve"> </w:t>
      </w:r>
      <w:r w:rsidR="00E34E36">
        <w:rPr>
          <w:lang w:val="en-US"/>
        </w:rPr>
        <w:t xml:space="preserve"> is </w:t>
      </w:r>
      <w:r w:rsidR="00E34E36">
        <w:rPr>
          <w:lang w:val="en-US"/>
        </w:rPr>
        <w:lastRenderedPageBreak/>
        <w:t xml:space="preserve">insignificant. </w:t>
      </w:r>
      <w:r>
        <w:rPr>
          <w:lang w:val="en-US"/>
        </w:rPr>
        <w:t>To see whether</w:t>
      </w:r>
      <w:r w:rsidR="00E34E36">
        <w:rPr>
          <w:lang w:val="en-US"/>
        </w:rPr>
        <w:t xml:space="preserve"> collinearity regarding</w:t>
      </w:r>
      <w:r>
        <w:rPr>
          <w:lang w:val="en-US"/>
        </w:rPr>
        <w:t xml:space="preserve"> the net expected inflation variable is indeed the problem, the following regression is performed:</w:t>
      </w:r>
    </w:p>
    <w:p w:rsidR="00F13942" w:rsidRDefault="00DB780A" w:rsidP="0041240A">
      <w:pPr>
        <w:spacing w:line="360" w:lineRule="auto"/>
        <w:jc w:val="right"/>
        <w:rPr>
          <w:rFonts w:eastAsiaTheme="minorEastAsia"/>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eastAsiaTheme="minorEastAsia"/>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0</m:t>
            </m:r>
          </m:sub>
        </m:sSub>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P</m:t>
                </m:r>
              </m:e>
            </m:acc>
          </m:e>
          <m:sub>
            <m:r>
              <w:rPr>
                <w:rFonts w:ascii="Cambria Math" w:eastAsiaTheme="minorEastAsia" w:hAnsi="Cambria Math"/>
                <w:lang w:val="en-US"/>
              </w:rPr>
              <m:t>t</m:t>
            </m:r>
          </m:sub>
          <m:sup>
            <m:r>
              <w:rPr>
                <w:rFonts w:ascii="Cambria Math" w:eastAsiaTheme="minorEastAsia" w:hAnsi="Cambria Math"/>
                <w:lang w:val="en-US"/>
              </w:rPr>
              <m:t>e</m:t>
            </m:r>
          </m:sup>
        </m:sSubSup>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oMath>
      <w:r w:rsidR="00F13942">
        <w:rPr>
          <w:rFonts w:eastAsiaTheme="minorEastAsia"/>
          <w:lang w:val="en-US"/>
        </w:rPr>
        <w:tab/>
      </w:r>
      <w:r w:rsidR="00F13942">
        <w:rPr>
          <w:rFonts w:eastAsiaTheme="minorEastAsia"/>
          <w:lang w:val="en-US"/>
        </w:rPr>
        <w:tab/>
      </w:r>
      <w:r w:rsidR="00F13942">
        <w:rPr>
          <w:rFonts w:eastAsiaTheme="minorEastAsia"/>
          <w:lang w:val="en-US"/>
        </w:rPr>
        <w:tab/>
        <w:t xml:space="preserve">       </w:t>
      </w:r>
      <w:r w:rsidR="00F13942">
        <w:rPr>
          <w:rFonts w:eastAsiaTheme="minorEastAsia"/>
          <w:lang w:val="en-US"/>
        </w:rPr>
        <w:tab/>
        <w:t xml:space="preserve">         (2.8)</w:t>
      </w:r>
    </w:p>
    <w:p w:rsidR="00F13942" w:rsidRDefault="00F13942" w:rsidP="00CE2BA2">
      <w:pPr>
        <w:spacing w:line="360" w:lineRule="auto"/>
        <w:jc w:val="both"/>
        <w:rPr>
          <w:rFonts w:eastAsiaTheme="minorEastAsia"/>
          <w:lang w:val="en-US"/>
        </w:rPr>
      </w:pPr>
      <w:r>
        <w:rPr>
          <w:rFonts w:eastAsiaTheme="minorEastAsia"/>
          <w:lang w:val="en-US"/>
        </w:rPr>
        <w:t>With the following result:</w:t>
      </w:r>
    </w:p>
    <w:p w:rsidR="00E34E36" w:rsidRDefault="00DB780A" w:rsidP="0041240A">
      <w:pPr>
        <w:spacing w:line="360" w:lineRule="auto"/>
        <w:jc w:val="right"/>
        <w:rPr>
          <w:rFonts w:eastAsiaTheme="minorEastAsia"/>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eastAsiaTheme="minorEastAsia"/>
            <w:lang w:val="en-US"/>
          </w:rPr>
          <m:t>=</m:t>
        </m:r>
        <m:r>
          <w:rPr>
            <w:rFonts w:ascii="Cambria Math" w:hAnsi="Cambria Math"/>
            <w:lang w:val="en-US"/>
          </w:rPr>
          <m:t>-1.06</m:t>
        </m:r>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P</m:t>
                </m:r>
              </m:e>
            </m:acc>
          </m:e>
          <m:sub>
            <m:r>
              <w:rPr>
                <w:rFonts w:ascii="Cambria Math" w:eastAsiaTheme="minorEastAsia" w:hAnsi="Cambria Math"/>
                <w:lang w:val="en-US"/>
              </w:rPr>
              <m:t>t</m:t>
            </m:r>
          </m:sub>
          <m:sup>
            <m:r>
              <w:rPr>
                <w:rFonts w:ascii="Cambria Math" w:eastAsiaTheme="minorEastAsia" w:hAnsi="Cambria Math"/>
                <w:lang w:val="en-US"/>
              </w:rPr>
              <m:t>e</m:t>
            </m:r>
          </m:sup>
        </m:sSubSup>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t</m:t>
            </m:r>
          </m:sub>
        </m:sSub>
      </m:oMath>
      <w:r w:rsidR="00E34E36">
        <w:rPr>
          <w:rFonts w:eastAsiaTheme="minorEastAsia"/>
          <w:lang w:val="en-US"/>
        </w:rPr>
        <w:tab/>
      </w:r>
      <w:r w:rsidR="00E34E36">
        <w:rPr>
          <w:rFonts w:eastAsiaTheme="minorEastAsia"/>
          <w:lang w:val="en-US"/>
        </w:rPr>
        <w:tab/>
      </w:r>
      <w:r w:rsidR="00E34E36">
        <w:rPr>
          <w:rFonts w:eastAsiaTheme="minorEastAsia"/>
          <w:lang w:val="en-US"/>
        </w:rPr>
        <w:tab/>
      </w:r>
      <w:r w:rsidR="00E34E36">
        <w:rPr>
          <w:rFonts w:eastAsiaTheme="minorEastAsia"/>
          <w:lang w:val="en-US"/>
        </w:rPr>
        <w:tab/>
        <w:t xml:space="preserve">       </w:t>
      </w:r>
      <w:r w:rsidR="00E34E36">
        <w:rPr>
          <w:rFonts w:eastAsiaTheme="minorEastAsia"/>
          <w:lang w:val="en-US"/>
        </w:rPr>
        <w:tab/>
        <w:t xml:space="preserve">         (2.9)</w:t>
      </w:r>
    </w:p>
    <w:tbl>
      <w:tblPr>
        <w:tblStyle w:val="LightList-Accent11"/>
        <w:tblpPr w:leftFromText="141" w:rightFromText="141" w:vertAnchor="text" w:tblpXSpec="center" w:tblpY="248"/>
        <w:tblW w:w="0" w:type="auto"/>
        <w:tblLook w:val="00A0"/>
      </w:tblPr>
      <w:tblGrid>
        <w:gridCol w:w="2015"/>
        <w:gridCol w:w="1216"/>
        <w:gridCol w:w="1128"/>
        <w:gridCol w:w="1155"/>
        <w:gridCol w:w="1130"/>
      </w:tblGrid>
      <w:tr w:rsidR="00735207" w:rsidRPr="009A1768" w:rsidTr="00735207">
        <w:trPr>
          <w:cnfStyle w:val="100000000000"/>
          <w:trHeight w:val="324"/>
        </w:trPr>
        <w:tc>
          <w:tcPr>
            <w:cnfStyle w:val="001000000000"/>
            <w:tcW w:w="0" w:type="auto"/>
            <w:gridSpan w:val="5"/>
            <w:tcBorders>
              <w:top w:val="single" w:sz="8" w:space="0" w:color="4F81BD" w:themeColor="accent1"/>
              <w:bottom w:val="single" w:sz="4" w:space="0" w:color="FFFFFF" w:themeColor="background1"/>
            </w:tcBorders>
          </w:tcPr>
          <w:p w:rsidR="00735207" w:rsidRPr="009A1768" w:rsidRDefault="00735207" w:rsidP="00735207">
            <w:pPr>
              <w:autoSpaceDE w:val="0"/>
              <w:autoSpaceDN w:val="0"/>
              <w:adjustRightInd w:val="0"/>
              <w:rPr>
                <w:rFonts w:cs="Arial"/>
                <w:lang w:val="en-US"/>
              </w:rPr>
            </w:pPr>
            <w:r w:rsidRPr="009A1768">
              <w:rPr>
                <w:rFonts w:cs="Arial"/>
                <w:lang w:val="en-US"/>
              </w:rPr>
              <w:t xml:space="preserve">Dependent Variable: </w:t>
            </w:r>
            <w:r>
              <w:rPr>
                <w:rFonts w:ascii="Cambria Math" w:hAnsi="Cambria Math"/>
                <w:i/>
                <w:lang w:val="en-US"/>
              </w:rPr>
              <w:t>∆s</w:t>
            </w:r>
            <w:r>
              <w:rPr>
                <w:rFonts w:ascii="Cambria Math" w:hAnsi="Cambria Math"/>
                <w:i/>
                <w:vertAlign w:val="subscript"/>
                <w:lang w:val="en-US"/>
              </w:rPr>
              <w:t>t</w:t>
            </w:r>
            <w:r>
              <w:rPr>
                <w:rFonts w:ascii="Cambria Math" w:hAnsi="Cambria Math"/>
                <w:lang w:val="en-US"/>
              </w:rPr>
              <w:t xml:space="preserve">  </w:t>
            </w:r>
          </w:p>
        </w:tc>
      </w:tr>
      <w:tr w:rsidR="00735207" w:rsidRPr="00CC60EF" w:rsidTr="00735207">
        <w:trPr>
          <w:cnfStyle w:val="000000100000"/>
          <w:trHeight w:val="225"/>
        </w:trPr>
        <w:tc>
          <w:tcPr>
            <w:cnfStyle w:val="001000000000"/>
            <w:tcW w:w="0" w:type="auto"/>
            <w:tcBorders>
              <w:top w:val="single" w:sz="4" w:space="0" w:color="FFFFFF" w:themeColor="background1"/>
              <w:bottom w:val="single" w:sz="4" w:space="0" w:color="FFFFFF" w:themeColor="background1"/>
            </w:tcBorders>
            <w:shd w:val="clear" w:color="auto" w:fill="4F81BD" w:themeFill="accent1"/>
          </w:tcPr>
          <w:p w:rsidR="00735207" w:rsidRPr="00CC60EF" w:rsidRDefault="00735207" w:rsidP="00735207">
            <w:pPr>
              <w:autoSpaceDE w:val="0"/>
              <w:autoSpaceDN w:val="0"/>
              <w:adjustRightInd w:val="0"/>
              <w:jc w:val="center"/>
              <w:rPr>
                <w:rFonts w:cs="Arial"/>
                <w:color w:val="FFFFFF" w:themeColor="background1"/>
                <w:lang w:val="en-US"/>
              </w:rPr>
            </w:pPr>
            <w:r w:rsidRPr="00CC60EF">
              <w:rPr>
                <w:rFonts w:cs="Arial"/>
                <w:color w:val="FFFFFF" w:themeColor="background1"/>
                <w:lang w:val="en-US"/>
              </w:rPr>
              <w:t>Variable</w:t>
            </w:r>
          </w:p>
        </w:tc>
        <w:tc>
          <w:tcPr>
            <w:cnfStyle w:val="000010000000"/>
            <w:tcW w:w="0" w:type="auto"/>
            <w:tcBorders>
              <w:top w:val="single" w:sz="4" w:space="0" w:color="FFFFFF" w:themeColor="background1"/>
              <w:bottom w:val="single" w:sz="4" w:space="0" w:color="548DD4" w:themeColor="text2" w:themeTint="99"/>
            </w:tcBorders>
            <w:shd w:val="clear" w:color="auto" w:fill="4F81BD" w:themeFill="accent1"/>
          </w:tcPr>
          <w:p w:rsidR="00735207" w:rsidRPr="00CC60EF" w:rsidRDefault="00735207" w:rsidP="00735207">
            <w:pPr>
              <w:autoSpaceDE w:val="0"/>
              <w:autoSpaceDN w:val="0"/>
              <w:adjustRightInd w:val="0"/>
              <w:ind w:right="10"/>
              <w:jc w:val="right"/>
              <w:rPr>
                <w:rFonts w:cs="Arial"/>
                <w:b/>
                <w:color w:val="FFFFFF" w:themeColor="background1"/>
                <w:lang w:val="en-US"/>
              </w:rPr>
            </w:pPr>
            <w:r w:rsidRPr="00CC60EF">
              <w:rPr>
                <w:rFonts w:cs="Arial"/>
                <w:b/>
                <w:color w:val="FFFFFF" w:themeColor="background1"/>
                <w:lang w:val="en-US"/>
              </w:rPr>
              <w:t>Coefficient</w:t>
            </w:r>
          </w:p>
        </w:tc>
        <w:tc>
          <w:tcPr>
            <w:tcW w:w="0" w:type="auto"/>
            <w:tcBorders>
              <w:top w:val="single" w:sz="4" w:space="0" w:color="FFFFFF" w:themeColor="background1"/>
              <w:bottom w:val="single" w:sz="4" w:space="0" w:color="548DD4" w:themeColor="text2" w:themeTint="99"/>
            </w:tcBorders>
            <w:shd w:val="clear" w:color="auto" w:fill="4F81BD" w:themeFill="accent1"/>
          </w:tcPr>
          <w:p w:rsidR="00735207" w:rsidRPr="00CC60EF" w:rsidRDefault="00735207" w:rsidP="00735207">
            <w:pPr>
              <w:autoSpaceDE w:val="0"/>
              <w:autoSpaceDN w:val="0"/>
              <w:adjustRightInd w:val="0"/>
              <w:ind w:right="10"/>
              <w:jc w:val="right"/>
              <w:cnfStyle w:val="000000100000"/>
              <w:rPr>
                <w:rFonts w:cs="Arial"/>
                <w:b/>
                <w:color w:val="FFFFFF" w:themeColor="background1"/>
                <w:lang w:val="en-US"/>
              </w:rPr>
            </w:pPr>
            <w:r w:rsidRPr="00CC60EF">
              <w:rPr>
                <w:rFonts w:cs="Arial"/>
                <w:b/>
                <w:color w:val="FFFFFF" w:themeColor="background1"/>
                <w:lang w:val="en-US"/>
              </w:rPr>
              <w:t>Std. Error</w:t>
            </w:r>
          </w:p>
        </w:tc>
        <w:tc>
          <w:tcPr>
            <w:cnfStyle w:val="000010000000"/>
            <w:tcW w:w="0" w:type="auto"/>
            <w:tcBorders>
              <w:top w:val="single" w:sz="4" w:space="0" w:color="FFFFFF" w:themeColor="background1"/>
              <w:bottom w:val="single" w:sz="4" w:space="0" w:color="548DD4" w:themeColor="text2" w:themeTint="99"/>
            </w:tcBorders>
            <w:shd w:val="clear" w:color="auto" w:fill="4F81BD" w:themeFill="accent1"/>
          </w:tcPr>
          <w:p w:rsidR="00735207" w:rsidRPr="00CC60EF" w:rsidRDefault="00735207" w:rsidP="00735207">
            <w:pPr>
              <w:autoSpaceDE w:val="0"/>
              <w:autoSpaceDN w:val="0"/>
              <w:adjustRightInd w:val="0"/>
              <w:ind w:right="10"/>
              <w:jc w:val="right"/>
              <w:rPr>
                <w:rFonts w:cs="Arial"/>
                <w:b/>
                <w:color w:val="FFFFFF" w:themeColor="background1"/>
                <w:lang w:val="en-US"/>
              </w:rPr>
            </w:pPr>
            <w:r w:rsidRPr="00CC60EF">
              <w:rPr>
                <w:rFonts w:cs="Arial"/>
                <w:b/>
                <w:color w:val="FFFFFF" w:themeColor="background1"/>
                <w:lang w:val="en-US"/>
              </w:rPr>
              <w:t>t-Statistic</w:t>
            </w:r>
          </w:p>
        </w:tc>
        <w:tc>
          <w:tcPr>
            <w:tcW w:w="0" w:type="auto"/>
            <w:tcBorders>
              <w:top w:val="single" w:sz="4" w:space="0" w:color="FFFFFF" w:themeColor="background1"/>
              <w:bottom w:val="single" w:sz="4" w:space="0" w:color="548DD4" w:themeColor="text2" w:themeTint="99"/>
            </w:tcBorders>
            <w:shd w:val="clear" w:color="auto" w:fill="4F81BD" w:themeFill="accent1"/>
          </w:tcPr>
          <w:p w:rsidR="00735207" w:rsidRPr="00CC60EF" w:rsidRDefault="00735207" w:rsidP="00735207">
            <w:pPr>
              <w:autoSpaceDE w:val="0"/>
              <w:autoSpaceDN w:val="0"/>
              <w:adjustRightInd w:val="0"/>
              <w:ind w:right="10"/>
              <w:jc w:val="right"/>
              <w:cnfStyle w:val="000000100000"/>
              <w:rPr>
                <w:rFonts w:cs="Arial"/>
                <w:b/>
                <w:color w:val="FFFFFF" w:themeColor="background1"/>
                <w:lang w:val="en-US"/>
              </w:rPr>
            </w:pPr>
            <w:r w:rsidRPr="00CC60EF">
              <w:rPr>
                <w:rFonts w:cs="Arial"/>
                <w:b/>
                <w:color w:val="FFFFFF" w:themeColor="background1"/>
                <w:lang w:val="en-US"/>
              </w:rPr>
              <w:t>Prob.  </w:t>
            </w:r>
          </w:p>
        </w:tc>
      </w:tr>
      <w:tr w:rsidR="00735207" w:rsidRPr="00CC60EF" w:rsidTr="00735207">
        <w:trPr>
          <w:trHeight w:val="225"/>
        </w:trPr>
        <w:tc>
          <w:tcPr>
            <w:cnfStyle w:val="001000000000"/>
            <w:tcW w:w="0" w:type="auto"/>
            <w:tcBorders>
              <w:top w:val="single" w:sz="4" w:space="0" w:color="FFFFFF" w:themeColor="background1"/>
              <w:bottom w:val="single" w:sz="4" w:space="0" w:color="FFFFFF" w:themeColor="background1"/>
              <w:right w:val="single" w:sz="4" w:space="0" w:color="548DD4" w:themeColor="text2" w:themeTint="99"/>
            </w:tcBorders>
            <w:shd w:val="clear" w:color="auto" w:fill="4F81BD" w:themeFill="accent1"/>
          </w:tcPr>
          <w:p w:rsidR="00735207" w:rsidRPr="00C24D45" w:rsidRDefault="00DB780A" w:rsidP="00735207">
            <w:pPr>
              <w:autoSpaceDE w:val="0"/>
              <w:autoSpaceDN w:val="0"/>
              <w:adjustRightInd w:val="0"/>
              <w:jc w:val="center"/>
              <w:rPr>
                <w:rFonts w:ascii="Cambria Math" w:hAnsi="Cambria Math" w:cs="Arial"/>
                <w:i/>
                <w:color w:val="FFFFFF" w:themeColor="background1"/>
                <w:vertAlign w:val="subscript"/>
                <w:lang w:val="en-US"/>
              </w:rPr>
            </w:pPr>
            <m:oMathPara>
              <m:oMath>
                <m:sSubSup>
                  <m:sSubSupPr>
                    <m:ctrlPr>
                      <w:rPr>
                        <w:rFonts w:ascii="Cambria Math" w:eastAsiaTheme="minorEastAsia" w:hAnsi="Cambria Math"/>
                        <w:i/>
                        <w:color w:val="FFFFFF" w:themeColor="background1"/>
                        <w:lang w:val="en-US"/>
                      </w:rPr>
                    </m:ctrlPr>
                  </m:sSubSupPr>
                  <m:e>
                    <m:acc>
                      <m:accPr>
                        <m:chr m:val="̃"/>
                        <m:ctrlPr>
                          <w:rPr>
                            <w:rFonts w:ascii="Cambria Math" w:eastAsiaTheme="minorEastAsia" w:hAnsi="Cambria Math"/>
                            <w:i/>
                            <w:color w:val="FFFFFF" w:themeColor="background1"/>
                            <w:lang w:val="en-US"/>
                          </w:rPr>
                        </m:ctrlPr>
                      </m:accPr>
                      <m:e>
                        <m:r>
                          <m:rPr>
                            <m:sty m:val="bi"/>
                          </m:rPr>
                          <w:rPr>
                            <w:rFonts w:ascii="Cambria Math" w:eastAsiaTheme="minorEastAsia" w:hAnsi="Cambria Math"/>
                            <w:color w:val="FFFFFF" w:themeColor="background1"/>
                            <w:lang w:val="en-US"/>
                          </w:rPr>
                          <m:t>P</m:t>
                        </m:r>
                      </m:e>
                    </m:acc>
                  </m:e>
                  <m:sub>
                    <m:r>
                      <m:rPr>
                        <m:sty m:val="bi"/>
                      </m:rPr>
                      <w:rPr>
                        <w:rFonts w:ascii="Cambria Math" w:eastAsiaTheme="minorEastAsia" w:hAnsi="Cambria Math"/>
                        <w:color w:val="FFFFFF" w:themeColor="background1"/>
                        <w:lang w:val="en-US"/>
                      </w:rPr>
                      <m:t>t</m:t>
                    </m:r>
                  </m:sub>
                  <m:sup>
                    <m:r>
                      <m:rPr>
                        <m:sty m:val="bi"/>
                      </m:rPr>
                      <w:rPr>
                        <w:rFonts w:ascii="Cambria Math" w:eastAsiaTheme="minorEastAsia" w:hAnsi="Cambria Math"/>
                        <w:color w:val="FFFFFF" w:themeColor="background1"/>
                        <w:lang w:val="en-US"/>
                      </w:rPr>
                      <m:t>e</m:t>
                    </m:r>
                  </m:sup>
                </m:sSubSup>
              </m:oMath>
            </m:oMathPara>
          </w:p>
        </w:tc>
        <w:tc>
          <w:tcPr>
            <w:cnfStyle w:val="000010000000"/>
            <w:tcW w:w="0" w:type="auto"/>
            <w:tcBorders>
              <w:top w:val="single" w:sz="4" w:space="0" w:color="548DD4" w:themeColor="text2" w:themeTint="99"/>
              <w:left w:val="single" w:sz="4" w:space="0" w:color="548DD4" w:themeColor="text2" w:themeTint="99"/>
              <w:bottom w:val="nil"/>
              <w:right w:val="nil"/>
            </w:tcBorders>
            <w:vAlign w:val="center"/>
          </w:tcPr>
          <w:p w:rsidR="00735207" w:rsidRPr="000A4212" w:rsidRDefault="00735207" w:rsidP="00735207">
            <w:pPr>
              <w:jc w:val="center"/>
            </w:pPr>
            <w:r w:rsidRPr="000A4212">
              <w:t>-1.058164</w:t>
            </w:r>
          </w:p>
        </w:tc>
        <w:tc>
          <w:tcPr>
            <w:tcW w:w="0" w:type="auto"/>
            <w:tcBorders>
              <w:top w:val="single" w:sz="4" w:space="0" w:color="548DD4" w:themeColor="text2" w:themeTint="99"/>
              <w:left w:val="nil"/>
              <w:bottom w:val="nil"/>
              <w:right w:val="nil"/>
            </w:tcBorders>
            <w:vAlign w:val="center"/>
          </w:tcPr>
          <w:p w:rsidR="00735207" w:rsidRPr="000A4212" w:rsidRDefault="00735207" w:rsidP="00735207">
            <w:pPr>
              <w:jc w:val="center"/>
              <w:cnfStyle w:val="000000000000"/>
            </w:pPr>
            <w:r w:rsidRPr="000A4212">
              <w:t>0.025684</w:t>
            </w:r>
          </w:p>
        </w:tc>
        <w:tc>
          <w:tcPr>
            <w:cnfStyle w:val="000010000000"/>
            <w:tcW w:w="0" w:type="auto"/>
            <w:tcBorders>
              <w:top w:val="single" w:sz="4" w:space="0" w:color="548DD4" w:themeColor="text2" w:themeTint="99"/>
              <w:left w:val="nil"/>
              <w:bottom w:val="nil"/>
              <w:right w:val="nil"/>
            </w:tcBorders>
            <w:vAlign w:val="center"/>
          </w:tcPr>
          <w:p w:rsidR="00735207" w:rsidRPr="000A4212" w:rsidRDefault="00735207" w:rsidP="00735207">
            <w:pPr>
              <w:jc w:val="center"/>
            </w:pPr>
            <w:r w:rsidRPr="000A4212">
              <w:t>-41.19945</w:t>
            </w:r>
          </w:p>
        </w:tc>
        <w:tc>
          <w:tcPr>
            <w:tcW w:w="0" w:type="auto"/>
            <w:tcBorders>
              <w:top w:val="single" w:sz="4" w:space="0" w:color="548DD4" w:themeColor="text2" w:themeTint="99"/>
              <w:left w:val="nil"/>
              <w:bottom w:val="nil"/>
              <w:right w:val="single" w:sz="4" w:space="0" w:color="548DD4" w:themeColor="text2" w:themeTint="99"/>
            </w:tcBorders>
            <w:vAlign w:val="center"/>
          </w:tcPr>
          <w:p w:rsidR="00735207" w:rsidRDefault="00735207" w:rsidP="00735207">
            <w:pPr>
              <w:jc w:val="center"/>
              <w:cnfStyle w:val="000000000000"/>
            </w:pPr>
            <w:r w:rsidRPr="000A4212">
              <w:t>0.0000</w:t>
            </w:r>
          </w:p>
        </w:tc>
      </w:tr>
      <w:tr w:rsidR="00735207" w:rsidRPr="009A1768" w:rsidTr="00735207">
        <w:trPr>
          <w:cnfStyle w:val="000000100000"/>
          <w:trHeight w:val="225"/>
        </w:trPr>
        <w:tc>
          <w:tcPr>
            <w:cnfStyle w:val="001000000000"/>
            <w:tcW w:w="0" w:type="auto"/>
            <w:tcBorders>
              <w:top w:val="single" w:sz="4" w:space="0" w:color="FFFFFF" w:themeColor="background1"/>
              <w:right w:val="single" w:sz="4" w:space="0" w:color="548DD4" w:themeColor="text2" w:themeTint="99"/>
            </w:tcBorders>
            <w:shd w:val="clear" w:color="auto" w:fill="4F81BD" w:themeFill="accent1"/>
          </w:tcPr>
          <w:p w:rsidR="00735207" w:rsidRPr="009A1768" w:rsidRDefault="00735207" w:rsidP="00735207">
            <w:pPr>
              <w:autoSpaceDE w:val="0"/>
              <w:autoSpaceDN w:val="0"/>
              <w:adjustRightInd w:val="0"/>
              <w:rPr>
                <w:rFonts w:cs="Arial"/>
                <w:color w:val="FFFFFF" w:themeColor="background1"/>
              </w:rPr>
            </w:pPr>
            <w:r w:rsidRPr="009A1768">
              <w:rPr>
                <w:rFonts w:cs="Arial"/>
                <w:color w:val="FFFFFF" w:themeColor="background1"/>
              </w:rPr>
              <w:t>Adjusted R-squared</w:t>
            </w:r>
          </w:p>
        </w:tc>
        <w:tc>
          <w:tcPr>
            <w:cnfStyle w:val="000010000000"/>
            <w:tcW w:w="0" w:type="auto"/>
            <w:tcBorders>
              <w:top w:val="single" w:sz="4" w:space="0" w:color="548DD4" w:themeColor="text2" w:themeTint="99"/>
              <w:left w:val="single" w:sz="4" w:space="0" w:color="548DD4" w:themeColor="text2" w:themeTint="99"/>
              <w:bottom w:val="nil"/>
              <w:right w:val="single" w:sz="4" w:space="0" w:color="548DD4" w:themeColor="text2" w:themeTint="99"/>
            </w:tcBorders>
          </w:tcPr>
          <w:p w:rsidR="00735207" w:rsidRPr="009A1768" w:rsidRDefault="00735207" w:rsidP="00735207">
            <w:pPr>
              <w:autoSpaceDE w:val="0"/>
              <w:autoSpaceDN w:val="0"/>
              <w:adjustRightInd w:val="0"/>
              <w:ind w:right="10"/>
              <w:jc w:val="right"/>
              <w:rPr>
                <w:rFonts w:cs="Arial"/>
                <w:color w:val="000000"/>
              </w:rPr>
            </w:pPr>
            <w:r w:rsidRPr="00E34E36">
              <w:rPr>
                <w:rFonts w:cs="Arial"/>
                <w:color w:val="000000"/>
              </w:rPr>
              <w:t>0.974701</w:t>
            </w:r>
          </w:p>
        </w:tc>
        <w:tc>
          <w:tcPr>
            <w:tcW w:w="0" w:type="auto"/>
            <w:gridSpan w:val="2"/>
            <w:tcBorders>
              <w:top w:val="single" w:sz="4" w:space="0" w:color="548DD4" w:themeColor="text2" w:themeTint="99"/>
              <w:left w:val="single" w:sz="4" w:space="0" w:color="548DD4" w:themeColor="text2" w:themeTint="99"/>
              <w:right w:val="single" w:sz="4" w:space="0" w:color="548DD4" w:themeColor="text2" w:themeTint="99"/>
            </w:tcBorders>
            <w:shd w:val="clear" w:color="auto" w:fill="4F81BD" w:themeFill="accent1"/>
          </w:tcPr>
          <w:p w:rsidR="00735207" w:rsidRPr="009A1768" w:rsidRDefault="00735207" w:rsidP="00735207">
            <w:pPr>
              <w:autoSpaceDE w:val="0"/>
              <w:autoSpaceDN w:val="0"/>
              <w:adjustRightInd w:val="0"/>
              <w:ind w:right="10"/>
              <w:cnfStyle w:val="000000100000"/>
              <w:rPr>
                <w:rFonts w:cs="Arial"/>
                <w:b/>
                <w:color w:val="FFFFFF" w:themeColor="background1"/>
              </w:rPr>
            </w:pPr>
            <w:r w:rsidRPr="009A1768">
              <w:rPr>
                <w:rFonts w:cs="Arial"/>
                <w:b/>
                <w:color w:val="FFFFFF" w:themeColor="background1"/>
              </w:rPr>
              <w:t>    Akaike info criterion</w:t>
            </w:r>
          </w:p>
        </w:tc>
        <w:tc>
          <w:tcPr>
            <w:cnfStyle w:val="000010000000"/>
            <w:tcW w:w="0" w:type="auto"/>
            <w:tcBorders>
              <w:top w:val="single" w:sz="4" w:space="0" w:color="548DD4" w:themeColor="text2" w:themeTint="99"/>
              <w:left w:val="single" w:sz="4" w:space="0" w:color="548DD4" w:themeColor="text2" w:themeTint="99"/>
              <w:bottom w:val="nil"/>
              <w:right w:val="single" w:sz="4" w:space="0" w:color="548DD4" w:themeColor="text2" w:themeTint="99"/>
            </w:tcBorders>
          </w:tcPr>
          <w:p w:rsidR="00735207" w:rsidRPr="009A1768" w:rsidRDefault="00735207" w:rsidP="00735207">
            <w:pPr>
              <w:autoSpaceDE w:val="0"/>
              <w:autoSpaceDN w:val="0"/>
              <w:adjustRightInd w:val="0"/>
              <w:ind w:right="10"/>
              <w:jc w:val="right"/>
              <w:rPr>
                <w:rFonts w:cs="Arial"/>
                <w:color w:val="000000"/>
              </w:rPr>
            </w:pPr>
            <w:r w:rsidRPr="00E34E36">
              <w:rPr>
                <w:rFonts w:cs="Arial"/>
                <w:color w:val="000000"/>
              </w:rPr>
              <w:t>-4.409770</w:t>
            </w:r>
          </w:p>
        </w:tc>
      </w:tr>
      <w:tr w:rsidR="00735207" w:rsidRPr="009A1768" w:rsidTr="00735207">
        <w:trPr>
          <w:trHeight w:val="225"/>
        </w:trPr>
        <w:tc>
          <w:tcPr>
            <w:cnfStyle w:val="001000000000"/>
            <w:tcW w:w="0" w:type="auto"/>
            <w:tcBorders>
              <w:right w:val="single" w:sz="4" w:space="0" w:color="548DD4" w:themeColor="text2" w:themeTint="99"/>
            </w:tcBorders>
            <w:shd w:val="clear" w:color="auto" w:fill="4F81BD" w:themeFill="accent1"/>
          </w:tcPr>
          <w:p w:rsidR="00735207" w:rsidRPr="009A1768" w:rsidRDefault="00735207" w:rsidP="00735207">
            <w:pPr>
              <w:autoSpaceDE w:val="0"/>
              <w:autoSpaceDN w:val="0"/>
              <w:adjustRightInd w:val="0"/>
              <w:rPr>
                <w:rFonts w:cs="Arial"/>
                <w:color w:val="FFFFFF" w:themeColor="background1"/>
              </w:rPr>
            </w:pPr>
            <w:r w:rsidRPr="009A1768">
              <w:rPr>
                <w:rFonts w:cs="Arial"/>
                <w:color w:val="FFFFFF" w:themeColor="background1"/>
              </w:rPr>
              <w:t>S.E. of regression</w:t>
            </w:r>
          </w:p>
        </w:tc>
        <w:tc>
          <w:tcPr>
            <w:cnfStyle w:val="000010000000"/>
            <w:tcW w:w="0" w:type="auto"/>
            <w:tcBorders>
              <w:top w:val="nil"/>
              <w:left w:val="single" w:sz="4" w:space="0" w:color="548DD4" w:themeColor="text2" w:themeTint="99"/>
              <w:bottom w:val="single" w:sz="4" w:space="0" w:color="548DD4" w:themeColor="text2" w:themeTint="99"/>
              <w:right w:val="single" w:sz="4" w:space="0" w:color="548DD4" w:themeColor="text2" w:themeTint="99"/>
            </w:tcBorders>
          </w:tcPr>
          <w:p w:rsidR="00735207" w:rsidRPr="009A1768" w:rsidRDefault="00735207" w:rsidP="00735207">
            <w:pPr>
              <w:autoSpaceDE w:val="0"/>
              <w:autoSpaceDN w:val="0"/>
              <w:adjustRightInd w:val="0"/>
              <w:ind w:right="10"/>
              <w:jc w:val="right"/>
              <w:rPr>
                <w:rFonts w:cs="Arial"/>
                <w:color w:val="000000"/>
              </w:rPr>
            </w:pPr>
            <w:r w:rsidRPr="00E34E36">
              <w:rPr>
                <w:rFonts w:cs="Arial"/>
                <w:color w:val="000000"/>
              </w:rPr>
              <w:t>0.026612</w:t>
            </w:r>
          </w:p>
        </w:tc>
        <w:tc>
          <w:tcPr>
            <w:tcW w:w="0" w:type="auto"/>
            <w:gridSpan w:val="2"/>
            <w:tcBorders>
              <w:left w:val="single" w:sz="4" w:space="0" w:color="548DD4" w:themeColor="text2" w:themeTint="99"/>
              <w:right w:val="single" w:sz="4" w:space="0" w:color="548DD4" w:themeColor="text2" w:themeTint="99"/>
            </w:tcBorders>
            <w:shd w:val="clear" w:color="auto" w:fill="4F81BD" w:themeFill="accent1"/>
          </w:tcPr>
          <w:p w:rsidR="00735207" w:rsidRPr="009A1768" w:rsidRDefault="00735207" w:rsidP="00735207">
            <w:pPr>
              <w:autoSpaceDE w:val="0"/>
              <w:autoSpaceDN w:val="0"/>
              <w:adjustRightInd w:val="0"/>
              <w:ind w:right="10"/>
              <w:cnfStyle w:val="000000000000"/>
              <w:rPr>
                <w:rFonts w:cs="Arial"/>
                <w:b/>
                <w:color w:val="FFFFFF" w:themeColor="background1"/>
              </w:rPr>
            </w:pPr>
            <w:r w:rsidRPr="009A1768">
              <w:rPr>
                <w:rFonts w:cs="Arial"/>
                <w:b/>
                <w:color w:val="FFFFFF" w:themeColor="background1"/>
              </w:rPr>
              <w:t>    Durbin-Watson stat</w:t>
            </w:r>
          </w:p>
        </w:tc>
        <w:tc>
          <w:tcPr>
            <w:cnfStyle w:val="000010000000"/>
            <w:tcW w:w="0" w:type="auto"/>
            <w:tcBorders>
              <w:top w:val="nil"/>
              <w:left w:val="single" w:sz="4" w:space="0" w:color="548DD4" w:themeColor="text2" w:themeTint="99"/>
              <w:bottom w:val="single" w:sz="4" w:space="0" w:color="548DD4" w:themeColor="text2" w:themeTint="99"/>
              <w:right w:val="single" w:sz="4" w:space="0" w:color="548DD4" w:themeColor="text2" w:themeTint="99"/>
            </w:tcBorders>
          </w:tcPr>
          <w:p w:rsidR="00735207" w:rsidRPr="009A1768" w:rsidRDefault="00735207" w:rsidP="00735207">
            <w:pPr>
              <w:keepNext/>
              <w:autoSpaceDE w:val="0"/>
              <w:autoSpaceDN w:val="0"/>
              <w:adjustRightInd w:val="0"/>
              <w:ind w:right="10"/>
              <w:jc w:val="right"/>
              <w:rPr>
                <w:rFonts w:cs="Arial"/>
                <w:color w:val="000000"/>
              </w:rPr>
            </w:pPr>
            <w:r w:rsidRPr="00E34E36">
              <w:rPr>
                <w:rFonts w:cs="Arial"/>
                <w:color w:val="000000"/>
              </w:rPr>
              <w:t>1.400446</w:t>
            </w:r>
          </w:p>
        </w:tc>
      </w:tr>
    </w:tbl>
    <w:p w:rsidR="00CE2BA2" w:rsidRDefault="00CE2BA2" w:rsidP="0041240A">
      <w:pPr>
        <w:spacing w:line="360" w:lineRule="auto"/>
        <w:jc w:val="right"/>
        <w:rPr>
          <w:rFonts w:eastAsiaTheme="minorEastAsia"/>
          <w:lang w:val="en-US"/>
        </w:rPr>
      </w:pPr>
    </w:p>
    <w:p w:rsidR="00735207" w:rsidRDefault="00E34E36" w:rsidP="00CE2BA2">
      <w:pPr>
        <w:spacing w:line="360" w:lineRule="auto"/>
        <w:jc w:val="both"/>
        <w:rPr>
          <w:rFonts w:eastAsiaTheme="minorEastAsia"/>
          <w:lang w:val="en-US"/>
        </w:rPr>
      </w:pPr>
      <w:r>
        <w:rPr>
          <w:rFonts w:eastAsiaTheme="minorEastAsia"/>
          <w:lang w:val="en-US"/>
        </w:rPr>
        <w:br/>
      </w:r>
    </w:p>
    <w:p w:rsidR="00735207" w:rsidRDefault="00735207" w:rsidP="00CE2BA2">
      <w:pPr>
        <w:spacing w:line="360" w:lineRule="auto"/>
        <w:jc w:val="both"/>
        <w:rPr>
          <w:rFonts w:eastAsiaTheme="minorEastAsia"/>
          <w:lang w:val="en-US"/>
        </w:rPr>
      </w:pPr>
    </w:p>
    <w:p w:rsidR="00735207" w:rsidRPr="00735207" w:rsidRDefault="00735207" w:rsidP="00735207">
      <w:pPr>
        <w:pStyle w:val="Caption"/>
        <w:framePr w:h="338" w:hRule="exact" w:hSpace="141" w:wrap="around" w:vAnchor="text" w:hAnchor="page" w:x="4042" w:y="3"/>
        <w:rPr>
          <w:lang w:val="en-US"/>
        </w:rPr>
      </w:pPr>
      <w:r w:rsidRPr="00735207">
        <w:rPr>
          <w:lang w:val="en-US"/>
        </w:rPr>
        <w:t xml:space="preserve">Table </w:t>
      </w:r>
      <w:r w:rsidR="00DB780A">
        <w:fldChar w:fldCharType="begin"/>
      </w:r>
      <w:r w:rsidRPr="00735207">
        <w:rPr>
          <w:lang w:val="en-US"/>
        </w:rPr>
        <w:instrText xml:space="preserve"> SEQ Table \* ARABIC </w:instrText>
      </w:r>
      <w:r w:rsidR="00DB780A">
        <w:fldChar w:fldCharType="separate"/>
      </w:r>
      <w:r w:rsidR="004454F3">
        <w:rPr>
          <w:noProof/>
          <w:lang w:val="en-US"/>
        </w:rPr>
        <w:t>12</w:t>
      </w:r>
      <w:r w:rsidR="00DB780A">
        <w:fldChar w:fldCharType="end"/>
      </w:r>
      <w:r w:rsidRPr="00735207">
        <w:rPr>
          <w:lang w:val="en-US"/>
        </w:rPr>
        <w:t xml:space="preserve"> | OLS estimation results of equation </w:t>
      </w:r>
      <w:r>
        <w:rPr>
          <w:lang w:val="en-US"/>
        </w:rPr>
        <w:t>2.9</w:t>
      </w:r>
    </w:p>
    <w:p w:rsidR="00735207" w:rsidRDefault="00735207" w:rsidP="00CE2BA2">
      <w:pPr>
        <w:spacing w:line="360" w:lineRule="auto"/>
        <w:jc w:val="both"/>
        <w:rPr>
          <w:rFonts w:eastAsiaTheme="minorEastAsia"/>
          <w:lang w:val="en-US"/>
        </w:rPr>
      </w:pPr>
    </w:p>
    <w:p w:rsidR="00E34E36" w:rsidRDefault="00920F20" w:rsidP="00CE2BA2">
      <w:pPr>
        <w:spacing w:line="360" w:lineRule="auto"/>
        <w:jc w:val="both"/>
        <w:rPr>
          <w:rFonts w:eastAsiaTheme="minorEastAsia"/>
          <w:lang w:val="en-US"/>
        </w:rPr>
      </w:pPr>
      <w:r>
        <w:rPr>
          <w:rFonts w:eastAsiaTheme="minorEastAsia"/>
          <w:lang w:val="en-US"/>
        </w:rPr>
        <w:t xml:space="preserve">Again, an R-squared very close to unity is found. </w:t>
      </w:r>
      <w:r w:rsidR="00C179E8">
        <w:rPr>
          <w:rFonts w:eastAsiaTheme="minorEastAsia"/>
          <w:lang w:val="en-US"/>
        </w:rPr>
        <w:t xml:space="preserve">This makes the suspicion of collinearity all the more credible. </w:t>
      </w:r>
      <w:r>
        <w:rPr>
          <w:rFonts w:eastAsiaTheme="minorEastAsia"/>
          <w:lang w:val="en-US"/>
        </w:rPr>
        <w:t xml:space="preserve">Nearly all exchange rate information is already available in the net expected inflation series. This seems logical, since the exchange rate series is used in the process to construct the Bitcoin expected inflation series, which in turn was used to construct the net expected inflation series. </w:t>
      </w:r>
      <w:r w:rsidR="005051DE">
        <w:rPr>
          <w:rFonts w:eastAsiaTheme="minorEastAsia"/>
          <w:lang w:val="en-US"/>
        </w:rPr>
        <w:t>Omitting the net expected inflation variable from equation 2.7 and estimating using OLS results in the following equation:</w:t>
      </w:r>
    </w:p>
    <w:p w:rsidR="005051DE" w:rsidRDefault="00DB780A" w:rsidP="005051DE">
      <w:pPr>
        <w:spacing w:line="360" w:lineRule="auto"/>
        <w:jc w:val="right"/>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eastAsiaTheme="minorEastAsia"/>
            <w:lang w:val="en-US"/>
          </w:rPr>
          <m:t>=</m:t>
        </m:r>
        <m:r>
          <w:rPr>
            <w:rFonts w:ascii="Cambria Math" w:hAnsi="Cambria Math"/>
            <w:lang w:val="en-US"/>
          </w:rPr>
          <m:t>-0.04-3.52</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m</m:t>
                </m:r>
              </m:e>
            </m:acc>
          </m:e>
          <m:sub>
            <m:r>
              <w:rPr>
                <w:rFonts w:ascii="Cambria Math" w:eastAsiaTheme="minorEastAsia" w:hAnsi="Cambria Math"/>
                <w:lang w:val="en-US"/>
              </w:rPr>
              <m:t>t</m:t>
            </m:r>
          </m:sub>
        </m:sSub>
        <m:r>
          <w:rPr>
            <w:rFonts w:ascii="Cambria Math" w:hAnsi="Cambria Math"/>
            <w:lang w:val="en-US"/>
          </w:rPr>
          <m:t>-359.17</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acc>
          <m:accPr>
            <m:chr m:val="̃"/>
            <m:ctrlPr>
              <w:rPr>
                <w:rFonts w:ascii="Cambria Math" w:eastAsiaTheme="minorEastAsia" w:hAnsi="Cambria Math"/>
                <w:i/>
                <w:lang w:val="en-US"/>
              </w:rPr>
            </m:ctrlPr>
          </m:acc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t</m:t>
                </m:r>
              </m:sub>
            </m:sSub>
          </m:e>
        </m:acc>
        <m:r>
          <w:rPr>
            <w:rFonts w:ascii="Cambria Math" w:eastAsiaTheme="minorEastAsia"/>
            <w:lang w:val="en-US"/>
          </w:rPr>
          <m:t>+</m:t>
        </m:r>
        <m:r>
          <w:rPr>
            <w:rFonts w:ascii="Cambria Math" w:hAnsi="Cambria Math"/>
            <w:lang w:val="en-US"/>
          </w:rPr>
          <m:t>0.90∆</m:t>
        </m:r>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r</m:t>
                </m:r>
              </m:e>
            </m:acc>
          </m:e>
          <m:sub>
            <m:r>
              <w:rPr>
                <w:rFonts w:ascii="Cambria Math" w:eastAsiaTheme="minorEastAsia" w:hAnsi="Cambria Math"/>
                <w:lang w:val="en-US"/>
              </w:rPr>
              <m:t>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t</m:t>
            </m:r>
          </m:sub>
        </m:sSub>
      </m:oMath>
      <w:r w:rsidR="006D50B6">
        <w:rPr>
          <w:rFonts w:eastAsiaTheme="minorEastAsia"/>
          <w:lang w:val="en-US"/>
        </w:rPr>
        <w:tab/>
      </w:r>
      <w:r w:rsidR="006D50B6">
        <w:rPr>
          <w:rFonts w:eastAsiaTheme="minorEastAsia"/>
          <w:lang w:val="en-US"/>
        </w:rPr>
        <w:tab/>
        <w:t xml:space="preserve">           </w:t>
      </w:r>
      <w:r w:rsidR="005051DE">
        <w:rPr>
          <w:rFonts w:eastAsiaTheme="minorEastAsia"/>
          <w:lang w:val="en-US"/>
        </w:rPr>
        <w:t xml:space="preserve">    (2.10)</w:t>
      </w:r>
    </w:p>
    <w:tbl>
      <w:tblPr>
        <w:tblStyle w:val="LightList-Accent11"/>
        <w:tblW w:w="0" w:type="auto"/>
        <w:jc w:val="center"/>
        <w:tblLook w:val="00A0"/>
      </w:tblPr>
      <w:tblGrid>
        <w:gridCol w:w="2015"/>
        <w:gridCol w:w="1216"/>
        <w:gridCol w:w="1128"/>
        <w:gridCol w:w="1155"/>
        <w:gridCol w:w="1130"/>
      </w:tblGrid>
      <w:tr w:rsidR="006D50B6" w:rsidRPr="009A1768" w:rsidTr="006D50B6">
        <w:trPr>
          <w:cnfStyle w:val="100000000000"/>
          <w:trHeight w:val="324"/>
          <w:jc w:val="center"/>
        </w:trPr>
        <w:tc>
          <w:tcPr>
            <w:cnfStyle w:val="001000000000"/>
            <w:tcW w:w="0" w:type="auto"/>
            <w:gridSpan w:val="5"/>
            <w:tcBorders>
              <w:top w:val="single" w:sz="8" w:space="0" w:color="4F81BD" w:themeColor="accent1"/>
              <w:bottom w:val="single" w:sz="4" w:space="0" w:color="FFFFFF" w:themeColor="background1"/>
            </w:tcBorders>
          </w:tcPr>
          <w:p w:rsidR="006D50B6" w:rsidRPr="009A1768" w:rsidRDefault="006D50B6" w:rsidP="006D50B6">
            <w:pPr>
              <w:autoSpaceDE w:val="0"/>
              <w:autoSpaceDN w:val="0"/>
              <w:adjustRightInd w:val="0"/>
              <w:rPr>
                <w:rFonts w:cs="Arial"/>
                <w:lang w:val="en-US"/>
              </w:rPr>
            </w:pPr>
            <w:r w:rsidRPr="009A1768">
              <w:rPr>
                <w:rFonts w:cs="Arial"/>
                <w:lang w:val="en-US"/>
              </w:rPr>
              <w:t xml:space="preserve">Dependent Variable: </w:t>
            </w:r>
            <w:r>
              <w:rPr>
                <w:rFonts w:ascii="Cambria Math" w:hAnsi="Cambria Math"/>
                <w:i/>
                <w:lang w:val="en-US"/>
              </w:rPr>
              <w:t>∆s</w:t>
            </w:r>
            <w:r>
              <w:rPr>
                <w:rFonts w:ascii="Cambria Math" w:hAnsi="Cambria Math"/>
                <w:i/>
                <w:vertAlign w:val="subscript"/>
                <w:lang w:val="en-US"/>
              </w:rPr>
              <w:t>t</w:t>
            </w:r>
            <w:r>
              <w:rPr>
                <w:rFonts w:ascii="Cambria Math" w:hAnsi="Cambria Math"/>
                <w:lang w:val="en-US"/>
              </w:rPr>
              <w:t xml:space="preserve">  </w:t>
            </w:r>
          </w:p>
        </w:tc>
      </w:tr>
      <w:tr w:rsidR="006D50B6" w:rsidRPr="00CC60EF" w:rsidTr="006D50B6">
        <w:trPr>
          <w:cnfStyle w:val="000000100000"/>
          <w:trHeight w:val="225"/>
          <w:jc w:val="center"/>
        </w:trPr>
        <w:tc>
          <w:tcPr>
            <w:cnfStyle w:val="001000000000"/>
            <w:tcW w:w="0" w:type="auto"/>
            <w:tcBorders>
              <w:top w:val="single" w:sz="4" w:space="0" w:color="FFFFFF" w:themeColor="background1"/>
              <w:bottom w:val="single" w:sz="4" w:space="0" w:color="FFFFFF" w:themeColor="background1"/>
            </w:tcBorders>
            <w:shd w:val="clear" w:color="auto" w:fill="4F81BD" w:themeFill="accent1"/>
          </w:tcPr>
          <w:p w:rsidR="006D50B6" w:rsidRPr="00CC60EF" w:rsidRDefault="006D50B6" w:rsidP="006D50B6">
            <w:pPr>
              <w:autoSpaceDE w:val="0"/>
              <w:autoSpaceDN w:val="0"/>
              <w:adjustRightInd w:val="0"/>
              <w:jc w:val="center"/>
              <w:rPr>
                <w:rFonts w:cs="Arial"/>
                <w:color w:val="FFFFFF" w:themeColor="background1"/>
                <w:lang w:val="en-US"/>
              </w:rPr>
            </w:pPr>
            <w:r w:rsidRPr="00CC60EF">
              <w:rPr>
                <w:rFonts w:cs="Arial"/>
                <w:color w:val="FFFFFF" w:themeColor="background1"/>
                <w:lang w:val="en-US"/>
              </w:rPr>
              <w:t>Variable</w:t>
            </w:r>
          </w:p>
        </w:tc>
        <w:tc>
          <w:tcPr>
            <w:cnfStyle w:val="000010000000"/>
            <w:tcW w:w="0" w:type="auto"/>
            <w:tcBorders>
              <w:top w:val="single" w:sz="4" w:space="0" w:color="FFFFFF" w:themeColor="background1"/>
              <w:bottom w:val="single" w:sz="4" w:space="0" w:color="548DD4" w:themeColor="text2" w:themeTint="99"/>
            </w:tcBorders>
            <w:shd w:val="clear" w:color="auto" w:fill="4F81BD" w:themeFill="accent1"/>
          </w:tcPr>
          <w:p w:rsidR="006D50B6" w:rsidRPr="00CC60EF" w:rsidRDefault="006D50B6" w:rsidP="006D50B6">
            <w:pPr>
              <w:autoSpaceDE w:val="0"/>
              <w:autoSpaceDN w:val="0"/>
              <w:adjustRightInd w:val="0"/>
              <w:ind w:right="10"/>
              <w:jc w:val="right"/>
              <w:rPr>
                <w:rFonts w:cs="Arial"/>
                <w:b/>
                <w:color w:val="FFFFFF" w:themeColor="background1"/>
                <w:lang w:val="en-US"/>
              </w:rPr>
            </w:pPr>
            <w:r w:rsidRPr="00CC60EF">
              <w:rPr>
                <w:rFonts w:cs="Arial"/>
                <w:b/>
                <w:color w:val="FFFFFF" w:themeColor="background1"/>
                <w:lang w:val="en-US"/>
              </w:rPr>
              <w:t>Coefficient</w:t>
            </w:r>
          </w:p>
        </w:tc>
        <w:tc>
          <w:tcPr>
            <w:tcW w:w="0" w:type="auto"/>
            <w:tcBorders>
              <w:top w:val="single" w:sz="4" w:space="0" w:color="FFFFFF" w:themeColor="background1"/>
              <w:bottom w:val="single" w:sz="4" w:space="0" w:color="548DD4" w:themeColor="text2" w:themeTint="99"/>
            </w:tcBorders>
            <w:shd w:val="clear" w:color="auto" w:fill="4F81BD" w:themeFill="accent1"/>
          </w:tcPr>
          <w:p w:rsidR="006D50B6" w:rsidRPr="00CC60EF" w:rsidRDefault="006D50B6" w:rsidP="006D50B6">
            <w:pPr>
              <w:autoSpaceDE w:val="0"/>
              <w:autoSpaceDN w:val="0"/>
              <w:adjustRightInd w:val="0"/>
              <w:ind w:right="10"/>
              <w:jc w:val="right"/>
              <w:cnfStyle w:val="000000100000"/>
              <w:rPr>
                <w:rFonts w:cs="Arial"/>
                <w:b/>
                <w:color w:val="FFFFFF" w:themeColor="background1"/>
                <w:lang w:val="en-US"/>
              </w:rPr>
            </w:pPr>
            <w:r w:rsidRPr="00CC60EF">
              <w:rPr>
                <w:rFonts w:cs="Arial"/>
                <w:b/>
                <w:color w:val="FFFFFF" w:themeColor="background1"/>
                <w:lang w:val="en-US"/>
              </w:rPr>
              <w:t>Std. Error</w:t>
            </w:r>
          </w:p>
        </w:tc>
        <w:tc>
          <w:tcPr>
            <w:cnfStyle w:val="000010000000"/>
            <w:tcW w:w="0" w:type="auto"/>
            <w:tcBorders>
              <w:top w:val="single" w:sz="4" w:space="0" w:color="FFFFFF" w:themeColor="background1"/>
              <w:bottom w:val="single" w:sz="4" w:space="0" w:color="548DD4" w:themeColor="text2" w:themeTint="99"/>
            </w:tcBorders>
            <w:shd w:val="clear" w:color="auto" w:fill="4F81BD" w:themeFill="accent1"/>
          </w:tcPr>
          <w:p w:rsidR="006D50B6" w:rsidRPr="00CC60EF" w:rsidRDefault="006D50B6" w:rsidP="006D50B6">
            <w:pPr>
              <w:autoSpaceDE w:val="0"/>
              <w:autoSpaceDN w:val="0"/>
              <w:adjustRightInd w:val="0"/>
              <w:ind w:right="10"/>
              <w:jc w:val="right"/>
              <w:rPr>
                <w:rFonts w:cs="Arial"/>
                <w:b/>
                <w:color w:val="FFFFFF" w:themeColor="background1"/>
                <w:lang w:val="en-US"/>
              </w:rPr>
            </w:pPr>
            <w:r w:rsidRPr="00CC60EF">
              <w:rPr>
                <w:rFonts w:cs="Arial"/>
                <w:b/>
                <w:color w:val="FFFFFF" w:themeColor="background1"/>
                <w:lang w:val="en-US"/>
              </w:rPr>
              <w:t>t-Statistic</w:t>
            </w:r>
          </w:p>
        </w:tc>
        <w:tc>
          <w:tcPr>
            <w:tcW w:w="0" w:type="auto"/>
            <w:tcBorders>
              <w:top w:val="single" w:sz="4" w:space="0" w:color="FFFFFF" w:themeColor="background1"/>
              <w:bottom w:val="single" w:sz="4" w:space="0" w:color="548DD4" w:themeColor="text2" w:themeTint="99"/>
            </w:tcBorders>
            <w:shd w:val="clear" w:color="auto" w:fill="4F81BD" w:themeFill="accent1"/>
          </w:tcPr>
          <w:p w:rsidR="006D50B6" w:rsidRPr="00CC60EF" w:rsidRDefault="006D50B6" w:rsidP="006D50B6">
            <w:pPr>
              <w:autoSpaceDE w:val="0"/>
              <w:autoSpaceDN w:val="0"/>
              <w:adjustRightInd w:val="0"/>
              <w:ind w:right="10"/>
              <w:jc w:val="right"/>
              <w:cnfStyle w:val="000000100000"/>
              <w:rPr>
                <w:rFonts w:cs="Arial"/>
                <w:b/>
                <w:color w:val="FFFFFF" w:themeColor="background1"/>
                <w:lang w:val="en-US"/>
              </w:rPr>
            </w:pPr>
            <w:r w:rsidRPr="00CC60EF">
              <w:rPr>
                <w:rFonts w:cs="Arial"/>
                <w:b/>
                <w:color w:val="FFFFFF" w:themeColor="background1"/>
                <w:lang w:val="en-US"/>
              </w:rPr>
              <w:t>Prob.  </w:t>
            </w:r>
          </w:p>
        </w:tc>
      </w:tr>
      <w:tr w:rsidR="006D50B6" w:rsidRPr="00CC60EF" w:rsidTr="006D50B6">
        <w:trPr>
          <w:trHeight w:val="225"/>
          <w:jc w:val="center"/>
        </w:trPr>
        <w:tc>
          <w:tcPr>
            <w:cnfStyle w:val="001000000000"/>
            <w:tcW w:w="0" w:type="auto"/>
            <w:tcBorders>
              <w:top w:val="single" w:sz="4" w:space="0" w:color="FFFFFF" w:themeColor="background1"/>
              <w:bottom w:val="single" w:sz="8" w:space="0" w:color="4F81BD" w:themeColor="accent1"/>
              <w:right w:val="single" w:sz="4" w:space="0" w:color="548DD4" w:themeColor="text2" w:themeTint="99"/>
            </w:tcBorders>
            <w:shd w:val="clear" w:color="auto" w:fill="4F81BD" w:themeFill="accent1"/>
          </w:tcPr>
          <w:p w:rsidR="006D50B6" w:rsidRPr="00111AB3" w:rsidRDefault="00FC3C21" w:rsidP="006D50B6">
            <w:pPr>
              <w:autoSpaceDE w:val="0"/>
              <w:autoSpaceDN w:val="0"/>
              <w:adjustRightInd w:val="0"/>
              <w:jc w:val="center"/>
              <w:rPr>
                <w:rFonts w:ascii="Cambria Math" w:hAnsi="Cambria Math" w:cs="Arial"/>
                <w:i/>
                <w:color w:val="FFFFFF" w:themeColor="background1"/>
                <w:vertAlign w:val="subscript"/>
                <w:lang w:val="en-US"/>
              </w:rPr>
            </w:pPr>
            <w:r>
              <w:rPr>
                <w:rFonts w:ascii="Cambria Math" w:hAnsi="Cambria Math" w:cs="Arial"/>
                <w:i/>
                <w:color w:val="FFFFFF" w:themeColor="background1"/>
                <w:lang w:val="en-US"/>
              </w:rPr>
              <w:t>constant</w:t>
            </w:r>
          </w:p>
        </w:tc>
        <w:tc>
          <w:tcPr>
            <w:cnfStyle w:val="000010000000"/>
            <w:tcW w:w="0" w:type="auto"/>
            <w:tcBorders>
              <w:top w:val="single" w:sz="4" w:space="0" w:color="548DD4" w:themeColor="text2" w:themeTint="99"/>
              <w:left w:val="single" w:sz="4" w:space="0" w:color="548DD4" w:themeColor="text2" w:themeTint="99"/>
              <w:bottom w:val="nil"/>
              <w:right w:val="nil"/>
            </w:tcBorders>
            <w:vAlign w:val="center"/>
          </w:tcPr>
          <w:p w:rsidR="006D50B6" w:rsidRPr="00371C64" w:rsidRDefault="006D50B6" w:rsidP="006D50B6">
            <w:pPr>
              <w:jc w:val="center"/>
            </w:pPr>
            <w:r w:rsidRPr="00371C64">
              <w:t>-0.035540</w:t>
            </w:r>
          </w:p>
        </w:tc>
        <w:tc>
          <w:tcPr>
            <w:tcW w:w="0" w:type="auto"/>
            <w:tcBorders>
              <w:top w:val="single" w:sz="4" w:space="0" w:color="548DD4" w:themeColor="text2" w:themeTint="99"/>
              <w:left w:val="nil"/>
              <w:bottom w:val="nil"/>
              <w:right w:val="nil"/>
            </w:tcBorders>
            <w:vAlign w:val="center"/>
          </w:tcPr>
          <w:p w:rsidR="006D50B6" w:rsidRPr="00371C64" w:rsidRDefault="006D50B6" w:rsidP="006D50B6">
            <w:pPr>
              <w:jc w:val="center"/>
              <w:cnfStyle w:val="000000000000"/>
            </w:pPr>
            <w:r w:rsidRPr="00371C64">
              <w:t>0.019150</w:t>
            </w:r>
          </w:p>
        </w:tc>
        <w:tc>
          <w:tcPr>
            <w:cnfStyle w:val="000010000000"/>
            <w:tcW w:w="0" w:type="auto"/>
            <w:tcBorders>
              <w:top w:val="single" w:sz="4" w:space="0" w:color="548DD4" w:themeColor="text2" w:themeTint="99"/>
              <w:left w:val="nil"/>
              <w:bottom w:val="nil"/>
              <w:right w:val="nil"/>
            </w:tcBorders>
            <w:vAlign w:val="center"/>
          </w:tcPr>
          <w:p w:rsidR="006D50B6" w:rsidRPr="00371C64" w:rsidRDefault="006D50B6" w:rsidP="006D50B6">
            <w:pPr>
              <w:jc w:val="center"/>
            </w:pPr>
            <w:r w:rsidRPr="00371C64">
              <w:t>-1.855864</w:t>
            </w:r>
          </w:p>
        </w:tc>
        <w:tc>
          <w:tcPr>
            <w:tcW w:w="0" w:type="auto"/>
            <w:tcBorders>
              <w:top w:val="single" w:sz="4" w:space="0" w:color="548DD4" w:themeColor="text2" w:themeTint="99"/>
              <w:left w:val="nil"/>
              <w:bottom w:val="nil"/>
              <w:right w:val="single" w:sz="4" w:space="0" w:color="548DD4" w:themeColor="text2" w:themeTint="99"/>
            </w:tcBorders>
            <w:vAlign w:val="center"/>
          </w:tcPr>
          <w:p w:rsidR="006D50B6" w:rsidRPr="00371C64" w:rsidRDefault="006D50B6" w:rsidP="006D50B6">
            <w:pPr>
              <w:jc w:val="center"/>
              <w:cnfStyle w:val="000000000000"/>
            </w:pPr>
            <w:r w:rsidRPr="00371C64">
              <w:t>0.0659</w:t>
            </w:r>
          </w:p>
        </w:tc>
      </w:tr>
      <w:tr w:rsidR="00C24D45" w:rsidRPr="009A1768" w:rsidTr="006D50B6">
        <w:trPr>
          <w:cnfStyle w:val="000000100000"/>
          <w:trHeight w:val="225"/>
          <w:jc w:val="center"/>
        </w:trPr>
        <w:tc>
          <w:tcPr>
            <w:cnfStyle w:val="001000000000"/>
            <w:tcW w:w="0" w:type="auto"/>
            <w:tcBorders>
              <w:bottom w:val="nil"/>
              <w:right w:val="single" w:sz="4" w:space="0" w:color="548DD4" w:themeColor="text2" w:themeTint="99"/>
            </w:tcBorders>
            <w:shd w:val="clear" w:color="auto" w:fill="4F81BD" w:themeFill="accent1"/>
          </w:tcPr>
          <w:p w:rsidR="00C24D45" w:rsidRPr="00D17729" w:rsidRDefault="00DB780A" w:rsidP="00172700">
            <w:pPr>
              <w:autoSpaceDE w:val="0"/>
              <w:autoSpaceDN w:val="0"/>
              <w:adjustRightInd w:val="0"/>
              <w:jc w:val="center"/>
              <w:rPr>
                <w:rFonts w:ascii="Cambria Math" w:hAnsi="Cambria Math" w:cs="Arial"/>
                <w:bCs w:val="0"/>
                <w:i/>
                <w:color w:val="FFFFFF" w:themeColor="background1"/>
                <w:lang w:val="en-US"/>
              </w:rPr>
            </w:pPr>
            <m:oMathPara>
              <m:oMath>
                <m:sSup>
                  <m:sSupPr>
                    <m:ctrlPr>
                      <w:rPr>
                        <w:rFonts w:ascii="Cambria Math" w:hAnsi="Cambria Math"/>
                        <w:i/>
                        <w:color w:val="FFFFFF" w:themeColor="background1"/>
                        <w:lang w:val="en-US"/>
                      </w:rPr>
                    </m:ctrlPr>
                  </m:sSupPr>
                  <m:e>
                    <m:r>
                      <m:rPr>
                        <m:sty m:val="bi"/>
                      </m:rPr>
                      <w:rPr>
                        <w:rFonts w:ascii="Cambria Math" w:hAnsi="Cambria Math"/>
                        <w:color w:val="FFFFFF" w:themeColor="background1"/>
                        <w:lang w:val="en-US"/>
                      </w:rPr>
                      <m:t>∆</m:t>
                    </m:r>
                  </m:e>
                  <m:sup>
                    <m:r>
                      <m:rPr>
                        <m:sty m:val="bi"/>
                      </m:rPr>
                      <w:rPr>
                        <w:rFonts w:ascii="Cambria Math" w:hAnsi="Cambria Math"/>
                        <w:color w:val="FFFFFF" w:themeColor="background1"/>
                        <w:lang w:val="en-US"/>
                      </w:rPr>
                      <m:t>2</m:t>
                    </m:r>
                  </m:sup>
                </m:sSup>
                <m:sSub>
                  <m:sSubPr>
                    <m:ctrlPr>
                      <w:rPr>
                        <w:rFonts w:ascii="Cambria Math" w:eastAsiaTheme="minorEastAsia" w:hAnsi="Cambria Math"/>
                        <w:i/>
                        <w:color w:val="FFFFFF" w:themeColor="background1"/>
                        <w:lang w:val="en-US"/>
                      </w:rPr>
                    </m:ctrlPr>
                  </m:sSubPr>
                  <m:e>
                    <m:acc>
                      <m:accPr>
                        <m:chr m:val="̃"/>
                        <m:ctrlPr>
                          <w:rPr>
                            <w:rFonts w:ascii="Cambria Math" w:eastAsiaTheme="minorEastAsia" w:hAnsi="Cambria Math"/>
                            <w:i/>
                            <w:color w:val="FFFFFF" w:themeColor="background1"/>
                            <w:lang w:val="en-US"/>
                          </w:rPr>
                        </m:ctrlPr>
                      </m:accPr>
                      <m:e>
                        <m:r>
                          <m:rPr>
                            <m:sty m:val="bi"/>
                          </m:rPr>
                          <w:rPr>
                            <w:rFonts w:ascii="Cambria Math" w:eastAsiaTheme="minorEastAsia" w:hAnsi="Cambria Math"/>
                            <w:color w:val="FFFFFF" w:themeColor="background1"/>
                            <w:lang w:val="en-US"/>
                          </w:rPr>
                          <m:t>m</m:t>
                        </m:r>
                      </m:e>
                    </m:acc>
                  </m:e>
                  <m:sub>
                    <m:r>
                      <m:rPr>
                        <m:sty m:val="bi"/>
                      </m:rPr>
                      <w:rPr>
                        <w:rFonts w:ascii="Cambria Math" w:eastAsiaTheme="minorEastAsia" w:hAnsi="Cambria Math"/>
                        <w:color w:val="FFFFFF" w:themeColor="background1"/>
                        <w:lang w:val="en-US"/>
                      </w:rPr>
                      <m:t>t</m:t>
                    </m:r>
                  </m:sub>
                </m:sSub>
              </m:oMath>
            </m:oMathPara>
          </w:p>
        </w:tc>
        <w:tc>
          <w:tcPr>
            <w:cnfStyle w:val="000010000000"/>
            <w:tcW w:w="0" w:type="auto"/>
            <w:tcBorders>
              <w:top w:val="nil"/>
              <w:left w:val="single" w:sz="4" w:space="0" w:color="548DD4" w:themeColor="text2" w:themeTint="99"/>
              <w:bottom w:val="nil"/>
              <w:right w:val="nil"/>
            </w:tcBorders>
            <w:vAlign w:val="center"/>
          </w:tcPr>
          <w:p w:rsidR="00C24D45" w:rsidRPr="00371C64" w:rsidRDefault="00C24D45" w:rsidP="006D50B6">
            <w:pPr>
              <w:jc w:val="center"/>
            </w:pPr>
            <w:r w:rsidRPr="00371C64">
              <w:t>-3.522931</w:t>
            </w:r>
          </w:p>
        </w:tc>
        <w:tc>
          <w:tcPr>
            <w:tcW w:w="0" w:type="auto"/>
            <w:tcBorders>
              <w:top w:val="nil"/>
              <w:left w:val="nil"/>
              <w:bottom w:val="nil"/>
              <w:right w:val="nil"/>
            </w:tcBorders>
            <w:vAlign w:val="center"/>
          </w:tcPr>
          <w:p w:rsidR="00C24D45" w:rsidRPr="00371C64" w:rsidRDefault="00C24D45" w:rsidP="006D50B6">
            <w:pPr>
              <w:jc w:val="center"/>
              <w:cnfStyle w:val="000000100000"/>
            </w:pPr>
            <w:r w:rsidRPr="00371C64">
              <w:t>3.541893</w:t>
            </w:r>
          </w:p>
        </w:tc>
        <w:tc>
          <w:tcPr>
            <w:cnfStyle w:val="000010000000"/>
            <w:tcW w:w="0" w:type="auto"/>
            <w:tcBorders>
              <w:top w:val="nil"/>
              <w:left w:val="nil"/>
              <w:bottom w:val="nil"/>
              <w:right w:val="nil"/>
            </w:tcBorders>
            <w:vAlign w:val="center"/>
          </w:tcPr>
          <w:p w:rsidR="00C24D45" w:rsidRPr="00371C64" w:rsidRDefault="00C24D45" w:rsidP="006D50B6">
            <w:pPr>
              <w:jc w:val="center"/>
            </w:pPr>
            <w:r w:rsidRPr="00371C64">
              <w:t>-0.994647</w:t>
            </w:r>
          </w:p>
        </w:tc>
        <w:tc>
          <w:tcPr>
            <w:tcW w:w="0" w:type="auto"/>
            <w:tcBorders>
              <w:top w:val="nil"/>
              <w:left w:val="nil"/>
              <w:bottom w:val="nil"/>
              <w:right w:val="single" w:sz="4" w:space="0" w:color="548DD4" w:themeColor="text2" w:themeTint="99"/>
            </w:tcBorders>
            <w:vAlign w:val="center"/>
          </w:tcPr>
          <w:p w:rsidR="00C24D45" w:rsidRPr="00371C64" w:rsidRDefault="00C24D45" w:rsidP="006D50B6">
            <w:pPr>
              <w:jc w:val="center"/>
              <w:cnfStyle w:val="000000100000"/>
            </w:pPr>
            <w:r w:rsidRPr="00371C64">
              <w:t>0.3219</w:t>
            </w:r>
          </w:p>
        </w:tc>
      </w:tr>
      <w:tr w:rsidR="00C24D45" w:rsidRPr="009A1768" w:rsidTr="006D50B6">
        <w:trPr>
          <w:trHeight w:val="225"/>
          <w:jc w:val="center"/>
        </w:trPr>
        <w:tc>
          <w:tcPr>
            <w:cnfStyle w:val="001000000000"/>
            <w:tcW w:w="0" w:type="auto"/>
            <w:tcBorders>
              <w:top w:val="nil"/>
              <w:bottom w:val="nil"/>
              <w:right w:val="single" w:sz="4" w:space="0" w:color="548DD4" w:themeColor="text2" w:themeTint="99"/>
            </w:tcBorders>
            <w:shd w:val="clear" w:color="auto" w:fill="4F81BD" w:themeFill="accent1"/>
          </w:tcPr>
          <w:p w:rsidR="00C24D45" w:rsidRPr="00D17729" w:rsidRDefault="00DB780A" w:rsidP="00172700">
            <w:pPr>
              <w:autoSpaceDE w:val="0"/>
              <w:autoSpaceDN w:val="0"/>
              <w:adjustRightInd w:val="0"/>
              <w:jc w:val="center"/>
              <w:rPr>
                <w:rFonts w:ascii="Cambria Math" w:hAnsi="Cambria Math" w:cs="Arial"/>
                <w:bCs w:val="0"/>
                <w:i/>
                <w:color w:val="FFFFFF" w:themeColor="background1"/>
                <w:lang w:val="en-US"/>
              </w:rPr>
            </w:pPr>
            <m:oMathPara>
              <m:oMath>
                <m:sSup>
                  <m:sSupPr>
                    <m:ctrlPr>
                      <w:rPr>
                        <w:rFonts w:ascii="Cambria Math" w:hAnsi="Cambria Math"/>
                        <w:i/>
                        <w:color w:val="FFFFFF" w:themeColor="background1"/>
                        <w:lang w:val="en-US"/>
                      </w:rPr>
                    </m:ctrlPr>
                  </m:sSupPr>
                  <m:e>
                    <m:r>
                      <m:rPr>
                        <m:sty m:val="bi"/>
                      </m:rPr>
                      <w:rPr>
                        <w:rFonts w:ascii="Cambria Math" w:hAnsi="Cambria Math"/>
                        <w:color w:val="FFFFFF" w:themeColor="background1"/>
                        <w:lang w:val="en-US"/>
                      </w:rPr>
                      <m:t>∆</m:t>
                    </m:r>
                  </m:e>
                  <m:sup>
                    <m:r>
                      <m:rPr>
                        <m:sty m:val="bi"/>
                      </m:rPr>
                      <w:rPr>
                        <w:rFonts w:ascii="Cambria Math" w:hAnsi="Cambria Math"/>
                        <w:color w:val="FFFFFF" w:themeColor="background1"/>
                        <w:lang w:val="en-US"/>
                      </w:rPr>
                      <m:t>2</m:t>
                    </m:r>
                  </m:sup>
                </m:sSup>
                <m:sSub>
                  <m:sSubPr>
                    <m:ctrlPr>
                      <w:rPr>
                        <w:rFonts w:ascii="Cambria Math" w:eastAsiaTheme="minorEastAsia" w:hAnsi="Cambria Math"/>
                        <w:i/>
                        <w:color w:val="FFFFFF" w:themeColor="background1"/>
                        <w:lang w:val="en-US"/>
                      </w:rPr>
                    </m:ctrlPr>
                  </m:sSubPr>
                  <m:e>
                    <m:acc>
                      <m:accPr>
                        <m:chr m:val="̃"/>
                        <m:ctrlPr>
                          <w:rPr>
                            <w:rFonts w:ascii="Cambria Math" w:eastAsiaTheme="minorEastAsia" w:hAnsi="Cambria Math"/>
                            <w:i/>
                            <w:color w:val="FFFFFF" w:themeColor="background1"/>
                            <w:lang w:val="en-US"/>
                          </w:rPr>
                        </m:ctrlPr>
                      </m:accPr>
                      <m:e>
                        <m:r>
                          <m:rPr>
                            <m:sty m:val="bi"/>
                          </m:rPr>
                          <w:rPr>
                            <w:rFonts w:ascii="Cambria Math" w:eastAsiaTheme="minorEastAsia" w:hAnsi="Cambria Math"/>
                            <w:color w:val="FFFFFF" w:themeColor="background1"/>
                            <w:lang w:val="en-US"/>
                          </w:rPr>
                          <m:t>y</m:t>
                        </m:r>
                      </m:e>
                    </m:acc>
                  </m:e>
                  <m:sub>
                    <m:r>
                      <m:rPr>
                        <m:sty m:val="bi"/>
                      </m:rPr>
                      <w:rPr>
                        <w:rFonts w:ascii="Cambria Math" w:eastAsiaTheme="minorEastAsia" w:hAnsi="Cambria Math"/>
                        <w:color w:val="FFFFFF" w:themeColor="background1"/>
                        <w:lang w:val="en-US"/>
                      </w:rPr>
                      <m:t>t</m:t>
                    </m:r>
                  </m:sub>
                </m:sSub>
              </m:oMath>
            </m:oMathPara>
          </w:p>
        </w:tc>
        <w:tc>
          <w:tcPr>
            <w:cnfStyle w:val="000010000000"/>
            <w:tcW w:w="0" w:type="auto"/>
            <w:tcBorders>
              <w:top w:val="nil"/>
              <w:left w:val="single" w:sz="4" w:space="0" w:color="548DD4" w:themeColor="text2" w:themeTint="99"/>
              <w:bottom w:val="nil"/>
              <w:right w:val="nil"/>
            </w:tcBorders>
            <w:vAlign w:val="center"/>
          </w:tcPr>
          <w:p w:rsidR="00C24D45" w:rsidRPr="00371C64" w:rsidRDefault="00C24D45" w:rsidP="006D50B6">
            <w:pPr>
              <w:jc w:val="center"/>
            </w:pPr>
            <w:r w:rsidRPr="00371C64">
              <w:t>-359.1656</w:t>
            </w:r>
          </w:p>
        </w:tc>
        <w:tc>
          <w:tcPr>
            <w:tcW w:w="0" w:type="auto"/>
            <w:tcBorders>
              <w:top w:val="nil"/>
              <w:left w:val="nil"/>
              <w:bottom w:val="nil"/>
              <w:right w:val="nil"/>
            </w:tcBorders>
            <w:vAlign w:val="center"/>
          </w:tcPr>
          <w:p w:rsidR="00C24D45" w:rsidRPr="00371C64" w:rsidRDefault="00C24D45" w:rsidP="006D50B6">
            <w:pPr>
              <w:jc w:val="center"/>
              <w:cnfStyle w:val="000000000000"/>
            </w:pPr>
            <w:r w:rsidRPr="00371C64">
              <w:t>199.7008</w:t>
            </w:r>
          </w:p>
        </w:tc>
        <w:tc>
          <w:tcPr>
            <w:cnfStyle w:val="000010000000"/>
            <w:tcW w:w="0" w:type="auto"/>
            <w:tcBorders>
              <w:top w:val="nil"/>
              <w:left w:val="nil"/>
              <w:bottom w:val="nil"/>
              <w:right w:val="nil"/>
            </w:tcBorders>
            <w:vAlign w:val="center"/>
          </w:tcPr>
          <w:p w:rsidR="00C24D45" w:rsidRPr="00371C64" w:rsidRDefault="00C24D45" w:rsidP="006D50B6">
            <w:pPr>
              <w:jc w:val="center"/>
            </w:pPr>
            <w:r w:rsidRPr="00371C64">
              <w:t>-1.798519</w:t>
            </w:r>
          </w:p>
        </w:tc>
        <w:tc>
          <w:tcPr>
            <w:tcW w:w="0" w:type="auto"/>
            <w:tcBorders>
              <w:top w:val="nil"/>
              <w:left w:val="nil"/>
              <w:bottom w:val="nil"/>
              <w:right w:val="single" w:sz="4" w:space="0" w:color="548DD4" w:themeColor="text2" w:themeTint="99"/>
            </w:tcBorders>
            <w:vAlign w:val="center"/>
          </w:tcPr>
          <w:p w:rsidR="00C24D45" w:rsidRPr="00371C64" w:rsidRDefault="00C24D45" w:rsidP="006D50B6">
            <w:pPr>
              <w:jc w:val="center"/>
              <w:cnfStyle w:val="000000000000"/>
            </w:pPr>
            <w:r w:rsidRPr="00371C64">
              <w:t>0.0746</w:t>
            </w:r>
          </w:p>
        </w:tc>
      </w:tr>
      <w:tr w:rsidR="00C24D45" w:rsidRPr="009A1768" w:rsidTr="006D50B6">
        <w:trPr>
          <w:cnfStyle w:val="000000100000"/>
          <w:trHeight w:val="225"/>
          <w:jc w:val="center"/>
        </w:trPr>
        <w:tc>
          <w:tcPr>
            <w:cnfStyle w:val="001000000000"/>
            <w:tcW w:w="0" w:type="auto"/>
            <w:tcBorders>
              <w:top w:val="nil"/>
              <w:bottom w:val="nil"/>
              <w:right w:val="single" w:sz="4" w:space="0" w:color="548DD4" w:themeColor="text2" w:themeTint="99"/>
            </w:tcBorders>
            <w:shd w:val="clear" w:color="auto" w:fill="4F81BD" w:themeFill="accent1"/>
          </w:tcPr>
          <w:p w:rsidR="00C24D45" w:rsidRDefault="00C24D45" w:rsidP="00172700">
            <m:oMathPara>
              <m:oMath>
                <m:r>
                  <m:rPr>
                    <m:sty m:val="bi"/>
                  </m:rPr>
                  <w:rPr>
                    <w:rFonts w:ascii="Cambria Math" w:hAnsi="Cambria Math"/>
                    <w:color w:val="FFFFFF" w:themeColor="background1"/>
                    <w:lang w:val="en-US"/>
                  </w:rPr>
                  <m:t>∆</m:t>
                </m:r>
                <m:sSub>
                  <m:sSubPr>
                    <m:ctrlPr>
                      <w:rPr>
                        <w:rFonts w:ascii="Cambria Math" w:eastAsiaTheme="minorEastAsia" w:hAnsi="Cambria Math"/>
                        <w:i/>
                        <w:color w:val="FFFFFF" w:themeColor="background1"/>
                        <w:lang w:val="en-US"/>
                      </w:rPr>
                    </m:ctrlPr>
                  </m:sSubPr>
                  <m:e>
                    <m:acc>
                      <m:accPr>
                        <m:chr m:val="̃"/>
                        <m:ctrlPr>
                          <w:rPr>
                            <w:rFonts w:ascii="Cambria Math" w:eastAsiaTheme="minorEastAsia" w:hAnsi="Cambria Math"/>
                            <w:i/>
                            <w:color w:val="FFFFFF" w:themeColor="background1"/>
                            <w:lang w:val="en-US"/>
                          </w:rPr>
                        </m:ctrlPr>
                      </m:accPr>
                      <m:e>
                        <m:r>
                          <m:rPr>
                            <m:sty m:val="bi"/>
                          </m:rPr>
                          <w:rPr>
                            <w:rFonts w:ascii="Cambria Math" w:eastAsiaTheme="minorEastAsia" w:hAnsi="Cambria Math"/>
                            <w:color w:val="FFFFFF" w:themeColor="background1"/>
                            <w:lang w:val="en-US"/>
                          </w:rPr>
                          <m:t>r</m:t>
                        </m:r>
                      </m:e>
                    </m:acc>
                  </m:e>
                  <m:sub>
                    <m:r>
                      <m:rPr>
                        <m:sty m:val="bi"/>
                      </m:rPr>
                      <w:rPr>
                        <w:rFonts w:ascii="Cambria Math" w:eastAsiaTheme="minorEastAsia" w:hAnsi="Cambria Math"/>
                        <w:color w:val="FFFFFF" w:themeColor="background1"/>
                        <w:lang w:val="en-US"/>
                      </w:rPr>
                      <m:t>t</m:t>
                    </m:r>
                  </m:sub>
                </m:sSub>
              </m:oMath>
            </m:oMathPara>
          </w:p>
        </w:tc>
        <w:tc>
          <w:tcPr>
            <w:cnfStyle w:val="000010000000"/>
            <w:tcW w:w="0" w:type="auto"/>
            <w:tcBorders>
              <w:top w:val="nil"/>
              <w:left w:val="single" w:sz="4" w:space="0" w:color="548DD4" w:themeColor="text2" w:themeTint="99"/>
              <w:bottom w:val="nil"/>
              <w:right w:val="nil"/>
            </w:tcBorders>
            <w:vAlign w:val="center"/>
          </w:tcPr>
          <w:p w:rsidR="00C24D45" w:rsidRPr="00371C64" w:rsidRDefault="00C24D45" w:rsidP="006D50B6">
            <w:pPr>
              <w:jc w:val="center"/>
            </w:pPr>
            <w:r w:rsidRPr="00371C64">
              <w:t>0.904648</w:t>
            </w:r>
          </w:p>
        </w:tc>
        <w:tc>
          <w:tcPr>
            <w:tcW w:w="0" w:type="auto"/>
            <w:tcBorders>
              <w:top w:val="nil"/>
              <w:left w:val="nil"/>
              <w:bottom w:val="nil"/>
              <w:right w:val="nil"/>
            </w:tcBorders>
            <w:vAlign w:val="center"/>
          </w:tcPr>
          <w:p w:rsidR="00C24D45" w:rsidRPr="00371C64" w:rsidRDefault="00C24D45" w:rsidP="006D50B6">
            <w:pPr>
              <w:jc w:val="center"/>
              <w:cnfStyle w:val="000000100000"/>
            </w:pPr>
            <w:r w:rsidRPr="00371C64">
              <w:t>0.557744</w:t>
            </w:r>
          </w:p>
        </w:tc>
        <w:tc>
          <w:tcPr>
            <w:cnfStyle w:val="000010000000"/>
            <w:tcW w:w="0" w:type="auto"/>
            <w:tcBorders>
              <w:top w:val="nil"/>
              <w:left w:val="nil"/>
              <w:bottom w:val="nil"/>
              <w:right w:val="nil"/>
            </w:tcBorders>
            <w:vAlign w:val="center"/>
          </w:tcPr>
          <w:p w:rsidR="00C24D45" w:rsidRPr="00371C64" w:rsidRDefault="00C24D45" w:rsidP="006D50B6">
            <w:pPr>
              <w:jc w:val="center"/>
            </w:pPr>
            <w:r w:rsidRPr="00371C64">
              <w:t>1.621977</w:t>
            </w:r>
          </w:p>
        </w:tc>
        <w:tc>
          <w:tcPr>
            <w:tcW w:w="0" w:type="auto"/>
            <w:tcBorders>
              <w:top w:val="nil"/>
              <w:left w:val="nil"/>
              <w:bottom w:val="nil"/>
              <w:right w:val="single" w:sz="4" w:space="0" w:color="548DD4" w:themeColor="text2" w:themeTint="99"/>
            </w:tcBorders>
            <w:vAlign w:val="center"/>
          </w:tcPr>
          <w:p w:rsidR="00C24D45" w:rsidRDefault="00C24D45" w:rsidP="006D50B6">
            <w:pPr>
              <w:jc w:val="center"/>
              <w:cnfStyle w:val="000000100000"/>
            </w:pPr>
            <w:r w:rsidRPr="00371C64">
              <w:t>0.1074</w:t>
            </w:r>
          </w:p>
        </w:tc>
      </w:tr>
      <w:tr w:rsidR="006D50B6" w:rsidRPr="009A1768" w:rsidTr="006D50B6">
        <w:trPr>
          <w:trHeight w:val="225"/>
          <w:jc w:val="center"/>
        </w:trPr>
        <w:tc>
          <w:tcPr>
            <w:cnfStyle w:val="001000000000"/>
            <w:tcW w:w="0" w:type="auto"/>
            <w:tcBorders>
              <w:top w:val="single" w:sz="4" w:space="0" w:color="FFFFFF" w:themeColor="background1"/>
              <w:right w:val="single" w:sz="4" w:space="0" w:color="548DD4" w:themeColor="text2" w:themeTint="99"/>
            </w:tcBorders>
            <w:shd w:val="clear" w:color="auto" w:fill="4F81BD" w:themeFill="accent1"/>
          </w:tcPr>
          <w:p w:rsidR="006D50B6" w:rsidRPr="009A1768" w:rsidRDefault="006D50B6" w:rsidP="006D50B6">
            <w:pPr>
              <w:autoSpaceDE w:val="0"/>
              <w:autoSpaceDN w:val="0"/>
              <w:adjustRightInd w:val="0"/>
              <w:rPr>
                <w:rFonts w:cs="Arial"/>
                <w:color w:val="FFFFFF" w:themeColor="background1"/>
              </w:rPr>
            </w:pPr>
            <w:r w:rsidRPr="009A1768">
              <w:rPr>
                <w:rFonts w:cs="Arial"/>
                <w:color w:val="FFFFFF" w:themeColor="background1"/>
              </w:rPr>
              <w:t>Adjusted R-squared</w:t>
            </w:r>
          </w:p>
        </w:tc>
        <w:tc>
          <w:tcPr>
            <w:cnfStyle w:val="000010000000"/>
            <w:tcW w:w="0" w:type="auto"/>
            <w:tcBorders>
              <w:top w:val="single" w:sz="4" w:space="0" w:color="548DD4" w:themeColor="text2" w:themeTint="99"/>
              <w:left w:val="single" w:sz="4" w:space="0" w:color="548DD4" w:themeColor="text2" w:themeTint="99"/>
              <w:bottom w:val="nil"/>
              <w:right w:val="single" w:sz="4" w:space="0" w:color="548DD4" w:themeColor="text2" w:themeTint="99"/>
            </w:tcBorders>
          </w:tcPr>
          <w:p w:rsidR="006D50B6" w:rsidRPr="009A1768" w:rsidRDefault="006D50B6" w:rsidP="006D50B6">
            <w:pPr>
              <w:autoSpaceDE w:val="0"/>
              <w:autoSpaceDN w:val="0"/>
              <w:adjustRightInd w:val="0"/>
              <w:ind w:right="10"/>
              <w:jc w:val="right"/>
              <w:rPr>
                <w:rFonts w:cs="Arial"/>
                <w:color w:val="000000"/>
              </w:rPr>
            </w:pPr>
            <w:r w:rsidRPr="006D50B6">
              <w:rPr>
                <w:rFonts w:cs="Arial"/>
                <w:color w:val="000000"/>
              </w:rPr>
              <w:t>0.053321</w:t>
            </w:r>
          </w:p>
        </w:tc>
        <w:tc>
          <w:tcPr>
            <w:tcW w:w="0" w:type="auto"/>
            <w:gridSpan w:val="2"/>
            <w:tcBorders>
              <w:top w:val="single" w:sz="4" w:space="0" w:color="548DD4" w:themeColor="text2" w:themeTint="99"/>
              <w:left w:val="single" w:sz="4" w:space="0" w:color="548DD4" w:themeColor="text2" w:themeTint="99"/>
              <w:right w:val="single" w:sz="4" w:space="0" w:color="548DD4" w:themeColor="text2" w:themeTint="99"/>
            </w:tcBorders>
            <w:shd w:val="clear" w:color="auto" w:fill="4F81BD" w:themeFill="accent1"/>
          </w:tcPr>
          <w:p w:rsidR="006D50B6" w:rsidRPr="009A1768" w:rsidRDefault="006D50B6" w:rsidP="006D50B6">
            <w:pPr>
              <w:autoSpaceDE w:val="0"/>
              <w:autoSpaceDN w:val="0"/>
              <w:adjustRightInd w:val="0"/>
              <w:ind w:right="10"/>
              <w:cnfStyle w:val="000000000000"/>
              <w:rPr>
                <w:rFonts w:cs="Arial"/>
                <w:b/>
                <w:color w:val="FFFFFF" w:themeColor="background1"/>
              </w:rPr>
            </w:pPr>
            <w:r w:rsidRPr="009A1768">
              <w:rPr>
                <w:rFonts w:cs="Arial"/>
                <w:b/>
                <w:color w:val="FFFFFF" w:themeColor="background1"/>
              </w:rPr>
              <w:t>    Akaike info criterion</w:t>
            </w:r>
          </w:p>
        </w:tc>
        <w:tc>
          <w:tcPr>
            <w:cnfStyle w:val="000010000000"/>
            <w:tcW w:w="0" w:type="auto"/>
            <w:tcBorders>
              <w:top w:val="single" w:sz="4" w:space="0" w:color="548DD4" w:themeColor="text2" w:themeTint="99"/>
              <w:left w:val="single" w:sz="4" w:space="0" w:color="548DD4" w:themeColor="text2" w:themeTint="99"/>
              <w:bottom w:val="nil"/>
              <w:right w:val="single" w:sz="4" w:space="0" w:color="548DD4" w:themeColor="text2" w:themeTint="99"/>
            </w:tcBorders>
          </w:tcPr>
          <w:p w:rsidR="006D50B6" w:rsidRPr="009A1768" w:rsidRDefault="007D4B22" w:rsidP="006D50B6">
            <w:pPr>
              <w:autoSpaceDE w:val="0"/>
              <w:autoSpaceDN w:val="0"/>
              <w:adjustRightInd w:val="0"/>
              <w:ind w:right="10"/>
              <w:jc w:val="right"/>
              <w:rPr>
                <w:rFonts w:cs="Arial"/>
                <w:color w:val="000000"/>
              </w:rPr>
            </w:pPr>
            <w:r w:rsidRPr="007D4B22">
              <w:rPr>
                <w:rFonts w:cs="Arial"/>
                <w:color w:val="000000"/>
              </w:rPr>
              <w:t>-0.734998</w:t>
            </w:r>
          </w:p>
        </w:tc>
      </w:tr>
      <w:tr w:rsidR="006D50B6" w:rsidRPr="009A1768" w:rsidTr="006D50B6">
        <w:trPr>
          <w:cnfStyle w:val="000000100000"/>
          <w:trHeight w:val="225"/>
          <w:jc w:val="center"/>
        </w:trPr>
        <w:tc>
          <w:tcPr>
            <w:cnfStyle w:val="001000000000"/>
            <w:tcW w:w="0" w:type="auto"/>
            <w:tcBorders>
              <w:right w:val="single" w:sz="4" w:space="0" w:color="548DD4" w:themeColor="text2" w:themeTint="99"/>
            </w:tcBorders>
            <w:shd w:val="clear" w:color="auto" w:fill="4F81BD" w:themeFill="accent1"/>
          </w:tcPr>
          <w:p w:rsidR="006D50B6" w:rsidRPr="009A1768" w:rsidRDefault="006D50B6" w:rsidP="006D50B6">
            <w:pPr>
              <w:autoSpaceDE w:val="0"/>
              <w:autoSpaceDN w:val="0"/>
              <w:adjustRightInd w:val="0"/>
              <w:rPr>
                <w:rFonts w:cs="Arial"/>
                <w:color w:val="FFFFFF" w:themeColor="background1"/>
              </w:rPr>
            </w:pPr>
            <w:r w:rsidRPr="009A1768">
              <w:rPr>
                <w:rFonts w:cs="Arial"/>
                <w:color w:val="FFFFFF" w:themeColor="background1"/>
              </w:rPr>
              <w:t>S.E. of regression</w:t>
            </w:r>
          </w:p>
        </w:tc>
        <w:tc>
          <w:tcPr>
            <w:cnfStyle w:val="000010000000"/>
            <w:tcW w:w="0" w:type="auto"/>
            <w:tcBorders>
              <w:top w:val="nil"/>
              <w:left w:val="single" w:sz="4" w:space="0" w:color="548DD4" w:themeColor="text2" w:themeTint="99"/>
              <w:bottom w:val="single" w:sz="4" w:space="0" w:color="548DD4" w:themeColor="text2" w:themeTint="99"/>
              <w:right w:val="single" w:sz="4" w:space="0" w:color="548DD4" w:themeColor="text2" w:themeTint="99"/>
            </w:tcBorders>
          </w:tcPr>
          <w:p w:rsidR="006D50B6" w:rsidRPr="009A1768" w:rsidRDefault="006D50B6" w:rsidP="006D50B6">
            <w:pPr>
              <w:autoSpaceDE w:val="0"/>
              <w:autoSpaceDN w:val="0"/>
              <w:adjustRightInd w:val="0"/>
              <w:ind w:right="10"/>
              <w:jc w:val="right"/>
              <w:rPr>
                <w:rFonts w:cs="Arial"/>
                <w:color w:val="000000"/>
              </w:rPr>
            </w:pPr>
            <w:r w:rsidRPr="006D50B6">
              <w:rPr>
                <w:rFonts w:cs="Arial"/>
                <w:color w:val="000000"/>
              </w:rPr>
              <w:t>0.164960</w:t>
            </w:r>
          </w:p>
        </w:tc>
        <w:tc>
          <w:tcPr>
            <w:tcW w:w="0" w:type="auto"/>
            <w:gridSpan w:val="2"/>
            <w:tcBorders>
              <w:left w:val="single" w:sz="4" w:space="0" w:color="548DD4" w:themeColor="text2" w:themeTint="99"/>
              <w:right w:val="single" w:sz="4" w:space="0" w:color="548DD4" w:themeColor="text2" w:themeTint="99"/>
            </w:tcBorders>
            <w:shd w:val="clear" w:color="auto" w:fill="4F81BD" w:themeFill="accent1"/>
          </w:tcPr>
          <w:p w:rsidR="006D50B6" w:rsidRPr="009A1768" w:rsidRDefault="006D50B6" w:rsidP="006D50B6">
            <w:pPr>
              <w:autoSpaceDE w:val="0"/>
              <w:autoSpaceDN w:val="0"/>
              <w:adjustRightInd w:val="0"/>
              <w:ind w:right="10"/>
              <w:cnfStyle w:val="000000100000"/>
              <w:rPr>
                <w:rFonts w:cs="Arial"/>
                <w:b/>
                <w:color w:val="FFFFFF" w:themeColor="background1"/>
              </w:rPr>
            </w:pPr>
            <w:r w:rsidRPr="009A1768">
              <w:rPr>
                <w:rFonts w:cs="Arial"/>
                <w:b/>
                <w:color w:val="FFFFFF" w:themeColor="background1"/>
              </w:rPr>
              <w:t>    Durbin-Watson stat</w:t>
            </w:r>
          </w:p>
        </w:tc>
        <w:tc>
          <w:tcPr>
            <w:cnfStyle w:val="000010000000"/>
            <w:tcW w:w="0" w:type="auto"/>
            <w:tcBorders>
              <w:top w:val="nil"/>
              <w:left w:val="single" w:sz="4" w:space="0" w:color="548DD4" w:themeColor="text2" w:themeTint="99"/>
              <w:bottom w:val="single" w:sz="4" w:space="0" w:color="548DD4" w:themeColor="text2" w:themeTint="99"/>
              <w:right w:val="single" w:sz="4" w:space="0" w:color="548DD4" w:themeColor="text2" w:themeTint="99"/>
            </w:tcBorders>
          </w:tcPr>
          <w:p w:rsidR="006D50B6" w:rsidRPr="009A1768" w:rsidRDefault="007D4B22" w:rsidP="00735207">
            <w:pPr>
              <w:keepNext/>
              <w:autoSpaceDE w:val="0"/>
              <w:autoSpaceDN w:val="0"/>
              <w:adjustRightInd w:val="0"/>
              <w:ind w:right="10"/>
              <w:jc w:val="right"/>
              <w:rPr>
                <w:rFonts w:cs="Arial"/>
                <w:color w:val="000000"/>
              </w:rPr>
            </w:pPr>
            <w:r w:rsidRPr="007D4B22">
              <w:rPr>
                <w:rFonts w:cs="Arial"/>
                <w:color w:val="000000"/>
              </w:rPr>
              <w:t>1.154833</w:t>
            </w:r>
          </w:p>
        </w:tc>
      </w:tr>
    </w:tbl>
    <w:p w:rsidR="005051DE" w:rsidRDefault="00735207" w:rsidP="00735207">
      <w:pPr>
        <w:pStyle w:val="Caption"/>
        <w:jc w:val="center"/>
        <w:rPr>
          <w:rFonts w:eastAsiaTheme="minorEastAsia"/>
          <w:lang w:val="en-US"/>
        </w:rPr>
      </w:pPr>
      <w:r w:rsidRPr="004454F3">
        <w:rPr>
          <w:lang w:val="en-US"/>
        </w:rPr>
        <w:t xml:space="preserve">Table </w:t>
      </w:r>
      <w:r w:rsidR="00DB780A">
        <w:fldChar w:fldCharType="begin"/>
      </w:r>
      <w:r w:rsidRPr="004454F3">
        <w:rPr>
          <w:lang w:val="en-US"/>
        </w:rPr>
        <w:instrText xml:space="preserve"> SEQ Table \* ARABIC </w:instrText>
      </w:r>
      <w:r w:rsidR="00DB780A">
        <w:fldChar w:fldCharType="separate"/>
      </w:r>
      <w:r w:rsidR="004454F3">
        <w:rPr>
          <w:noProof/>
          <w:lang w:val="en-US"/>
        </w:rPr>
        <w:t>13</w:t>
      </w:r>
      <w:r w:rsidR="00DB780A">
        <w:fldChar w:fldCharType="end"/>
      </w:r>
      <w:r w:rsidRPr="004454F3">
        <w:rPr>
          <w:lang w:val="en-US"/>
        </w:rPr>
        <w:t xml:space="preserve"> | OLS estimation results of equation 2.10</w:t>
      </w:r>
    </w:p>
    <w:p w:rsidR="00481D80" w:rsidRDefault="007D4B22" w:rsidP="00CE2BA2">
      <w:pPr>
        <w:spacing w:line="360" w:lineRule="auto"/>
        <w:jc w:val="both"/>
        <w:rPr>
          <w:lang w:val="en-US"/>
        </w:rPr>
      </w:pPr>
      <w:r>
        <w:rPr>
          <w:lang w:val="en-US"/>
        </w:rPr>
        <w:t xml:space="preserve">This R-squared is a lot more credible, although it is fairly low. </w:t>
      </w:r>
      <w:r w:rsidR="00840990">
        <w:rPr>
          <w:lang w:val="en-US"/>
        </w:rPr>
        <w:t>A Durbin-Watson statistic of 1.15 indicates possible autocorrelation in the error term.</w:t>
      </w:r>
      <w:r w:rsidR="00897EB0">
        <w:rPr>
          <w:lang w:val="en-US"/>
        </w:rPr>
        <w:t xml:space="preserve"> </w:t>
      </w:r>
      <w:r w:rsidR="000C56AB">
        <w:rPr>
          <w:lang w:val="en-US"/>
        </w:rPr>
        <w:t xml:space="preserve">Note that the Akaike info criterion is only provided here to be used for comparison later. </w:t>
      </w:r>
      <w:r w:rsidR="00897EB0">
        <w:rPr>
          <w:lang w:val="en-US"/>
        </w:rPr>
        <w:t xml:space="preserve">Also, the null hypothesis </w:t>
      </w:r>
      <w:r w:rsidR="002370ED">
        <w:rPr>
          <w:lang w:val="en-US"/>
        </w:rPr>
        <w:t xml:space="preserve">stating </w:t>
      </w:r>
      <w:r w:rsidR="00897EB0">
        <w:rPr>
          <w:lang w:val="en-US"/>
        </w:rPr>
        <w:t xml:space="preserve">that the coefficient </w:t>
      </w:r>
      <w:r w:rsidR="00897EB0" w:rsidRPr="00897EB0">
        <w:rPr>
          <w:rFonts w:ascii="Cambria Math" w:hAnsi="Cambria Math"/>
          <w:i/>
          <w:lang w:val="en-US"/>
        </w:rPr>
        <w:t>b</w:t>
      </w:r>
      <w:r w:rsidR="00897EB0" w:rsidRPr="00897EB0">
        <w:rPr>
          <w:rFonts w:ascii="Cambria Math" w:hAnsi="Cambria Math"/>
          <w:i/>
          <w:vertAlign w:val="subscript"/>
          <w:lang w:val="en-US"/>
        </w:rPr>
        <w:t>1</w:t>
      </w:r>
      <w:r w:rsidR="00897EB0">
        <w:rPr>
          <w:lang w:val="en-US"/>
        </w:rPr>
        <w:t xml:space="preserve"> is equal to zero cannot be rejected. We can reject that same hypothesis for coefficient </w:t>
      </w:r>
      <w:r w:rsidR="00897EB0" w:rsidRPr="00897EB0">
        <w:rPr>
          <w:rFonts w:ascii="Cambria Math" w:hAnsi="Cambria Math"/>
          <w:i/>
          <w:lang w:val="en-US"/>
        </w:rPr>
        <w:t>b</w:t>
      </w:r>
      <w:r w:rsidR="00897EB0" w:rsidRPr="00897EB0">
        <w:rPr>
          <w:rFonts w:ascii="Cambria Math" w:hAnsi="Cambria Math"/>
          <w:i/>
          <w:vertAlign w:val="subscript"/>
          <w:lang w:val="en-US"/>
        </w:rPr>
        <w:t>3</w:t>
      </w:r>
      <w:r w:rsidR="00897EB0">
        <w:rPr>
          <w:lang w:val="en-US"/>
        </w:rPr>
        <w:t xml:space="preserve"> </w:t>
      </w:r>
      <w:r w:rsidR="002370ED">
        <w:rPr>
          <w:lang w:val="en-US"/>
        </w:rPr>
        <w:t xml:space="preserve"> </w:t>
      </w:r>
      <w:r w:rsidR="00897EB0">
        <w:rPr>
          <w:lang w:val="en-US"/>
        </w:rPr>
        <w:t>if we are a bit forgiving.</w:t>
      </w:r>
      <w:r w:rsidR="00840990">
        <w:rPr>
          <w:lang w:val="en-US"/>
        </w:rPr>
        <w:t xml:space="preserve"> </w:t>
      </w:r>
      <w:r w:rsidR="00481D80">
        <w:rPr>
          <w:lang w:val="en-US"/>
        </w:rPr>
        <w:t xml:space="preserve">Using </w:t>
      </w:r>
      <w:r w:rsidR="00481D80">
        <w:rPr>
          <w:rFonts w:ascii="Cambria Math" w:hAnsi="Cambria Math"/>
          <w:i/>
          <w:lang w:val="en-US"/>
        </w:rPr>
        <w:t>∆s</w:t>
      </w:r>
      <w:r w:rsidR="00481D80">
        <w:rPr>
          <w:rFonts w:ascii="Cambria Math" w:hAnsi="Cambria Math"/>
          <w:i/>
          <w:vertAlign w:val="subscript"/>
          <w:lang w:val="en-US"/>
        </w:rPr>
        <w:t>t</w:t>
      </w:r>
      <w:r w:rsidR="00481D80">
        <w:rPr>
          <w:rFonts w:ascii="Cambria Math" w:hAnsi="Cambria Math"/>
          <w:lang w:val="en-US"/>
        </w:rPr>
        <w:t xml:space="preserve">  </w:t>
      </w:r>
      <w:r w:rsidR="00481D80">
        <w:rPr>
          <w:lang w:val="en-US"/>
        </w:rPr>
        <w:t xml:space="preserve">= </w:t>
      </w:r>
      <w:r w:rsidR="00481D80">
        <w:rPr>
          <w:rFonts w:ascii="Cambria Math" w:hAnsi="Cambria Math"/>
          <w:i/>
          <w:lang w:val="en-US"/>
        </w:rPr>
        <w:t>s</w:t>
      </w:r>
      <w:r w:rsidR="00481D80">
        <w:rPr>
          <w:rFonts w:ascii="Cambria Math" w:hAnsi="Cambria Math"/>
          <w:i/>
          <w:vertAlign w:val="subscript"/>
          <w:lang w:val="en-US"/>
        </w:rPr>
        <w:t xml:space="preserve">t </w:t>
      </w:r>
      <w:r w:rsidR="00481D80">
        <w:rPr>
          <w:rFonts w:ascii="Cambria Math" w:hAnsi="Cambria Math"/>
          <w:i/>
          <w:lang w:val="en-US"/>
        </w:rPr>
        <w:t>- s</w:t>
      </w:r>
      <w:r w:rsidR="00481D80">
        <w:rPr>
          <w:rFonts w:ascii="Cambria Math" w:hAnsi="Cambria Math"/>
          <w:i/>
          <w:vertAlign w:val="subscript"/>
          <w:lang w:val="en-US"/>
        </w:rPr>
        <w:t>t-1</w:t>
      </w:r>
      <w:r w:rsidR="00481D80">
        <w:rPr>
          <w:lang w:val="en-US"/>
        </w:rPr>
        <w:t xml:space="preserve">, we can rewrite the equation in terms of </w:t>
      </w:r>
      <w:r w:rsidR="00481D80">
        <w:rPr>
          <w:rFonts w:ascii="Cambria Math" w:hAnsi="Cambria Math"/>
          <w:i/>
          <w:lang w:val="en-US"/>
        </w:rPr>
        <w:t>s</w:t>
      </w:r>
      <w:r w:rsidR="00481D80">
        <w:rPr>
          <w:rFonts w:ascii="Cambria Math" w:hAnsi="Cambria Math"/>
          <w:i/>
          <w:vertAlign w:val="subscript"/>
          <w:lang w:val="en-US"/>
        </w:rPr>
        <w:t>t</w:t>
      </w:r>
      <w:r w:rsidR="00481D80">
        <w:rPr>
          <w:rFonts w:ascii="Cambria Math" w:hAnsi="Cambria Math"/>
          <w:i/>
          <w:lang w:val="en-US"/>
        </w:rPr>
        <w:t xml:space="preserve">  </w:t>
      </w:r>
      <w:r w:rsidR="00481D80">
        <w:rPr>
          <w:lang w:val="en-US"/>
        </w:rPr>
        <w:t xml:space="preserve">as follows: </w:t>
      </w:r>
    </w:p>
    <w:p w:rsidR="00481D80" w:rsidRDefault="00DB780A" w:rsidP="0041240A">
      <w:pPr>
        <w:spacing w:line="360" w:lineRule="auto"/>
        <w:jc w:val="right"/>
        <w:rPr>
          <w:rFonts w:eastAsiaTheme="minorEastAsia"/>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eastAsiaTheme="minorEastAsia"/>
            <w:lang w:val="en-US"/>
          </w:rPr>
          <m:t>=</m:t>
        </m:r>
        <m:r>
          <w:rPr>
            <w:rFonts w:ascii="Cambria Math" w:hAnsi="Cambria Math"/>
            <w:lang w:val="en-US"/>
          </w:rPr>
          <m:t>-0.04+</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t-1</m:t>
            </m:r>
          </m:sub>
        </m:sSub>
        <m:r>
          <w:rPr>
            <w:rFonts w:ascii="Cambria Math" w:hAnsi="Cambria Math"/>
            <w:lang w:val="en-US"/>
          </w:rPr>
          <m:t>-3.52</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m</m:t>
                </m:r>
              </m:e>
            </m:acc>
          </m:e>
          <m:sub>
            <m:r>
              <w:rPr>
                <w:rFonts w:ascii="Cambria Math" w:eastAsiaTheme="minorEastAsia" w:hAnsi="Cambria Math"/>
                <w:lang w:val="en-US"/>
              </w:rPr>
              <m:t>t</m:t>
            </m:r>
          </m:sub>
        </m:sSub>
        <m:r>
          <w:rPr>
            <w:rFonts w:ascii="Cambria Math" w:hAnsi="Cambria Math"/>
            <w:lang w:val="en-US"/>
          </w:rPr>
          <m:t>-359.17</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acc>
          <m:accPr>
            <m:chr m:val="̃"/>
            <m:ctrlPr>
              <w:rPr>
                <w:rFonts w:ascii="Cambria Math" w:eastAsiaTheme="minorEastAsia" w:hAnsi="Cambria Math"/>
                <w:i/>
                <w:lang w:val="en-US"/>
              </w:rPr>
            </m:ctrlPr>
          </m:acc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t</m:t>
                </m:r>
              </m:sub>
            </m:sSub>
          </m:e>
        </m:acc>
        <m:r>
          <w:rPr>
            <w:rFonts w:ascii="Cambria Math" w:eastAsiaTheme="minorEastAsia"/>
            <w:lang w:val="en-US"/>
          </w:rPr>
          <m:t>+</m:t>
        </m:r>
        <m:r>
          <w:rPr>
            <w:rFonts w:ascii="Cambria Math" w:hAnsi="Cambria Math"/>
            <w:lang w:val="en-US"/>
          </w:rPr>
          <m:t>0.90∆</m:t>
        </m:r>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r</m:t>
                </m:r>
              </m:e>
            </m:acc>
          </m:e>
          <m:sub>
            <m:r>
              <w:rPr>
                <w:rFonts w:ascii="Cambria Math" w:eastAsiaTheme="minorEastAsia" w:hAnsi="Cambria Math"/>
                <w:lang w:val="en-US"/>
              </w:rPr>
              <m:t>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t</m:t>
            </m:r>
          </m:sub>
        </m:sSub>
      </m:oMath>
      <w:r w:rsidR="00481D80">
        <w:rPr>
          <w:rFonts w:eastAsiaTheme="minorEastAsia"/>
          <w:lang w:val="en-US"/>
        </w:rPr>
        <w:tab/>
      </w:r>
      <w:r w:rsidR="00481D80">
        <w:rPr>
          <w:rFonts w:eastAsiaTheme="minorEastAsia"/>
          <w:lang w:val="en-US"/>
        </w:rPr>
        <w:tab/>
        <w:t xml:space="preserve">     (2.11)</w:t>
      </w:r>
    </w:p>
    <w:p w:rsidR="00481D80" w:rsidRDefault="00C179E8" w:rsidP="00CE2BA2">
      <w:pPr>
        <w:spacing w:line="360" w:lineRule="auto"/>
        <w:jc w:val="both"/>
        <w:rPr>
          <w:lang w:val="en-US"/>
        </w:rPr>
      </w:pPr>
      <w:r>
        <w:rPr>
          <w:rFonts w:eastAsiaTheme="minorEastAsia"/>
          <w:lang w:val="en-US"/>
        </w:rPr>
        <w:lastRenderedPageBreak/>
        <w:t xml:space="preserve">According to this equation, the Bitcoin/US Dollar exchange rate is extremely negatively elastic to the second difference of the net income. It is also negatively elastic to the second difference of the net money supply and </w:t>
      </w:r>
      <w:r w:rsidR="00D92DD9">
        <w:rPr>
          <w:rFonts w:eastAsiaTheme="minorEastAsia"/>
          <w:lang w:val="en-US"/>
        </w:rPr>
        <w:t xml:space="preserve">positively inelastic to the first difference of the net interest rate.  The Bitcoin/US Dollar exchange rate is perfectly elastic to its own first order lag. </w:t>
      </w:r>
    </w:p>
    <w:p w:rsidR="00481D80" w:rsidRDefault="00481D80" w:rsidP="00170695">
      <w:pPr>
        <w:pStyle w:val="Heading3"/>
        <w:rPr>
          <w:lang w:val="en-US"/>
        </w:rPr>
      </w:pPr>
      <w:r>
        <w:rPr>
          <w:lang w:val="en-US"/>
        </w:rPr>
        <w:t>Combined</w:t>
      </w:r>
    </w:p>
    <w:p w:rsidR="00CC4901" w:rsidRDefault="00C179E8" w:rsidP="00CE2BA2">
      <w:pPr>
        <w:spacing w:line="360" w:lineRule="auto"/>
        <w:jc w:val="both"/>
        <w:rPr>
          <w:lang w:val="en-US"/>
        </w:rPr>
      </w:pPr>
      <w:r>
        <w:rPr>
          <w:lang w:val="en-US"/>
        </w:rPr>
        <w:t>Looking at equations 2.10 and 2.11, a</w:t>
      </w:r>
      <w:r w:rsidR="007D4B22">
        <w:rPr>
          <w:lang w:val="en-US"/>
        </w:rPr>
        <w:t xml:space="preserve"> Durbin-Watson statistic of 1.15 indicates possible autocorrelation in the error term and when inspecting the residuals' correlogram we find that this is indeed the case. </w:t>
      </w:r>
    </w:p>
    <w:tbl>
      <w:tblPr>
        <w:tblStyle w:val="LightList-Accent11"/>
        <w:tblW w:w="0" w:type="auto"/>
        <w:jc w:val="center"/>
        <w:tblLook w:val="0020"/>
      </w:tblPr>
      <w:tblGrid>
        <w:gridCol w:w="1908"/>
        <w:gridCol w:w="327"/>
        <w:gridCol w:w="851"/>
        <w:gridCol w:w="970"/>
        <w:gridCol w:w="677"/>
      </w:tblGrid>
      <w:tr w:rsidR="00CC4901" w:rsidRPr="007D4B22" w:rsidTr="00CC4901">
        <w:trPr>
          <w:cnfStyle w:val="100000000000"/>
          <w:trHeight w:val="225"/>
          <w:jc w:val="center"/>
        </w:trPr>
        <w:tc>
          <w:tcPr>
            <w:cnfStyle w:val="000010000000"/>
            <w:tcW w:w="1908" w:type="dxa"/>
          </w:tcPr>
          <w:p w:rsidR="00CC4901" w:rsidRPr="007D4B22" w:rsidRDefault="00CC4901" w:rsidP="00854C31">
            <w:pPr>
              <w:autoSpaceDE w:val="0"/>
              <w:autoSpaceDN w:val="0"/>
              <w:adjustRightInd w:val="0"/>
              <w:jc w:val="center"/>
              <w:rPr>
                <w:rFonts w:ascii="Arial" w:hAnsi="Arial" w:cs="Arial"/>
                <w:sz w:val="18"/>
                <w:szCs w:val="18"/>
              </w:rPr>
            </w:pPr>
            <w:r w:rsidRPr="007D4B22">
              <w:rPr>
                <w:rFonts w:ascii="Arial" w:hAnsi="Arial" w:cs="Arial"/>
                <w:sz w:val="18"/>
                <w:szCs w:val="18"/>
              </w:rPr>
              <w:t>Partial Correlation</w:t>
            </w:r>
          </w:p>
        </w:tc>
        <w:tc>
          <w:tcPr>
            <w:tcW w:w="327" w:type="dxa"/>
          </w:tcPr>
          <w:p w:rsidR="00CC4901" w:rsidRPr="007D4B22" w:rsidRDefault="00CC4901" w:rsidP="00854C31">
            <w:pPr>
              <w:autoSpaceDE w:val="0"/>
              <w:autoSpaceDN w:val="0"/>
              <w:adjustRightInd w:val="0"/>
              <w:jc w:val="center"/>
              <w:cnfStyle w:val="100000000000"/>
              <w:rPr>
                <w:rFonts w:ascii="Arial" w:hAnsi="Arial" w:cs="Arial"/>
                <w:sz w:val="18"/>
                <w:szCs w:val="18"/>
              </w:rPr>
            </w:pPr>
          </w:p>
        </w:tc>
        <w:tc>
          <w:tcPr>
            <w:cnfStyle w:val="000010000000"/>
            <w:tcW w:w="851" w:type="dxa"/>
          </w:tcPr>
          <w:p w:rsidR="00CC4901" w:rsidRPr="007D4B22" w:rsidRDefault="00CC4901" w:rsidP="00854C31">
            <w:pPr>
              <w:autoSpaceDE w:val="0"/>
              <w:autoSpaceDN w:val="0"/>
              <w:adjustRightInd w:val="0"/>
              <w:jc w:val="center"/>
              <w:rPr>
                <w:rFonts w:ascii="Arial" w:hAnsi="Arial" w:cs="Arial"/>
                <w:sz w:val="18"/>
                <w:szCs w:val="18"/>
              </w:rPr>
            </w:pPr>
            <w:r w:rsidRPr="007D4B22">
              <w:rPr>
                <w:rFonts w:ascii="Arial" w:hAnsi="Arial" w:cs="Arial"/>
                <w:sz w:val="18"/>
                <w:szCs w:val="18"/>
              </w:rPr>
              <w:t> PAC</w:t>
            </w:r>
          </w:p>
        </w:tc>
        <w:tc>
          <w:tcPr>
            <w:tcW w:w="0" w:type="auto"/>
          </w:tcPr>
          <w:p w:rsidR="00CC4901" w:rsidRPr="007D4B22" w:rsidRDefault="00CC4901" w:rsidP="00854C31">
            <w:pPr>
              <w:autoSpaceDE w:val="0"/>
              <w:autoSpaceDN w:val="0"/>
              <w:adjustRightInd w:val="0"/>
              <w:jc w:val="center"/>
              <w:cnfStyle w:val="100000000000"/>
              <w:rPr>
                <w:rFonts w:ascii="Arial" w:hAnsi="Arial" w:cs="Arial"/>
                <w:sz w:val="18"/>
                <w:szCs w:val="18"/>
              </w:rPr>
            </w:pPr>
            <w:r w:rsidRPr="007D4B22">
              <w:rPr>
                <w:rFonts w:ascii="Arial" w:hAnsi="Arial" w:cs="Arial"/>
                <w:sz w:val="18"/>
                <w:szCs w:val="18"/>
              </w:rPr>
              <w:t> Q-Stat</w:t>
            </w:r>
          </w:p>
        </w:tc>
        <w:tc>
          <w:tcPr>
            <w:cnfStyle w:val="000010000000"/>
            <w:tcW w:w="0" w:type="auto"/>
          </w:tcPr>
          <w:p w:rsidR="00CC4901" w:rsidRPr="007D4B22" w:rsidRDefault="00CC4901" w:rsidP="00854C31">
            <w:pPr>
              <w:autoSpaceDE w:val="0"/>
              <w:autoSpaceDN w:val="0"/>
              <w:adjustRightInd w:val="0"/>
              <w:jc w:val="center"/>
              <w:rPr>
                <w:rFonts w:ascii="Arial" w:hAnsi="Arial" w:cs="Arial"/>
                <w:sz w:val="18"/>
                <w:szCs w:val="18"/>
              </w:rPr>
            </w:pPr>
            <w:r w:rsidRPr="007D4B22">
              <w:rPr>
                <w:rFonts w:ascii="Arial" w:hAnsi="Arial" w:cs="Arial"/>
                <w:sz w:val="18"/>
                <w:szCs w:val="18"/>
              </w:rPr>
              <w:t> Prob</w:t>
            </w:r>
          </w:p>
        </w:tc>
      </w:tr>
      <w:tr w:rsidR="00CC4901" w:rsidRPr="007D4B22" w:rsidTr="00CC4901">
        <w:trPr>
          <w:cnfStyle w:val="000000100000"/>
          <w:trHeight w:val="225"/>
          <w:jc w:val="center"/>
        </w:trPr>
        <w:tc>
          <w:tcPr>
            <w:cnfStyle w:val="000010000000"/>
            <w:tcW w:w="1908" w:type="dxa"/>
            <w:vMerge w:val="restart"/>
          </w:tcPr>
          <w:p w:rsidR="00CC4901" w:rsidRPr="007D4B22" w:rsidRDefault="00CC4901" w:rsidP="00854C31">
            <w:pPr>
              <w:autoSpaceDE w:val="0"/>
              <w:autoSpaceDN w:val="0"/>
              <w:adjustRightInd w:val="0"/>
              <w:rPr>
                <w:rFonts w:ascii="Arial" w:hAnsi="Arial" w:cs="Arial"/>
                <w:color w:val="000000"/>
                <w:sz w:val="18"/>
                <w:szCs w:val="18"/>
              </w:rPr>
            </w:pPr>
            <w:r w:rsidRPr="00CC4901">
              <w:rPr>
                <w:rFonts w:ascii="Arial" w:hAnsi="Arial" w:cs="Arial"/>
                <w:noProof/>
                <w:color w:val="000000"/>
                <w:sz w:val="18"/>
                <w:szCs w:val="18"/>
                <w:lang w:eastAsia="nl-NL"/>
              </w:rPr>
              <w:drawing>
                <wp:anchor distT="0" distB="0" distL="114300" distR="114300" simplePos="0" relativeHeight="251669504" behindDoc="1" locked="0" layoutInCell="1" allowOverlap="1">
                  <wp:simplePos x="0" y="0"/>
                  <wp:positionH relativeFrom="column">
                    <wp:posOffset>72565</wp:posOffset>
                  </wp:positionH>
                  <wp:positionV relativeFrom="paragraph">
                    <wp:posOffset>-1554</wp:posOffset>
                  </wp:positionV>
                  <wp:extent cx="851994" cy="1186775"/>
                  <wp:effectExtent l="19050" t="0" r="5256"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479" t="14984" r="93986" b="74616"/>
                          <a:stretch>
                            <a:fillRect/>
                          </a:stretch>
                        </pic:blipFill>
                        <pic:spPr bwMode="auto">
                          <a:xfrm>
                            <a:off x="0" y="0"/>
                            <a:ext cx="851994" cy="1186775"/>
                          </a:xfrm>
                          <a:prstGeom prst="rect">
                            <a:avLst/>
                          </a:prstGeom>
                          <a:noFill/>
                          <a:ln w="9525">
                            <a:noFill/>
                            <a:miter lim="800000"/>
                            <a:headEnd/>
                            <a:tailEnd/>
                          </a:ln>
                        </pic:spPr>
                      </pic:pic>
                    </a:graphicData>
                  </a:graphic>
                </wp:anchor>
              </w:drawing>
            </w:r>
          </w:p>
        </w:tc>
        <w:tc>
          <w:tcPr>
            <w:tcW w:w="327" w:type="dxa"/>
            <w:vAlign w:val="center"/>
          </w:tcPr>
          <w:p w:rsidR="00CC4901" w:rsidRPr="007D4B22" w:rsidRDefault="00CC4901" w:rsidP="00CC4901">
            <w:pPr>
              <w:autoSpaceDE w:val="0"/>
              <w:autoSpaceDN w:val="0"/>
              <w:adjustRightInd w:val="0"/>
              <w:ind w:right="10"/>
              <w:jc w:val="right"/>
              <w:cnfStyle w:val="000000100000"/>
              <w:rPr>
                <w:rFonts w:ascii="Arial" w:hAnsi="Arial" w:cs="Arial"/>
                <w:color w:val="000000"/>
                <w:sz w:val="18"/>
                <w:szCs w:val="18"/>
              </w:rPr>
            </w:pPr>
            <w:r w:rsidRPr="007D4B22">
              <w:rPr>
                <w:rFonts w:ascii="Arial" w:hAnsi="Arial" w:cs="Arial"/>
                <w:color w:val="000000"/>
                <w:sz w:val="18"/>
                <w:szCs w:val="18"/>
              </w:rPr>
              <w:t>1</w:t>
            </w:r>
          </w:p>
        </w:tc>
        <w:tc>
          <w:tcPr>
            <w:cnfStyle w:val="000010000000"/>
            <w:tcW w:w="851" w:type="dxa"/>
            <w:vAlign w:val="center"/>
          </w:tcPr>
          <w:p w:rsidR="00CC4901" w:rsidRPr="007D4B22" w:rsidRDefault="00CC4901" w:rsidP="00CC4901">
            <w:pPr>
              <w:autoSpaceDE w:val="0"/>
              <w:autoSpaceDN w:val="0"/>
              <w:adjustRightInd w:val="0"/>
              <w:ind w:right="10"/>
              <w:jc w:val="right"/>
              <w:rPr>
                <w:rFonts w:ascii="Arial" w:hAnsi="Arial" w:cs="Arial"/>
                <w:color w:val="000000"/>
                <w:sz w:val="18"/>
                <w:szCs w:val="18"/>
              </w:rPr>
            </w:pPr>
            <w:r w:rsidRPr="007D4B22">
              <w:rPr>
                <w:rFonts w:ascii="Arial" w:hAnsi="Arial" w:cs="Arial"/>
                <w:color w:val="000000"/>
                <w:sz w:val="18"/>
                <w:szCs w:val="18"/>
              </w:rPr>
              <w:t>0.422</w:t>
            </w:r>
          </w:p>
        </w:tc>
        <w:tc>
          <w:tcPr>
            <w:tcW w:w="970" w:type="dxa"/>
            <w:vAlign w:val="center"/>
          </w:tcPr>
          <w:p w:rsidR="00CC4901" w:rsidRPr="007D4B22" w:rsidRDefault="00CC4901" w:rsidP="00CC4901">
            <w:pPr>
              <w:autoSpaceDE w:val="0"/>
              <w:autoSpaceDN w:val="0"/>
              <w:adjustRightInd w:val="0"/>
              <w:ind w:right="10"/>
              <w:jc w:val="right"/>
              <w:cnfStyle w:val="000000100000"/>
              <w:rPr>
                <w:rFonts w:ascii="Arial" w:hAnsi="Arial" w:cs="Arial"/>
                <w:color w:val="000000"/>
                <w:sz w:val="18"/>
                <w:szCs w:val="18"/>
              </w:rPr>
            </w:pPr>
            <w:r w:rsidRPr="007D4B22">
              <w:rPr>
                <w:rFonts w:ascii="Arial" w:hAnsi="Arial" w:cs="Arial"/>
                <w:color w:val="000000"/>
                <w:sz w:val="18"/>
                <w:szCs w:val="18"/>
              </w:rPr>
              <w:t>23.025</w:t>
            </w:r>
          </w:p>
        </w:tc>
        <w:tc>
          <w:tcPr>
            <w:cnfStyle w:val="000010000000"/>
            <w:tcW w:w="677" w:type="dxa"/>
            <w:vAlign w:val="center"/>
          </w:tcPr>
          <w:p w:rsidR="00CC4901" w:rsidRPr="007D4B22" w:rsidRDefault="00CC4901" w:rsidP="00CC4901">
            <w:pPr>
              <w:autoSpaceDE w:val="0"/>
              <w:autoSpaceDN w:val="0"/>
              <w:adjustRightInd w:val="0"/>
              <w:ind w:right="10"/>
              <w:jc w:val="right"/>
              <w:rPr>
                <w:rFonts w:ascii="Arial" w:hAnsi="Arial" w:cs="Arial"/>
                <w:color w:val="000000"/>
                <w:sz w:val="18"/>
                <w:szCs w:val="18"/>
              </w:rPr>
            </w:pPr>
            <w:r w:rsidRPr="007D4B22">
              <w:rPr>
                <w:rFonts w:ascii="Arial" w:hAnsi="Arial" w:cs="Arial"/>
                <w:color w:val="000000"/>
                <w:sz w:val="18"/>
                <w:szCs w:val="18"/>
              </w:rPr>
              <w:t>0.000</w:t>
            </w:r>
          </w:p>
        </w:tc>
      </w:tr>
      <w:tr w:rsidR="00CC4901" w:rsidRPr="007D4B22" w:rsidTr="00CC4901">
        <w:trPr>
          <w:trHeight w:val="225"/>
          <w:jc w:val="center"/>
        </w:trPr>
        <w:tc>
          <w:tcPr>
            <w:cnfStyle w:val="000010000000"/>
            <w:tcW w:w="1908" w:type="dxa"/>
            <w:vMerge/>
          </w:tcPr>
          <w:p w:rsidR="00CC4901" w:rsidRPr="007D4B22" w:rsidRDefault="00CC4901" w:rsidP="00854C31">
            <w:pPr>
              <w:autoSpaceDE w:val="0"/>
              <w:autoSpaceDN w:val="0"/>
              <w:adjustRightInd w:val="0"/>
              <w:rPr>
                <w:rFonts w:ascii="Arial" w:hAnsi="Arial" w:cs="Arial"/>
                <w:color w:val="000000"/>
                <w:sz w:val="18"/>
                <w:szCs w:val="18"/>
              </w:rPr>
            </w:pPr>
          </w:p>
        </w:tc>
        <w:tc>
          <w:tcPr>
            <w:tcW w:w="327" w:type="dxa"/>
            <w:vAlign w:val="center"/>
          </w:tcPr>
          <w:p w:rsidR="00CC4901" w:rsidRPr="007D4B22" w:rsidRDefault="00CC4901" w:rsidP="00CC4901">
            <w:pPr>
              <w:autoSpaceDE w:val="0"/>
              <w:autoSpaceDN w:val="0"/>
              <w:adjustRightInd w:val="0"/>
              <w:ind w:right="10"/>
              <w:jc w:val="right"/>
              <w:cnfStyle w:val="000000000000"/>
              <w:rPr>
                <w:rFonts w:ascii="Arial" w:hAnsi="Arial" w:cs="Arial"/>
                <w:color w:val="000000"/>
                <w:sz w:val="18"/>
                <w:szCs w:val="18"/>
              </w:rPr>
            </w:pPr>
            <w:r w:rsidRPr="007D4B22">
              <w:rPr>
                <w:rFonts w:ascii="Arial" w:hAnsi="Arial" w:cs="Arial"/>
                <w:color w:val="000000"/>
                <w:sz w:val="18"/>
                <w:szCs w:val="18"/>
              </w:rPr>
              <w:t>2</w:t>
            </w:r>
          </w:p>
        </w:tc>
        <w:tc>
          <w:tcPr>
            <w:cnfStyle w:val="000010000000"/>
            <w:tcW w:w="851" w:type="dxa"/>
            <w:vAlign w:val="center"/>
          </w:tcPr>
          <w:p w:rsidR="00CC4901" w:rsidRPr="007D4B22" w:rsidRDefault="00CC4901" w:rsidP="00CC4901">
            <w:pPr>
              <w:autoSpaceDE w:val="0"/>
              <w:autoSpaceDN w:val="0"/>
              <w:adjustRightInd w:val="0"/>
              <w:ind w:right="10"/>
              <w:jc w:val="right"/>
              <w:rPr>
                <w:rFonts w:ascii="Arial" w:hAnsi="Arial" w:cs="Arial"/>
                <w:color w:val="000000"/>
                <w:sz w:val="18"/>
                <w:szCs w:val="18"/>
              </w:rPr>
            </w:pPr>
            <w:r w:rsidRPr="007D4B22">
              <w:rPr>
                <w:rFonts w:ascii="Arial" w:hAnsi="Arial" w:cs="Arial"/>
                <w:color w:val="000000"/>
                <w:sz w:val="18"/>
                <w:szCs w:val="18"/>
              </w:rPr>
              <w:t>-0.023</w:t>
            </w:r>
          </w:p>
        </w:tc>
        <w:tc>
          <w:tcPr>
            <w:tcW w:w="970" w:type="dxa"/>
            <w:vAlign w:val="center"/>
          </w:tcPr>
          <w:p w:rsidR="00CC4901" w:rsidRPr="007D4B22" w:rsidRDefault="00CC4901" w:rsidP="00CC4901">
            <w:pPr>
              <w:autoSpaceDE w:val="0"/>
              <w:autoSpaceDN w:val="0"/>
              <w:adjustRightInd w:val="0"/>
              <w:ind w:right="10"/>
              <w:jc w:val="right"/>
              <w:cnfStyle w:val="000000000000"/>
              <w:rPr>
                <w:rFonts w:ascii="Arial" w:hAnsi="Arial" w:cs="Arial"/>
                <w:color w:val="000000"/>
                <w:sz w:val="18"/>
                <w:szCs w:val="18"/>
              </w:rPr>
            </w:pPr>
            <w:r w:rsidRPr="007D4B22">
              <w:rPr>
                <w:rFonts w:ascii="Arial" w:hAnsi="Arial" w:cs="Arial"/>
                <w:color w:val="000000"/>
                <w:sz w:val="18"/>
                <w:szCs w:val="18"/>
              </w:rPr>
              <w:t>26.327</w:t>
            </w:r>
          </w:p>
        </w:tc>
        <w:tc>
          <w:tcPr>
            <w:cnfStyle w:val="000010000000"/>
            <w:tcW w:w="677" w:type="dxa"/>
            <w:vAlign w:val="center"/>
          </w:tcPr>
          <w:p w:rsidR="00CC4901" w:rsidRPr="007D4B22" w:rsidRDefault="00CC4901" w:rsidP="00CC4901">
            <w:pPr>
              <w:autoSpaceDE w:val="0"/>
              <w:autoSpaceDN w:val="0"/>
              <w:adjustRightInd w:val="0"/>
              <w:ind w:right="10"/>
              <w:jc w:val="right"/>
              <w:rPr>
                <w:rFonts w:ascii="Arial" w:hAnsi="Arial" w:cs="Arial"/>
                <w:color w:val="000000"/>
                <w:sz w:val="18"/>
                <w:szCs w:val="18"/>
              </w:rPr>
            </w:pPr>
            <w:r w:rsidRPr="007D4B22">
              <w:rPr>
                <w:rFonts w:ascii="Arial" w:hAnsi="Arial" w:cs="Arial"/>
                <w:color w:val="000000"/>
                <w:sz w:val="18"/>
                <w:szCs w:val="18"/>
              </w:rPr>
              <w:t>0.000</w:t>
            </w:r>
          </w:p>
        </w:tc>
      </w:tr>
      <w:tr w:rsidR="00CC4901" w:rsidRPr="007D4B22" w:rsidTr="00CC4901">
        <w:trPr>
          <w:cnfStyle w:val="000000100000"/>
          <w:trHeight w:val="225"/>
          <w:jc w:val="center"/>
        </w:trPr>
        <w:tc>
          <w:tcPr>
            <w:cnfStyle w:val="000010000000"/>
            <w:tcW w:w="1908" w:type="dxa"/>
            <w:vMerge/>
          </w:tcPr>
          <w:p w:rsidR="00CC4901" w:rsidRPr="007D4B22" w:rsidRDefault="00CC4901" w:rsidP="00854C31">
            <w:pPr>
              <w:autoSpaceDE w:val="0"/>
              <w:autoSpaceDN w:val="0"/>
              <w:adjustRightInd w:val="0"/>
              <w:rPr>
                <w:rFonts w:ascii="Arial" w:hAnsi="Arial" w:cs="Arial"/>
                <w:color w:val="000000"/>
                <w:sz w:val="18"/>
                <w:szCs w:val="18"/>
              </w:rPr>
            </w:pPr>
          </w:p>
        </w:tc>
        <w:tc>
          <w:tcPr>
            <w:tcW w:w="327" w:type="dxa"/>
            <w:vAlign w:val="center"/>
          </w:tcPr>
          <w:p w:rsidR="00CC4901" w:rsidRPr="007D4B22" w:rsidRDefault="00CC4901" w:rsidP="00CC4901">
            <w:pPr>
              <w:autoSpaceDE w:val="0"/>
              <w:autoSpaceDN w:val="0"/>
              <w:adjustRightInd w:val="0"/>
              <w:ind w:right="10"/>
              <w:jc w:val="right"/>
              <w:cnfStyle w:val="000000100000"/>
              <w:rPr>
                <w:rFonts w:ascii="Arial" w:hAnsi="Arial" w:cs="Arial"/>
                <w:color w:val="000000"/>
                <w:sz w:val="18"/>
                <w:szCs w:val="18"/>
              </w:rPr>
            </w:pPr>
            <w:r w:rsidRPr="007D4B22">
              <w:rPr>
                <w:rFonts w:ascii="Arial" w:hAnsi="Arial" w:cs="Arial"/>
                <w:color w:val="000000"/>
                <w:sz w:val="18"/>
                <w:szCs w:val="18"/>
              </w:rPr>
              <w:t>3</w:t>
            </w:r>
          </w:p>
        </w:tc>
        <w:tc>
          <w:tcPr>
            <w:cnfStyle w:val="000010000000"/>
            <w:tcW w:w="851" w:type="dxa"/>
            <w:vAlign w:val="center"/>
          </w:tcPr>
          <w:p w:rsidR="00CC4901" w:rsidRPr="007D4B22" w:rsidRDefault="00CC4901" w:rsidP="00CC4901">
            <w:pPr>
              <w:autoSpaceDE w:val="0"/>
              <w:autoSpaceDN w:val="0"/>
              <w:adjustRightInd w:val="0"/>
              <w:ind w:right="10"/>
              <w:jc w:val="right"/>
              <w:rPr>
                <w:rFonts w:ascii="Arial" w:hAnsi="Arial" w:cs="Arial"/>
                <w:color w:val="000000"/>
                <w:sz w:val="18"/>
                <w:szCs w:val="18"/>
              </w:rPr>
            </w:pPr>
            <w:r w:rsidRPr="007D4B22">
              <w:rPr>
                <w:rFonts w:ascii="Arial" w:hAnsi="Arial" w:cs="Arial"/>
                <w:color w:val="000000"/>
                <w:sz w:val="18"/>
                <w:szCs w:val="18"/>
              </w:rPr>
              <w:t>0.123</w:t>
            </w:r>
          </w:p>
        </w:tc>
        <w:tc>
          <w:tcPr>
            <w:tcW w:w="970" w:type="dxa"/>
            <w:vAlign w:val="center"/>
          </w:tcPr>
          <w:p w:rsidR="00CC4901" w:rsidRPr="007D4B22" w:rsidRDefault="00CC4901" w:rsidP="00CC4901">
            <w:pPr>
              <w:autoSpaceDE w:val="0"/>
              <w:autoSpaceDN w:val="0"/>
              <w:adjustRightInd w:val="0"/>
              <w:ind w:right="10"/>
              <w:jc w:val="right"/>
              <w:cnfStyle w:val="000000100000"/>
              <w:rPr>
                <w:rFonts w:ascii="Arial" w:hAnsi="Arial" w:cs="Arial"/>
                <w:color w:val="000000"/>
                <w:sz w:val="18"/>
                <w:szCs w:val="18"/>
              </w:rPr>
            </w:pPr>
            <w:r w:rsidRPr="007D4B22">
              <w:rPr>
                <w:rFonts w:ascii="Arial" w:hAnsi="Arial" w:cs="Arial"/>
                <w:color w:val="000000"/>
                <w:sz w:val="18"/>
                <w:szCs w:val="18"/>
              </w:rPr>
              <w:t>29.671</w:t>
            </w:r>
          </w:p>
        </w:tc>
        <w:tc>
          <w:tcPr>
            <w:cnfStyle w:val="000010000000"/>
            <w:tcW w:w="677" w:type="dxa"/>
            <w:vAlign w:val="center"/>
          </w:tcPr>
          <w:p w:rsidR="00CC4901" w:rsidRPr="007D4B22" w:rsidRDefault="00CC4901" w:rsidP="00CC4901">
            <w:pPr>
              <w:autoSpaceDE w:val="0"/>
              <w:autoSpaceDN w:val="0"/>
              <w:adjustRightInd w:val="0"/>
              <w:ind w:right="10"/>
              <w:jc w:val="right"/>
              <w:rPr>
                <w:rFonts w:ascii="Arial" w:hAnsi="Arial" w:cs="Arial"/>
                <w:color w:val="000000"/>
                <w:sz w:val="18"/>
                <w:szCs w:val="18"/>
              </w:rPr>
            </w:pPr>
            <w:r w:rsidRPr="007D4B22">
              <w:rPr>
                <w:rFonts w:ascii="Arial" w:hAnsi="Arial" w:cs="Arial"/>
                <w:color w:val="000000"/>
                <w:sz w:val="18"/>
                <w:szCs w:val="18"/>
              </w:rPr>
              <w:t>0.000</w:t>
            </w:r>
          </w:p>
        </w:tc>
      </w:tr>
      <w:tr w:rsidR="00CC4901" w:rsidRPr="007D4B22" w:rsidTr="00CC4901">
        <w:trPr>
          <w:trHeight w:val="225"/>
          <w:jc w:val="center"/>
        </w:trPr>
        <w:tc>
          <w:tcPr>
            <w:cnfStyle w:val="000010000000"/>
            <w:tcW w:w="1908" w:type="dxa"/>
            <w:vMerge/>
          </w:tcPr>
          <w:p w:rsidR="00CC4901" w:rsidRPr="007D4B22" w:rsidRDefault="00CC4901" w:rsidP="00854C31">
            <w:pPr>
              <w:autoSpaceDE w:val="0"/>
              <w:autoSpaceDN w:val="0"/>
              <w:adjustRightInd w:val="0"/>
              <w:rPr>
                <w:rFonts w:ascii="Arial" w:hAnsi="Arial" w:cs="Arial"/>
                <w:color w:val="000000"/>
                <w:sz w:val="18"/>
                <w:szCs w:val="18"/>
              </w:rPr>
            </w:pPr>
          </w:p>
        </w:tc>
        <w:tc>
          <w:tcPr>
            <w:tcW w:w="327" w:type="dxa"/>
            <w:vAlign w:val="center"/>
          </w:tcPr>
          <w:p w:rsidR="00CC4901" w:rsidRPr="007D4B22" w:rsidRDefault="00CC4901" w:rsidP="00CC4901">
            <w:pPr>
              <w:autoSpaceDE w:val="0"/>
              <w:autoSpaceDN w:val="0"/>
              <w:adjustRightInd w:val="0"/>
              <w:ind w:right="10"/>
              <w:jc w:val="right"/>
              <w:cnfStyle w:val="000000000000"/>
              <w:rPr>
                <w:rFonts w:ascii="Arial" w:hAnsi="Arial" w:cs="Arial"/>
                <w:color w:val="000000"/>
                <w:sz w:val="18"/>
                <w:szCs w:val="18"/>
              </w:rPr>
            </w:pPr>
            <w:r w:rsidRPr="007D4B22">
              <w:rPr>
                <w:rFonts w:ascii="Arial" w:hAnsi="Arial" w:cs="Arial"/>
                <w:color w:val="000000"/>
                <w:sz w:val="18"/>
                <w:szCs w:val="18"/>
              </w:rPr>
              <w:t>4</w:t>
            </w:r>
          </w:p>
        </w:tc>
        <w:tc>
          <w:tcPr>
            <w:cnfStyle w:val="000010000000"/>
            <w:tcW w:w="851" w:type="dxa"/>
            <w:vAlign w:val="center"/>
          </w:tcPr>
          <w:p w:rsidR="00CC4901" w:rsidRPr="007D4B22" w:rsidRDefault="00CC4901" w:rsidP="00CC4901">
            <w:pPr>
              <w:autoSpaceDE w:val="0"/>
              <w:autoSpaceDN w:val="0"/>
              <w:adjustRightInd w:val="0"/>
              <w:ind w:right="10"/>
              <w:jc w:val="right"/>
              <w:rPr>
                <w:rFonts w:ascii="Arial" w:hAnsi="Arial" w:cs="Arial"/>
                <w:color w:val="000000"/>
                <w:sz w:val="18"/>
                <w:szCs w:val="18"/>
              </w:rPr>
            </w:pPr>
            <w:r w:rsidRPr="007D4B22">
              <w:rPr>
                <w:rFonts w:ascii="Arial" w:hAnsi="Arial" w:cs="Arial"/>
                <w:color w:val="000000"/>
                <w:sz w:val="18"/>
                <w:szCs w:val="18"/>
              </w:rPr>
              <w:t>0.034</w:t>
            </w:r>
          </w:p>
        </w:tc>
        <w:tc>
          <w:tcPr>
            <w:tcW w:w="970" w:type="dxa"/>
            <w:vAlign w:val="center"/>
          </w:tcPr>
          <w:p w:rsidR="00CC4901" w:rsidRPr="007D4B22" w:rsidRDefault="00CC4901" w:rsidP="00CC4901">
            <w:pPr>
              <w:autoSpaceDE w:val="0"/>
              <w:autoSpaceDN w:val="0"/>
              <w:adjustRightInd w:val="0"/>
              <w:ind w:right="10"/>
              <w:jc w:val="right"/>
              <w:cnfStyle w:val="000000000000"/>
              <w:rPr>
                <w:rFonts w:ascii="Arial" w:hAnsi="Arial" w:cs="Arial"/>
                <w:color w:val="000000"/>
                <w:sz w:val="18"/>
                <w:szCs w:val="18"/>
              </w:rPr>
            </w:pPr>
            <w:r w:rsidRPr="007D4B22">
              <w:rPr>
                <w:rFonts w:ascii="Arial" w:hAnsi="Arial" w:cs="Arial"/>
                <w:color w:val="000000"/>
                <w:sz w:val="18"/>
                <w:szCs w:val="18"/>
              </w:rPr>
              <w:t>32.128</w:t>
            </w:r>
          </w:p>
        </w:tc>
        <w:tc>
          <w:tcPr>
            <w:cnfStyle w:val="000010000000"/>
            <w:tcW w:w="677" w:type="dxa"/>
            <w:vAlign w:val="center"/>
          </w:tcPr>
          <w:p w:rsidR="00CC4901" w:rsidRPr="007D4B22" w:rsidRDefault="00CC4901" w:rsidP="00CC4901">
            <w:pPr>
              <w:autoSpaceDE w:val="0"/>
              <w:autoSpaceDN w:val="0"/>
              <w:adjustRightInd w:val="0"/>
              <w:ind w:right="10"/>
              <w:jc w:val="right"/>
              <w:rPr>
                <w:rFonts w:ascii="Arial" w:hAnsi="Arial" w:cs="Arial"/>
                <w:color w:val="000000"/>
                <w:sz w:val="18"/>
                <w:szCs w:val="18"/>
              </w:rPr>
            </w:pPr>
            <w:r w:rsidRPr="007D4B22">
              <w:rPr>
                <w:rFonts w:ascii="Arial" w:hAnsi="Arial" w:cs="Arial"/>
                <w:color w:val="000000"/>
                <w:sz w:val="18"/>
                <w:szCs w:val="18"/>
              </w:rPr>
              <w:t>0.000</w:t>
            </w:r>
          </w:p>
        </w:tc>
      </w:tr>
      <w:tr w:rsidR="00CC4901" w:rsidRPr="007D4B22" w:rsidTr="00CC4901">
        <w:trPr>
          <w:cnfStyle w:val="000000100000"/>
          <w:trHeight w:val="225"/>
          <w:jc w:val="center"/>
        </w:trPr>
        <w:tc>
          <w:tcPr>
            <w:cnfStyle w:val="000010000000"/>
            <w:tcW w:w="1908" w:type="dxa"/>
            <w:vMerge/>
          </w:tcPr>
          <w:p w:rsidR="00CC4901" w:rsidRPr="007D4B22" w:rsidRDefault="00CC4901" w:rsidP="00854C31">
            <w:pPr>
              <w:autoSpaceDE w:val="0"/>
              <w:autoSpaceDN w:val="0"/>
              <w:adjustRightInd w:val="0"/>
              <w:rPr>
                <w:rFonts w:ascii="Arial" w:hAnsi="Arial" w:cs="Arial"/>
                <w:color w:val="000000"/>
                <w:sz w:val="18"/>
                <w:szCs w:val="18"/>
              </w:rPr>
            </w:pPr>
          </w:p>
        </w:tc>
        <w:tc>
          <w:tcPr>
            <w:tcW w:w="327" w:type="dxa"/>
            <w:vAlign w:val="center"/>
          </w:tcPr>
          <w:p w:rsidR="00CC4901" w:rsidRPr="007D4B22" w:rsidRDefault="00CC4901" w:rsidP="00CC4901">
            <w:pPr>
              <w:autoSpaceDE w:val="0"/>
              <w:autoSpaceDN w:val="0"/>
              <w:adjustRightInd w:val="0"/>
              <w:ind w:right="10"/>
              <w:jc w:val="right"/>
              <w:cnfStyle w:val="000000100000"/>
              <w:rPr>
                <w:rFonts w:ascii="Arial" w:hAnsi="Arial" w:cs="Arial"/>
                <w:color w:val="000000"/>
                <w:sz w:val="18"/>
                <w:szCs w:val="18"/>
              </w:rPr>
            </w:pPr>
            <w:r w:rsidRPr="007D4B22">
              <w:rPr>
                <w:rFonts w:ascii="Arial" w:hAnsi="Arial" w:cs="Arial"/>
                <w:color w:val="000000"/>
                <w:sz w:val="18"/>
                <w:szCs w:val="18"/>
              </w:rPr>
              <w:t>5</w:t>
            </w:r>
          </w:p>
        </w:tc>
        <w:tc>
          <w:tcPr>
            <w:cnfStyle w:val="000010000000"/>
            <w:tcW w:w="851" w:type="dxa"/>
            <w:vAlign w:val="center"/>
          </w:tcPr>
          <w:p w:rsidR="00CC4901" w:rsidRPr="007D4B22" w:rsidRDefault="00CC4901" w:rsidP="00CC4901">
            <w:pPr>
              <w:autoSpaceDE w:val="0"/>
              <w:autoSpaceDN w:val="0"/>
              <w:adjustRightInd w:val="0"/>
              <w:ind w:right="10"/>
              <w:jc w:val="right"/>
              <w:rPr>
                <w:rFonts w:ascii="Arial" w:hAnsi="Arial" w:cs="Arial"/>
                <w:color w:val="000000"/>
                <w:sz w:val="18"/>
                <w:szCs w:val="18"/>
              </w:rPr>
            </w:pPr>
            <w:r w:rsidRPr="007D4B22">
              <w:rPr>
                <w:rFonts w:ascii="Arial" w:hAnsi="Arial" w:cs="Arial"/>
                <w:color w:val="000000"/>
                <w:sz w:val="18"/>
                <w:szCs w:val="18"/>
              </w:rPr>
              <w:t>-0.066</w:t>
            </w:r>
          </w:p>
        </w:tc>
        <w:tc>
          <w:tcPr>
            <w:tcW w:w="970" w:type="dxa"/>
            <w:vAlign w:val="center"/>
          </w:tcPr>
          <w:p w:rsidR="00CC4901" w:rsidRPr="007D4B22" w:rsidRDefault="00CC4901" w:rsidP="00CC4901">
            <w:pPr>
              <w:autoSpaceDE w:val="0"/>
              <w:autoSpaceDN w:val="0"/>
              <w:adjustRightInd w:val="0"/>
              <w:ind w:right="10"/>
              <w:jc w:val="right"/>
              <w:cnfStyle w:val="000000100000"/>
              <w:rPr>
                <w:rFonts w:ascii="Arial" w:hAnsi="Arial" w:cs="Arial"/>
                <w:color w:val="000000"/>
                <w:sz w:val="18"/>
                <w:szCs w:val="18"/>
              </w:rPr>
            </w:pPr>
            <w:r w:rsidRPr="007D4B22">
              <w:rPr>
                <w:rFonts w:ascii="Arial" w:hAnsi="Arial" w:cs="Arial"/>
                <w:color w:val="000000"/>
                <w:sz w:val="18"/>
                <w:szCs w:val="18"/>
              </w:rPr>
              <w:t>32.211</w:t>
            </w:r>
          </w:p>
        </w:tc>
        <w:tc>
          <w:tcPr>
            <w:cnfStyle w:val="000010000000"/>
            <w:tcW w:w="677" w:type="dxa"/>
            <w:vAlign w:val="center"/>
          </w:tcPr>
          <w:p w:rsidR="00CC4901" w:rsidRPr="007D4B22" w:rsidRDefault="00CC4901" w:rsidP="00CC4901">
            <w:pPr>
              <w:autoSpaceDE w:val="0"/>
              <w:autoSpaceDN w:val="0"/>
              <w:adjustRightInd w:val="0"/>
              <w:ind w:right="10"/>
              <w:jc w:val="right"/>
              <w:rPr>
                <w:rFonts w:ascii="Arial" w:hAnsi="Arial" w:cs="Arial"/>
                <w:color w:val="000000"/>
                <w:sz w:val="18"/>
                <w:szCs w:val="18"/>
              </w:rPr>
            </w:pPr>
            <w:r w:rsidRPr="007D4B22">
              <w:rPr>
                <w:rFonts w:ascii="Arial" w:hAnsi="Arial" w:cs="Arial"/>
                <w:color w:val="000000"/>
                <w:sz w:val="18"/>
                <w:szCs w:val="18"/>
              </w:rPr>
              <w:t>0.000</w:t>
            </w:r>
          </w:p>
        </w:tc>
      </w:tr>
      <w:tr w:rsidR="00CC4901" w:rsidRPr="007D4B22" w:rsidTr="00CC4901">
        <w:trPr>
          <w:trHeight w:val="225"/>
          <w:jc w:val="center"/>
        </w:trPr>
        <w:tc>
          <w:tcPr>
            <w:cnfStyle w:val="000010000000"/>
            <w:tcW w:w="1908" w:type="dxa"/>
            <w:vMerge/>
          </w:tcPr>
          <w:p w:rsidR="00CC4901" w:rsidRPr="007D4B22" w:rsidRDefault="00CC4901" w:rsidP="00854C31">
            <w:pPr>
              <w:autoSpaceDE w:val="0"/>
              <w:autoSpaceDN w:val="0"/>
              <w:adjustRightInd w:val="0"/>
              <w:rPr>
                <w:rFonts w:ascii="Arial" w:hAnsi="Arial" w:cs="Arial"/>
                <w:color w:val="000000"/>
                <w:sz w:val="18"/>
                <w:szCs w:val="18"/>
              </w:rPr>
            </w:pPr>
          </w:p>
        </w:tc>
        <w:tc>
          <w:tcPr>
            <w:tcW w:w="327" w:type="dxa"/>
            <w:vAlign w:val="center"/>
          </w:tcPr>
          <w:p w:rsidR="00CC4901" w:rsidRPr="007D4B22" w:rsidRDefault="00CC4901" w:rsidP="00CC4901">
            <w:pPr>
              <w:autoSpaceDE w:val="0"/>
              <w:autoSpaceDN w:val="0"/>
              <w:adjustRightInd w:val="0"/>
              <w:ind w:right="10"/>
              <w:jc w:val="right"/>
              <w:cnfStyle w:val="000000000000"/>
              <w:rPr>
                <w:rFonts w:ascii="Arial" w:hAnsi="Arial" w:cs="Arial"/>
                <w:color w:val="000000"/>
                <w:sz w:val="18"/>
                <w:szCs w:val="18"/>
              </w:rPr>
            </w:pPr>
            <w:r w:rsidRPr="007D4B22">
              <w:rPr>
                <w:rFonts w:ascii="Arial" w:hAnsi="Arial" w:cs="Arial"/>
                <w:color w:val="000000"/>
                <w:sz w:val="18"/>
                <w:szCs w:val="18"/>
              </w:rPr>
              <w:t>6</w:t>
            </w:r>
          </w:p>
        </w:tc>
        <w:tc>
          <w:tcPr>
            <w:cnfStyle w:val="000010000000"/>
            <w:tcW w:w="851" w:type="dxa"/>
            <w:vAlign w:val="center"/>
          </w:tcPr>
          <w:p w:rsidR="00CC4901" w:rsidRPr="007D4B22" w:rsidRDefault="00CC4901" w:rsidP="00CC4901">
            <w:pPr>
              <w:autoSpaceDE w:val="0"/>
              <w:autoSpaceDN w:val="0"/>
              <w:adjustRightInd w:val="0"/>
              <w:ind w:right="10"/>
              <w:jc w:val="right"/>
              <w:rPr>
                <w:rFonts w:ascii="Arial" w:hAnsi="Arial" w:cs="Arial"/>
                <w:color w:val="000000"/>
                <w:sz w:val="18"/>
                <w:szCs w:val="18"/>
              </w:rPr>
            </w:pPr>
            <w:r w:rsidRPr="007D4B22">
              <w:rPr>
                <w:rFonts w:ascii="Arial" w:hAnsi="Arial" w:cs="Arial"/>
                <w:color w:val="000000"/>
                <w:sz w:val="18"/>
                <w:szCs w:val="18"/>
              </w:rPr>
              <w:t>0.013</w:t>
            </w:r>
          </w:p>
        </w:tc>
        <w:tc>
          <w:tcPr>
            <w:tcW w:w="970" w:type="dxa"/>
            <w:vAlign w:val="center"/>
          </w:tcPr>
          <w:p w:rsidR="00CC4901" w:rsidRPr="007D4B22" w:rsidRDefault="00CC4901" w:rsidP="00CC4901">
            <w:pPr>
              <w:autoSpaceDE w:val="0"/>
              <w:autoSpaceDN w:val="0"/>
              <w:adjustRightInd w:val="0"/>
              <w:ind w:right="10"/>
              <w:jc w:val="right"/>
              <w:cnfStyle w:val="000000000000"/>
              <w:rPr>
                <w:rFonts w:ascii="Arial" w:hAnsi="Arial" w:cs="Arial"/>
                <w:color w:val="000000"/>
                <w:sz w:val="18"/>
                <w:szCs w:val="18"/>
              </w:rPr>
            </w:pPr>
            <w:r w:rsidRPr="007D4B22">
              <w:rPr>
                <w:rFonts w:ascii="Arial" w:hAnsi="Arial" w:cs="Arial"/>
                <w:color w:val="000000"/>
                <w:sz w:val="18"/>
                <w:szCs w:val="18"/>
              </w:rPr>
              <w:t>32.227</w:t>
            </w:r>
          </w:p>
        </w:tc>
        <w:tc>
          <w:tcPr>
            <w:cnfStyle w:val="000010000000"/>
            <w:tcW w:w="677" w:type="dxa"/>
            <w:vAlign w:val="center"/>
          </w:tcPr>
          <w:p w:rsidR="00CC4901" w:rsidRPr="007D4B22" w:rsidRDefault="00CC4901" w:rsidP="00CC4901">
            <w:pPr>
              <w:autoSpaceDE w:val="0"/>
              <w:autoSpaceDN w:val="0"/>
              <w:adjustRightInd w:val="0"/>
              <w:ind w:right="10"/>
              <w:jc w:val="right"/>
              <w:rPr>
                <w:rFonts w:ascii="Arial" w:hAnsi="Arial" w:cs="Arial"/>
                <w:color w:val="000000"/>
                <w:sz w:val="18"/>
                <w:szCs w:val="18"/>
              </w:rPr>
            </w:pPr>
            <w:r w:rsidRPr="007D4B22">
              <w:rPr>
                <w:rFonts w:ascii="Arial" w:hAnsi="Arial" w:cs="Arial"/>
                <w:color w:val="000000"/>
                <w:sz w:val="18"/>
                <w:szCs w:val="18"/>
              </w:rPr>
              <w:t>0.000</w:t>
            </w:r>
          </w:p>
        </w:tc>
      </w:tr>
      <w:tr w:rsidR="00CC4901" w:rsidRPr="007D4B22" w:rsidTr="00CC4901">
        <w:trPr>
          <w:cnfStyle w:val="000000100000"/>
          <w:trHeight w:val="225"/>
          <w:jc w:val="center"/>
        </w:trPr>
        <w:tc>
          <w:tcPr>
            <w:cnfStyle w:val="000010000000"/>
            <w:tcW w:w="1908" w:type="dxa"/>
            <w:vMerge/>
          </w:tcPr>
          <w:p w:rsidR="00CC4901" w:rsidRPr="007D4B22" w:rsidRDefault="00CC4901" w:rsidP="00854C31">
            <w:pPr>
              <w:autoSpaceDE w:val="0"/>
              <w:autoSpaceDN w:val="0"/>
              <w:adjustRightInd w:val="0"/>
              <w:rPr>
                <w:rFonts w:ascii="Arial" w:hAnsi="Arial" w:cs="Arial"/>
                <w:color w:val="000000"/>
                <w:sz w:val="18"/>
                <w:szCs w:val="18"/>
              </w:rPr>
            </w:pPr>
          </w:p>
        </w:tc>
        <w:tc>
          <w:tcPr>
            <w:tcW w:w="327" w:type="dxa"/>
            <w:vAlign w:val="center"/>
          </w:tcPr>
          <w:p w:rsidR="00CC4901" w:rsidRPr="007D4B22" w:rsidRDefault="00CC4901" w:rsidP="00CC4901">
            <w:pPr>
              <w:autoSpaceDE w:val="0"/>
              <w:autoSpaceDN w:val="0"/>
              <w:adjustRightInd w:val="0"/>
              <w:ind w:right="10"/>
              <w:jc w:val="right"/>
              <w:cnfStyle w:val="000000100000"/>
              <w:rPr>
                <w:rFonts w:ascii="Arial" w:hAnsi="Arial" w:cs="Arial"/>
                <w:color w:val="000000"/>
                <w:sz w:val="18"/>
                <w:szCs w:val="18"/>
              </w:rPr>
            </w:pPr>
            <w:r w:rsidRPr="007D4B22">
              <w:rPr>
                <w:rFonts w:ascii="Arial" w:hAnsi="Arial" w:cs="Arial"/>
                <w:color w:val="000000"/>
                <w:sz w:val="18"/>
                <w:szCs w:val="18"/>
              </w:rPr>
              <w:t>7</w:t>
            </w:r>
          </w:p>
        </w:tc>
        <w:tc>
          <w:tcPr>
            <w:cnfStyle w:val="000010000000"/>
            <w:tcW w:w="851" w:type="dxa"/>
            <w:vAlign w:val="center"/>
          </w:tcPr>
          <w:p w:rsidR="00CC4901" w:rsidRPr="007D4B22" w:rsidRDefault="00CC4901" w:rsidP="00CC4901">
            <w:pPr>
              <w:autoSpaceDE w:val="0"/>
              <w:autoSpaceDN w:val="0"/>
              <w:adjustRightInd w:val="0"/>
              <w:ind w:right="10"/>
              <w:jc w:val="right"/>
              <w:rPr>
                <w:rFonts w:ascii="Arial" w:hAnsi="Arial" w:cs="Arial"/>
                <w:color w:val="000000"/>
                <w:sz w:val="18"/>
                <w:szCs w:val="18"/>
              </w:rPr>
            </w:pPr>
            <w:r w:rsidRPr="007D4B22">
              <w:rPr>
                <w:rFonts w:ascii="Arial" w:hAnsi="Arial" w:cs="Arial"/>
                <w:color w:val="000000"/>
                <w:sz w:val="18"/>
                <w:szCs w:val="18"/>
              </w:rPr>
              <w:t>-0.062</w:t>
            </w:r>
          </w:p>
        </w:tc>
        <w:tc>
          <w:tcPr>
            <w:tcW w:w="970" w:type="dxa"/>
            <w:vAlign w:val="center"/>
          </w:tcPr>
          <w:p w:rsidR="00CC4901" w:rsidRPr="007D4B22" w:rsidRDefault="00CC4901" w:rsidP="00CC4901">
            <w:pPr>
              <w:autoSpaceDE w:val="0"/>
              <w:autoSpaceDN w:val="0"/>
              <w:adjustRightInd w:val="0"/>
              <w:ind w:right="10"/>
              <w:jc w:val="right"/>
              <w:cnfStyle w:val="000000100000"/>
              <w:rPr>
                <w:rFonts w:ascii="Arial" w:hAnsi="Arial" w:cs="Arial"/>
                <w:color w:val="000000"/>
                <w:sz w:val="18"/>
                <w:szCs w:val="18"/>
              </w:rPr>
            </w:pPr>
            <w:r w:rsidRPr="007D4B22">
              <w:rPr>
                <w:rFonts w:ascii="Arial" w:hAnsi="Arial" w:cs="Arial"/>
                <w:color w:val="000000"/>
                <w:sz w:val="18"/>
                <w:szCs w:val="18"/>
              </w:rPr>
              <w:t>32.338</w:t>
            </w:r>
          </w:p>
        </w:tc>
        <w:tc>
          <w:tcPr>
            <w:cnfStyle w:val="000010000000"/>
            <w:tcW w:w="677" w:type="dxa"/>
            <w:vAlign w:val="center"/>
          </w:tcPr>
          <w:p w:rsidR="00CC4901" w:rsidRPr="007D4B22" w:rsidRDefault="00CC4901" w:rsidP="00CC4901">
            <w:pPr>
              <w:autoSpaceDE w:val="0"/>
              <w:autoSpaceDN w:val="0"/>
              <w:adjustRightInd w:val="0"/>
              <w:ind w:right="10"/>
              <w:jc w:val="right"/>
              <w:rPr>
                <w:rFonts w:ascii="Arial" w:hAnsi="Arial" w:cs="Arial"/>
                <w:color w:val="000000"/>
                <w:sz w:val="18"/>
                <w:szCs w:val="18"/>
              </w:rPr>
            </w:pPr>
            <w:r w:rsidRPr="007D4B22">
              <w:rPr>
                <w:rFonts w:ascii="Arial" w:hAnsi="Arial" w:cs="Arial"/>
                <w:color w:val="000000"/>
                <w:sz w:val="18"/>
                <w:szCs w:val="18"/>
              </w:rPr>
              <w:t>0.000</w:t>
            </w:r>
          </w:p>
        </w:tc>
      </w:tr>
      <w:tr w:rsidR="00CC4901" w:rsidRPr="007D4B22" w:rsidTr="00CC4901">
        <w:trPr>
          <w:trHeight w:val="225"/>
          <w:jc w:val="center"/>
        </w:trPr>
        <w:tc>
          <w:tcPr>
            <w:cnfStyle w:val="000010000000"/>
            <w:tcW w:w="1908" w:type="dxa"/>
            <w:vMerge/>
          </w:tcPr>
          <w:p w:rsidR="00CC4901" w:rsidRPr="007D4B22" w:rsidRDefault="00CC4901" w:rsidP="00854C31">
            <w:pPr>
              <w:autoSpaceDE w:val="0"/>
              <w:autoSpaceDN w:val="0"/>
              <w:adjustRightInd w:val="0"/>
              <w:rPr>
                <w:rFonts w:ascii="Arial" w:hAnsi="Arial" w:cs="Arial"/>
                <w:color w:val="000000"/>
                <w:sz w:val="18"/>
                <w:szCs w:val="18"/>
              </w:rPr>
            </w:pPr>
          </w:p>
        </w:tc>
        <w:tc>
          <w:tcPr>
            <w:tcW w:w="327" w:type="dxa"/>
            <w:vAlign w:val="center"/>
          </w:tcPr>
          <w:p w:rsidR="00CC4901" w:rsidRPr="007D4B22" w:rsidRDefault="00CC4901" w:rsidP="00CC4901">
            <w:pPr>
              <w:autoSpaceDE w:val="0"/>
              <w:autoSpaceDN w:val="0"/>
              <w:adjustRightInd w:val="0"/>
              <w:ind w:right="10"/>
              <w:jc w:val="right"/>
              <w:cnfStyle w:val="000000000000"/>
              <w:rPr>
                <w:rFonts w:ascii="Arial" w:hAnsi="Arial" w:cs="Arial"/>
                <w:color w:val="000000"/>
                <w:sz w:val="18"/>
                <w:szCs w:val="18"/>
              </w:rPr>
            </w:pPr>
            <w:r w:rsidRPr="007D4B22">
              <w:rPr>
                <w:rFonts w:ascii="Arial" w:hAnsi="Arial" w:cs="Arial"/>
                <w:color w:val="000000"/>
                <w:sz w:val="18"/>
                <w:szCs w:val="18"/>
              </w:rPr>
              <w:t>8</w:t>
            </w:r>
          </w:p>
        </w:tc>
        <w:tc>
          <w:tcPr>
            <w:cnfStyle w:val="000010000000"/>
            <w:tcW w:w="851" w:type="dxa"/>
            <w:vAlign w:val="center"/>
          </w:tcPr>
          <w:p w:rsidR="00CC4901" w:rsidRPr="007D4B22" w:rsidRDefault="00CC4901" w:rsidP="00CC4901">
            <w:pPr>
              <w:autoSpaceDE w:val="0"/>
              <w:autoSpaceDN w:val="0"/>
              <w:adjustRightInd w:val="0"/>
              <w:ind w:right="10"/>
              <w:jc w:val="right"/>
              <w:rPr>
                <w:rFonts w:ascii="Arial" w:hAnsi="Arial" w:cs="Arial"/>
                <w:color w:val="000000"/>
                <w:sz w:val="18"/>
                <w:szCs w:val="18"/>
              </w:rPr>
            </w:pPr>
            <w:r w:rsidRPr="007D4B22">
              <w:rPr>
                <w:rFonts w:ascii="Arial" w:hAnsi="Arial" w:cs="Arial"/>
                <w:color w:val="000000"/>
                <w:sz w:val="18"/>
                <w:szCs w:val="18"/>
              </w:rPr>
              <w:t>-0.099</w:t>
            </w:r>
          </w:p>
        </w:tc>
        <w:tc>
          <w:tcPr>
            <w:tcW w:w="970" w:type="dxa"/>
            <w:vAlign w:val="center"/>
          </w:tcPr>
          <w:p w:rsidR="00CC4901" w:rsidRPr="007D4B22" w:rsidRDefault="00CC4901" w:rsidP="00CC4901">
            <w:pPr>
              <w:autoSpaceDE w:val="0"/>
              <w:autoSpaceDN w:val="0"/>
              <w:adjustRightInd w:val="0"/>
              <w:ind w:right="10"/>
              <w:jc w:val="right"/>
              <w:cnfStyle w:val="000000000000"/>
              <w:rPr>
                <w:rFonts w:ascii="Arial" w:hAnsi="Arial" w:cs="Arial"/>
                <w:color w:val="000000"/>
                <w:sz w:val="18"/>
                <w:szCs w:val="18"/>
              </w:rPr>
            </w:pPr>
            <w:r w:rsidRPr="007D4B22">
              <w:rPr>
                <w:rFonts w:ascii="Arial" w:hAnsi="Arial" w:cs="Arial"/>
                <w:color w:val="000000"/>
                <w:sz w:val="18"/>
                <w:szCs w:val="18"/>
              </w:rPr>
              <w:t>34.065</w:t>
            </w:r>
          </w:p>
        </w:tc>
        <w:tc>
          <w:tcPr>
            <w:cnfStyle w:val="000010000000"/>
            <w:tcW w:w="677" w:type="dxa"/>
            <w:vAlign w:val="center"/>
          </w:tcPr>
          <w:p w:rsidR="00CC4901" w:rsidRPr="007D4B22" w:rsidRDefault="00CC4901" w:rsidP="00735207">
            <w:pPr>
              <w:keepNext/>
              <w:autoSpaceDE w:val="0"/>
              <w:autoSpaceDN w:val="0"/>
              <w:adjustRightInd w:val="0"/>
              <w:ind w:right="10"/>
              <w:jc w:val="right"/>
              <w:rPr>
                <w:rFonts w:ascii="Arial" w:hAnsi="Arial" w:cs="Arial"/>
                <w:color w:val="000000"/>
                <w:sz w:val="18"/>
                <w:szCs w:val="18"/>
              </w:rPr>
            </w:pPr>
            <w:r w:rsidRPr="007D4B22">
              <w:rPr>
                <w:rFonts w:ascii="Arial" w:hAnsi="Arial" w:cs="Arial"/>
                <w:color w:val="000000"/>
                <w:sz w:val="18"/>
                <w:szCs w:val="18"/>
              </w:rPr>
              <w:t>0.000</w:t>
            </w:r>
          </w:p>
        </w:tc>
      </w:tr>
    </w:tbl>
    <w:p w:rsidR="00735207" w:rsidRPr="004454F3" w:rsidRDefault="00735207" w:rsidP="00735207">
      <w:pPr>
        <w:pStyle w:val="Caption"/>
        <w:jc w:val="center"/>
        <w:rPr>
          <w:lang w:val="en-US"/>
        </w:rPr>
      </w:pPr>
      <w:r w:rsidRPr="004454F3">
        <w:rPr>
          <w:lang w:val="en-US"/>
        </w:rPr>
        <w:t xml:space="preserve">Table </w:t>
      </w:r>
      <w:r w:rsidR="00DB780A">
        <w:fldChar w:fldCharType="begin"/>
      </w:r>
      <w:r w:rsidRPr="004454F3">
        <w:rPr>
          <w:lang w:val="en-US"/>
        </w:rPr>
        <w:instrText xml:space="preserve"> SEQ Table \* ARABIC </w:instrText>
      </w:r>
      <w:r w:rsidR="00DB780A">
        <w:fldChar w:fldCharType="separate"/>
      </w:r>
      <w:r w:rsidR="004454F3">
        <w:rPr>
          <w:noProof/>
          <w:lang w:val="en-US"/>
        </w:rPr>
        <w:t>14</w:t>
      </w:r>
      <w:r w:rsidR="00DB780A">
        <w:fldChar w:fldCharType="end"/>
      </w:r>
      <w:r w:rsidRPr="004454F3">
        <w:rPr>
          <w:lang w:val="en-US"/>
        </w:rPr>
        <w:t xml:space="preserve"> | Correlogram of equation 2.10's residuals</w:t>
      </w:r>
    </w:p>
    <w:p w:rsidR="007D4B22" w:rsidRDefault="00CC4901" w:rsidP="00CE2BA2">
      <w:pPr>
        <w:spacing w:line="360" w:lineRule="auto"/>
        <w:jc w:val="both"/>
        <w:rPr>
          <w:lang w:val="en-US"/>
        </w:rPr>
      </w:pPr>
      <w:r>
        <w:rPr>
          <w:lang w:val="en-US"/>
        </w:rPr>
        <w:t>Significant partial correlation at the first lag suggests fitting an autoregressive term of the first order. Doing so improves the model quite a lot. It results in the following equation:</w:t>
      </w:r>
    </w:p>
    <w:p w:rsidR="00CC4901" w:rsidRDefault="00DB780A" w:rsidP="0041240A">
      <w:pPr>
        <w:spacing w:line="360" w:lineRule="auto"/>
        <w:jc w:val="right"/>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eastAsiaTheme="minorEastAsia"/>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2</m:t>
            </m:r>
          </m:sub>
        </m:sSub>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m</m:t>
                </m:r>
              </m:e>
            </m:acc>
          </m:e>
          <m:sub>
            <m:r>
              <w:rPr>
                <w:rFonts w:ascii="Cambria Math" w:eastAsiaTheme="minorEastAsia" w:hAnsi="Cambria Math"/>
                <w:lang w:val="en-US"/>
              </w:rPr>
              <m:t>t</m:t>
            </m:r>
          </m:sub>
        </m:sSub>
        <m:r>
          <w:rPr>
            <w:rFonts w:ascii="Cambria Math" w:eastAsiaTheme="minorEastAsia"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3</m:t>
            </m:r>
          </m:sub>
        </m:sSub>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acc>
          <m:accPr>
            <m:chr m:val="̃"/>
            <m:ctrlPr>
              <w:rPr>
                <w:rFonts w:ascii="Cambria Math" w:eastAsiaTheme="minorEastAsia" w:hAnsi="Cambria Math"/>
                <w:i/>
                <w:lang w:val="en-US"/>
              </w:rPr>
            </m:ctrlPr>
          </m:acc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t</m:t>
                </m:r>
              </m:sub>
            </m:sSub>
          </m:e>
        </m:acc>
        <m:r>
          <w:rPr>
            <w:rFonts w:ascii="Cambria Math" w:eastAsiaTheme="minorEastAsia"/>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4</m:t>
            </m:r>
          </m:sub>
        </m:sSub>
        <m:r>
          <w:rPr>
            <w:rFonts w:ascii="Cambria Math" w:hAnsi="Cambria Math"/>
            <w:lang w:val="en-US"/>
          </w:rPr>
          <m:t>∆</m:t>
        </m:r>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r</m:t>
                </m:r>
              </m:e>
            </m:acc>
          </m:e>
          <m:sub>
            <m:r>
              <w:rPr>
                <w:rFonts w:ascii="Cambria Math" w:eastAsiaTheme="minorEastAsia" w:hAnsi="Cambria Math"/>
                <w:lang w:val="en-US"/>
              </w:rPr>
              <m:t>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oMath>
      <w:r w:rsidR="00CC4901">
        <w:rPr>
          <w:rFonts w:eastAsiaTheme="minorEastAsia"/>
          <w:lang w:val="en-US"/>
        </w:rPr>
        <w:tab/>
      </w:r>
      <w:r w:rsidR="00CC4901">
        <w:rPr>
          <w:rFonts w:eastAsiaTheme="minorEastAsia"/>
          <w:lang w:val="en-US"/>
        </w:rPr>
        <w:tab/>
        <w:t xml:space="preserve">           (2.</w:t>
      </w:r>
      <w:r w:rsidR="00C179E8">
        <w:rPr>
          <w:rFonts w:eastAsiaTheme="minorEastAsia"/>
          <w:lang w:val="en-US"/>
        </w:rPr>
        <w:t>12</w:t>
      </w:r>
      <w:r w:rsidR="00CC4901">
        <w:rPr>
          <w:rFonts w:eastAsiaTheme="minorEastAsia"/>
          <w:lang w:val="en-US"/>
        </w:rPr>
        <w:t>)</w:t>
      </w:r>
    </w:p>
    <w:p w:rsidR="00CC4901" w:rsidRDefault="002A195D" w:rsidP="0041240A">
      <w:pPr>
        <w:spacing w:line="360" w:lineRule="auto"/>
        <w:rPr>
          <w:lang w:val="en-US"/>
        </w:rPr>
      </w:pPr>
      <w:r>
        <w:rPr>
          <w:lang w:val="en-US"/>
        </w:rPr>
        <w:t>Estimated:</w:t>
      </w:r>
    </w:p>
    <w:p w:rsidR="002A195D" w:rsidRDefault="00DB780A" w:rsidP="0041240A">
      <w:pPr>
        <w:spacing w:line="360" w:lineRule="auto"/>
        <w:jc w:val="right"/>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eastAsiaTheme="minorEastAsia"/>
            <w:lang w:val="en-US"/>
          </w:rPr>
          <m:t>=</m:t>
        </m:r>
        <m:r>
          <w:rPr>
            <w:rFonts w:ascii="Cambria Math" w:hAnsi="Cambria Math"/>
            <w:lang w:val="en-US"/>
          </w:rPr>
          <m:t>-0.04+0.44∆</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t-1</m:t>
            </m:r>
          </m:sub>
        </m:sSub>
        <m:r>
          <w:rPr>
            <w:rFonts w:ascii="Cambria Math" w:hAnsi="Cambria Math"/>
            <w:lang w:val="en-US"/>
          </w:rPr>
          <m:t>-4.69</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m</m:t>
                </m:r>
              </m:e>
            </m:acc>
          </m:e>
          <m:sub>
            <m:r>
              <w:rPr>
                <w:rFonts w:ascii="Cambria Math" w:eastAsiaTheme="minorEastAsia" w:hAnsi="Cambria Math"/>
                <w:lang w:val="en-US"/>
              </w:rPr>
              <m:t>t</m:t>
            </m:r>
          </m:sub>
        </m:sSub>
        <m:r>
          <w:rPr>
            <w:rFonts w:ascii="Cambria Math" w:eastAsiaTheme="minorEastAsia" w:hAnsi="Cambria Math"/>
            <w:lang w:val="en-US"/>
          </w:rPr>
          <m:t>-336.84</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acc>
          <m:accPr>
            <m:chr m:val="̃"/>
            <m:ctrlPr>
              <w:rPr>
                <w:rFonts w:ascii="Cambria Math" w:eastAsiaTheme="minorEastAsia" w:hAnsi="Cambria Math"/>
                <w:i/>
                <w:lang w:val="en-US"/>
              </w:rPr>
            </m:ctrlPr>
          </m:acc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t</m:t>
                </m:r>
              </m:sub>
            </m:sSub>
          </m:e>
        </m:acc>
        <m:r>
          <w:rPr>
            <w:rFonts w:ascii="Cambria Math" w:eastAsiaTheme="minorEastAsia"/>
            <w:lang w:val="en-US"/>
          </w:rPr>
          <m:t>+</m:t>
        </m:r>
        <m:r>
          <w:rPr>
            <w:rFonts w:ascii="Cambria Math" w:hAnsi="Cambria Math"/>
            <w:lang w:val="en-US"/>
          </w:rPr>
          <m:t>0.59∆</m:t>
        </m:r>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r</m:t>
                </m:r>
              </m:e>
            </m:acc>
          </m:e>
          <m:sub>
            <m:r>
              <w:rPr>
                <w:rFonts w:ascii="Cambria Math" w:eastAsiaTheme="minorEastAsia" w:hAnsi="Cambria Math"/>
                <w:lang w:val="en-US"/>
              </w:rPr>
              <m:t>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t</m:t>
            </m:r>
          </m:sub>
        </m:sSub>
      </m:oMath>
      <w:r w:rsidR="002A195D">
        <w:rPr>
          <w:rFonts w:eastAsiaTheme="minorEastAsia"/>
          <w:lang w:val="en-US"/>
        </w:rPr>
        <w:tab/>
      </w:r>
      <w:r w:rsidR="002A195D">
        <w:rPr>
          <w:rFonts w:eastAsiaTheme="minorEastAsia"/>
          <w:lang w:val="en-US"/>
        </w:rPr>
        <w:tab/>
        <w:t xml:space="preserve">     (2.</w:t>
      </w:r>
      <w:r w:rsidR="00C179E8">
        <w:rPr>
          <w:rFonts w:eastAsiaTheme="minorEastAsia"/>
          <w:lang w:val="en-US"/>
        </w:rPr>
        <w:t>13</w:t>
      </w:r>
      <w:r w:rsidR="002A195D">
        <w:rPr>
          <w:rFonts w:eastAsiaTheme="minorEastAsia"/>
          <w:lang w:val="en-US"/>
        </w:rPr>
        <w:t>)</w:t>
      </w:r>
    </w:p>
    <w:tbl>
      <w:tblPr>
        <w:tblStyle w:val="LightList-Accent11"/>
        <w:tblW w:w="0" w:type="auto"/>
        <w:jc w:val="center"/>
        <w:tblLook w:val="00A0"/>
      </w:tblPr>
      <w:tblGrid>
        <w:gridCol w:w="2015"/>
        <w:gridCol w:w="1216"/>
        <w:gridCol w:w="1128"/>
        <w:gridCol w:w="1155"/>
        <w:gridCol w:w="1130"/>
      </w:tblGrid>
      <w:tr w:rsidR="002851B0" w:rsidRPr="009A1768" w:rsidTr="00854C31">
        <w:trPr>
          <w:cnfStyle w:val="100000000000"/>
          <w:trHeight w:val="324"/>
          <w:jc w:val="center"/>
        </w:trPr>
        <w:tc>
          <w:tcPr>
            <w:cnfStyle w:val="001000000000"/>
            <w:tcW w:w="0" w:type="auto"/>
            <w:gridSpan w:val="5"/>
            <w:tcBorders>
              <w:top w:val="single" w:sz="8" w:space="0" w:color="4F81BD" w:themeColor="accent1"/>
              <w:bottom w:val="single" w:sz="4" w:space="0" w:color="FFFFFF" w:themeColor="background1"/>
            </w:tcBorders>
          </w:tcPr>
          <w:p w:rsidR="002851B0" w:rsidRPr="009A1768" w:rsidRDefault="002851B0" w:rsidP="00854C31">
            <w:pPr>
              <w:autoSpaceDE w:val="0"/>
              <w:autoSpaceDN w:val="0"/>
              <w:adjustRightInd w:val="0"/>
              <w:rPr>
                <w:rFonts w:cs="Arial"/>
                <w:lang w:val="en-US"/>
              </w:rPr>
            </w:pPr>
            <w:r w:rsidRPr="009A1768">
              <w:rPr>
                <w:rFonts w:cs="Arial"/>
                <w:lang w:val="en-US"/>
              </w:rPr>
              <w:t xml:space="preserve">Dependent Variable: </w:t>
            </w:r>
            <w:r>
              <w:rPr>
                <w:rFonts w:ascii="Cambria Math" w:hAnsi="Cambria Math"/>
                <w:i/>
                <w:lang w:val="en-US"/>
              </w:rPr>
              <w:t>∆s</w:t>
            </w:r>
            <w:r>
              <w:rPr>
                <w:rFonts w:ascii="Cambria Math" w:hAnsi="Cambria Math"/>
                <w:i/>
                <w:vertAlign w:val="subscript"/>
                <w:lang w:val="en-US"/>
              </w:rPr>
              <w:t>t</w:t>
            </w:r>
            <w:r>
              <w:rPr>
                <w:rFonts w:ascii="Cambria Math" w:hAnsi="Cambria Math"/>
                <w:lang w:val="en-US"/>
              </w:rPr>
              <w:t xml:space="preserve">  </w:t>
            </w:r>
          </w:p>
        </w:tc>
      </w:tr>
      <w:tr w:rsidR="002851B0" w:rsidRPr="00CC60EF" w:rsidTr="00854C31">
        <w:trPr>
          <w:cnfStyle w:val="000000100000"/>
          <w:trHeight w:val="225"/>
          <w:jc w:val="center"/>
        </w:trPr>
        <w:tc>
          <w:tcPr>
            <w:cnfStyle w:val="001000000000"/>
            <w:tcW w:w="0" w:type="auto"/>
            <w:tcBorders>
              <w:top w:val="single" w:sz="4" w:space="0" w:color="FFFFFF" w:themeColor="background1"/>
              <w:bottom w:val="single" w:sz="4" w:space="0" w:color="FFFFFF" w:themeColor="background1"/>
            </w:tcBorders>
            <w:shd w:val="clear" w:color="auto" w:fill="4F81BD" w:themeFill="accent1"/>
          </w:tcPr>
          <w:p w:rsidR="002851B0" w:rsidRPr="00CC60EF" w:rsidRDefault="002851B0" w:rsidP="00854C31">
            <w:pPr>
              <w:autoSpaceDE w:val="0"/>
              <w:autoSpaceDN w:val="0"/>
              <w:adjustRightInd w:val="0"/>
              <w:jc w:val="center"/>
              <w:rPr>
                <w:rFonts w:cs="Arial"/>
                <w:color w:val="FFFFFF" w:themeColor="background1"/>
                <w:lang w:val="en-US"/>
              </w:rPr>
            </w:pPr>
            <w:r w:rsidRPr="00CC60EF">
              <w:rPr>
                <w:rFonts w:cs="Arial"/>
                <w:color w:val="FFFFFF" w:themeColor="background1"/>
                <w:lang w:val="en-US"/>
              </w:rPr>
              <w:t>Variable</w:t>
            </w:r>
          </w:p>
        </w:tc>
        <w:tc>
          <w:tcPr>
            <w:cnfStyle w:val="000010000000"/>
            <w:tcW w:w="0" w:type="auto"/>
            <w:tcBorders>
              <w:top w:val="single" w:sz="4" w:space="0" w:color="FFFFFF" w:themeColor="background1"/>
              <w:bottom w:val="single" w:sz="4" w:space="0" w:color="548DD4" w:themeColor="text2" w:themeTint="99"/>
            </w:tcBorders>
            <w:shd w:val="clear" w:color="auto" w:fill="4F81BD" w:themeFill="accent1"/>
          </w:tcPr>
          <w:p w:rsidR="002851B0" w:rsidRPr="00CC60EF" w:rsidRDefault="002851B0" w:rsidP="00854C31">
            <w:pPr>
              <w:autoSpaceDE w:val="0"/>
              <w:autoSpaceDN w:val="0"/>
              <w:adjustRightInd w:val="0"/>
              <w:ind w:right="10"/>
              <w:jc w:val="right"/>
              <w:rPr>
                <w:rFonts w:cs="Arial"/>
                <w:b/>
                <w:color w:val="FFFFFF" w:themeColor="background1"/>
                <w:lang w:val="en-US"/>
              </w:rPr>
            </w:pPr>
            <w:r w:rsidRPr="00CC60EF">
              <w:rPr>
                <w:rFonts w:cs="Arial"/>
                <w:b/>
                <w:color w:val="FFFFFF" w:themeColor="background1"/>
                <w:lang w:val="en-US"/>
              </w:rPr>
              <w:t>Coefficient</w:t>
            </w:r>
          </w:p>
        </w:tc>
        <w:tc>
          <w:tcPr>
            <w:tcW w:w="0" w:type="auto"/>
            <w:tcBorders>
              <w:top w:val="single" w:sz="4" w:space="0" w:color="FFFFFF" w:themeColor="background1"/>
              <w:bottom w:val="single" w:sz="4" w:space="0" w:color="548DD4" w:themeColor="text2" w:themeTint="99"/>
            </w:tcBorders>
            <w:shd w:val="clear" w:color="auto" w:fill="4F81BD" w:themeFill="accent1"/>
          </w:tcPr>
          <w:p w:rsidR="002851B0" w:rsidRPr="00CC60EF" w:rsidRDefault="002851B0" w:rsidP="00854C31">
            <w:pPr>
              <w:autoSpaceDE w:val="0"/>
              <w:autoSpaceDN w:val="0"/>
              <w:adjustRightInd w:val="0"/>
              <w:ind w:right="10"/>
              <w:jc w:val="right"/>
              <w:cnfStyle w:val="000000100000"/>
              <w:rPr>
                <w:rFonts w:cs="Arial"/>
                <w:b/>
                <w:color w:val="FFFFFF" w:themeColor="background1"/>
                <w:lang w:val="en-US"/>
              </w:rPr>
            </w:pPr>
            <w:r w:rsidRPr="00CC60EF">
              <w:rPr>
                <w:rFonts w:cs="Arial"/>
                <w:b/>
                <w:color w:val="FFFFFF" w:themeColor="background1"/>
                <w:lang w:val="en-US"/>
              </w:rPr>
              <w:t>Std. Error</w:t>
            </w:r>
          </w:p>
        </w:tc>
        <w:tc>
          <w:tcPr>
            <w:cnfStyle w:val="000010000000"/>
            <w:tcW w:w="0" w:type="auto"/>
            <w:tcBorders>
              <w:top w:val="single" w:sz="4" w:space="0" w:color="FFFFFF" w:themeColor="background1"/>
              <w:bottom w:val="single" w:sz="4" w:space="0" w:color="548DD4" w:themeColor="text2" w:themeTint="99"/>
            </w:tcBorders>
            <w:shd w:val="clear" w:color="auto" w:fill="4F81BD" w:themeFill="accent1"/>
          </w:tcPr>
          <w:p w:rsidR="002851B0" w:rsidRPr="00CC60EF" w:rsidRDefault="002851B0" w:rsidP="00854C31">
            <w:pPr>
              <w:autoSpaceDE w:val="0"/>
              <w:autoSpaceDN w:val="0"/>
              <w:adjustRightInd w:val="0"/>
              <w:ind w:right="10"/>
              <w:jc w:val="right"/>
              <w:rPr>
                <w:rFonts w:cs="Arial"/>
                <w:b/>
                <w:color w:val="FFFFFF" w:themeColor="background1"/>
                <w:lang w:val="en-US"/>
              </w:rPr>
            </w:pPr>
            <w:r w:rsidRPr="00CC60EF">
              <w:rPr>
                <w:rFonts w:cs="Arial"/>
                <w:b/>
                <w:color w:val="FFFFFF" w:themeColor="background1"/>
                <w:lang w:val="en-US"/>
              </w:rPr>
              <w:t>t-Statistic</w:t>
            </w:r>
          </w:p>
        </w:tc>
        <w:tc>
          <w:tcPr>
            <w:tcW w:w="0" w:type="auto"/>
            <w:tcBorders>
              <w:top w:val="single" w:sz="4" w:space="0" w:color="FFFFFF" w:themeColor="background1"/>
              <w:bottom w:val="single" w:sz="4" w:space="0" w:color="548DD4" w:themeColor="text2" w:themeTint="99"/>
            </w:tcBorders>
            <w:shd w:val="clear" w:color="auto" w:fill="4F81BD" w:themeFill="accent1"/>
          </w:tcPr>
          <w:p w:rsidR="002851B0" w:rsidRPr="00CC60EF" w:rsidRDefault="002851B0" w:rsidP="00854C31">
            <w:pPr>
              <w:autoSpaceDE w:val="0"/>
              <w:autoSpaceDN w:val="0"/>
              <w:adjustRightInd w:val="0"/>
              <w:ind w:right="10"/>
              <w:jc w:val="right"/>
              <w:cnfStyle w:val="000000100000"/>
              <w:rPr>
                <w:rFonts w:cs="Arial"/>
                <w:b/>
                <w:color w:val="FFFFFF" w:themeColor="background1"/>
                <w:lang w:val="en-US"/>
              </w:rPr>
            </w:pPr>
            <w:r w:rsidRPr="00CC60EF">
              <w:rPr>
                <w:rFonts w:cs="Arial"/>
                <w:b/>
                <w:color w:val="FFFFFF" w:themeColor="background1"/>
                <w:lang w:val="en-US"/>
              </w:rPr>
              <w:t>Prob.  </w:t>
            </w:r>
          </w:p>
        </w:tc>
      </w:tr>
      <w:tr w:rsidR="00C24D45" w:rsidRPr="00CC60EF" w:rsidTr="002851B0">
        <w:trPr>
          <w:trHeight w:val="225"/>
          <w:jc w:val="center"/>
        </w:trPr>
        <w:tc>
          <w:tcPr>
            <w:cnfStyle w:val="001000000000"/>
            <w:tcW w:w="0" w:type="auto"/>
            <w:tcBorders>
              <w:top w:val="single" w:sz="4" w:space="0" w:color="FFFFFF" w:themeColor="background1"/>
              <w:bottom w:val="single" w:sz="8" w:space="0" w:color="4F81BD" w:themeColor="accent1"/>
              <w:right w:val="single" w:sz="4" w:space="0" w:color="548DD4" w:themeColor="text2" w:themeTint="99"/>
            </w:tcBorders>
            <w:shd w:val="clear" w:color="auto" w:fill="4F81BD" w:themeFill="accent1"/>
          </w:tcPr>
          <w:p w:rsidR="00C24D45" w:rsidRPr="00D17729" w:rsidRDefault="00FC3C21" w:rsidP="00172700">
            <w:pPr>
              <w:autoSpaceDE w:val="0"/>
              <w:autoSpaceDN w:val="0"/>
              <w:adjustRightInd w:val="0"/>
              <w:jc w:val="center"/>
              <w:rPr>
                <w:rFonts w:ascii="Cambria Math" w:hAnsi="Cambria Math" w:cs="Arial"/>
                <w:i/>
                <w:color w:val="FFFFFF" w:themeColor="background1"/>
                <w:vertAlign w:val="subscript"/>
                <w:lang w:val="en-US"/>
              </w:rPr>
            </w:pPr>
            <w:r>
              <w:rPr>
                <w:rFonts w:ascii="Cambria Math" w:hAnsi="Cambria Math" w:cs="Arial"/>
                <w:i/>
                <w:color w:val="FFFFFF" w:themeColor="background1"/>
                <w:lang w:val="en-US"/>
              </w:rPr>
              <w:t>constant</w:t>
            </w:r>
          </w:p>
        </w:tc>
        <w:tc>
          <w:tcPr>
            <w:cnfStyle w:val="000010000000"/>
            <w:tcW w:w="0" w:type="auto"/>
            <w:tcBorders>
              <w:top w:val="single" w:sz="4" w:space="0" w:color="548DD4" w:themeColor="text2" w:themeTint="99"/>
              <w:left w:val="single" w:sz="4" w:space="0" w:color="548DD4" w:themeColor="text2" w:themeTint="99"/>
              <w:bottom w:val="nil"/>
              <w:right w:val="nil"/>
            </w:tcBorders>
            <w:vAlign w:val="center"/>
          </w:tcPr>
          <w:p w:rsidR="00C24D45" w:rsidRPr="003877DA" w:rsidRDefault="00C24D45" w:rsidP="002851B0">
            <w:pPr>
              <w:jc w:val="right"/>
            </w:pPr>
            <w:r w:rsidRPr="003877DA">
              <w:t>-0.037085</w:t>
            </w:r>
          </w:p>
        </w:tc>
        <w:tc>
          <w:tcPr>
            <w:tcW w:w="0" w:type="auto"/>
            <w:tcBorders>
              <w:top w:val="single" w:sz="4" w:space="0" w:color="548DD4" w:themeColor="text2" w:themeTint="99"/>
              <w:left w:val="nil"/>
              <w:bottom w:val="nil"/>
              <w:right w:val="nil"/>
            </w:tcBorders>
            <w:vAlign w:val="center"/>
          </w:tcPr>
          <w:p w:rsidR="00C24D45" w:rsidRPr="003877DA" w:rsidRDefault="00C24D45" w:rsidP="002851B0">
            <w:pPr>
              <w:jc w:val="right"/>
              <w:cnfStyle w:val="000000000000"/>
            </w:pPr>
            <w:r w:rsidRPr="003877DA">
              <w:t>0.023047</w:t>
            </w:r>
          </w:p>
        </w:tc>
        <w:tc>
          <w:tcPr>
            <w:cnfStyle w:val="000010000000"/>
            <w:tcW w:w="0" w:type="auto"/>
            <w:tcBorders>
              <w:top w:val="single" w:sz="4" w:space="0" w:color="548DD4" w:themeColor="text2" w:themeTint="99"/>
              <w:left w:val="nil"/>
              <w:bottom w:val="nil"/>
              <w:right w:val="nil"/>
            </w:tcBorders>
            <w:vAlign w:val="center"/>
          </w:tcPr>
          <w:p w:rsidR="00C24D45" w:rsidRPr="003877DA" w:rsidRDefault="00C24D45" w:rsidP="002851B0">
            <w:pPr>
              <w:jc w:val="right"/>
            </w:pPr>
            <w:r w:rsidRPr="003877DA">
              <w:t>-1.609113</w:t>
            </w:r>
          </w:p>
        </w:tc>
        <w:tc>
          <w:tcPr>
            <w:tcW w:w="0" w:type="auto"/>
            <w:tcBorders>
              <w:top w:val="single" w:sz="4" w:space="0" w:color="548DD4" w:themeColor="text2" w:themeTint="99"/>
              <w:left w:val="nil"/>
              <w:bottom w:val="nil"/>
              <w:right w:val="single" w:sz="4" w:space="0" w:color="548DD4" w:themeColor="text2" w:themeTint="99"/>
            </w:tcBorders>
            <w:vAlign w:val="center"/>
          </w:tcPr>
          <w:p w:rsidR="00C24D45" w:rsidRDefault="00C24D45" w:rsidP="002851B0">
            <w:pPr>
              <w:jc w:val="right"/>
              <w:cnfStyle w:val="000000000000"/>
            </w:pPr>
            <w:r w:rsidRPr="003877DA">
              <w:t>0.1102</w:t>
            </w:r>
          </w:p>
        </w:tc>
      </w:tr>
      <w:tr w:rsidR="00C24D45" w:rsidRPr="009A1768" w:rsidTr="002851B0">
        <w:trPr>
          <w:cnfStyle w:val="000000100000"/>
          <w:trHeight w:val="225"/>
          <w:jc w:val="center"/>
        </w:trPr>
        <w:tc>
          <w:tcPr>
            <w:cnfStyle w:val="001000000000"/>
            <w:tcW w:w="0" w:type="auto"/>
            <w:tcBorders>
              <w:bottom w:val="nil"/>
              <w:right w:val="single" w:sz="4" w:space="0" w:color="548DD4" w:themeColor="text2" w:themeTint="99"/>
            </w:tcBorders>
            <w:shd w:val="clear" w:color="auto" w:fill="4F81BD" w:themeFill="accent1"/>
          </w:tcPr>
          <w:p w:rsidR="00C24D45" w:rsidRPr="00D17729" w:rsidRDefault="00DB780A" w:rsidP="00172700">
            <w:pPr>
              <w:autoSpaceDE w:val="0"/>
              <w:autoSpaceDN w:val="0"/>
              <w:adjustRightInd w:val="0"/>
              <w:jc w:val="center"/>
              <w:rPr>
                <w:rFonts w:ascii="Cambria Math" w:hAnsi="Cambria Math" w:cs="Arial"/>
                <w:bCs w:val="0"/>
                <w:i/>
                <w:color w:val="FFFFFF" w:themeColor="background1"/>
                <w:vertAlign w:val="subscript"/>
                <w:lang w:val="en-US"/>
              </w:rPr>
            </w:pPr>
            <m:oMathPara>
              <m:oMath>
                <m:sSub>
                  <m:sSubPr>
                    <m:ctrlPr>
                      <w:rPr>
                        <w:rFonts w:ascii="Cambria Math" w:hAnsi="Cambria Math"/>
                        <w:i/>
                        <w:color w:val="FFFFFF" w:themeColor="background1"/>
                        <w:lang w:val="en-US"/>
                      </w:rPr>
                    </m:ctrlPr>
                  </m:sSubPr>
                  <m:e>
                    <m:r>
                      <m:rPr>
                        <m:sty m:val="bi"/>
                      </m:rPr>
                      <w:rPr>
                        <w:rFonts w:ascii="Cambria Math" w:hAnsi="Cambria Math"/>
                        <w:color w:val="FFFFFF" w:themeColor="background1"/>
                        <w:lang w:val="en-US"/>
                      </w:rPr>
                      <m:t>∆s</m:t>
                    </m:r>
                  </m:e>
                  <m:sub>
                    <m:r>
                      <m:rPr>
                        <m:sty m:val="bi"/>
                      </m:rPr>
                      <w:rPr>
                        <w:rFonts w:ascii="Cambria Math" w:hAnsi="Cambria Math"/>
                        <w:color w:val="FFFFFF" w:themeColor="background1"/>
                        <w:lang w:val="en-US"/>
                      </w:rPr>
                      <m:t>t-1</m:t>
                    </m:r>
                  </m:sub>
                </m:sSub>
              </m:oMath>
            </m:oMathPara>
          </w:p>
        </w:tc>
        <w:tc>
          <w:tcPr>
            <w:cnfStyle w:val="000010000000"/>
            <w:tcW w:w="0" w:type="auto"/>
            <w:tcBorders>
              <w:top w:val="nil"/>
              <w:left w:val="single" w:sz="4" w:space="0" w:color="548DD4" w:themeColor="text2" w:themeTint="99"/>
              <w:bottom w:val="nil"/>
              <w:right w:val="nil"/>
            </w:tcBorders>
            <w:vAlign w:val="center"/>
          </w:tcPr>
          <w:p w:rsidR="00C24D45" w:rsidRPr="00AA0C48" w:rsidRDefault="00C24D45" w:rsidP="002851B0">
            <w:pPr>
              <w:jc w:val="right"/>
            </w:pPr>
            <w:r w:rsidRPr="00AA0C48">
              <w:t>0.436629</w:t>
            </w:r>
          </w:p>
        </w:tc>
        <w:tc>
          <w:tcPr>
            <w:tcW w:w="0" w:type="auto"/>
            <w:tcBorders>
              <w:top w:val="nil"/>
              <w:left w:val="nil"/>
              <w:bottom w:val="nil"/>
              <w:right w:val="nil"/>
            </w:tcBorders>
            <w:vAlign w:val="center"/>
          </w:tcPr>
          <w:p w:rsidR="00C24D45" w:rsidRPr="00AA0C48" w:rsidRDefault="00C24D45" w:rsidP="002851B0">
            <w:pPr>
              <w:jc w:val="right"/>
              <w:cnfStyle w:val="000000100000"/>
            </w:pPr>
            <w:r w:rsidRPr="00AA0C48">
              <w:t>0.091994</w:t>
            </w:r>
          </w:p>
        </w:tc>
        <w:tc>
          <w:tcPr>
            <w:cnfStyle w:val="000010000000"/>
            <w:tcW w:w="0" w:type="auto"/>
            <w:tcBorders>
              <w:top w:val="nil"/>
              <w:left w:val="nil"/>
              <w:bottom w:val="nil"/>
              <w:right w:val="nil"/>
            </w:tcBorders>
            <w:vAlign w:val="center"/>
          </w:tcPr>
          <w:p w:rsidR="00C24D45" w:rsidRPr="00AA0C48" w:rsidRDefault="00C24D45" w:rsidP="002851B0">
            <w:pPr>
              <w:jc w:val="right"/>
            </w:pPr>
            <w:r w:rsidRPr="00AA0C48">
              <w:t>4.746270</w:t>
            </w:r>
          </w:p>
        </w:tc>
        <w:tc>
          <w:tcPr>
            <w:tcW w:w="0" w:type="auto"/>
            <w:tcBorders>
              <w:top w:val="nil"/>
              <w:left w:val="nil"/>
              <w:bottom w:val="nil"/>
              <w:right w:val="single" w:sz="4" w:space="0" w:color="548DD4" w:themeColor="text2" w:themeTint="99"/>
            </w:tcBorders>
            <w:vAlign w:val="center"/>
          </w:tcPr>
          <w:p w:rsidR="00C24D45" w:rsidRDefault="00C24D45" w:rsidP="002851B0">
            <w:pPr>
              <w:jc w:val="right"/>
              <w:cnfStyle w:val="000000100000"/>
            </w:pPr>
            <w:r w:rsidRPr="00AA0C48">
              <w:t>0.0000</w:t>
            </w:r>
          </w:p>
        </w:tc>
      </w:tr>
      <w:tr w:rsidR="00C24D45" w:rsidRPr="009A1768" w:rsidTr="002851B0">
        <w:trPr>
          <w:trHeight w:val="225"/>
          <w:jc w:val="center"/>
        </w:trPr>
        <w:tc>
          <w:tcPr>
            <w:cnfStyle w:val="001000000000"/>
            <w:tcW w:w="0" w:type="auto"/>
            <w:tcBorders>
              <w:top w:val="nil"/>
              <w:bottom w:val="nil"/>
              <w:right w:val="single" w:sz="4" w:space="0" w:color="548DD4" w:themeColor="text2" w:themeTint="99"/>
            </w:tcBorders>
            <w:shd w:val="clear" w:color="auto" w:fill="4F81BD" w:themeFill="accent1"/>
          </w:tcPr>
          <w:p w:rsidR="00C24D45" w:rsidRPr="00D17729" w:rsidRDefault="00DB780A" w:rsidP="00172700">
            <w:pPr>
              <w:autoSpaceDE w:val="0"/>
              <w:autoSpaceDN w:val="0"/>
              <w:adjustRightInd w:val="0"/>
              <w:jc w:val="center"/>
              <w:rPr>
                <w:rFonts w:ascii="Cambria Math" w:hAnsi="Cambria Math" w:cs="Arial"/>
                <w:bCs w:val="0"/>
                <w:i/>
                <w:color w:val="FFFFFF" w:themeColor="background1"/>
                <w:lang w:val="en-US"/>
              </w:rPr>
            </w:pPr>
            <m:oMathPara>
              <m:oMath>
                <m:sSup>
                  <m:sSupPr>
                    <m:ctrlPr>
                      <w:rPr>
                        <w:rFonts w:ascii="Cambria Math" w:hAnsi="Cambria Math"/>
                        <w:i/>
                        <w:color w:val="FFFFFF" w:themeColor="background1"/>
                        <w:lang w:val="en-US"/>
                      </w:rPr>
                    </m:ctrlPr>
                  </m:sSupPr>
                  <m:e>
                    <m:r>
                      <m:rPr>
                        <m:sty m:val="bi"/>
                      </m:rPr>
                      <w:rPr>
                        <w:rFonts w:ascii="Cambria Math" w:hAnsi="Cambria Math"/>
                        <w:color w:val="FFFFFF" w:themeColor="background1"/>
                        <w:lang w:val="en-US"/>
                      </w:rPr>
                      <m:t>∆</m:t>
                    </m:r>
                  </m:e>
                  <m:sup>
                    <m:r>
                      <m:rPr>
                        <m:sty m:val="bi"/>
                      </m:rPr>
                      <w:rPr>
                        <w:rFonts w:ascii="Cambria Math" w:hAnsi="Cambria Math"/>
                        <w:color w:val="FFFFFF" w:themeColor="background1"/>
                        <w:lang w:val="en-US"/>
                      </w:rPr>
                      <m:t>2</m:t>
                    </m:r>
                  </m:sup>
                </m:sSup>
                <m:sSub>
                  <m:sSubPr>
                    <m:ctrlPr>
                      <w:rPr>
                        <w:rFonts w:ascii="Cambria Math" w:eastAsiaTheme="minorEastAsia" w:hAnsi="Cambria Math"/>
                        <w:i/>
                        <w:color w:val="FFFFFF" w:themeColor="background1"/>
                        <w:lang w:val="en-US"/>
                      </w:rPr>
                    </m:ctrlPr>
                  </m:sSubPr>
                  <m:e>
                    <m:acc>
                      <m:accPr>
                        <m:chr m:val="̃"/>
                        <m:ctrlPr>
                          <w:rPr>
                            <w:rFonts w:ascii="Cambria Math" w:eastAsiaTheme="minorEastAsia" w:hAnsi="Cambria Math"/>
                            <w:i/>
                            <w:color w:val="FFFFFF" w:themeColor="background1"/>
                            <w:lang w:val="en-US"/>
                          </w:rPr>
                        </m:ctrlPr>
                      </m:accPr>
                      <m:e>
                        <m:r>
                          <m:rPr>
                            <m:sty m:val="bi"/>
                          </m:rPr>
                          <w:rPr>
                            <w:rFonts w:ascii="Cambria Math" w:eastAsiaTheme="minorEastAsia" w:hAnsi="Cambria Math"/>
                            <w:color w:val="FFFFFF" w:themeColor="background1"/>
                            <w:lang w:val="en-US"/>
                          </w:rPr>
                          <m:t>m</m:t>
                        </m:r>
                      </m:e>
                    </m:acc>
                  </m:e>
                  <m:sub>
                    <m:r>
                      <m:rPr>
                        <m:sty m:val="bi"/>
                      </m:rPr>
                      <w:rPr>
                        <w:rFonts w:ascii="Cambria Math" w:eastAsiaTheme="minorEastAsia" w:hAnsi="Cambria Math"/>
                        <w:color w:val="FFFFFF" w:themeColor="background1"/>
                        <w:lang w:val="en-US"/>
                      </w:rPr>
                      <m:t>t</m:t>
                    </m:r>
                  </m:sub>
                </m:sSub>
              </m:oMath>
            </m:oMathPara>
          </w:p>
        </w:tc>
        <w:tc>
          <w:tcPr>
            <w:cnfStyle w:val="000010000000"/>
            <w:tcW w:w="0" w:type="auto"/>
            <w:tcBorders>
              <w:top w:val="nil"/>
              <w:left w:val="single" w:sz="4" w:space="0" w:color="548DD4" w:themeColor="text2" w:themeTint="99"/>
              <w:bottom w:val="nil"/>
              <w:right w:val="nil"/>
            </w:tcBorders>
            <w:vAlign w:val="center"/>
          </w:tcPr>
          <w:p w:rsidR="00C24D45" w:rsidRPr="0022197F" w:rsidRDefault="00C24D45" w:rsidP="002851B0">
            <w:pPr>
              <w:jc w:val="right"/>
            </w:pPr>
            <w:r w:rsidRPr="0022197F">
              <w:t>-4.686196</w:t>
            </w:r>
          </w:p>
        </w:tc>
        <w:tc>
          <w:tcPr>
            <w:tcW w:w="0" w:type="auto"/>
            <w:tcBorders>
              <w:top w:val="nil"/>
              <w:left w:val="nil"/>
              <w:bottom w:val="nil"/>
              <w:right w:val="nil"/>
            </w:tcBorders>
            <w:vAlign w:val="center"/>
          </w:tcPr>
          <w:p w:rsidR="00C24D45" w:rsidRPr="0022197F" w:rsidRDefault="00C24D45" w:rsidP="002851B0">
            <w:pPr>
              <w:jc w:val="right"/>
              <w:cnfStyle w:val="000000000000"/>
            </w:pPr>
            <w:r w:rsidRPr="0022197F">
              <w:t>3.194644</w:t>
            </w:r>
          </w:p>
        </w:tc>
        <w:tc>
          <w:tcPr>
            <w:cnfStyle w:val="000010000000"/>
            <w:tcW w:w="0" w:type="auto"/>
            <w:tcBorders>
              <w:top w:val="nil"/>
              <w:left w:val="nil"/>
              <w:bottom w:val="nil"/>
              <w:right w:val="nil"/>
            </w:tcBorders>
            <w:vAlign w:val="center"/>
          </w:tcPr>
          <w:p w:rsidR="00C24D45" w:rsidRPr="0022197F" w:rsidRDefault="00C24D45" w:rsidP="002851B0">
            <w:pPr>
              <w:jc w:val="right"/>
            </w:pPr>
            <w:r w:rsidRPr="0022197F">
              <w:t>-1.466891</w:t>
            </w:r>
          </w:p>
        </w:tc>
        <w:tc>
          <w:tcPr>
            <w:tcW w:w="0" w:type="auto"/>
            <w:tcBorders>
              <w:top w:val="nil"/>
              <w:left w:val="nil"/>
              <w:bottom w:val="nil"/>
              <w:right w:val="single" w:sz="4" w:space="0" w:color="548DD4" w:themeColor="text2" w:themeTint="99"/>
            </w:tcBorders>
            <w:vAlign w:val="center"/>
          </w:tcPr>
          <w:p w:rsidR="00C24D45" w:rsidRPr="0022197F" w:rsidRDefault="00C24D45" w:rsidP="002851B0">
            <w:pPr>
              <w:jc w:val="right"/>
              <w:cnfStyle w:val="000000000000"/>
            </w:pPr>
            <w:r w:rsidRPr="0022197F">
              <w:t>0.1450</w:t>
            </w:r>
          </w:p>
        </w:tc>
      </w:tr>
      <w:tr w:rsidR="00C24D45" w:rsidRPr="009A1768" w:rsidTr="002851B0">
        <w:trPr>
          <w:cnfStyle w:val="000000100000"/>
          <w:trHeight w:val="225"/>
          <w:jc w:val="center"/>
        </w:trPr>
        <w:tc>
          <w:tcPr>
            <w:cnfStyle w:val="001000000000"/>
            <w:tcW w:w="0" w:type="auto"/>
            <w:tcBorders>
              <w:top w:val="nil"/>
              <w:bottom w:val="nil"/>
              <w:right w:val="single" w:sz="4" w:space="0" w:color="548DD4" w:themeColor="text2" w:themeTint="99"/>
            </w:tcBorders>
            <w:shd w:val="clear" w:color="auto" w:fill="4F81BD" w:themeFill="accent1"/>
          </w:tcPr>
          <w:p w:rsidR="00C24D45" w:rsidRPr="00D17729" w:rsidRDefault="00DB780A" w:rsidP="00172700">
            <w:pPr>
              <w:autoSpaceDE w:val="0"/>
              <w:autoSpaceDN w:val="0"/>
              <w:adjustRightInd w:val="0"/>
              <w:jc w:val="center"/>
              <w:rPr>
                <w:rFonts w:ascii="Cambria Math" w:hAnsi="Cambria Math" w:cs="Arial"/>
                <w:bCs w:val="0"/>
                <w:i/>
                <w:color w:val="FFFFFF" w:themeColor="background1"/>
                <w:lang w:val="en-US"/>
              </w:rPr>
            </w:pPr>
            <m:oMathPara>
              <m:oMath>
                <m:sSup>
                  <m:sSupPr>
                    <m:ctrlPr>
                      <w:rPr>
                        <w:rFonts w:ascii="Cambria Math" w:hAnsi="Cambria Math"/>
                        <w:i/>
                        <w:color w:val="FFFFFF" w:themeColor="background1"/>
                        <w:lang w:val="en-US"/>
                      </w:rPr>
                    </m:ctrlPr>
                  </m:sSupPr>
                  <m:e>
                    <m:r>
                      <m:rPr>
                        <m:sty m:val="bi"/>
                      </m:rPr>
                      <w:rPr>
                        <w:rFonts w:ascii="Cambria Math" w:hAnsi="Cambria Math"/>
                        <w:color w:val="FFFFFF" w:themeColor="background1"/>
                        <w:lang w:val="en-US"/>
                      </w:rPr>
                      <m:t>∆</m:t>
                    </m:r>
                  </m:e>
                  <m:sup>
                    <m:r>
                      <m:rPr>
                        <m:sty m:val="bi"/>
                      </m:rPr>
                      <w:rPr>
                        <w:rFonts w:ascii="Cambria Math" w:hAnsi="Cambria Math"/>
                        <w:color w:val="FFFFFF" w:themeColor="background1"/>
                        <w:lang w:val="en-US"/>
                      </w:rPr>
                      <m:t>2</m:t>
                    </m:r>
                  </m:sup>
                </m:sSup>
                <m:sSub>
                  <m:sSubPr>
                    <m:ctrlPr>
                      <w:rPr>
                        <w:rFonts w:ascii="Cambria Math" w:eastAsiaTheme="minorEastAsia" w:hAnsi="Cambria Math"/>
                        <w:i/>
                        <w:color w:val="FFFFFF" w:themeColor="background1"/>
                        <w:lang w:val="en-US"/>
                      </w:rPr>
                    </m:ctrlPr>
                  </m:sSubPr>
                  <m:e>
                    <m:acc>
                      <m:accPr>
                        <m:chr m:val="̃"/>
                        <m:ctrlPr>
                          <w:rPr>
                            <w:rFonts w:ascii="Cambria Math" w:eastAsiaTheme="minorEastAsia" w:hAnsi="Cambria Math"/>
                            <w:i/>
                            <w:color w:val="FFFFFF" w:themeColor="background1"/>
                            <w:lang w:val="en-US"/>
                          </w:rPr>
                        </m:ctrlPr>
                      </m:accPr>
                      <m:e>
                        <m:r>
                          <m:rPr>
                            <m:sty m:val="bi"/>
                          </m:rPr>
                          <w:rPr>
                            <w:rFonts w:ascii="Cambria Math" w:eastAsiaTheme="minorEastAsia" w:hAnsi="Cambria Math"/>
                            <w:color w:val="FFFFFF" w:themeColor="background1"/>
                            <w:lang w:val="en-US"/>
                          </w:rPr>
                          <m:t>y</m:t>
                        </m:r>
                      </m:e>
                    </m:acc>
                  </m:e>
                  <m:sub>
                    <m:r>
                      <m:rPr>
                        <m:sty m:val="bi"/>
                      </m:rPr>
                      <w:rPr>
                        <w:rFonts w:ascii="Cambria Math" w:eastAsiaTheme="minorEastAsia" w:hAnsi="Cambria Math"/>
                        <w:color w:val="FFFFFF" w:themeColor="background1"/>
                        <w:lang w:val="en-US"/>
                      </w:rPr>
                      <m:t>t</m:t>
                    </m:r>
                  </m:sub>
                </m:sSub>
              </m:oMath>
            </m:oMathPara>
          </w:p>
        </w:tc>
        <w:tc>
          <w:tcPr>
            <w:cnfStyle w:val="000010000000"/>
            <w:tcW w:w="0" w:type="auto"/>
            <w:tcBorders>
              <w:top w:val="nil"/>
              <w:left w:val="single" w:sz="4" w:space="0" w:color="548DD4" w:themeColor="text2" w:themeTint="99"/>
              <w:bottom w:val="nil"/>
              <w:right w:val="nil"/>
            </w:tcBorders>
            <w:vAlign w:val="center"/>
          </w:tcPr>
          <w:p w:rsidR="00C24D45" w:rsidRPr="0022197F" w:rsidRDefault="00C24D45" w:rsidP="002851B0">
            <w:pPr>
              <w:jc w:val="right"/>
            </w:pPr>
            <w:r w:rsidRPr="0022197F">
              <w:t>-336.8409</w:t>
            </w:r>
          </w:p>
        </w:tc>
        <w:tc>
          <w:tcPr>
            <w:tcW w:w="0" w:type="auto"/>
            <w:tcBorders>
              <w:top w:val="nil"/>
              <w:left w:val="nil"/>
              <w:bottom w:val="nil"/>
              <w:right w:val="nil"/>
            </w:tcBorders>
            <w:vAlign w:val="center"/>
          </w:tcPr>
          <w:p w:rsidR="00C24D45" w:rsidRPr="0022197F" w:rsidRDefault="00C24D45" w:rsidP="002851B0">
            <w:pPr>
              <w:jc w:val="right"/>
              <w:cnfStyle w:val="000000100000"/>
            </w:pPr>
            <w:r w:rsidRPr="0022197F">
              <w:t>228.1994</w:t>
            </w:r>
          </w:p>
        </w:tc>
        <w:tc>
          <w:tcPr>
            <w:cnfStyle w:val="000010000000"/>
            <w:tcW w:w="0" w:type="auto"/>
            <w:tcBorders>
              <w:top w:val="nil"/>
              <w:left w:val="nil"/>
              <w:bottom w:val="nil"/>
              <w:right w:val="nil"/>
            </w:tcBorders>
            <w:vAlign w:val="center"/>
          </w:tcPr>
          <w:p w:rsidR="00C24D45" w:rsidRPr="0022197F" w:rsidRDefault="00C24D45" w:rsidP="002851B0">
            <w:pPr>
              <w:jc w:val="right"/>
            </w:pPr>
            <w:r w:rsidRPr="0022197F">
              <w:t>-1.476081</w:t>
            </w:r>
          </w:p>
        </w:tc>
        <w:tc>
          <w:tcPr>
            <w:tcW w:w="0" w:type="auto"/>
            <w:tcBorders>
              <w:top w:val="nil"/>
              <w:left w:val="nil"/>
              <w:bottom w:val="nil"/>
              <w:right w:val="single" w:sz="4" w:space="0" w:color="548DD4" w:themeColor="text2" w:themeTint="99"/>
            </w:tcBorders>
            <w:vAlign w:val="center"/>
          </w:tcPr>
          <w:p w:rsidR="00C24D45" w:rsidRPr="0022197F" w:rsidRDefault="00C24D45" w:rsidP="002851B0">
            <w:pPr>
              <w:jc w:val="right"/>
              <w:cnfStyle w:val="000000100000"/>
            </w:pPr>
            <w:r w:rsidRPr="0022197F">
              <w:t>0.1425</w:t>
            </w:r>
          </w:p>
        </w:tc>
      </w:tr>
      <w:tr w:rsidR="00C24D45" w:rsidRPr="009A1768" w:rsidTr="002851B0">
        <w:trPr>
          <w:trHeight w:val="225"/>
          <w:jc w:val="center"/>
        </w:trPr>
        <w:tc>
          <w:tcPr>
            <w:cnfStyle w:val="001000000000"/>
            <w:tcW w:w="0" w:type="auto"/>
            <w:tcBorders>
              <w:top w:val="nil"/>
              <w:bottom w:val="single" w:sz="4" w:space="0" w:color="FFFFFF" w:themeColor="background1"/>
              <w:right w:val="single" w:sz="4" w:space="0" w:color="548DD4" w:themeColor="text2" w:themeTint="99"/>
            </w:tcBorders>
            <w:shd w:val="clear" w:color="auto" w:fill="4F81BD" w:themeFill="accent1"/>
          </w:tcPr>
          <w:p w:rsidR="00C24D45" w:rsidRDefault="00C24D45" w:rsidP="00172700">
            <m:oMathPara>
              <m:oMath>
                <m:r>
                  <m:rPr>
                    <m:sty m:val="bi"/>
                  </m:rPr>
                  <w:rPr>
                    <w:rFonts w:ascii="Cambria Math" w:hAnsi="Cambria Math"/>
                    <w:color w:val="FFFFFF" w:themeColor="background1"/>
                    <w:lang w:val="en-US"/>
                  </w:rPr>
                  <m:t>∆</m:t>
                </m:r>
                <m:sSub>
                  <m:sSubPr>
                    <m:ctrlPr>
                      <w:rPr>
                        <w:rFonts w:ascii="Cambria Math" w:eastAsiaTheme="minorEastAsia" w:hAnsi="Cambria Math"/>
                        <w:i/>
                        <w:color w:val="FFFFFF" w:themeColor="background1"/>
                        <w:lang w:val="en-US"/>
                      </w:rPr>
                    </m:ctrlPr>
                  </m:sSubPr>
                  <m:e>
                    <m:acc>
                      <m:accPr>
                        <m:chr m:val="̃"/>
                        <m:ctrlPr>
                          <w:rPr>
                            <w:rFonts w:ascii="Cambria Math" w:eastAsiaTheme="minorEastAsia" w:hAnsi="Cambria Math"/>
                            <w:i/>
                            <w:color w:val="FFFFFF" w:themeColor="background1"/>
                            <w:lang w:val="en-US"/>
                          </w:rPr>
                        </m:ctrlPr>
                      </m:accPr>
                      <m:e>
                        <m:r>
                          <m:rPr>
                            <m:sty m:val="bi"/>
                          </m:rPr>
                          <w:rPr>
                            <w:rFonts w:ascii="Cambria Math" w:eastAsiaTheme="minorEastAsia" w:hAnsi="Cambria Math"/>
                            <w:color w:val="FFFFFF" w:themeColor="background1"/>
                            <w:lang w:val="en-US"/>
                          </w:rPr>
                          <m:t>r</m:t>
                        </m:r>
                      </m:e>
                    </m:acc>
                  </m:e>
                  <m:sub>
                    <m:r>
                      <m:rPr>
                        <m:sty m:val="bi"/>
                      </m:rPr>
                      <w:rPr>
                        <w:rFonts w:ascii="Cambria Math" w:eastAsiaTheme="minorEastAsia" w:hAnsi="Cambria Math"/>
                        <w:color w:val="FFFFFF" w:themeColor="background1"/>
                        <w:lang w:val="en-US"/>
                      </w:rPr>
                      <m:t>t</m:t>
                    </m:r>
                  </m:sub>
                </m:sSub>
              </m:oMath>
            </m:oMathPara>
          </w:p>
        </w:tc>
        <w:tc>
          <w:tcPr>
            <w:cnfStyle w:val="000010000000"/>
            <w:tcW w:w="0" w:type="auto"/>
            <w:tcBorders>
              <w:top w:val="nil"/>
              <w:left w:val="single" w:sz="4" w:space="0" w:color="548DD4" w:themeColor="text2" w:themeTint="99"/>
              <w:bottom w:val="single" w:sz="4" w:space="0" w:color="548DD4" w:themeColor="text2" w:themeTint="99"/>
              <w:right w:val="nil"/>
            </w:tcBorders>
            <w:vAlign w:val="center"/>
          </w:tcPr>
          <w:p w:rsidR="00C24D45" w:rsidRPr="0022197F" w:rsidRDefault="00C24D45" w:rsidP="002851B0">
            <w:pPr>
              <w:jc w:val="right"/>
            </w:pPr>
            <w:r w:rsidRPr="0022197F">
              <w:t>0.593106</w:t>
            </w:r>
          </w:p>
        </w:tc>
        <w:tc>
          <w:tcPr>
            <w:tcW w:w="0" w:type="auto"/>
            <w:tcBorders>
              <w:top w:val="nil"/>
              <w:left w:val="nil"/>
              <w:bottom w:val="single" w:sz="4" w:space="0" w:color="548DD4" w:themeColor="text2" w:themeTint="99"/>
              <w:right w:val="nil"/>
            </w:tcBorders>
            <w:vAlign w:val="center"/>
          </w:tcPr>
          <w:p w:rsidR="00C24D45" w:rsidRPr="0022197F" w:rsidRDefault="00C24D45" w:rsidP="002851B0">
            <w:pPr>
              <w:jc w:val="right"/>
              <w:cnfStyle w:val="000000000000"/>
            </w:pPr>
            <w:r w:rsidRPr="0022197F">
              <w:t>0.450979</w:t>
            </w:r>
          </w:p>
        </w:tc>
        <w:tc>
          <w:tcPr>
            <w:cnfStyle w:val="000010000000"/>
            <w:tcW w:w="0" w:type="auto"/>
            <w:tcBorders>
              <w:top w:val="nil"/>
              <w:left w:val="nil"/>
              <w:bottom w:val="single" w:sz="4" w:space="0" w:color="548DD4" w:themeColor="text2" w:themeTint="99"/>
              <w:right w:val="nil"/>
            </w:tcBorders>
            <w:vAlign w:val="center"/>
          </w:tcPr>
          <w:p w:rsidR="00C24D45" w:rsidRPr="0022197F" w:rsidRDefault="00C24D45" w:rsidP="002851B0">
            <w:pPr>
              <w:jc w:val="right"/>
            </w:pPr>
            <w:r w:rsidRPr="0022197F">
              <w:t>1.315153</w:t>
            </w:r>
          </w:p>
        </w:tc>
        <w:tc>
          <w:tcPr>
            <w:tcW w:w="0" w:type="auto"/>
            <w:tcBorders>
              <w:top w:val="nil"/>
              <w:left w:val="nil"/>
              <w:bottom w:val="single" w:sz="4" w:space="0" w:color="548DD4" w:themeColor="text2" w:themeTint="99"/>
              <w:right w:val="single" w:sz="4" w:space="0" w:color="548DD4" w:themeColor="text2" w:themeTint="99"/>
            </w:tcBorders>
            <w:vAlign w:val="center"/>
          </w:tcPr>
          <w:p w:rsidR="00C24D45" w:rsidRDefault="00C24D45" w:rsidP="002851B0">
            <w:pPr>
              <w:jc w:val="right"/>
              <w:cnfStyle w:val="000000000000"/>
            </w:pPr>
            <w:r w:rsidRPr="0022197F">
              <w:t>0.1910</w:t>
            </w:r>
          </w:p>
        </w:tc>
      </w:tr>
      <w:tr w:rsidR="002851B0" w:rsidRPr="009A1768" w:rsidTr="00854C31">
        <w:trPr>
          <w:cnfStyle w:val="000000100000"/>
          <w:trHeight w:val="225"/>
          <w:jc w:val="center"/>
        </w:trPr>
        <w:tc>
          <w:tcPr>
            <w:cnfStyle w:val="001000000000"/>
            <w:tcW w:w="0" w:type="auto"/>
            <w:tcBorders>
              <w:top w:val="single" w:sz="4" w:space="0" w:color="FFFFFF" w:themeColor="background1"/>
              <w:right w:val="single" w:sz="4" w:space="0" w:color="548DD4" w:themeColor="text2" w:themeTint="99"/>
            </w:tcBorders>
            <w:shd w:val="clear" w:color="auto" w:fill="4F81BD" w:themeFill="accent1"/>
          </w:tcPr>
          <w:p w:rsidR="002851B0" w:rsidRPr="009A1768" w:rsidRDefault="002851B0" w:rsidP="00854C31">
            <w:pPr>
              <w:autoSpaceDE w:val="0"/>
              <w:autoSpaceDN w:val="0"/>
              <w:adjustRightInd w:val="0"/>
              <w:rPr>
                <w:rFonts w:cs="Arial"/>
                <w:color w:val="FFFFFF" w:themeColor="background1"/>
              </w:rPr>
            </w:pPr>
            <w:r w:rsidRPr="009A1768">
              <w:rPr>
                <w:rFonts w:cs="Arial"/>
                <w:color w:val="FFFFFF" w:themeColor="background1"/>
              </w:rPr>
              <w:t>Adjusted R-squared</w:t>
            </w:r>
          </w:p>
        </w:tc>
        <w:tc>
          <w:tcPr>
            <w:cnfStyle w:val="000010000000"/>
            <w:tcW w:w="0" w:type="auto"/>
            <w:tcBorders>
              <w:top w:val="single" w:sz="4" w:space="0" w:color="548DD4" w:themeColor="text2" w:themeTint="99"/>
              <w:left w:val="single" w:sz="4" w:space="0" w:color="548DD4" w:themeColor="text2" w:themeTint="99"/>
              <w:bottom w:val="nil"/>
              <w:right w:val="single" w:sz="4" w:space="0" w:color="548DD4" w:themeColor="text2" w:themeTint="99"/>
            </w:tcBorders>
          </w:tcPr>
          <w:p w:rsidR="002851B0" w:rsidRPr="009A1768" w:rsidRDefault="002851B0" w:rsidP="00854C31">
            <w:pPr>
              <w:autoSpaceDE w:val="0"/>
              <w:autoSpaceDN w:val="0"/>
              <w:adjustRightInd w:val="0"/>
              <w:ind w:right="10"/>
              <w:jc w:val="right"/>
              <w:rPr>
                <w:rFonts w:cs="Arial"/>
                <w:color w:val="000000"/>
              </w:rPr>
            </w:pPr>
            <w:r w:rsidRPr="002851B0">
              <w:rPr>
                <w:rFonts w:cs="Arial"/>
                <w:color w:val="000000"/>
              </w:rPr>
              <w:t>0.219880</w:t>
            </w:r>
          </w:p>
        </w:tc>
        <w:tc>
          <w:tcPr>
            <w:tcW w:w="0" w:type="auto"/>
            <w:gridSpan w:val="2"/>
            <w:tcBorders>
              <w:top w:val="single" w:sz="4" w:space="0" w:color="548DD4" w:themeColor="text2" w:themeTint="99"/>
              <w:left w:val="single" w:sz="4" w:space="0" w:color="548DD4" w:themeColor="text2" w:themeTint="99"/>
              <w:right w:val="single" w:sz="4" w:space="0" w:color="548DD4" w:themeColor="text2" w:themeTint="99"/>
            </w:tcBorders>
            <w:shd w:val="clear" w:color="auto" w:fill="4F81BD" w:themeFill="accent1"/>
          </w:tcPr>
          <w:p w:rsidR="002851B0" w:rsidRPr="009A1768" w:rsidRDefault="002851B0" w:rsidP="00854C31">
            <w:pPr>
              <w:autoSpaceDE w:val="0"/>
              <w:autoSpaceDN w:val="0"/>
              <w:adjustRightInd w:val="0"/>
              <w:ind w:right="10"/>
              <w:cnfStyle w:val="000000100000"/>
              <w:rPr>
                <w:rFonts w:cs="Arial"/>
                <w:b/>
                <w:color w:val="FFFFFF" w:themeColor="background1"/>
              </w:rPr>
            </w:pPr>
            <w:r w:rsidRPr="009A1768">
              <w:rPr>
                <w:rFonts w:cs="Arial"/>
                <w:b/>
                <w:color w:val="FFFFFF" w:themeColor="background1"/>
              </w:rPr>
              <w:t>    Akaike info criterion</w:t>
            </w:r>
          </w:p>
        </w:tc>
        <w:tc>
          <w:tcPr>
            <w:cnfStyle w:val="000010000000"/>
            <w:tcW w:w="0" w:type="auto"/>
            <w:tcBorders>
              <w:top w:val="single" w:sz="4" w:space="0" w:color="548DD4" w:themeColor="text2" w:themeTint="99"/>
              <w:left w:val="single" w:sz="4" w:space="0" w:color="548DD4" w:themeColor="text2" w:themeTint="99"/>
              <w:bottom w:val="nil"/>
              <w:right w:val="single" w:sz="4" w:space="0" w:color="548DD4" w:themeColor="text2" w:themeTint="99"/>
            </w:tcBorders>
          </w:tcPr>
          <w:p w:rsidR="002851B0" w:rsidRPr="009A1768" w:rsidRDefault="002851B0" w:rsidP="00854C31">
            <w:pPr>
              <w:autoSpaceDE w:val="0"/>
              <w:autoSpaceDN w:val="0"/>
              <w:adjustRightInd w:val="0"/>
              <w:ind w:right="10"/>
              <w:jc w:val="right"/>
              <w:rPr>
                <w:rFonts w:cs="Arial"/>
                <w:color w:val="000000"/>
              </w:rPr>
            </w:pPr>
            <w:r w:rsidRPr="002851B0">
              <w:rPr>
                <w:rFonts w:cs="Arial"/>
                <w:color w:val="000000"/>
              </w:rPr>
              <w:t>-0.914837</w:t>
            </w:r>
          </w:p>
        </w:tc>
      </w:tr>
      <w:tr w:rsidR="002851B0" w:rsidRPr="009A1768" w:rsidTr="00854C31">
        <w:trPr>
          <w:trHeight w:val="225"/>
          <w:jc w:val="center"/>
        </w:trPr>
        <w:tc>
          <w:tcPr>
            <w:cnfStyle w:val="001000000000"/>
            <w:tcW w:w="0" w:type="auto"/>
            <w:tcBorders>
              <w:right w:val="single" w:sz="4" w:space="0" w:color="548DD4" w:themeColor="text2" w:themeTint="99"/>
            </w:tcBorders>
            <w:shd w:val="clear" w:color="auto" w:fill="4F81BD" w:themeFill="accent1"/>
          </w:tcPr>
          <w:p w:rsidR="002851B0" w:rsidRPr="009A1768" w:rsidRDefault="002851B0" w:rsidP="00854C31">
            <w:pPr>
              <w:autoSpaceDE w:val="0"/>
              <w:autoSpaceDN w:val="0"/>
              <w:adjustRightInd w:val="0"/>
              <w:rPr>
                <w:rFonts w:cs="Arial"/>
                <w:color w:val="FFFFFF" w:themeColor="background1"/>
              </w:rPr>
            </w:pPr>
            <w:r w:rsidRPr="009A1768">
              <w:rPr>
                <w:rFonts w:cs="Arial"/>
                <w:color w:val="FFFFFF" w:themeColor="background1"/>
              </w:rPr>
              <w:t>S.E. of regression</w:t>
            </w:r>
          </w:p>
        </w:tc>
        <w:tc>
          <w:tcPr>
            <w:cnfStyle w:val="000010000000"/>
            <w:tcW w:w="0" w:type="auto"/>
            <w:tcBorders>
              <w:top w:val="nil"/>
              <w:left w:val="single" w:sz="4" w:space="0" w:color="548DD4" w:themeColor="text2" w:themeTint="99"/>
              <w:bottom w:val="single" w:sz="4" w:space="0" w:color="548DD4" w:themeColor="text2" w:themeTint="99"/>
              <w:right w:val="single" w:sz="4" w:space="0" w:color="548DD4" w:themeColor="text2" w:themeTint="99"/>
            </w:tcBorders>
          </w:tcPr>
          <w:p w:rsidR="002851B0" w:rsidRPr="009A1768" w:rsidRDefault="002851B0" w:rsidP="00854C31">
            <w:pPr>
              <w:autoSpaceDE w:val="0"/>
              <w:autoSpaceDN w:val="0"/>
              <w:adjustRightInd w:val="0"/>
              <w:ind w:right="10"/>
              <w:jc w:val="right"/>
              <w:rPr>
                <w:rFonts w:cs="Arial"/>
                <w:color w:val="000000"/>
              </w:rPr>
            </w:pPr>
            <w:r w:rsidRPr="002851B0">
              <w:rPr>
                <w:rFonts w:cs="Arial"/>
                <w:color w:val="000000"/>
              </w:rPr>
              <w:t>0.150176</w:t>
            </w:r>
          </w:p>
        </w:tc>
        <w:tc>
          <w:tcPr>
            <w:tcW w:w="0" w:type="auto"/>
            <w:gridSpan w:val="2"/>
            <w:tcBorders>
              <w:left w:val="single" w:sz="4" w:space="0" w:color="548DD4" w:themeColor="text2" w:themeTint="99"/>
              <w:right w:val="single" w:sz="4" w:space="0" w:color="548DD4" w:themeColor="text2" w:themeTint="99"/>
            </w:tcBorders>
            <w:shd w:val="clear" w:color="auto" w:fill="4F81BD" w:themeFill="accent1"/>
          </w:tcPr>
          <w:p w:rsidR="002851B0" w:rsidRPr="009A1768" w:rsidRDefault="002851B0" w:rsidP="00854C31">
            <w:pPr>
              <w:autoSpaceDE w:val="0"/>
              <w:autoSpaceDN w:val="0"/>
              <w:adjustRightInd w:val="0"/>
              <w:ind w:right="10"/>
              <w:cnfStyle w:val="000000000000"/>
              <w:rPr>
                <w:rFonts w:cs="Arial"/>
                <w:b/>
                <w:color w:val="FFFFFF" w:themeColor="background1"/>
              </w:rPr>
            </w:pPr>
            <w:r w:rsidRPr="009A1768">
              <w:rPr>
                <w:rFonts w:cs="Arial"/>
                <w:b/>
                <w:color w:val="FFFFFF" w:themeColor="background1"/>
              </w:rPr>
              <w:t>    Durbin-Watson stat</w:t>
            </w:r>
          </w:p>
        </w:tc>
        <w:tc>
          <w:tcPr>
            <w:cnfStyle w:val="000010000000"/>
            <w:tcW w:w="0" w:type="auto"/>
            <w:tcBorders>
              <w:top w:val="nil"/>
              <w:left w:val="single" w:sz="4" w:space="0" w:color="548DD4" w:themeColor="text2" w:themeTint="99"/>
              <w:bottom w:val="single" w:sz="4" w:space="0" w:color="548DD4" w:themeColor="text2" w:themeTint="99"/>
              <w:right w:val="single" w:sz="4" w:space="0" w:color="548DD4" w:themeColor="text2" w:themeTint="99"/>
            </w:tcBorders>
          </w:tcPr>
          <w:p w:rsidR="002851B0" w:rsidRPr="009A1768" w:rsidRDefault="002851B0" w:rsidP="00735207">
            <w:pPr>
              <w:keepNext/>
              <w:autoSpaceDE w:val="0"/>
              <w:autoSpaceDN w:val="0"/>
              <w:adjustRightInd w:val="0"/>
              <w:ind w:right="10"/>
              <w:jc w:val="right"/>
              <w:rPr>
                <w:rFonts w:cs="Arial"/>
                <w:color w:val="000000"/>
              </w:rPr>
            </w:pPr>
            <w:r w:rsidRPr="002851B0">
              <w:rPr>
                <w:rFonts w:cs="Arial"/>
                <w:color w:val="000000"/>
              </w:rPr>
              <w:t>1.992495</w:t>
            </w:r>
          </w:p>
        </w:tc>
      </w:tr>
    </w:tbl>
    <w:p w:rsidR="002A195D" w:rsidRDefault="00735207" w:rsidP="00735207">
      <w:pPr>
        <w:pStyle w:val="Caption"/>
        <w:jc w:val="center"/>
        <w:rPr>
          <w:lang w:val="en-US"/>
        </w:rPr>
      </w:pPr>
      <w:r w:rsidRPr="004454F3">
        <w:rPr>
          <w:lang w:val="en-US"/>
        </w:rPr>
        <w:t xml:space="preserve">Table </w:t>
      </w:r>
      <w:r w:rsidR="00DB780A">
        <w:fldChar w:fldCharType="begin"/>
      </w:r>
      <w:r w:rsidRPr="004454F3">
        <w:rPr>
          <w:lang w:val="en-US"/>
        </w:rPr>
        <w:instrText xml:space="preserve"> SEQ Table \* ARABIC </w:instrText>
      </w:r>
      <w:r w:rsidR="00DB780A">
        <w:fldChar w:fldCharType="separate"/>
      </w:r>
      <w:r w:rsidR="004454F3">
        <w:rPr>
          <w:noProof/>
          <w:lang w:val="en-US"/>
        </w:rPr>
        <w:t>15</w:t>
      </w:r>
      <w:r w:rsidR="00DB780A">
        <w:fldChar w:fldCharType="end"/>
      </w:r>
      <w:r w:rsidRPr="004454F3">
        <w:rPr>
          <w:lang w:val="en-US"/>
        </w:rPr>
        <w:t xml:space="preserve"> | OLS estimation results of equation 2.13</w:t>
      </w:r>
    </w:p>
    <w:p w:rsidR="00F13942" w:rsidRDefault="00240CE9" w:rsidP="00CE2BA2">
      <w:pPr>
        <w:spacing w:line="360" w:lineRule="auto"/>
        <w:jc w:val="both"/>
        <w:rPr>
          <w:lang w:val="en-US"/>
        </w:rPr>
      </w:pPr>
      <w:r>
        <w:rPr>
          <w:lang w:val="en-US"/>
        </w:rPr>
        <w:t xml:space="preserve">As can be seen, the Durbin-Watson statistic is now very close to 2. This indicates there is no more autocorrelation in the error term. Also, the R-squared improved a lot and the Akaike info criterion is a lot better as well. Using </w:t>
      </w:r>
      <w:r>
        <w:rPr>
          <w:rFonts w:ascii="Cambria Math" w:hAnsi="Cambria Math"/>
          <w:i/>
          <w:lang w:val="en-US"/>
        </w:rPr>
        <w:t>∆s</w:t>
      </w:r>
      <w:r>
        <w:rPr>
          <w:rFonts w:ascii="Cambria Math" w:hAnsi="Cambria Math"/>
          <w:i/>
          <w:vertAlign w:val="subscript"/>
          <w:lang w:val="en-US"/>
        </w:rPr>
        <w:t>t</w:t>
      </w:r>
      <w:r>
        <w:rPr>
          <w:rFonts w:ascii="Cambria Math" w:hAnsi="Cambria Math"/>
          <w:lang w:val="en-US"/>
        </w:rPr>
        <w:t xml:space="preserve">  </w:t>
      </w:r>
      <w:r>
        <w:rPr>
          <w:lang w:val="en-US"/>
        </w:rPr>
        <w:t xml:space="preserve">= </w:t>
      </w:r>
      <w:r>
        <w:rPr>
          <w:rFonts w:ascii="Cambria Math" w:hAnsi="Cambria Math"/>
          <w:i/>
          <w:lang w:val="en-US"/>
        </w:rPr>
        <w:t>s</w:t>
      </w:r>
      <w:r>
        <w:rPr>
          <w:rFonts w:ascii="Cambria Math" w:hAnsi="Cambria Math"/>
          <w:i/>
          <w:vertAlign w:val="subscript"/>
          <w:lang w:val="en-US"/>
        </w:rPr>
        <w:t xml:space="preserve">t </w:t>
      </w:r>
      <w:r>
        <w:rPr>
          <w:rFonts w:ascii="Cambria Math" w:hAnsi="Cambria Math"/>
          <w:i/>
          <w:lang w:val="en-US"/>
        </w:rPr>
        <w:t>- s</w:t>
      </w:r>
      <w:r>
        <w:rPr>
          <w:rFonts w:ascii="Cambria Math" w:hAnsi="Cambria Math"/>
          <w:i/>
          <w:vertAlign w:val="subscript"/>
          <w:lang w:val="en-US"/>
        </w:rPr>
        <w:t>t-1</w:t>
      </w:r>
      <w:r>
        <w:rPr>
          <w:lang w:val="en-US"/>
        </w:rPr>
        <w:t xml:space="preserve">, we can rewrite the equation in terms of </w:t>
      </w:r>
      <w:r>
        <w:rPr>
          <w:rFonts w:ascii="Cambria Math" w:hAnsi="Cambria Math"/>
          <w:i/>
          <w:lang w:val="en-US"/>
        </w:rPr>
        <w:t>s</w:t>
      </w:r>
      <w:r>
        <w:rPr>
          <w:rFonts w:ascii="Cambria Math" w:hAnsi="Cambria Math"/>
          <w:i/>
          <w:vertAlign w:val="subscript"/>
          <w:lang w:val="en-US"/>
        </w:rPr>
        <w:t>t</w:t>
      </w:r>
      <w:r>
        <w:rPr>
          <w:rFonts w:ascii="Cambria Math" w:hAnsi="Cambria Math"/>
          <w:i/>
          <w:lang w:val="en-US"/>
        </w:rPr>
        <w:t xml:space="preserve">  </w:t>
      </w:r>
      <w:r>
        <w:rPr>
          <w:lang w:val="en-US"/>
        </w:rPr>
        <w:t>as follows:</w:t>
      </w:r>
    </w:p>
    <w:p w:rsidR="00240CE9" w:rsidRDefault="00DB780A" w:rsidP="0041240A">
      <w:pPr>
        <w:spacing w:line="360" w:lineRule="auto"/>
        <w:jc w:val="right"/>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eastAsiaTheme="minorEastAsia"/>
            <w:lang w:val="en-US"/>
          </w:rPr>
          <m:t>=</m:t>
        </m:r>
        <m:r>
          <w:rPr>
            <w:rFonts w:ascii="Cambria Math" w:hAnsi="Cambria Math"/>
            <w:lang w:val="en-US"/>
          </w:rPr>
          <m:t>-0.04+1.44</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t-1</m:t>
            </m:r>
          </m:sub>
        </m:sSub>
        <m:r>
          <w:rPr>
            <w:rFonts w:ascii="Cambria Math" w:hAnsi="Cambria Math"/>
            <w:lang w:val="en-US"/>
          </w:rPr>
          <m:t>-0.44</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t-2</m:t>
            </m:r>
          </m:sub>
        </m:sSub>
        <m:r>
          <w:rPr>
            <w:rFonts w:ascii="Cambria Math" w:hAnsi="Cambria Math"/>
            <w:lang w:val="en-US"/>
          </w:rPr>
          <m:t>-4.69</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m</m:t>
                </m:r>
              </m:e>
            </m:acc>
          </m:e>
          <m:sub>
            <m:r>
              <w:rPr>
                <w:rFonts w:ascii="Cambria Math" w:eastAsiaTheme="minorEastAsia" w:hAnsi="Cambria Math"/>
                <w:lang w:val="en-US"/>
              </w:rPr>
              <m:t>t</m:t>
            </m:r>
          </m:sub>
        </m:sSub>
        <m:r>
          <w:rPr>
            <w:rFonts w:ascii="Cambria Math" w:eastAsiaTheme="minorEastAsia" w:hAnsi="Cambria Math"/>
            <w:lang w:val="en-US"/>
          </w:rPr>
          <m:t>-336.84</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acc>
          <m:accPr>
            <m:chr m:val="̃"/>
            <m:ctrlPr>
              <w:rPr>
                <w:rFonts w:ascii="Cambria Math" w:eastAsiaTheme="minorEastAsia" w:hAnsi="Cambria Math"/>
                <w:i/>
                <w:lang w:val="en-US"/>
              </w:rPr>
            </m:ctrlPr>
          </m:acc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t</m:t>
                </m:r>
              </m:sub>
            </m:sSub>
          </m:e>
        </m:acc>
        <m:r>
          <w:rPr>
            <w:rFonts w:ascii="Cambria Math" w:eastAsiaTheme="minorEastAsia"/>
            <w:lang w:val="en-US"/>
          </w:rPr>
          <m:t>+</m:t>
        </m:r>
        <m:r>
          <w:rPr>
            <w:rFonts w:ascii="Cambria Math" w:hAnsi="Cambria Math"/>
            <w:lang w:val="en-US"/>
          </w:rPr>
          <m:t>0.59∆</m:t>
        </m:r>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r</m:t>
                </m:r>
              </m:e>
            </m:acc>
          </m:e>
          <m:sub>
            <m:r>
              <w:rPr>
                <w:rFonts w:ascii="Cambria Math" w:eastAsiaTheme="minorEastAsia" w:hAnsi="Cambria Math"/>
                <w:lang w:val="en-US"/>
              </w:rPr>
              <m:t>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t</m:t>
            </m:r>
          </m:sub>
        </m:sSub>
      </m:oMath>
      <w:r w:rsidR="00240CE9">
        <w:rPr>
          <w:rFonts w:eastAsiaTheme="minorEastAsia"/>
          <w:lang w:val="en-US"/>
        </w:rPr>
        <w:tab/>
        <w:t xml:space="preserve">     (2.</w:t>
      </w:r>
      <w:r w:rsidR="00C179E8">
        <w:rPr>
          <w:rFonts w:eastAsiaTheme="minorEastAsia"/>
          <w:lang w:val="en-US"/>
        </w:rPr>
        <w:t>14</w:t>
      </w:r>
      <w:r w:rsidR="00240CE9">
        <w:rPr>
          <w:rFonts w:eastAsiaTheme="minorEastAsia"/>
          <w:lang w:val="en-US"/>
        </w:rPr>
        <w:t>)</w:t>
      </w:r>
    </w:p>
    <w:p w:rsidR="00240CE9" w:rsidRDefault="00D92DD9" w:rsidP="00CE2BA2">
      <w:pPr>
        <w:spacing w:line="360" w:lineRule="auto"/>
        <w:jc w:val="both"/>
        <w:rPr>
          <w:lang w:val="en-US"/>
        </w:rPr>
      </w:pPr>
      <w:r>
        <w:rPr>
          <w:lang w:val="en-US"/>
        </w:rPr>
        <w:lastRenderedPageBreak/>
        <w:t xml:space="preserve">This equation is basically a combination of equation 2.3 and 2.11, the autoregressive and structural Dornbusch models respectively. </w:t>
      </w:r>
      <w:r w:rsidR="00CE6826">
        <w:rPr>
          <w:lang w:val="en-US"/>
        </w:rPr>
        <w:t>If we look at the versions of these models utilizing the first difference of the Bitcoin/US Dollar exchange rate as the dependent variable, we obtain the following comparison:</w:t>
      </w:r>
    </w:p>
    <w:p w:rsidR="00DB6D50" w:rsidRDefault="00DB780A" w:rsidP="0041240A">
      <w:pPr>
        <w:spacing w:line="360" w:lineRule="auto"/>
        <w:rPr>
          <w:rFonts w:eastAsiaTheme="minorEastAsia"/>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hAnsi="Cambria Math"/>
            <w:lang w:val="en-US"/>
          </w:rPr>
          <m:t>=-0.04+0.44</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t</m:t>
            </m:r>
          </m:sub>
        </m:sSub>
      </m:oMath>
      <w:r w:rsidR="00DB6D50">
        <w:rPr>
          <w:rFonts w:eastAsiaTheme="minorEastAsia"/>
          <w:lang w:val="en-US"/>
        </w:rPr>
        <w:tab/>
      </w:r>
      <w:r w:rsidR="00DB6D50">
        <w:rPr>
          <w:rFonts w:eastAsiaTheme="minorEastAsia"/>
          <w:lang w:val="en-US"/>
        </w:rPr>
        <w:tab/>
        <w:t xml:space="preserve">  </w:t>
      </w:r>
      <w:r w:rsidR="00DB6D50">
        <w:rPr>
          <w:rFonts w:eastAsiaTheme="minorEastAsia"/>
          <w:lang w:val="en-US"/>
        </w:rPr>
        <w:tab/>
        <w:t xml:space="preserve">     </w:t>
      </w:r>
      <w:r w:rsidR="00DB6D50">
        <w:rPr>
          <w:rFonts w:eastAsiaTheme="minorEastAsia"/>
          <w:lang w:val="en-US"/>
        </w:rPr>
        <w:tab/>
        <w:t xml:space="preserve">           Autoregressive model</w:t>
      </w:r>
      <w:r w:rsidR="00DB6D50">
        <w:rPr>
          <w:rFonts w:eastAsiaTheme="minorEastAsia"/>
          <w:lang w:val="en-US"/>
        </w:rPr>
        <w:tab/>
        <w:t>(2.2)</w:t>
      </w:r>
    </w:p>
    <w:p w:rsidR="00DB6D50" w:rsidRDefault="00DB780A" w:rsidP="0041240A">
      <w:pPr>
        <w:spacing w:line="360" w:lineRule="auto"/>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eastAsiaTheme="minorEastAsia"/>
            <w:lang w:val="en-US"/>
          </w:rPr>
          <m:t>=</m:t>
        </m:r>
        <m:r>
          <w:rPr>
            <w:rFonts w:ascii="Cambria Math" w:hAnsi="Cambria Math"/>
            <w:lang w:val="en-US"/>
          </w:rPr>
          <m:t>-0.04-3.52</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m</m:t>
                </m:r>
              </m:e>
            </m:acc>
          </m:e>
          <m:sub>
            <m:r>
              <w:rPr>
                <w:rFonts w:ascii="Cambria Math" w:eastAsiaTheme="minorEastAsia" w:hAnsi="Cambria Math"/>
                <w:lang w:val="en-US"/>
              </w:rPr>
              <m:t>t</m:t>
            </m:r>
          </m:sub>
        </m:sSub>
        <m:r>
          <w:rPr>
            <w:rFonts w:ascii="Cambria Math" w:hAnsi="Cambria Math"/>
            <w:lang w:val="en-US"/>
          </w:rPr>
          <m:t>-359.17</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acc>
          <m:accPr>
            <m:chr m:val="̃"/>
            <m:ctrlPr>
              <w:rPr>
                <w:rFonts w:ascii="Cambria Math" w:eastAsiaTheme="minorEastAsia" w:hAnsi="Cambria Math"/>
                <w:i/>
                <w:lang w:val="en-US"/>
              </w:rPr>
            </m:ctrlPr>
          </m:acc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t</m:t>
                </m:r>
              </m:sub>
            </m:sSub>
          </m:e>
        </m:acc>
        <m:r>
          <w:rPr>
            <w:rFonts w:ascii="Cambria Math" w:eastAsiaTheme="minorEastAsia"/>
            <w:lang w:val="en-US"/>
          </w:rPr>
          <m:t>+</m:t>
        </m:r>
        <m:r>
          <w:rPr>
            <w:rFonts w:ascii="Cambria Math" w:hAnsi="Cambria Math"/>
            <w:lang w:val="en-US"/>
          </w:rPr>
          <m:t>0.90∆</m:t>
        </m:r>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r</m:t>
                </m:r>
              </m:e>
            </m:acc>
          </m:e>
          <m:sub>
            <m:r>
              <w:rPr>
                <w:rFonts w:ascii="Cambria Math" w:eastAsiaTheme="minorEastAsia" w:hAnsi="Cambria Math"/>
                <w:lang w:val="en-US"/>
              </w:rPr>
              <m:t>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t</m:t>
            </m:r>
          </m:sub>
        </m:sSub>
      </m:oMath>
      <w:r w:rsidR="00DB6D50">
        <w:rPr>
          <w:rFonts w:eastAsiaTheme="minorEastAsia"/>
          <w:lang w:val="en-US"/>
        </w:rPr>
        <w:t xml:space="preserve"> </w:t>
      </w:r>
      <w:r w:rsidR="00DB6D50">
        <w:rPr>
          <w:rFonts w:eastAsiaTheme="minorEastAsia"/>
          <w:lang w:val="en-US"/>
        </w:rPr>
        <w:tab/>
        <w:t>Structural Dornbusch model</w:t>
      </w:r>
      <w:r w:rsidR="00DB6D50">
        <w:rPr>
          <w:rFonts w:eastAsiaTheme="minorEastAsia"/>
          <w:lang w:val="en-US"/>
        </w:rPr>
        <w:tab/>
        <w:t>(2.10)</w:t>
      </w:r>
    </w:p>
    <w:p w:rsidR="00DB6D50" w:rsidRDefault="00DB780A" w:rsidP="0041240A">
      <w:pPr>
        <w:spacing w:line="360" w:lineRule="auto"/>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eastAsiaTheme="minorEastAsia"/>
            <w:lang w:val="en-US"/>
          </w:rPr>
          <m:t>=</m:t>
        </m:r>
        <m:r>
          <w:rPr>
            <w:rFonts w:ascii="Cambria Math" w:hAnsi="Cambria Math"/>
            <w:lang w:val="en-US"/>
          </w:rPr>
          <m:t>-0.04+0.44∆</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t-1</m:t>
            </m:r>
          </m:sub>
        </m:sSub>
        <m:r>
          <w:rPr>
            <w:rFonts w:ascii="Cambria Math" w:hAnsi="Cambria Math"/>
            <w:lang w:val="en-US"/>
          </w:rPr>
          <m:t>-4.69</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m</m:t>
                </m:r>
              </m:e>
            </m:acc>
          </m:e>
          <m:sub>
            <m:r>
              <w:rPr>
                <w:rFonts w:ascii="Cambria Math" w:eastAsiaTheme="minorEastAsia" w:hAnsi="Cambria Math"/>
                <w:lang w:val="en-US"/>
              </w:rPr>
              <m:t>t</m:t>
            </m:r>
          </m:sub>
        </m:sSub>
        <m:r>
          <w:rPr>
            <w:rFonts w:ascii="Cambria Math" w:eastAsiaTheme="minorEastAsia" w:hAnsi="Cambria Math"/>
            <w:lang w:val="en-US"/>
          </w:rPr>
          <m:t>-336.84</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acc>
          <m:accPr>
            <m:chr m:val="̃"/>
            <m:ctrlPr>
              <w:rPr>
                <w:rFonts w:ascii="Cambria Math" w:eastAsiaTheme="minorEastAsia" w:hAnsi="Cambria Math"/>
                <w:i/>
                <w:lang w:val="en-US"/>
              </w:rPr>
            </m:ctrlPr>
          </m:acc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t</m:t>
                </m:r>
              </m:sub>
            </m:sSub>
          </m:e>
        </m:acc>
        <m:r>
          <w:rPr>
            <w:rFonts w:ascii="Cambria Math" w:eastAsiaTheme="minorEastAsia"/>
            <w:lang w:val="en-US"/>
          </w:rPr>
          <m:t>+</m:t>
        </m:r>
        <m:r>
          <w:rPr>
            <w:rFonts w:ascii="Cambria Math" w:hAnsi="Cambria Math"/>
            <w:lang w:val="en-US"/>
          </w:rPr>
          <m:t>0.59∆</m:t>
        </m:r>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r</m:t>
                </m:r>
              </m:e>
            </m:acc>
          </m:e>
          <m:sub>
            <m:r>
              <w:rPr>
                <w:rFonts w:ascii="Cambria Math" w:eastAsiaTheme="minorEastAsia" w:hAnsi="Cambria Math"/>
                <w:lang w:val="en-US"/>
              </w:rPr>
              <m:t>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t</m:t>
            </m:r>
          </m:sub>
        </m:sSub>
      </m:oMath>
      <w:r w:rsidR="00DB6D50">
        <w:rPr>
          <w:rFonts w:eastAsiaTheme="minorEastAsia"/>
          <w:lang w:val="en-US"/>
        </w:rPr>
        <w:tab/>
        <w:t xml:space="preserve">      combined model</w:t>
      </w:r>
      <w:r w:rsidR="00DB6D50">
        <w:rPr>
          <w:rFonts w:eastAsiaTheme="minorEastAsia"/>
          <w:lang w:val="en-US"/>
        </w:rPr>
        <w:tab/>
        <w:t>(2.13)</w:t>
      </w:r>
    </w:p>
    <w:tbl>
      <w:tblPr>
        <w:tblStyle w:val="LightList-Accent11"/>
        <w:tblW w:w="0" w:type="auto"/>
        <w:jc w:val="center"/>
        <w:tblLook w:val="00A0"/>
      </w:tblPr>
      <w:tblGrid>
        <w:gridCol w:w="2426"/>
        <w:gridCol w:w="1216"/>
        <w:gridCol w:w="840"/>
        <w:gridCol w:w="1216"/>
        <w:gridCol w:w="830"/>
        <w:gridCol w:w="1216"/>
        <w:gridCol w:w="830"/>
      </w:tblGrid>
      <w:tr w:rsidR="00FE027E" w:rsidRPr="009A1768" w:rsidTr="00E4088A">
        <w:trPr>
          <w:cnfStyle w:val="100000000000"/>
          <w:trHeight w:val="324"/>
          <w:jc w:val="center"/>
        </w:trPr>
        <w:tc>
          <w:tcPr>
            <w:cnfStyle w:val="001000000000"/>
            <w:tcW w:w="0" w:type="auto"/>
            <w:tcBorders>
              <w:top w:val="single" w:sz="8" w:space="0" w:color="4F81BD" w:themeColor="accent1"/>
              <w:bottom w:val="single" w:sz="4" w:space="0" w:color="FFFFFF" w:themeColor="background1"/>
              <w:right w:val="single" w:sz="4" w:space="0" w:color="FFFFFF" w:themeColor="background1"/>
            </w:tcBorders>
          </w:tcPr>
          <w:p w:rsidR="00FE027E" w:rsidRPr="009A1768" w:rsidRDefault="00FE027E" w:rsidP="00854C31">
            <w:pPr>
              <w:autoSpaceDE w:val="0"/>
              <w:autoSpaceDN w:val="0"/>
              <w:adjustRightInd w:val="0"/>
              <w:rPr>
                <w:rFonts w:cs="Arial"/>
                <w:lang w:val="en-US"/>
              </w:rPr>
            </w:pPr>
            <w:r w:rsidRPr="009A1768">
              <w:rPr>
                <w:rFonts w:cs="Arial"/>
                <w:lang w:val="en-US"/>
              </w:rPr>
              <w:t xml:space="preserve">Dependent Variable: </w:t>
            </w:r>
            <w:r>
              <w:rPr>
                <w:rFonts w:ascii="Cambria Math" w:hAnsi="Cambria Math"/>
                <w:i/>
                <w:lang w:val="en-US"/>
              </w:rPr>
              <w:t>∆s</w:t>
            </w:r>
            <w:r>
              <w:rPr>
                <w:rFonts w:ascii="Cambria Math" w:hAnsi="Cambria Math"/>
                <w:i/>
                <w:vertAlign w:val="subscript"/>
                <w:lang w:val="en-US"/>
              </w:rPr>
              <w:t>t</w:t>
            </w:r>
            <w:r>
              <w:rPr>
                <w:rFonts w:ascii="Cambria Math" w:hAnsi="Cambria Math"/>
                <w:lang w:val="en-US"/>
              </w:rPr>
              <w:t xml:space="preserve">  </w:t>
            </w:r>
          </w:p>
        </w:tc>
        <w:tc>
          <w:tcPr>
            <w:cnfStyle w:val="000010000000"/>
            <w:tcW w:w="0" w:type="auto"/>
            <w:gridSpan w:val="2"/>
            <w:tcBorders>
              <w:left w:val="single" w:sz="4" w:space="0" w:color="FFFFFF" w:themeColor="background1"/>
              <w:bottom w:val="single" w:sz="4" w:space="0" w:color="FFFFFF" w:themeColor="background1"/>
              <w:right w:val="single" w:sz="4" w:space="0" w:color="FFFFFF" w:themeColor="background1"/>
            </w:tcBorders>
            <w:vAlign w:val="center"/>
          </w:tcPr>
          <w:p w:rsidR="00FE027E" w:rsidRPr="00E4088A" w:rsidRDefault="00FE027E" w:rsidP="00E4088A">
            <w:pPr>
              <w:autoSpaceDE w:val="0"/>
              <w:autoSpaceDN w:val="0"/>
              <w:adjustRightInd w:val="0"/>
              <w:jc w:val="center"/>
              <w:rPr>
                <w:rFonts w:cs="Arial"/>
                <w:lang w:val="en-US"/>
              </w:rPr>
            </w:pPr>
            <w:r w:rsidRPr="00E4088A">
              <w:rPr>
                <w:rFonts w:cs="Arial"/>
                <w:bCs w:val="0"/>
                <w:lang w:val="en-US"/>
              </w:rPr>
              <w:t>Autoregressive</w:t>
            </w:r>
          </w:p>
        </w:tc>
        <w:tc>
          <w:tcPr>
            <w:tcW w:w="0" w:type="auto"/>
            <w:gridSpan w:val="2"/>
            <w:tcBorders>
              <w:top w:val="single" w:sz="8" w:space="0" w:color="4F81BD" w:themeColor="accent1"/>
              <w:left w:val="single" w:sz="4" w:space="0" w:color="FFFFFF" w:themeColor="background1"/>
              <w:bottom w:val="single" w:sz="4" w:space="0" w:color="FFFFFF" w:themeColor="background1"/>
              <w:right w:val="single" w:sz="4" w:space="0" w:color="FFFFFF" w:themeColor="background1"/>
            </w:tcBorders>
            <w:vAlign w:val="center"/>
          </w:tcPr>
          <w:p w:rsidR="00FE027E" w:rsidRPr="009A1768" w:rsidRDefault="00FE027E" w:rsidP="00E4088A">
            <w:pPr>
              <w:autoSpaceDE w:val="0"/>
              <w:autoSpaceDN w:val="0"/>
              <w:adjustRightInd w:val="0"/>
              <w:jc w:val="center"/>
              <w:cnfStyle w:val="100000000000"/>
              <w:rPr>
                <w:rFonts w:cs="Arial"/>
                <w:lang w:val="en-US"/>
              </w:rPr>
            </w:pPr>
            <w:r>
              <w:rPr>
                <w:rFonts w:cs="Arial"/>
                <w:lang w:val="en-US"/>
              </w:rPr>
              <w:t>Dornbusch</w:t>
            </w:r>
          </w:p>
        </w:tc>
        <w:tc>
          <w:tcPr>
            <w:cnfStyle w:val="000010000000"/>
            <w:tcW w:w="0" w:type="auto"/>
            <w:gridSpan w:val="2"/>
            <w:tcBorders>
              <w:left w:val="single" w:sz="4" w:space="0" w:color="FFFFFF" w:themeColor="background1"/>
              <w:bottom w:val="single" w:sz="4" w:space="0" w:color="FFFFFF" w:themeColor="background1"/>
            </w:tcBorders>
            <w:vAlign w:val="center"/>
          </w:tcPr>
          <w:p w:rsidR="00FE027E" w:rsidRPr="009A1768" w:rsidRDefault="00FE027E" w:rsidP="00E4088A">
            <w:pPr>
              <w:autoSpaceDE w:val="0"/>
              <w:autoSpaceDN w:val="0"/>
              <w:adjustRightInd w:val="0"/>
              <w:jc w:val="center"/>
              <w:rPr>
                <w:rFonts w:cs="Arial"/>
                <w:lang w:val="en-US"/>
              </w:rPr>
            </w:pPr>
            <w:r>
              <w:rPr>
                <w:rFonts w:cs="Arial"/>
                <w:lang w:val="en-US"/>
              </w:rPr>
              <w:t>Combined</w:t>
            </w:r>
          </w:p>
        </w:tc>
      </w:tr>
      <w:tr w:rsidR="00E4088A" w:rsidRPr="00CC60EF" w:rsidTr="00E4088A">
        <w:trPr>
          <w:cnfStyle w:val="000000100000"/>
          <w:trHeight w:val="225"/>
          <w:jc w:val="center"/>
        </w:trPr>
        <w:tc>
          <w:tcPr>
            <w:cnfStyle w:val="001000000000"/>
            <w:tcW w:w="0" w:type="auto"/>
            <w:tcBorders>
              <w:top w:val="single" w:sz="4" w:space="0" w:color="FFFFFF" w:themeColor="background1"/>
              <w:bottom w:val="single" w:sz="4" w:space="0" w:color="FFFFFF" w:themeColor="background1"/>
              <w:right w:val="single" w:sz="4" w:space="0" w:color="FFFFFF" w:themeColor="background1"/>
            </w:tcBorders>
            <w:shd w:val="clear" w:color="auto" w:fill="4F81BD" w:themeFill="accent1"/>
          </w:tcPr>
          <w:p w:rsidR="00854C31" w:rsidRPr="00CC60EF" w:rsidRDefault="00854C31" w:rsidP="00854C31">
            <w:pPr>
              <w:autoSpaceDE w:val="0"/>
              <w:autoSpaceDN w:val="0"/>
              <w:adjustRightInd w:val="0"/>
              <w:jc w:val="center"/>
              <w:rPr>
                <w:rFonts w:cs="Arial"/>
                <w:color w:val="FFFFFF" w:themeColor="background1"/>
                <w:lang w:val="en-US"/>
              </w:rPr>
            </w:pPr>
            <w:r w:rsidRPr="00CC60EF">
              <w:rPr>
                <w:rFonts w:cs="Arial"/>
                <w:color w:val="FFFFFF" w:themeColor="background1"/>
                <w:lang w:val="en-US"/>
              </w:rPr>
              <w:t>Variable</w:t>
            </w:r>
          </w:p>
        </w:tc>
        <w:tc>
          <w:tcPr>
            <w:cnfStyle w:val="000010000000"/>
            <w:tcW w:w="0" w:type="auto"/>
            <w:tcBorders>
              <w:top w:val="single" w:sz="4" w:space="0" w:color="FFFFFF" w:themeColor="background1"/>
              <w:left w:val="single" w:sz="4" w:space="0" w:color="FFFFFF" w:themeColor="background1"/>
              <w:bottom w:val="single" w:sz="4" w:space="0" w:color="548DD4" w:themeColor="text2" w:themeTint="99"/>
            </w:tcBorders>
            <w:shd w:val="clear" w:color="auto" w:fill="4F81BD" w:themeFill="accent1"/>
          </w:tcPr>
          <w:p w:rsidR="00854C31" w:rsidRPr="00CC60EF" w:rsidRDefault="00854C31" w:rsidP="00854C31">
            <w:pPr>
              <w:autoSpaceDE w:val="0"/>
              <w:autoSpaceDN w:val="0"/>
              <w:adjustRightInd w:val="0"/>
              <w:ind w:right="10"/>
              <w:jc w:val="right"/>
              <w:rPr>
                <w:rFonts w:cs="Arial"/>
                <w:b/>
                <w:color w:val="FFFFFF" w:themeColor="background1"/>
                <w:lang w:val="en-US"/>
              </w:rPr>
            </w:pPr>
            <w:r w:rsidRPr="00CC60EF">
              <w:rPr>
                <w:rFonts w:cs="Arial"/>
                <w:b/>
                <w:color w:val="FFFFFF" w:themeColor="background1"/>
                <w:lang w:val="en-US"/>
              </w:rPr>
              <w:t>Coefficient</w:t>
            </w:r>
          </w:p>
        </w:tc>
        <w:tc>
          <w:tcPr>
            <w:tcW w:w="0" w:type="auto"/>
            <w:tcBorders>
              <w:top w:val="single" w:sz="4" w:space="0" w:color="FFFFFF" w:themeColor="background1"/>
              <w:bottom w:val="single" w:sz="4" w:space="0" w:color="548DD4" w:themeColor="text2" w:themeTint="99"/>
              <w:right w:val="single" w:sz="4" w:space="0" w:color="FFFFFF" w:themeColor="background1"/>
            </w:tcBorders>
            <w:shd w:val="clear" w:color="auto" w:fill="4F81BD" w:themeFill="accent1"/>
          </w:tcPr>
          <w:p w:rsidR="00854C31" w:rsidRDefault="00854C31" w:rsidP="00854C31">
            <w:pPr>
              <w:autoSpaceDE w:val="0"/>
              <w:autoSpaceDN w:val="0"/>
              <w:adjustRightInd w:val="0"/>
              <w:ind w:right="10"/>
              <w:jc w:val="right"/>
              <w:cnfStyle w:val="000000100000"/>
              <w:rPr>
                <w:rFonts w:cs="Arial"/>
                <w:b/>
                <w:color w:val="FFFFFF" w:themeColor="background1"/>
                <w:lang w:val="en-US"/>
              </w:rPr>
            </w:pPr>
            <w:r>
              <w:rPr>
                <w:rFonts w:cs="Arial"/>
                <w:b/>
                <w:color w:val="FFFFFF" w:themeColor="background1"/>
                <w:lang w:val="en-US"/>
              </w:rPr>
              <w:t>Prob.</w:t>
            </w:r>
          </w:p>
        </w:tc>
        <w:tc>
          <w:tcPr>
            <w:cnfStyle w:val="000010000000"/>
            <w:tcW w:w="0" w:type="auto"/>
            <w:tcBorders>
              <w:top w:val="single" w:sz="4" w:space="0" w:color="FFFFFF" w:themeColor="background1"/>
              <w:left w:val="single" w:sz="4" w:space="0" w:color="FFFFFF" w:themeColor="background1"/>
              <w:bottom w:val="single" w:sz="4" w:space="0" w:color="548DD4" w:themeColor="text2" w:themeTint="99"/>
            </w:tcBorders>
            <w:shd w:val="clear" w:color="auto" w:fill="4F81BD" w:themeFill="accent1"/>
          </w:tcPr>
          <w:p w:rsidR="00854C31" w:rsidRDefault="00854C31" w:rsidP="00854C31">
            <w:pPr>
              <w:autoSpaceDE w:val="0"/>
              <w:autoSpaceDN w:val="0"/>
              <w:adjustRightInd w:val="0"/>
              <w:ind w:right="10"/>
              <w:jc w:val="right"/>
              <w:rPr>
                <w:rFonts w:cs="Arial"/>
                <w:b/>
                <w:color w:val="FFFFFF" w:themeColor="background1"/>
                <w:lang w:val="en-US"/>
              </w:rPr>
            </w:pPr>
            <w:r>
              <w:rPr>
                <w:rFonts w:cs="Arial"/>
                <w:b/>
                <w:color w:val="FFFFFF" w:themeColor="background1"/>
                <w:lang w:val="en-US"/>
              </w:rPr>
              <w:t>Coefficient</w:t>
            </w:r>
          </w:p>
        </w:tc>
        <w:tc>
          <w:tcPr>
            <w:tcW w:w="0" w:type="auto"/>
            <w:tcBorders>
              <w:top w:val="single" w:sz="4" w:space="0" w:color="FFFFFF" w:themeColor="background1"/>
              <w:bottom w:val="single" w:sz="4" w:space="0" w:color="548DD4" w:themeColor="text2" w:themeTint="99"/>
              <w:right w:val="single" w:sz="4" w:space="0" w:color="FFFFFF" w:themeColor="background1"/>
            </w:tcBorders>
            <w:shd w:val="clear" w:color="auto" w:fill="4F81BD" w:themeFill="accent1"/>
          </w:tcPr>
          <w:p w:rsidR="00854C31" w:rsidRDefault="00854C31" w:rsidP="00854C31">
            <w:pPr>
              <w:autoSpaceDE w:val="0"/>
              <w:autoSpaceDN w:val="0"/>
              <w:adjustRightInd w:val="0"/>
              <w:ind w:right="10"/>
              <w:jc w:val="right"/>
              <w:cnfStyle w:val="000000100000"/>
              <w:rPr>
                <w:rFonts w:cs="Arial"/>
                <w:b/>
                <w:color w:val="FFFFFF" w:themeColor="background1"/>
                <w:lang w:val="en-US"/>
              </w:rPr>
            </w:pPr>
            <w:r>
              <w:rPr>
                <w:rFonts w:cs="Arial"/>
                <w:b/>
                <w:color w:val="FFFFFF" w:themeColor="background1"/>
                <w:lang w:val="en-US"/>
              </w:rPr>
              <w:t>Prob.</w:t>
            </w:r>
          </w:p>
        </w:tc>
        <w:tc>
          <w:tcPr>
            <w:cnfStyle w:val="000010000000"/>
            <w:tcW w:w="0" w:type="auto"/>
            <w:tcBorders>
              <w:top w:val="single" w:sz="4" w:space="0" w:color="FFFFFF" w:themeColor="background1"/>
              <w:left w:val="single" w:sz="4" w:space="0" w:color="FFFFFF" w:themeColor="background1"/>
              <w:bottom w:val="single" w:sz="4" w:space="0" w:color="548DD4" w:themeColor="text2" w:themeTint="99"/>
            </w:tcBorders>
            <w:shd w:val="clear" w:color="auto" w:fill="4F81BD" w:themeFill="accent1"/>
          </w:tcPr>
          <w:p w:rsidR="00854C31" w:rsidRDefault="00854C31" w:rsidP="00854C31">
            <w:pPr>
              <w:autoSpaceDE w:val="0"/>
              <w:autoSpaceDN w:val="0"/>
              <w:adjustRightInd w:val="0"/>
              <w:ind w:right="10"/>
              <w:jc w:val="right"/>
              <w:rPr>
                <w:rFonts w:cs="Arial"/>
                <w:b/>
                <w:color w:val="FFFFFF" w:themeColor="background1"/>
                <w:lang w:val="en-US"/>
              </w:rPr>
            </w:pPr>
            <w:r>
              <w:rPr>
                <w:rFonts w:cs="Arial"/>
                <w:b/>
                <w:color w:val="FFFFFF" w:themeColor="background1"/>
                <w:lang w:val="en-US"/>
              </w:rPr>
              <w:t>Coefficient</w:t>
            </w:r>
          </w:p>
        </w:tc>
        <w:tc>
          <w:tcPr>
            <w:tcW w:w="0" w:type="auto"/>
            <w:tcBorders>
              <w:top w:val="single" w:sz="4" w:space="0" w:color="FFFFFF" w:themeColor="background1"/>
              <w:bottom w:val="single" w:sz="4" w:space="0" w:color="548DD4" w:themeColor="text2" w:themeTint="99"/>
            </w:tcBorders>
            <w:shd w:val="clear" w:color="auto" w:fill="4F81BD" w:themeFill="accent1"/>
          </w:tcPr>
          <w:p w:rsidR="00854C31" w:rsidRPr="00CC60EF" w:rsidRDefault="00854C31" w:rsidP="00854C31">
            <w:pPr>
              <w:autoSpaceDE w:val="0"/>
              <w:autoSpaceDN w:val="0"/>
              <w:adjustRightInd w:val="0"/>
              <w:ind w:right="10"/>
              <w:jc w:val="right"/>
              <w:cnfStyle w:val="000000100000"/>
              <w:rPr>
                <w:rFonts w:cs="Arial"/>
                <w:b/>
                <w:color w:val="FFFFFF" w:themeColor="background1"/>
                <w:lang w:val="en-US"/>
              </w:rPr>
            </w:pPr>
            <w:r>
              <w:rPr>
                <w:rFonts w:cs="Arial"/>
                <w:b/>
                <w:color w:val="FFFFFF" w:themeColor="background1"/>
                <w:lang w:val="en-US"/>
              </w:rPr>
              <w:t>Prob.</w:t>
            </w:r>
          </w:p>
        </w:tc>
      </w:tr>
      <w:tr w:rsidR="00C24D45" w:rsidRPr="00CC60EF" w:rsidTr="00172700">
        <w:trPr>
          <w:trHeight w:val="225"/>
          <w:jc w:val="center"/>
        </w:trPr>
        <w:tc>
          <w:tcPr>
            <w:cnfStyle w:val="001000000000"/>
            <w:tcW w:w="0" w:type="auto"/>
            <w:vMerge w:val="restart"/>
            <w:tcBorders>
              <w:top w:val="single" w:sz="4" w:space="0" w:color="FFFFFF" w:themeColor="background1"/>
              <w:right w:val="single" w:sz="4" w:space="0" w:color="548DD4" w:themeColor="text2" w:themeTint="99"/>
            </w:tcBorders>
            <w:shd w:val="clear" w:color="auto" w:fill="4F81BD" w:themeFill="accent1"/>
          </w:tcPr>
          <w:p w:rsidR="00FC3C21" w:rsidRPr="00FC3C21" w:rsidRDefault="00FC3C21" w:rsidP="00E4088A">
            <w:pPr>
              <w:autoSpaceDE w:val="0"/>
              <w:autoSpaceDN w:val="0"/>
              <w:adjustRightInd w:val="0"/>
              <w:jc w:val="center"/>
              <w:rPr>
                <w:rFonts w:ascii="Cambria Math" w:eastAsiaTheme="minorEastAsia" w:hAnsi="Cambria Math" w:cs="Arial"/>
                <w:i/>
                <w:color w:val="FFFFFF" w:themeColor="background1"/>
                <w:lang w:val="en-US"/>
              </w:rPr>
            </w:pPr>
            <w:r>
              <w:rPr>
                <w:rFonts w:ascii="Cambria Math" w:hAnsi="Cambria Math" w:cs="Arial"/>
                <w:i/>
                <w:color w:val="FFFFFF" w:themeColor="background1"/>
                <w:lang w:val="en-US"/>
              </w:rPr>
              <w:t>constant</w:t>
            </w:r>
          </w:p>
          <w:p w:rsidR="00C24D45" w:rsidRPr="00C24D45" w:rsidRDefault="00DB780A" w:rsidP="00E4088A">
            <w:pPr>
              <w:autoSpaceDE w:val="0"/>
              <w:autoSpaceDN w:val="0"/>
              <w:adjustRightInd w:val="0"/>
              <w:jc w:val="center"/>
              <w:rPr>
                <w:rFonts w:ascii="Cambria Math" w:hAnsi="Cambria Math" w:cs="Arial"/>
                <w:bCs w:val="0"/>
                <w:i/>
                <w:color w:val="FFFFFF" w:themeColor="background1"/>
                <w:vertAlign w:val="subscript"/>
                <w:lang w:val="en-US"/>
              </w:rPr>
            </w:pPr>
            <m:oMathPara>
              <m:oMath>
                <m:sSub>
                  <m:sSubPr>
                    <m:ctrlPr>
                      <w:rPr>
                        <w:rFonts w:ascii="Cambria Math" w:hAnsi="Cambria Math"/>
                        <w:i/>
                        <w:color w:val="FFFFFF" w:themeColor="background1"/>
                        <w:lang w:val="en-US"/>
                      </w:rPr>
                    </m:ctrlPr>
                  </m:sSubPr>
                  <m:e>
                    <m:r>
                      <m:rPr>
                        <m:sty m:val="bi"/>
                      </m:rPr>
                      <w:rPr>
                        <w:rFonts w:ascii="Cambria Math" w:hAnsi="Cambria Math"/>
                        <w:color w:val="FFFFFF" w:themeColor="background1"/>
                        <w:lang w:val="en-US"/>
                      </w:rPr>
                      <m:t>∆s</m:t>
                    </m:r>
                  </m:e>
                  <m:sub>
                    <m:r>
                      <m:rPr>
                        <m:sty m:val="bi"/>
                      </m:rPr>
                      <w:rPr>
                        <w:rFonts w:ascii="Cambria Math" w:hAnsi="Cambria Math"/>
                        <w:color w:val="FFFFFF" w:themeColor="background1"/>
                        <w:lang w:val="en-US"/>
                      </w:rPr>
                      <m:t>t-1</m:t>
                    </m:r>
                  </m:sub>
                </m:sSub>
              </m:oMath>
            </m:oMathPara>
          </w:p>
          <w:p w:rsidR="00C24D45" w:rsidRPr="00C24D45" w:rsidRDefault="00DB780A" w:rsidP="00E4088A">
            <w:pPr>
              <w:autoSpaceDE w:val="0"/>
              <w:autoSpaceDN w:val="0"/>
              <w:adjustRightInd w:val="0"/>
              <w:jc w:val="center"/>
              <w:rPr>
                <w:rFonts w:ascii="Cambria Math" w:hAnsi="Cambria Math" w:cs="Arial"/>
                <w:bCs w:val="0"/>
                <w:i/>
                <w:color w:val="FFFFFF" w:themeColor="background1"/>
                <w:lang w:val="en-US"/>
              </w:rPr>
            </w:pPr>
            <m:oMathPara>
              <m:oMath>
                <m:sSup>
                  <m:sSupPr>
                    <m:ctrlPr>
                      <w:rPr>
                        <w:rFonts w:ascii="Cambria Math" w:hAnsi="Cambria Math"/>
                        <w:i/>
                        <w:color w:val="FFFFFF" w:themeColor="background1"/>
                        <w:lang w:val="en-US"/>
                      </w:rPr>
                    </m:ctrlPr>
                  </m:sSupPr>
                  <m:e>
                    <m:r>
                      <m:rPr>
                        <m:sty m:val="bi"/>
                      </m:rPr>
                      <w:rPr>
                        <w:rFonts w:ascii="Cambria Math" w:hAnsi="Cambria Math"/>
                        <w:color w:val="FFFFFF" w:themeColor="background1"/>
                        <w:lang w:val="en-US"/>
                      </w:rPr>
                      <m:t>∆</m:t>
                    </m:r>
                  </m:e>
                  <m:sup>
                    <m:r>
                      <m:rPr>
                        <m:sty m:val="bi"/>
                      </m:rPr>
                      <w:rPr>
                        <w:rFonts w:ascii="Cambria Math" w:hAnsi="Cambria Math"/>
                        <w:color w:val="FFFFFF" w:themeColor="background1"/>
                        <w:lang w:val="en-US"/>
                      </w:rPr>
                      <m:t>2</m:t>
                    </m:r>
                  </m:sup>
                </m:sSup>
                <m:sSub>
                  <m:sSubPr>
                    <m:ctrlPr>
                      <w:rPr>
                        <w:rFonts w:ascii="Cambria Math" w:eastAsiaTheme="minorEastAsia" w:hAnsi="Cambria Math"/>
                        <w:i/>
                        <w:color w:val="FFFFFF" w:themeColor="background1"/>
                        <w:lang w:val="en-US"/>
                      </w:rPr>
                    </m:ctrlPr>
                  </m:sSubPr>
                  <m:e>
                    <m:acc>
                      <m:accPr>
                        <m:chr m:val="̃"/>
                        <m:ctrlPr>
                          <w:rPr>
                            <w:rFonts w:ascii="Cambria Math" w:eastAsiaTheme="minorEastAsia" w:hAnsi="Cambria Math"/>
                            <w:i/>
                            <w:color w:val="FFFFFF" w:themeColor="background1"/>
                            <w:lang w:val="en-US"/>
                          </w:rPr>
                        </m:ctrlPr>
                      </m:accPr>
                      <m:e>
                        <m:r>
                          <m:rPr>
                            <m:sty m:val="bi"/>
                          </m:rPr>
                          <w:rPr>
                            <w:rFonts w:ascii="Cambria Math" w:eastAsiaTheme="minorEastAsia" w:hAnsi="Cambria Math"/>
                            <w:color w:val="FFFFFF" w:themeColor="background1"/>
                            <w:lang w:val="en-US"/>
                          </w:rPr>
                          <m:t>m</m:t>
                        </m:r>
                      </m:e>
                    </m:acc>
                  </m:e>
                  <m:sub>
                    <m:r>
                      <m:rPr>
                        <m:sty m:val="bi"/>
                      </m:rPr>
                      <w:rPr>
                        <w:rFonts w:ascii="Cambria Math" w:eastAsiaTheme="minorEastAsia" w:hAnsi="Cambria Math"/>
                        <w:color w:val="FFFFFF" w:themeColor="background1"/>
                        <w:lang w:val="en-US"/>
                      </w:rPr>
                      <m:t>t</m:t>
                    </m:r>
                  </m:sub>
                </m:sSub>
              </m:oMath>
            </m:oMathPara>
          </w:p>
          <w:p w:rsidR="00C24D45" w:rsidRPr="00C24D45" w:rsidRDefault="00DB780A" w:rsidP="00E4088A">
            <w:pPr>
              <w:autoSpaceDE w:val="0"/>
              <w:autoSpaceDN w:val="0"/>
              <w:adjustRightInd w:val="0"/>
              <w:jc w:val="center"/>
              <w:rPr>
                <w:rFonts w:ascii="Cambria Math" w:hAnsi="Cambria Math" w:cs="Arial"/>
                <w:bCs w:val="0"/>
                <w:i/>
                <w:color w:val="FFFFFF" w:themeColor="background1"/>
                <w:lang w:val="en-US"/>
              </w:rPr>
            </w:pPr>
            <m:oMathPara>
              <m:oMath>
                <m:sSup>
                  <m:sSupPr>
                    <m:ctrlPr>
                      <w:rPr>
                        <w:rFonts w:ascii="Cambria Math" w:hAnsi="Cambria Math"/>
                        <w:i/>
                        <w:color w:val="FFFFFF" w:themeColor="background1"/>
                        <w:lang w:val="en-US"/>
                      </w:rPr>
                    </m:ctrlPr>
                  </m:sSupPr>
                  <m:e>
                    <m:r>
                      <m:rPr>
                        <m:sty m:val="bi"/>
                      </m:rPr>
                      <w:rPr>
                        <w:rFonts w:ascii="Cambria Math" w:hAnsi="Cambria Math"/>
                        <w:color w:val="FFFFFF" w:themeColor="background1"/>
                        <w:lang w:val="en-US"/>
                      </w:rPr>
                      <m:t>∆</m:t>
                    </m:r>
                  </m:e>
                  <m:sup>
                    <m:r>
                      <m:rPr>
                        <m:sty m:val="bi"/>
                      </m:rPr>
                      <w:rPr>
                        <w:rFonts w:ascii="Cambria Math" w:hAnsi="Cambria Math"/>
                        <w:color w:val="FFFFFF" w:themeColor="background1"/>
                        <w:lang w:val="en-US"/>
                      </w:rPr>
                      <m:t>2</m:t>
                    </m:r>
                  </m:sup>
                </m:sSup>
                <m:sSub>
                  <m:sSubPr>
                    <m:ctrlPr>
                      <w:rPr>
                        <w:rFonts w:ascii="Cambria Math" w:eastAsiaTheme="minorEastAsia" w:hAnsi="Cambria Math"/>
                        <w:i/>
                        <w:color w:val="FFFFFF" w:themeColor="background1"/>
                        <w:lang w:val="en-US"/>
                      </w:rPr>
                    </m:ctrlPr>
                  </m:sSubPr>
                  <m:e>
                    <m:acc>
                      <m:accPr>
                        <m:chr m:val="̃"/>
                        <m:ctrlPr>
                          <w:rPr>
                            <w:rFonts w:ascii="Cambria Math" w:eastAsiaTheme="minorEastAsia" w:hAnsi="Cambria Math"/>
                            <w:i/>
                            <w:color w:val="FFFFFF" w:themeColor="background1"/>
                            <w:lang w:val="en-US"/>
                          </w:rPr>
                        </m:ctrlPr>
                      </m:accPr>
                      <m:e>
                        <m:r>
                          <m:rPr>
                            <m:sty m:val="bi"/>
                          </m:rPr>
                          <w:rPr>
                            <w:rFonts w:ascii="Cambria Math" w:eastAsiaTheme="minorEastAsia" w:hAnsi="Cambria Math"/>
                            <w:color w:val="FFFFFF" w:themeColor="background1"/>
                            <w:lang w:val="en-US"/>
                          </w:rPr>
                          <m:t>y</m:t>
                        </m:r>
                      </m:e>
                    </m:acc>
                  </m:e>
                  <m:sub>
                    <m:r>
                      <m:rPr>
                        <m:sty m:val="bi"/>
                      </m:rPr>
                      <w:rPr>
                        <w:rFonts w:ascii="Cambria Math" w:eastAsiaTheme="minorEastAsia" w:hAnsi="Cambria Math"/>
                        <w:color w:val="FFFFFF" w:themeColor="background1"/>
                        <w:lang w:val="en-US"/>
                      </w:rPr>
                      <m:t>t</m:t>
                    </m:r>
                  </m:sub>
                </m:sSub>
              </m:oMath>
            </m:oMathPara>
          </w:p>
          <w:p w:rsidR="00C24D45" w:rsidRPr="00A538A8" w:rsidRDefault="00C24D45" w:rsidP="00E4088A">
            <w:pPr>
              <w:autoSpaceDE w:val="0"/>
              <w:autoSpaceDN w:val="0"/>
              <w:adjustRightInd w:val="0"/>
              <w:jc w:val="center"/>
              <w:rPr>
                <w:rFonts w:ascii="Cambria Math" w:hAnsi="Cambria Math" w:cs="Arial"/>
                <w:i/>
                <w:color w:val="FFFFFF" w:themeColor="background1"/>
                <w:vertAlign w:val="subscript"/>
                <w:lang w:val="en-US"/>
              </w:rPr>
            </w:pPr>
            <m:oMathPara>
              <m:oMath>
                <m:r>
                  <m:rPr>
                    <m:sty m:val="bi"/>
                  </m:rPr>
                  <w:rPr>
                    <w:rFonts w:ascii="Cambria Math" w:hAnsi="Cambria Math"/>
                    <w:color w:val="FFFFFF" w:themeColor="background1"/>
                    <w:lang w:val="en-US"/>
                  </w:rPr>
                  <m:t>∆</m:t>
                </m:r>
                <m:sSub>
                  <m:sSubPr>
                    <m:ctrlPr>
                      <w:rPr>
                        <w:rFonts w:ascii="Cambria Math" w:eastAsiaTheme="minorEastAsia" w:hAnsi="Cambria Math"/>
                        <w:i/>
                        <w:color w:val="FFFFFF" w:themeColor="background1"/>
                        <w:lang w:val="en-US"/>
                      </w:rPr>
                    </m:ctrlPr>
                  </m:sSubPr>
                  <m:e>
                    <m:acc>
                      <m:accPr>
                        <m:chr m:val="̃"/>
                        <m:ctrlPr>
                          <w:rPr>
                            <w:rFonts w:ascii="Cambria Math" w:eastAsiaTheme="minorEastAsia" w:hAnsi="Cambria Math"/>
                            <w:i/>
                            <w:color w:val="FFFFFF" w:themeColor="background1"/>
                            <w:lang w:val="en-US"/>
                          </w:rPr>
                        </m:ctrlPr>
                      </m:accPr>
                      <m:e>
                        <m:r>
                          <m:rPr>
                            <m:sty m:val="bi"/>
                          </m:rPr>
                          <w:rPr>
                            <w:rFonts w:ascii="Cambria Math" w:eastAsiaTheme="minorEastAsia" w:hAnsi="Cambria Math"/>
                            <w:color w:val="FFFFFF" w:themeColor="background1"/>
                            <w:lang w:val="en-US"/>
                          </w:rPr>
                          <m:t>r</m:t>
                        </m:r>
                      </m:e>
                    </m:acc>
                  </m:e>
                  <m:sub>
                    <m:r>
                      <m:rPr>
                        <m:sty m:val="bi"/>
                      </m:rPr>
                      <w:rPr>
                        <w:rFonts w:ascii="Cambria Math" w:eastAsiaTheme="minorEastAsia" w:hAnsi="Cambria Math"/>
                        <w:color w:val="FFFFFF" w:themeColor="background1"/>
                        <w:lang w:val="en-US"/>
                      </w:rPr>
                      <m:t>t</m:t>
                    </m:r>
                  </m:sub>
                </m:sSub>
              </m:oMath>
            </m:oMathPara>
          </w:p>
        </w:tc>
        <w:tc>
          <w:tcPr>
            <w:cnfStyle w:val="000010000000"/>
            <w:tcW w:w="0" w:type="auto"/>
            <w:tcBorders>
              <w:top w:val="single" w:sz="4" w:space="0" w:color="548DD4" w:themeColor="text2" w:themeTint="99"/>
              <w:left w:val="single" w:sz="4" w:space="0" w:color="548DD4" w:themeColor="text2" w:themeTint="99"/>
              <w:bottom w:val="nil"/>
              <w:right w:val="nil"/>
            </w:tcBorders>
            <w:vAlign w:val="center"/>
          </w:tcPr>
          <w:p w:rsidR="00C24D45" w:rsidRPr="00CC60EF" w:rsidRDefault="00C24D45" w:rsidP="00E4088A">
            <w:pPr>
              <w:autoSpaceDE w:val="0"/>
              <w:autoSpaceDN w:val="0"/>
              <w:adjustRightInd w:val="0"/>
              <w:ind w:right="10"/>
              <w:jc w:val="right"/>
              <w:rPr>
                <w:rFonts w:cs="Arial"/>
                <w:color w:val="000000"/>
                <w:lang w:val="en-US"/>
              </w:rPr>
            </w:pPr>
            <w:r w:rsidRPr="00CC60EF">
              <w:rPr>
                <w:rFonts w:cs="Arial"/>
                <w:color w:val="000000"/>
                <w:lang w:val="en-US"/>
              </w:rPr>
              <w:t>-0.042228</w:t>
            </w:r>
          </w:p>
        </w:tc>
        <w:tc>
          <w:tcPr>
            <w:tcW w:w="0" w:type="auto"/>
            <w:tcBorders>
              <w:top w:val="single" w:sz="4" w:space="0" w:color="548DD4" w:themeColor="text2" w:themeTint="99"/>
              <w:left w:val="nil"/>
              <w:bottom w:val="nil"/>
              <w:right w:val="single" w:sz="4" w:space="0" w:color="548DD4" w:themeColor="text2" w:themeTint="99"/>
            </w:tcBorders>
            <w:vAlign w:val="center"/>
          </w:tcPr>
          <w:p w:rsidR="00C24D45" w:rsidRPr="00CC60EF" w:rsidRDefault="00C24D45" w:rsidP="00E4088A">
            <w:pPr>
              <w:autoSpaceDE w:val="0"/>
              <w:autoSpaceDN w:val="0"/>
              <w:adjustRightInd w:val="0"/>
              <w:ind w:right="10"/>
              <w:jc w:val="right"/>
              <w:cnfStyle w:val="000000000000"/>
              <w:rPr>
                <w:rFonts w:cs="Arial"/>
                <w:color w:val="000000"/>
                <w:lang w:val="en-US"/>
              </w:rPr>
            </w:pPr>
            <w:r w:rsidRPr="00CC60EF">
              <w:rPr>
                <w:rFonts w:cs="Arial"/>
                <w:color w:val="000000"/>
                <w:lang w:val="en-US"/>
              </w:rPr>
              <w:t>0.0950</w:t>
            </w:r>
          </w:p>
        </w:tc>
        <w:tc>
          <w:tcPr>
            <w:cnfStyle w:val="000010000000"/>
            <w:tcW w:w="0" w:type="auto"/>
            <w:tcBorders>
              <w:top w:val="single" w:sz="4" w:space="0" w:color="548DD4" w:themeColor="text2" w:themeTint="99"/>
              <w:left w:val="single" w:sz="4" w:space="0" w:color="548DD4" w:themeColor="text2" w:themeTint="99"/>
              <w:bottom w:val="nil"/>
              <w:right w:val="nil"/>
            </w:tcBorders>
            <w:vAlign w:val="center"/>
          </w:tcPr>
          <w:p w:rsidR="00C24D45" w:rsidRPr="003877DA" w:rsidRDefault="00C24D45" w:rsidP="00E4088A">
            <w:pPr>
              <w:jc w:val="right"/>
            </w:pPr>
            <w:r w:rsidRPr="00371C64">
              <w:t>-0.035540</w:t>
            </w:r>
          </w:p>
        </w:tc>
        <w:tc>
          <w:tcPr>
            <w:tcW w:w="0" w:type="auto"/>
            <w:tcBorders>
              <w:top w:val="single" w:sz="4" w:space="0" w:color="548DD4" w:themeColor="text2" w:themeTint="99"/>
              <w:left w:val="nil"/>
              <w:bottom w:val="nil"/>
              <w:right w:val="single" w:sz="4" w:space="0" w:color="548DD4" w:themeColor="text2" w:themeTint="99"/>
            </w:tcBorders>
            <w:vAlign w:val="center"/>
          </w:tcPr>
          <w:p w:rsidR="00C24D45" w:rsidRPr="003877DA" w:rsidRDefault="00C24D45" w:rsidP="00E4088A">
            <w:pPr>
              <w:jc w:val="right"/>
              <w:cnfStyle w:val="000000000000"/>
            </w:pPr>
            <w:r w:rsidRPr="00371C64">
              <w:t>0.0659</w:t>
            </w:r>
          </w:p>
        </w:tc>
        <w:tc>
          <w:tcPr>
            <w:cnfStyle w:val="000010000000"/>
            <w:tcW w:w="0" w:type="auto"/>
            <w:tcBorders>
              <w:top w:val="single" w:sz="4" w:space="0" w:color="548DD4" w:themeColor="text2" w:themeTint="99"/>
              <w:left w:val="single" w:sz="4" w:space="0" w:color="548DD4" w:themeColor="text2" w:themeTint="99"/>
              <w:bottom w:val="nil"/>
              <w:right w:val="nil"/>
            </w:tcBorders>
            <w:vAlign w:val="center"/>
          </w:tcPr>
          <w:p w:rsidR="00C24D45" w:rsidRPr="003877DA" w:rsidRDefault="00C24D45" w:rsidP="00E4088A">
            <w:pPr>
              <w:jc w:val="right"/>
            </w:pPr>
            <w:r w:rsidRPr="003877DA">
              <w:t>-0.037085</w:t>
            </w:r>
          </w:p>
        </w:tc>
        <w:tc>
          <w:tcPr>
            <w:tcW w:w="0" w:type="auto"/>
            <w:tcBorders>
              <w:top w:val="single" w:sz="4" w:space="0" w:color="548DD4" w:themeColor="text2" w:themeTint="99"/>
              <w:left w:val="nil"/>
              <w:bottom w:val="nil"/>
              <w:right w:val="single" w:sz="4" w:space="0" w:color="4F81BD" w:themeColor="accent1"/>
            </w:tcBorders>
            <w:vAlign w:val="center"/>
          </w:tcPr>
          <w:p w:rsidR="00C24D45" w:rsidRDefault="00C24D45" w:rsidP="00E4088A">
            <w:pPr>
              <w:jc w:val="right"/>
              <w:cnfStyle w:val="000000000000"/>
            </w:pPr>
            <w:r w:rsidRPr="003877DA">
              <w:t>0.1102</w:t>
            </w:r>
          </w:p>
        </w:tc>
      </w:tr>
      <w:tr w:rsidR="00C24D45" w:rsidRPr="009A1768" w:rsidTr="00172700">
        <w:trPr>
          <w:cnfStyle w:val="000000100000"/>
          <w:trHeight w:val="225"/>
          <w:jc w:val="center"/>
        </w:trPr>
        <w:tc>
          <w:tcPr>
            <w:cnfStyle w:val="001000000000"/>
            <w:tcW w:w="0" w:type="auto"/>
            <w:vMerge/>
            <w:tcBorders>
              <w:right w:val="single" w:sz="4" w:space="0" w:color="548DD4" w:themeColor="text2" w:themeTint="99"/>
            </w:tcBorders>
            <w:shd w:val="clear" w:color="auto" w:fill="4F81BD" w:themeFill="accent1"/>
          </w:tcPr>
          <w:p w:rsidR="00C24D45" w:rsidRPr="00A538A8" w:rsidRDefault="00C24D45" w:rsidP="00E4088A">
            <w:pPr>
              <w:autoSpaceDE w:val="0"/>
              <w:autoSpaceDN w:val="0"/>
              <w:adjustRightInd w:val="0"/>
              <w:jc w:val="center"/>
              <w:rPr>
                <w:rFonts w:ascii="Cambria Math" w:hAnsi="Cambria Math" w:cs="Arial"/>
                <w:b w:val="0"/>
                <w:bCs w:val="0"/>
                <w:i/>
                <w:color w:val="FFFFFF" w:themeColor="background1"/>
                <w:vertAlign w:val="subscript"/>
                <w:lang w:val="en-US"/>
              </w:rPr>
            </w:pPr>
          </w:p>
        </w:tc>
        <w:tc>
          <w:tcPr>
            <w:cnfStyle w:val="000010000000"/>
            <w:tcW w:w="0" w:type="auto"/>
            <w:tcBorders>
              <w:top w:val="nil"/>
              <w:left w:val="single" w:sz="4" w:space="0" w:color="548DD4" w:themeColor="text2" w:themeTint="99"/>
              <w:bottom w:val="nil"/>
              <w:right w:val="nil"/>
            </w:tcBorders>
            <w:vAlign w:val="center"/>
          </w:tcPr>
          <w:p w:rsidR="00C24D45" w:rsidRPr="009A1768" w:rsidRDefault="00C24D45" w:rsidP="00E4088A">
            <w:pPr>
              <w:autoSpaceDE w:val="0"/>
              <w:autoSpaceDN w:val="0"/>
              <w:adjustRightInd w:val="0"/>
              <w:ind w:right="10"/>
              <w:jc w:val="right"/>
              <w:rPr>
                <w:rFonts w:cs="Arial"/>
                <w:color w:val="000000"/>
              </w:rPr>
            </w:pPr>
            <w:r w:rsidRPr="00CC60EF">
              <w:rPr>
                <w:rFonts w:cs="Arial"/>
                <w:color w:val="000000"/>
                <w:lang w:val="en-US"/>
              </w:rPr>
              <w:t>0.</w:t>
            </w:r>
            <w:r w:rsidRPr="009A1768">
              <w:rPr>
                <w:rFonts w:cs="Arial"/>
                <w:color w:val="000000"/>
              </w:rPr>
              <w:t>441645</w:t>
            </w:r>
          </w:p>
        </w:tc>
        <w:tc>
          <w:tcPr>
            <w:tcW w:w="0" w:type="auto"/>
            <w:tcBorders>
              <w:top w:val="nil"/>
              <w:left w:val="nil"/>
              <w:bottom w:val="nil"/>
              <w:right w:val="single" w:sz="4" w:space="0" w:color="548DD4" w:themeColor="text2" w:themeTint="99"/>
            </w:tcBorders>
            <w:vAlign w:val="center"/>
          </w:tcPr>
          <w:p w:rsidR="00C24D45" w:rsidRPr="009A1768" w:rsidRDefault="00C24D45" w:rsidP="00E4088A">
            <w:pPr>
              <w:autoSpaceDE w:val="0"/>
              <w:autoSpaceDN w:val="0"/>
              <w:adjustRightInd w:val="0"/>
              <w:ind w:right="10"/>
              <w:jc w:val="right"/>
              <w:cnfStyle w:val="000000100000"/>
              <w:rPr>
                <w:rFonts w:cs="Arial"/>
                <w:color w:val="000000"/>
              </w:rPr>
            </w:pPr>
            <w:r w:rsidRPr="009A1768">
              <w:rPr>
                <w:rFonts w:cs="Arial"/>
                <w:color w:val="000000"/>
              </w:rPr>
              <w:t>0.0000</w:t>
            </w:r>
          </w:p>
        </w:tc>
        <w:tc>
          <w:tcPr>
            <w:cnfStyle w:val="000010000000"/>
            <w:tcW w:w="0" w:type="auto"/>
            <w:tcBorders>
              <w:top w:val="nil"/>
              <w:left w:val="single" w:sz="4" w:space="0" w:color="548DD4" w:themeColor="text2" w:themeTint="99"/>
              <w:bottom w:val="nil"/>
              <w:right w:val="nil"/>
            </w:tcBorders>
            <w:vAlign w:val="center"/>
          </w:tcPr>
          <w:p w:rsidR="00C24D45" w:rsidRPr="00AA0C48" w:rsidRDefault="00C24D45" w:rsidP="00E4088A">
            <w:pPr>
              <w:jc w:val="right"/>
            </w:pPr>
          </w:p>
        </w:tc>
        <w:tc>
          <w:tcPr>
            <w:tcW w:w="0" w:type="auto"/>
            <w:tcBorders>
              <w:top w:val="nil"/>
              <w:left w:val="nil"/>
              <w:bottom w:val="nil"/>
              <w:right w:val="single" w:sz="4" w:space="0" w:color="548DD4" w:themeColor="text2" w:themeTint="99"/>
            </w:tcBorders>
            <w:vAlign w:val="center"/>
          </w:tcPr>
          <w:p w:rsidR="00C24D45" w:rsidRPr="00AA0C48" w:rsidRDefault="00C24D45" w:rsidP="00E4088A">
            <w:pPr>
              <w:jc w:val="right"/>
              <w:cnfStyle w:val="000000100000"/>
            </w:pPr>
          </w:p>
        </w:tc>
        <w:tc>
          <w:tcPr>
            <w:cnfStyle w:val="000010000000"/>
            <w:tcW w:w="0" w:type="auto"/>
            <w:tcBorders>
              <w:top w:val="nil"/>
              <w:left w:val="single" w:sz="4" w:space="0" w:color="548DD4" w:themeColor="text2" w:themeTint="99"/>
              <w:bottom w:val="nil"/>
              <w:right w:val="nil"/>
            </w:tcBorders>
            <w:vAlign w:val="center"/>
          </w:tcPr>
          <w:p w:rsidR="00C24D45" w:rsidRPr="00AA0C48" w:rsidRDefault="00C24D45" w:rsidP="00E4088A">
            <w:pPr>
              <w:jc w:val="right"/>
            </w:pPr>
            <w:r w:rsidRPr="00AA0C48">
              <w:t>0.436629</w:t>
            </w:r>
          </w:p>
        </w:tc>
        <w:tc>
          <w:tcPr>
            <w:tcW w:w="0" w:type="auto"/>
            <w:tcBorders>
              <w:top w:val="nil"/>
              <w:left w:val="nil"/>
              <w:bottom w:val="nil"/>
              <w:right w:val="single" w:sz="4" w:space="0" w:color="4F81BD" w:themeColor="accent1"/>
            </w:tcBorders>
            <w:vAlign w:val="center"/>
          </w:tcPr>
          <w:p w:rsidR="00C24D45" w:rsidRDefault="00C24D45" w:rsidP="00E4088A">
            <w:pPr>
              <w:jc w:val="right"/>
              <w:cnfStyle w:val="000000100000"/>
            </w:pPr>
            <w:r w:rsidRPr="00AA0C48">
              <w:t>0.0000</w:t>
            </w:r>
          </w:p>
        </w:tc>
      </w:tr>
      <w:tr w:rsidR="00C24D45" w:rsidRPr="009A1768" w:rsidTr="00172700">
        <w:trPr>
          <w:trHeight w:val="225"/>
          <w:jc w:val="center"/>
        </w:trPr>
        <w:tc>
          <w:tcPr>
            <w:cnfStyle w:val="001000000000"/>
            <w:tcW w:w="0" w:type="auto"/>
            <w:vMerge/>
            <w:tcBorders>
              <w:right w:val="single" w:sz="4" w:space="0" w:color="548DD4" w:themeColor="text2" w:themeTint="99"/>
            </w:tcBorders>
            <w:shd w:val="clear" w:color="auto" w:fill="4F81BD" w:themeFill="accent1"/>
          </w:tcPr>
          <w:p w:rsidR="00C24D45" w:rsidRPr="00A538A8" w:rsidRDefault="00C24D45" w:rsidP="00E4088A">
            <w:pPr>
              <w:autoSpaceDE w:val="0"/>
              <w:autoSpaceDN w:val="0"/>
              <w:adjustRightInd w:val="0"/>
              <w:jc w:val="center"/>
              <w:rPr>
                <w:rFonts w:ascii="Cambria Math" w:hAnsi="Cambria Math" w:cs="Arial"/>
                <w:b w:val="0"/>
                <w:bCs w:val="0"/>
                <w:i/>
                <w:color w:val="FFFFFF" w:themeColor="background1"/>
                <w:lang w:val="en-US"/>
              </w:rPr>
            </w:pPr>
          </w:p>
        </w:tc>
        <w:tc>
          <w:tcPr>
            <w:cnfStyle w:val="000010000000"/>
            <w:tcW w:w="0" w:type="auto"/>
            <w:tcBorders>
              <w:top w:val="nil"/>
              <w:left w:val="single" w:sz="4" w:space="0" w:color="548DD4" w:themeColor="text2" w:themeTint="99"/>
              <w:bottom w:val="nil"/>
              <w:right w:val="nil"/>
            </w:tcBorders>
            <w:vAlign w:val="center"/>
          </w:tcPr>
          <w:p w:rsidR="00C24D45" w:rsidRPr="0022197F" w:rsidRDefault="00C24D45" w:rsidP="00E4088A">
            <w:pPr>
              <w:jc w:val="right"/>
            </w:pPr>
          </w:p>
        </w:tc>
        <w:tc>
          <w:tcPr>
            <w:tcW w:w="0" w:type="auto"/>
            <w:tcBorders>
              <w:top w:val="nil"/>
              <w:left w:val="nil"/>
              <w:bottom w:val="nil"/>
              <w:right w:val="single" w:sz="4" w:space="0" w:color="548DD4" w:themeColor="text2" w:themeTint="99"/>
            </w:tcBorders>
            <w:vAlign w:val="center"/>
          </w:tcPr>
          <w:p w:rsidR="00C24D45" w:rsidRPr="0022197F" w:rsidRDefault="00C24D45" w:rsidP="00E4088A">
            <w:pPr>
              <w:jc w:val="right"/>
              <w:cnfStyle w:val="000000000000"/>
            </w:pPr>
          </w:p>
        </w:tc>
        <w:tc>
          <w:tcPr>
            <w:cnfStyle w:val="000010000000"/>
            <w:tcW w:w="0" w:type="auto"/>
            <w:tcBorders>
              <w:top w:val="nil"/>
              <w:left w:val="single" w:sz="4" w:space="0" w:color="548DD4" w:themeColor="text2" w:themeTint="99"/>
              <w:bottom w:val="nil"/>
              <w:right w:val="nil"/>
            </w:tcBorders>
            <w:vAlign w:val="center"/>
          </w:tcPr>
          <w:p w:rsidR="00C24D45" w:rsidRPr="00371C64" w:rsidRDefault="00C24D45" w:rsidP="00E4088A">
            <w:pPr>
              <w:jc w:val="right"/>
            </w:pPr>
            <w:r w:rsidRPr="00371C64">
              <w:t>-3.522931</w:t>
            </w:r>
          </w:p>
        </w:tc>
        <w:tc>
          <w:tcPr>
            <w:tcW w:w="0" w:type="auto"/>
            <w:tcBorders>
              <w:top w:val="nil"/>
              <w:left w:val="nil"/>
              <w:bottom w:val="nil"/>
              <w:right w:val="single" w:sz="4" w:space="0" w:color="548DD4" w:themeColor="text2" w:themeTint="99"/>
            </w:tcBorders>
            <w:vAlign w:val="center"/>
          </w:tcPr>
          <w:p w:rsidR="00C24D45" w:rsidRPr="00371C64" w:rsidRDefault="00C24D45" w:rsidP="00E4088A">
            <w:pPr>
              <w:jc w:val="right"/>
              <w:cnfStyle w:val="000000000000"/>
            </w:pPr>
            <w:r w:rsidRPr="00371C64">
              <w:t>0.3219</w:t>
            </w:r>
          </w:p>
        </w:tc>
        <w:tc>
          <w:tcPr>
            <w:cnfStyle w:val="000010000000"/>
            <w:tcW w:w="0" w:type="auto"/>
            <w:tcBorders>
              <w:top w:val="nil"/>
              <w:left w:val="single" w:sz="4" w:space="0" w:color="548DD4" w:themeColor="text2" w:themeTint="99"/>
              <w:bottom w:val="nil"/>
              <w:right w:val="nil"/>
            </w:tcBorders>
            <w:vAlign w:val="center"/>
          </w:tcPr>
          <w:p w:rsidR="00C24D45" w:rsidRPr="0022197F" w:rsidRDefault="00C24D45" w:rsidP="00E4088A">
            <w:pPr>
              <w:jc w:val="right"/>
            </w:pPr>
            <w:r w:rsidRPr="0022197F">
              <w:t>-4.686196</w:t>
            </w:r>
          </w:p>
        </w:tc>
        <w:tc>
          <w:tcPr>
            <w:tcW w:w="0" w:type="auto"/>
            <w:tcBorders>
              <w:top w:val="nil"/>
              <w:left w:val="nil"/>
              <w:bottom w:val="nil"/>
              <w:right w:val="single" w:sz="4" w:space="0" w:color="4F81BD" w:themeColor="accent1"/>
            </w:tcBorders>
            <w:vAlign w:val="center"/>
          </w:tcPr>
          <w:p w:rsidR="00C24D45" w:rsidRPr="0022197F" w:rsidRDefault="00C24D45" w:rsidP="00E4088A">
            <w:pPr>
              <w:jc w:val="right"/>
              <w:cnfStyle w:val="000000000000"/>
            </w:pPr>
            <w:r w:rsidRPr="0022197F">
              <w:t>0.1450</w:t>
            </w:r>
          </w:p>
        </w:tc>
      </w:tr>
      <w:tr w:rsidR="00C24D45" w:rsidRPr="009A1768" w:rsidTr="00172700">
        <w:trPr>
          <w:cnfStyle w:val="000000100000"/>
          <w:trHeight w:val="225"/>
          <w:jc w:val="center"/>
        </w:trPr>
        <w:tc>
          <w:tcPr>
            <w:cnfStyle w:val="001000000000"/>
            <w:tcW w:w="0" w:type="auto"/>
            <w:vMerge/>
            <w:tcBorders>
              <w:right w:val="single" w:sz="4" w:space="0" w:color="548DD4" w:themeColor="text2" w:themeTint="99"/>
            </w:tcBorders>
            <w:shd w:val="clear" w:color="auto" w:fill="4F81BD" w:themeFill="accent1"/>
          </w:tcPr>
          <w:p w:rsidR="00C24D45" w:rsidRPr="00A538A8" w:rsidRDefault="00C24D45" w:rsidP="00E4088A">
            <w:pPr>
              <w:autoSpaceDE w:val="0"/>
              <w:autoSpaceDN w:val="0"/>
              <w:adjustRightInd w:val="0"/>
              <w:jc w:val="center"/>
              <w:rPr>
                <w:rFonts w:ascii="Cambria Math" w:hAnsi="Cambria Math" w:cs="Arial"/>
                <w:b w:val="0"/>
                <w:bCs w:val="0"/>
                <w:i/>
                <w:color w:val="FFFFFF" w:themeColor="background1"/>
                <w:lang w:val="en-US"/>
              </w:rPr>
            </w:pPr>
          </w:p>
        </w:tc>
        <w:tc>
          <w:tcPr>
            <w:cnfStyle w:val="000010000000"/>
            <w:tcW w:w="0" w:type="auto"/>
            <w:tcBorders>
              <w:top w:val="nil"/>
              <w:left w:val="single" w:sz="4" w:space="0" w:color="548DD4" w:themeColor="text2" w:themeTint="99"/>
              <w:bottom w:val="nil"/>
              <w:right w:val="nil"/>
            </w:tcBorders>
            <w:vAlign w:val="center"/>
          </w:tcPr>
          <w:p w:rsidR="00C24D45" w:rsidRPr="0022197F" w:rsidRDefault="00C24D45" w:rsidP="00E4088A">
            <w:pPr>
              <w:jc w:val="right"/>
            </w:pPr>
          </w:p>
        </w:tc>
        <w:tc>
          <w:tcPr>
            <w:tcW w:w="0" w:type="auto"/>
            <w:tcBorders>
              <w:top w:val="nil"/>
              <w:left w:val="nil"/>
              <w:bottom w:val="nil"/>
              <w:right w:val="single" w:sz="4" w:space="0" w:color="548DD4" w:themeColor="text2" w:themeTint="99"/>
            </w:tcBorders>
            <w:vAlign w:val="center"/>
          </w:tcPr>
          <w:p w:rsidR="00C24D45" w:rsidRPr="0022197F" w:rsidRDefault="00C24D45" w:rsidP="00E4088A">
            <w:pPr>
              <w:jc w:val="right"/>
              <w:cnfStyle w:val="000000100000"/>
            </w:pPr>
          </w:p>
        </w:tc>
        <w:tc>
          <w:tcPr>
            <w:cnfStyle w:val="000010000000"/>
            <w:tcW w:w="0" w:type="auto"/>
            <w:tcBorders>
              <w:top w:val="nil"/>
              <w:left w:val="single" w:sz="4" w:space="0" w:color="548DD4" w:themeColor="text2" w:themeTint="99"/>
              <w:bottom w:val="nil"/>
              <w:right w:val="nil"/>
            </w:tcBorders>
            <w:vAlign w:val="center"/>
          </w:tcPr>
          <w:p w:rsidR="00C24D45" w:rsidRPr="00371C64" w:rsidRDefault="00C24D45" w:rsidP="00E4088A">
            <w:pPr>
              <w:jc w:val="right"/>
            </w:pPr>
            <w:r w:rsidRPr="00371C64">
              <w:t>-359.1656</w:t>
            </w:r>
          </w:p>
        </w:tc>
        <w:tc>
          <w:tcPr>
            <w:tcW w:w="0" w:type="auto"/>
            <w:tcBorders>
              <w:top w:val="nil"/>
              <w:left w:val="nil"/>
              <w:bottom w:val="nil"/>
              <w:right w:val="single" w:sz="4" w:space="0" w:color="548DD4" w:themeColor="text2" w:themeTint="99"/>
            </w:tcBorders>
            <w:vAlign w:val="center"/>
          </w:tcPr>
          <w:p w:rsidR="00C24D45" w:rsidRPr="00371C64" w:rsidRDefault="00C24D45" w:rsidP="00E4088A">
            <w:pPr>
              <w:jc w:val="right"/>
              <w:cnfStyle w:val="000000100000"/>
            </w:pPr>
            <w:r w:rsidRPr="00371C64">
              <w:t>0.0746</w:t>
            </w:r>
          </w:p>
        </w:tc>
        <w:tc>
          <w:tcPr>
            <w:cnfStyle w:val="000010000000"/>
            <w:tcW w:w="0" w:type="auto"/>
            <w:tcBorders>
              <w:top w:val="nil"/>
              <w:left w:val="single" w:sz="4" w:space="0" w:color="548DD4" w:themeColor="text2" w:themeTint="99"/>
              <w:bottom w:val="nil"/>
              <w:right w:val="nil"/>
            </w:tcBorders>
            <w:vAlign w:val="center"/>
          </w:tcPr>
          <w:p w:rsidR="00C24D45" w:rsidRPr="0022197F" w:rsidRDefault="00C24D45" w:rsidP="00E4088A">
            <w:pPr>
              <w:jc w:val="right"/>
            </w:pPr>
            <w:r w:rsidRPr="0022197F">
              <w:t>-336.8409</w:t>
            </w:r>
          </w:p>
        </w:tc>
        <w:tc>
          <w:tcPr>
            <w:tcW w:w="0" w:type="auto"/>
            <w:tcBorders>
              <w:top w:val="nil"/>
              <w:left w:val="nil"/>
              <w:bottom w:val="nil"/>
              <w:right w:val="single" w:sz="4" w:space="0" w:color="4F81BD" w:themeColor="accent1"/>
            </w:tcBorders>
            <w:vAlign w:val="center"/>
          </w:tcPr>
          <w:p w:rsidR="00C24D45" w:rsidRPr="0022197F" w:rsidRDefault="00C24D45" w:rsidP="00E4088A">
            <w:pPr>
              <w:jc w:val="right"/>
              <w:cnfStyle w:val="000000100000"/>
            </w:pPr>
            <w:r w:rsidRPr="0022197F">
              <w:t>0.1425</w:t>
            </w:r>
          </w:p>
        </w:tc>
      </w:tr>
      <w:tr w:rsidR="00C24D45" w:rsidRPr="009A1768" w:rsidTr="00172700">
        <w:trPr>
          <w:trHeight w:val="225"/>
          <w:jc w:val="center"/>
        </w:trPr>
        <w:tc>
          <w:tcPr>
            <w:cnfStyle w:val="001000000000"/>
            <w:tcW w:w="0" w:type="auto"/>
            <w:vMerge/>
            <w:tcBorders>
              <w:bottom w:val="single" w:sz="4" w:space="0" w:color="FFFFFF" w:themeColor="background1"/>
              <w:right w:val="single" w:sz="4" w:space="0" w:color="548DD4" w:themeColor="text2" w:themeTint="99"/>
            </w:tcBorders>
            <w:shd w:val="clear" w:color="auto" w:fill="4F81BD" w:themeFill="accent1"/>
          </w:tcPr>
          <w:p w:rsidR="00C24D45" w:rsidRPr="00A538A8" w:rsidRDefault="00C24D45" w:rsidP="00E4088A">
            <w:pPr>
              <w:autoSpaceDE w:val="0"/>
              <w:autoSpaceDN w:val="0"/>
              <w:adjustRightInd w:val="0"/>
              <w:jc w:val="center"/>
              <w:rPr>
                <w:rFonts w:ascii="Cambria Math" w:hAnsi="Cambria Math" w:cs="Arial"/>
                <w:b w:val="0"/>
                <w:bCs w:val="0"/>
                <w:i/>
                <w:color w:val="FFFFFF" w:themeColor="background1"/>
                <w:vertAlign w:val="subscript"/>
                <w:lang w:val="en-US"/>
              </w:rPr>
            </w:pPr>
          </w:p>
        </w:tc>
        <w:tc>
          <w:tcPr>
            <w:cnfStyle w:val="000010000000"/>
            <w:tcW w:w="0" w:type="auto"/>
            <w:tcBorders>
              <w:top w:val="nil"/>
              <w:left w:val="single" w:sz="4" w:space="0" w:color="548DD4" w:themeColor="text2" w:themeTint="99"/>
              <w:bottom w:val="single" w:sz="4" w:space="0" w:color="548DD4" w:themeColor="text2" w:themeTint="99"/>
              <w:right w:val="nil"/>
            </w:tcBorders>
            <w:vAlign w:val="center"/>
          </w:tcPr>
          <w:p w:rsidR="00C24D45" w:rsidRPr="0022197F" w:rsidRDefault="00C24D45" w:rsidP="00E4088A">
            <w:pPr>
              <w:jc w:val="right"/>
            </w:pPr>
          </w:p>
        </w:tc>
        <w:tc>
          <w:tcPr>
            <w:tcW w:w="0" w:type="auto"/>
            <w:tcBorders>
              <w:top w:val="nil"/>
              <w:left w:val="nil"/>
              <w:bottom w:val="single" w:sz="4" w:space="0" w:color="548DD4" w:themeColor="text2" w:themeTint="99"/>
              <w:right w:val="single" w:sz="4" w:space="0" w:color="548DD4" w:themeColor="text2" w:themeTint="99"/>
            </w:tcBorders>
            <w:vAlign w:val="center"/>
          </w:tcPr>
          <w:p w:rsidR="00C24D45" w:rsidRDefault="00C24D45" w:rsidP="00E4088A">
            <w:pPr>
              <w:jc w:val="right"/>
              <w:cnfStyle w:val="000000000000"/>
            </w:pPr>
          </w:p>
        </w:tc>
        <w:tc>
          <w:tcPr>
            <w:cnfStyle w:val="000010000000"/>
            <w:tcW w:w="0" w:type="auto"/>
            <w:tcBorders>
              <w:top w:val="nil"/>
              <w:left w:val="single" w:sz="4" w:space="0" w:color="548DD4" w:themeColor="text2" w:themeTint="99"/>
              <w:bottom w:val="single" w:sz="4" w:space="0" w:color="548DD4" w:themeColor="text2" w:themeTint="99"/>
              <w:right w:val="nil"/>
            </w:tcBorders>
            <w:vAlign w:val="center"/>
          </w:tcPr>
          <w:p w:rsidR="00C24D45" w:rsidRPr="00371C64" w:rsidRDefault="00C24D45" w:rsidP="00E4088A">
            <w:pPr>
              <w:jc w:val="right"/>
            </w:pPr>
            <w:r w:rsidRPr="00371C64">
              <w:t>0.904648</w:t>
            </w:r>
          </w:p>
        </w:tc>
        <w:tc>
          <w:tcPr>
            <w:tcW w:w="0" w:type="auto"/>
            <w:tcBorders>
              <w:top w:val="nil"/>
              <w:left w:val="nil"/>
              <w:bottom w:val="single" w:sz="4" w:space="0" w:color="548DD4" w:themeColor="text2" w:themeTint="99"/>
              <w:right w:val="single" w:sz="4" w:space="0" w:color="548DD4" w:themeColor="text2" w:themeTint="99"/>
            </w:tcBorders>
            <w:vAlign w:val="center"/>
          </w:tcPr>
          <w:p w:rsidR="00C24D45" w:rsidRDefault="00C24D45" w:rsidP="00E4088A">
            <w:pPr>
              <w:jc w:val="right"/>
              <w:cnfStyle w:val="000000000000"/>
            </w:pPr>
            <w:r w:rsidRPr="00371C64">
              <w:t>0.1074</w:t>
            </w:r>
          </w:p>
        </w:tc>
        <w:tc>
          <w:tcPr>
            <w:cnfStyle w:val="000010000000"/>
            <w:tcW w:w="0" w:type="auto"/>
            <w:tcBorders>
              <w:top w:val="nil"/>
              <w:left w:val="single" w:sz="4" w:space="0" w:color="548DD4" w:themeColor="text2" w:themeTint="99"/>
              <w:bottom w:val="single" w:sz="4" w:space="0" w:color="548DD4" w:themeColor="text2" w:themeTint="99"/>
              <w:right w:val="nil"/>
            </w:tcBorders>
            <w:vAlign w:val="center"/>
          </w:tcPr>
          <w:p w:rsidR="00C24D45" w:rsidRPr="0022197F" w:rsidRDefault="00C24D45" w:rsidP="00E4088A">
            <w:pPr>
              <w:jc w:val="right"/>
            </w:pPr>
            <w:r w:rsidRPr="0022197F">
              <w:t>0.593106</w:t>
            </w:r>
          </w:p>
        </w:tc>
        <w:tc>
          <w:tcPr>
            <w:tcW w:w="0" w:type="auto"/>
            <w:tcBorders>
              <w:top w:val="nil"/>
              <w:left w:val="nil"/>
              <w:bottom w:val="single" w:sz="4" w:space="0" w:color="548DD4" w:themeColor="text2" w:themeTint="99"/>
              <w:right w:val="single" w:sz="4" w:space="0" w:color="4F81BD" w:themeColor="accent1"/>
            </w:tcBorders>
            <w:vAlign w:val="center"/>
          </w:tcPr>
          <w:p w:rsidR="00C24D45" w:rsidRDefault="00C24D45" w:rsidP="00E4088A">
            <w:pPr>
              <w:jc w:val="right"/>
              <w:cnfStyle w:val="000000000000"/>
            </w:pPr>
            <w:r w:rsidRPr="0022197F">
              <w:t>0.1910</w:t>
            </w:r>
          </w:p>
        </w:tc>
      </w:tr>
      <w:tr w:rsidR="00E4088A" w:rsidRPr="009A1768" w:rsidTr="00E4088A">
        <w:trPr>
          <w:cnfStyle w:val="000000100000"/>
          <w:trHeight w:val="225"/>
          <w:jc w:val="center"/>
        </w:trPr>
        <w:tc>
          <w:tcPr>
            <w:cnfStyle w:val="001000000000"/>
            <w:tcW w:w="0" w:type="auto"/>
            <w:tcBorders>
              <w:top w:val="single" w:sz="4" w:space="0" w:color="FFFFFF" w:themeColor="background1"/>
              <w:right w:val="single" w:sz="4" w:space="0" w:color="548DD4" w:themeColor="text2" w:themeTint="99"/>
            </w:tcBorders>
            <w:shd w:val="clear" w:color="auto" w:fill="4F81BD" w:themeFill="accent1"/>
          </w:tcPr>
          <w:p w:rsidR="00E4088A" w:rsidRPr="009A1768" w:rsidRDefault="00E4088A" w:rsidP="00854C31">
            <w:pPr>
              <w:autoSpaceDE w:val="0"/>
              <w:autoSpaceDN w:val="0"/>
              <w:adjustRightInd w:val="0"/>
              <w:rPr>
                <w:rFonts w:cs="Arial"/>
                <w:color w:val="FFFFFF" w:themeColor="background1"/>
              </w:rPr>
            </w:pPr>
            <w:r w:rsidRPr="009A1768">
              <w:rPr>
                <w:rFonts w:cs="Arial"/>
                <w:color w:val="FFFFFF" w:themeColor="background1"/>
              </w:rPr>
              <w:t>Adjusted R-squared</w:t>
            </w:r>
          </w:p>
        </w:tc>
        <w:tc>
          <w:tcPr>
            <w:cnfStyle w:val="000010000000"/>
            <w:tcW w:w="0" w:type="auto"/>
            <w:gridSpan w:val="2"/>
            <w:tcBorders>
              <w:top w:val="single" w:sz="4" w:space="0" w:color="548DD4" w:themeColor="text2" w:themeTint="99"/>
              <w:left w:val="single" w:sz="4" w:space="0" w:color="548DD4" w:themeColor="text2" w:themeTint="99"/>
              <w:bottom w:val="nil"/>
              <w:right w:val="single" w:sz="4" w:space="0" w:color="548DD4" w:themeColor="text2" w:themeTint="99"/>
            </w:tcBorders>
            <w:vAlign w:val="center"/>
          </w:tcPr>
          <w:p w:rsidR="00E4088A" w:rsidRPr="009A1768" w:rsidRDefault="00E4088A" w:rsidP="00E4088A">
            <w:pPr>
              <w:autoSpaceDE w:val="0"/>
              <w:autoSpaceDN w:val="0"/>
              <w:adjustRightInd w:val="0"/>
              <w:ind w:right="10"/>
              <w:jc w:val="center"/>
              <w:rPr>
                <w:rFonts w:cs="Arial"/>
                <w:color w:val="000000"/>
              </w:rPr>
            </w:pPr>
            <w:r w:rsidRPr="009A1768">
              <w:rPr>
                <w:rFonts w:cs="Arial"/>
                <w:color w:val="000000"/>
              </w:rPr>
              <w:t>0.188610</w:t>
            </w:r>
          </w:p>
        </w:tc>
        <w:tc>
          <w:tcPr>
            <w:tcW w:w="0" w:type="auto"/>
            <w:gridSpan w:val="2"/>
            <w:tcBorders>
              <w:top w:val="single" w:sz="4" w:space="0" w:color="548DD4" w:themeColor="text2" w:themeTint="99"/>
              <w:left w:val="single" w:sz="4" w:space="0" w:color="548DD4" w:themeColor="text2" w:themeTint="99"/>
              <w:bottom w:val="nil"/>
              <w:right w:val="single" w:sz="4" w:space="0" w:color="548DD4" w:themeColor="text2" w:themeTint="99"/>
            </w:tcBorders>
            <w:vAlign w:val="center"/>
          </w:tcPr>
          <w:p w:rsidR="00E4088A" w:rsidRPr="009A1768" w:rsidRDefault="00E4088A" w:rsidP="00E4088A">
            <w:pPr>
              <w:autoSpaceDE w:val="0"/>
              <w:autoSpaceDN w:val="0"/>
              <w:adjustRightInd w:val="0"/>
              <w:ind w:right="10"/>
              <w:jc w:val="center"/>
              <w:cnfStyle w:val="000000100000"/>
              <w:rPr>
                <w:rFonts w:cs="Arial"/>
                <w:color w:val="000000"/>
              </w:rPr>
            </w:pPr>
            <w:r w:rsidRPr="006D50B6">
              <w:rPr>
                <w:rFonts w:cs="Arial"/>
                <w:color w:val="000000"/>
              </w:rPr>
              <w:t>0.053321</w:t>
            </w:r>
          </w:p>
        </w:tc>
        <w:tc>
          <w:tcPr>
            <w:cnfStyle w:val="000010000000"/>
            <w:tcW w:w="0" w:type="auto"/>
            <w:gridSpan w:val="2"/>
            <w:tcBorders>
              <w:top w:val="single" w:sz="4" w:space="0" w:color="548DD4" w:themeColor="text2" w:themeTint="99"/>
              <w:left w:val="single" w:sz="4" w:space="0" w:color="548DD4" w:themeColor="text2" w:themeTint="99"/>
              <w:bottom w:val="nil"/>
              <w:right w:val="single" w:sz="4" w:space="0" w:color="548DD4" w:themeColor="text2" w:themeTint="99"/>
            </w:tcBorders>
            <w:vAlign w:val="center"/>
          </w:tcPr>
          <w:p w:rsidR="00E4088A" w:rsidRPr="009A1768" w:rsidRDefault="00E4088A" w:rsidP="00E4088A">
            <w:pPr>
              <w:autoSpaceDE w:val="0"/>
              <w:autoSpaceDN w:val="0"/>
              <w:adjustRightInd w:val="0"/>
              <w:ind w:right="10"/>
              <w:jc w:val="center"/>
              <w:rPr>
                <w:rFonts w:cs="Arial"/>
                <w:color w:val="000000"/>
              </w:rPr>
            </w:pPr>
            <w:r w:rsidRPr="002851B0">
              <w:rPr>
                <w:rFonts w:cs="Arial"/>
                <w:color w:val="000000"/>
              </w:rPr>
              <w:t>0.219880</w:t>
            </w:r>
          </w:p>
        </w:tc>
      </w:tr>
      <w:tr w:rsidR="00E4088A" w:rsidRPr="009A1768" w:rsidTr="00E4088A">
        <w:trPr>
          <w:trHeight w:val="225"/>
          <w:jc w:val="center"/>
        </w:trPr>
        <w:tc>
          <w:tcPr>
            <w:cnfStyle w:val="001000000000"/>
            <w:tcW w:w="0" w:type="auto"/>
            <w:tcBorders>
              <w:right w:val="single" w:sz="4" w:space="0" w:color="548DD4" w:themeColor="text2" w:themeTint="99"/>
            </w:tcBorders>
            <w:shd w:val="clear" w:color="auto" w:fill="4F81BD" w:themeFill="accent1"/>
          </w:tcPr>
          <w:p w:rsidR="00E4088A" w:rsidRPr="009A1768" w:rsidRDefault="00E4088A" w:rsidP="00854C31">
            <w:pPr>
              <w:autoSpaceDE w:val="0"/>
              <w:autoSpaceDN w:val="0"/>
              <w:adjustRightInd w:val="0"/>
              <w:rPr>
                <w:rFonts w:cs="Arial"/>
                <w:color w:val="FFFFFF" w:themeColor="background1"/>
              </w:rPr>
            </w:pPr>
            <w:r w:rsidRPr="009A1768">
              <w:rPr>
                <w:rFonts w:cs="Arial"/>
                <w:color w:val="FFFFFF" w:themeColor="background1"/>
              </w:rPr>
              <w:t>S.E. of regression</w:t>
            </w:r>
          </w:p>
        </w:tc>
        <w:tc>
          <w:tcPr>
            <w:cnfStyle w:val="000010000000"/>
            <w:tcW w:w="0" w:type="auto"/>
            <w:gridSpan w:val="2"/>
            <w:tcBorders>
              <w:top w:val="nil"/>
              <w:left w:val="single" w:sz="4" w:space="0" w:color="548DD4" w:themeColor="text2" w:themeTint="99"/>
              <w:bottom w:val="nil"/>
              <w:right w:val="single" w:sz="4" w:space="0" w:color="548DD4" w:themeColor="text2" w:themeTint="99"/>
            </w:tcBorders>
            <w:vAlign w:val="center"/>
          </w:tcPr>
          <w:p w:rsidR="00E4088A" w:rsidRPr="009A1768" w:rsidRDefault="00E4088A" w:rsidP="00E4088A">
            <w:pPr>
              <w:autoSpaceDE w:val="0"/>
              <w:autoSpaceDN w:val="0"/>
              <w:adjustRightInd w:val="0"/>
              <w:ind w:right="10"/>
              <w:jc w:val="center"/>
              <w:rPr>
                <w:rFonts w:cs="Arial"/>
                <w:color w:val="000000"/>
              </w:rPr>
            </w:pPr>
            <w:r w:rsidRPr="009A1768">
              <w:rPr>
                <w:rFonts w:cs="Arial"/>
                <w:color w:val="000000"/>
              </w:rPr>
              <w:t>0.152279</w:t>
            </w:r>
          </w:p>
        </w:tc>
        <w:tc>
          <w:tcPr>
            <w:tcW w:w="0" w:type="auto"/>
            <w:gridSpan w:val="2"/>
            <w:tcBorders>
              <w:top w:val="nil"/>
              <w:left w:val="single" w:sz="4" w:space="0" w:color="548DD4" w:themeColor="text2" w:themeTint="99"/>
              <w:bottom w:val="nil"/>
              <w:right w:val="single" w:sz="4" w:space="0" w:color="548DD4" w:themeColor="text2" w:themeTint="99"/>
            </w:tcBorders>
            <w:vAlign w:val="center"/>
          </w:tcPr>
          <w:p w:rsidR="00E4088A" w:rsidRPr="009A1768" w:rsidRDefault="00E4088A" w:rsidP="00E4088A">
            <w:pPr>
              <w:autoSpaceDE w:val="0"/>
              <w:autoSpaceDN w:val="0"/>
              <w:adjustRightInd w:val="0"/>
              <w:ind w:right="10"/>
              <w:jc w:val="center"/>
              <w:cnfStyle w:val="000000000000"/>
              <w:rPr>
                <w:rFonts w:cs="Arial"/>
                <w:color w:val="000000"/>
              </w:rPr>
            </w:pPr>
            <w:r w:rsidRPr="006D50B6">
              <w:rPr>
                <w:rFonts w:cs="Arial"/>
                <w:color w:val="000000"/>
              </w:rPr>
              <w:t>0.164960</w:t>
            </w:r>
          </w:p>
        </w:tc>
        <w:tc>
          <w:tcPr>
            <w:cnfStyle w:val="000010000000"/>
            <w:tcW w:w="0" w:type="auto"/>
            <w:gridSpan w:val="2"/>
            <w:tcBorders>
              <w:top w:val="nil"/>
              <w:left w:val="single" w:sz="4" w:space="0" w:color="548DD4" w:themeColor="text2" w:themeTint="99"/>
              <w:bottom w:val="nil"/>
              <w:right w:val="single" w:sz="4" w:space="0" w:color="548DD4" w:themeColor="text2" w:themeTint="99"/>
            </w:tcBorders>
            <w:vAlign w:val="center"/>
          </w:tcPr>
          <w:p w:rsidR="00E4088A" w:rsidRPr="009A1768" w:rsidRDefault="00E4088A" w:rsidP="00E4088A">
            <w:pPr>
              <w:autoSpaceDE w:val="0"/>
              <w:autoSpaceDN w:val="0"/>
              <w:adjustRightInd w:val="0"/>
              <w:ind w:right="10"/>
              <w:jc w:val="center"/>
              <w:rPr>
                <w:rFonts w:cs="Arial"/>
                <w:color w:val="000000"/>
              </w:rPr>
            </w:pPr>
            <w:r w:rsidRPr="002851B0">
              <w:rPr>
                <w:rFonts w:cs="Arial"/>
                <w:color w:val="000000"/>
              </w:rPr>
              <w:t>0.150176</w:t>
            </w:r>
          </w:p>
        </w:tc>
      </w:tr>
      <w:tr w:rsidR="00E4088A" w:rsidRPr="009A1768" w:rsidTr="00E4088A">
        <w:trPr>
          <w:cnfStyle w:val="000000100000"/>
          <w:trHeight w:val="225"/>
          <w:jc w:val="center"/>
        </w:trPr>
        <w:tc>
          <w:tcPr>
            <w:cnfStyle w:val="001000000000"/>
            <w:tcW w:w="0" w:type="auto"/>
            <w:tcBorders>
              <w:right w:val="single" w:sz="4" w:space="0" w:color="548DD4" w:themeColor="text2" w:themeTint="99"/>
            </w:tcBorders>
            <w:shd w:val="clear" w:color="auto" w:fill="4F81BD" w:themeFill="accent1"/>
            <w:vAlign w:val="center"/>
          </w:tcPr>
          <w:p w:rsidR="00E4088A" w:rsidRPr="00854C31" w:rsidRDefault="00E4088A" w:rsidP="00854C31">
            <w:pPr>
              <w:autoSpaceDE w:val="0"/>
              <w:autoSpaceDN w:val="0"/>
              <w:adjustRightInd w:val="0"/>
              <w:ind w:right="10"/>
              <w:rPr>
                <w:rFonts w:cs="Arial"/>
                <w:color w:val="FFFFFF" w:themeColor="background1"/>
              </w:rPr>
            </w:pPr>
            <w:r w:rsidRPr="00854C31">
              <w:rPr>
                <w:rFonts w:cs="Arial"/>
                <w:color w:val="FFFFFF" w:themeColor="background1"/>
              </w:rPr>
              <w:t>Akaike info criterion</w:t>
            </w:r>
          </w:p>
        </w:tc>
        <w:tc>
          <w:tcPr>
            <w:cnfStyle w:val="000010000000"/>
            <w:tcW w:w="0" w:type="auto"/>
            <w:gridSpan w:val="2"/>
            <w:tcBorders>
              <w:top w:val="nil"/>
              <w:left w:val="single" w:sz="4" w:space="0" w:color="548DD4" w:themeColor="text2" w:themeTint="99"/>
              <w:bottom w:val="nil"/>
              <w:right w:val="single" w:sz="4" w:space="0" w:color="548DD4" w:themeColor="text2" w:themeTint="99"/>
            </w:tcBorders>
            <w:vAlign w:val="center"/>
          </w:tcPr>
          <w:p w:rsidR="00E4088A" w:rsidRPr="009A1768" w:rsidRDefault="00E4088A" w:rsidP="00E4088A">
            <w:pPr>
              <w:autoSpaceDE w:val="0"/>
              <w:autoSpaceDN w:val="0"/>
              <w:adjustRightInd w:val="0"/>
              <w:ind w:right="10"/>
              <w:jc w:val="center"/>
              <w:rPr>
                <w:rFonts w:cs="Arial"/>
                <w:color w:val="000000"/>
              </w:rPr>
            </w:pPr>
            <w:r w:rsidRPr="009A1768">
              <w:rPr>
                <w:rFonts w:cs="Arial"/>
                <w:color w:val="000000"/>
              </w:rPr>
              <w:t>-0.910579</w:t>
            </w:r>
          </w:p>
        </w:tc>
        <w:tc>
          <w:tcPr>
            <w:tcW w:w="0" w:type="auto"/>
            <w:gridSpan w:val="2"/>
            <w:tcBorders>
              <w:top w:val="nil"/>
              <w:left w:val="single" w:sz="4" w:space="0" w:color="548DD4" w:themeColor="text2" w:themeTint="99"/>
              <w:bottom w:val="nil"/>
              <w:right w:val="single" w:sz="4" w:space="0" w:color="548DD4" w:themeColor="text2" w:themeTint="99"/>
            </w:tcBorders>
            <w:vAlign w:val="center"/>
          </w:tcPr>
          <w:p w:rsidR="00E4088A" w:rsidRPr="009A1768" w:rsidRDefault="00E4088A" w:rsidP="00E4088A">
            <w:pPr>
              <w:autoSpaceDE w:val="0"/>
              <w:autoSpaceDN w:val="0"/>
              <w:adjustRightInd w:val="0"/>
              <w:ind w:right="10"/>
              <w:jc w:val="center"/>
              <w:cnfStyle w:val="000000100000"/>
              <w:rPr>
                <w:rFonts w:cs="Arial"/>
                <w:color w:val="000000"/>
              </w:rPr>
            </w:pPr>
            <w:r w:rsidRPr="007D4B22">
              <w:rPr>
                <w:rFonts w:cs="Arial"/>
                <w:color w:val="000000"/>
              </w:rPr>
              <w:t>-0.734998</w:t>
            </w:r>
          </w:p>
        </w:tc>
        <w:tc>
          <w:tcPr>
            <w:cnfStyle w:val="000010000000"/>
            <w:tcW w:w="0" w:type="auto"/>
            <w:gridSpan w:val="2"/>
            <w:tcBorders>
              <w:top w:val="nil"/>
              <w:left w:val="single" w:sz="4" w:space="0" w:color="548DD4" w:themeColor="text2" w:themeTint="99"/>
              <w:bottom w:val="nil"/>
              <w:right w:val="single" w:sz="4" w:space="0" w:color="548DD4" w:themeColor="text2" w:themeTint="99"/>
            </w:tcBorders>
            <w:vAlign w:val="center"/>
          </w:tcPr>
          <w:p w:rsidR="00E4088A" w:rsidRPr="002851B0" w:rsidRDefault="00E4088A" w:rsidP="00E4088A">
            <w:pPr>
              <w:autoSpaceDE w:val="0"/>
              <w:autoSpaceDN w:val="0"/>
              <w:adjustRightInd w:val="0"/>
              <w:ind w:right="10"/>
              <w:jc w:val="center"/>
              <w:rPr>
                <w:rFonts w:cs="Arial"/>
                <w:color w:val="000000"/>
              </w:rPr>
            </w:pPr>
            <w:r w:rsidRPr="002851B0">
              <w:rPr>
                <w:rFonts w:cs="Arial"/>
                <w:color w:val="000000"/>
              </w:rPr>
              <w:t>-0.914837</w:t>
            </w:r>
          </w:p>
        </w:tc>
      </w:tr>
      <w:tr w:rsidR="00E4088A" w:rsidRPr="009A1768" w:rsidTr="00E4088A">
        <w:trPr>
          <w:trHeight w:val="225"/>
          <w:jc w:val="center"/>
        </w:trPr>
        <w:tc>
          <w:tcPr>
            <w:cnfStyle w:val="001000000000"/>
            <w:tcW w:w="0" w:type="auto"/>
            <w:tcBorders>
              <w:right w:val="single" w:sz="4" w:space="0" w:color="548DD4" w:themeColor="text2" w:themeTint="99"/>
            </w:tcBorders>
            <w:shd w:val="clear" w:color="auto" w:fill="4F81BD" w:themeFill="accent1"/>
            <w:vAlign w:val="center"/>
          </w:tcPr>
          <w:p w:rsidR="00E4088A" w:rsidRPr="00854C31" w:rsidRDefault="00E4088A" w:rsidP="00854C31">
            <w:pPr>
              <w:autoSpaceDE w:val="0"/>
              <w:autoSpaceDN w:val="0"/>
              <w:adjustRightInd w:val="0"/>
              <w:ind w:right="10"/>
              <w:rPr>
                <w:rFonts w:cs="Arial"/>
                <w:color w:val="FFFFFF" w:themeColor="background1"/>
              </w:rPr>
            </w:pPr>
            <w:r w:rsidRPr="00854C31">
              <w:rPr>
                <w:rFonts w:cs="Arial"/>
                <w:color w:val="FFFFFF" w:themeColor="background1"/>
              </w:rPr>
              <w:t>Durbin-Watson stat</w:t>
            </w:r>
          </w:p>
        </w:tc>
        <w:tc>
          <w:tcPr>
            <w:cnfStyle w:val="000010000000"/>
            <w:tcW w:w="0" w:type="auto"/>
            <w:gridSpan w:val="2"/>
            <w:tcBorders>
              <w:top w:val="nil"/>
              <w:left w:val="single" w:sz="4" w:space="0" w:color="548DD4" w:themeColor="text2" w:themeTint="99"/>
              <w:bottom w:val="single" w:sz="4" w:space="0" w:color="548DD4" w:themeColor="text2" w:themeTint="99"/>
              <w:right w:val="single" w:sz="4" w:space="0" w:color="548DD4" w:themeColor="text2" w:themeTint="99"/>
            </w:tcBorders>
            <w:vAlign w:val="center"/>
          </w:tcPr>
          <w:p w:rsidR="00E4088A" w:rsidRPr="009A1768" w:rsidRDefault="00E4088A" w:rsidP="00E4088A">
            <w:pPr>
              <w:autoSpaceDE w:val="0"/>
              <w:autoSpaceDN w:val="0"/>
              <w:adjustRightInd w:val="0"/>
              <w:ind w:right="10"/>
              <w:jc w:val="center"/>
              <w:rPr>
                <w:rFonts w:cs="Arial"/>
                <w:color w:val="000000"/>
              </w:rPr>
            </w:pPr>
            <w:r w:rsidRPr="009A1768">
              <w:rPr>
                <w:rFonts w:cs="Arial"/>
                <w:color w:val="000000"/>
              </w:rPr>
              <w:t>2.036947</w:t>
            </w:r>
          </w:p>
        </w:tc>
        <w:tc>
          <w:tcPr>
            <w:tcW w:w="0" w:type="auto"/>
            <w:gridSpan w:val="2"/>
            <w:tcBorders>
              <w:top w:val="nil"/>
              <w:left w:val="single" w:sz="4" w:space="0" w:color="548DD4" w:themeColor="text2" w:themeTint="99"/>
              <w:bottom w:val="single" w:sz="4" w:space="0" w:color="548DD4" w:themeColor="text2" w:themeTint="99"/>
              <w:right w:val="single" w:sz="4" w:space="0" w:color="548DD4" w:themeColor="text2" w:themeTint="99"/>
            </w:tcBorders>
            <w:vAlign w:val="center"/>
          </w:tcPr>
          <w:p w:rsidR="00E4088A" w:rsidRPr="009A1768" w:rsidRDefault="00E4088A" w:rsidP="00E4088A">
            <w:pPr>
              <w:autoSpaceDE w:val="0"/>
              <w:autoSpaceDN w:val="0"/>
              <w:adjustRightInd w:val="0"/>
              <w:ind w:right="10"/>
              <w:jc w:val="center"/>
              <w:cnfStyle w:val="000000000000"/>
              <w:rPr>
                <w:rFonts w:cs="Arial"/>
                <w:color w:val="000000"/>
              </w:rPr>
            </w:pPr>
            <w:r w:rsidRPr="007D4B22">
              <w:rPr>
                <w:rFonts w:cs="Arial"/>
                <w:color w:val="000000"/>
              </w:rPr>
              <w:t>1.154833</w:t>
            </w:r>
          </w:p>
        </w:tc>
        <w:tc>
          <w:tcPr>
            <w:cnfStyle w:val="000010000000"/>
            <w:tcW w:w="0" w:type="auto"/>
            <w:gridSpan w:val="2"/>
            <w:tcBorders>
              <w:top w:val="nil"/>
              <w:left w:val="single" w:sz="4" w:space="0" w:color="548DD4" w:themeColor="text2" w:themeTint="99"/>
              <w:bottom w:val="single" w:sz="4" w:space="0" w:color="548DD4" w:themeColor="text2" w:themeTint="99"/>
              <w:right w:val="single" w:sz="4" w:space="0" w:color="548DD4" w:themeColor="text2" w:themeTint="99"/>
            </w:tcBorders>
            <w:vAlign w:val="center"/>
          </w:tcPr>
          <w:p w:rsidR="00E4088A" w:rsidRPr="002851B0" w:rsidRDefault="00E4088A" w:rsidP="004454F3">
            <w:pPr>
              <w:keepNext/>
              <w:autoSpaceDE w:val="0"/>
              <w:autoSpaceDN w:val="0"/>
              <w:adjustRightInd w:val="0"/>
              <w:ind w:right="10"/>
              <w:jc w:val="center"/>
              <w:rPr>
                <w:rFonts w:cs="Arial"/>
                <w:color w:val="000000"/>
              </w:rPr>
            </w:pPr>
            <w:r w:rsidRPr="002851B0">
              <w:rPr>
                <w:rFonts w:cs="Arial"/>
                <w:color w:val="000000"/>
              </w:rPr>
              <w:t>1.992495</w:t>
            </w:r>
          </w:p>
        </w:tc>
      </w:tr>
    </w:tbl>
    <w:p w:rsidR="00CE6826" w:rsidRPr="00F13942" w:rsidRDefault="004454F3" w:rsidP="004454F3">
      <w:pPr>
        <w:pStyle w:val="Caption"/>
        <w:jc w:val="center"/>
        <w:rPr>
          <w:lang w:val="en-US"/>
        </w:rPr>
      </w:pPr>
      <w:r w:rsidRPr="004454F3">
        <w:rPr>
          <w:lang w:val="en-US"/>
        </w:rPr>
        <w:t xml:space="preserve">Table </w:t>
      </w:r>
      <w:r w:rsidR="00DB780A">
        <w:fldChar w:fldCharType="begin"/>
      </w:r>
      <w:r w:rsidRPr="004454F3">
        <w:rPr>
          <w:lang w:val="en-US"/>
        </w:rPr>
        <w:instrText xml:space="preserve"> SEQ Table \* ARABIC </w:instrText>
      </w:r>
      <w:r w:rsidR="00DB780A">
        <w:fldChar w:fldCharType="separate"/>
      </w:r>
      <w:r>
        <w:rPr>
          <w:noProof/>
          <w:lang w:val="en-US"/>
        </w:rPr>
        <w:t>16</w:t>
      </w:r>
      <w:r w:rsidR="00DB780A">
        <w:fldChar w:fldCharType="end"/>
      </w:r>
      <w:r w:rsidRPr="004454F3">
        <w:rPr>
          <w:lang w:val="en-US"/>
        </w:rPr>
        <w:t xml:space="preserve"> | OLS estimation comparison of equations 2.2, 2.10 and 2.13</w:t>
      </w:r>
    </w:p>
    <w:p w:rsidR="00653B9F" w:rsidRDefault="00897EB0" w:rsidP="00CE2BA2">
      <w:pPr>
        <w:spacing w:line="360" w:lineRule="auto"/>
        <w:jc w:val="both"/>
        <w:rPr>
          <w:lang w:val="en-US"/>
        </w:rPr>
      </w:pPr>
      <w:r>
        <w:rPr>
          <w:lang w:val="en-US"/>
        </w:rPr>
        <w:t>Looking at the significance of the coefficients, only in the autoregressive model all coefficients are significantly different from zero (Prob</w:t>
      </w:r>
      <w:r w:rsidR="002370ED">
        <w:rPr>
          <w:lang w:val="en-US"/>
        </w:rPr>
        <w:t>.</w:t>
      </w:r>
      <w:r>
        <w:rPr>
          <w:lang w:val="en-US"/>
        </w:rPr>
        <w:t xml:space="preserve">&lt;0.1). In the Dornbusch model only coefficient </w:t>
      </w:r>
      <w:r w:rsidRPr="00C67E5D">
        <w:rPr>
          <w:rFonts w:ascii="Cambria Math" w:hAnsi="Cambria Math"/>
          <w:i/>
          <w:lang w:val="en-US"/>
        </w:rPr>
        <w:t>b</w:t>
      </w:r>
      <w:r w:rsidR="00C67E5D" w:rsidRPr="00C67E5D">
        <w:rPr>
          <w:rFonts w:ascii="Cambria Math" w:hAnsi="Cambria Math"/>
          <w:i/>
          <w:vertAlign w:val="subscript"/>
          <w:lang w:val="en-US"/>
        </w:rPr>
        <w:t>2</w:t>
      </w:r>
      <w:r w:rsidR="00C67E5D">
        <w:rPr>
          <w:lang w:val="en-US"/>
        </w:rPr>
        <w:t xml:space="preserve">  is really insignificant. If we are very generous we could accept all coefficients in the combined model to be significantly different from zero (Prob</w:t>
      </w:r>
      <w:r w:rsidR="002370ED">
        <w:rPr>
          <w:lang w:val="en-US"/>
        </w:rPr>
        <w:t>.</w:t>
      </w:r>
      <w:r w:rsidR="00C67E5D">
        <w:rPr>
          <w:lang w:val="en-US"/>
        </w:rPr>
        <w:t>&lt;0.2).</w:t>
      </w:r>
      <w:r>
        <w:rPr>
          <w:lang w:val="en-US"/>
        </w:rPr>
        <w:t xml:space="preserve"> </w:t>
      </w:r>
      <w:r w:rsidR="00415096">
        <w:rPr>
          <w:lang w:val="en-US"/>
        </w:rPr>
        <w:t xml:space="preserve"> </w:t>
      </w:r>
      <w:r w:rsidR="002370ED">
        <w:rPr>
          <w:lang w:val="en-US"/>
        </w:rPr>
        <w:t>In terms of R-squared, the Dornbusch model performs very poorly. The combined model performs better than the autoregressive model. It seems that the added economic fundamentals (being net money supply, net income and net interest rate) do contain valuable information about the Bitcoin/US Dollar exchange rate.</w:t>
      </w:r>
      <w:r w:rsidR="00415096">
        <w:rPr>
          <w:lang w:val="en-US"/>
        </w:rPr>
        <w:t xml:space="preserve"> </w:t>
      </w:r>
      <w:r w:rsidR="002370ED">
        <w:rPr>
          <w:lang w:val="en-US"/>
        </w:rPr>
        <w:t>Having the lowest Akaike info criterion and standard regression error, the combined model outperforms the other two on these statistics as well.</w:t>
      </w:r>
      <w:r w:rsidR="0091249E">
        <w:rPr>
          <w:lang w:val="en-US"/>
        </w:rPr>
        <w:t xml:space="preserve"> Also, the combined model has a Durbin-Watson statistic closest to 2, indicating nearly zero autocorrelation in the error term. </w:t>
      </w:r>
      <w:r w:rsidR="00415096">
        <w:rPr>
          <w:lang w:val="en-US"/>
        </w:rPr>
        <w:t xml:space="preserve"> </w:t>
      </w:r>
      <w:r w:rsidR="0091249E">
        <w:rPr>
          <w:lang w:val="en-US"/>
        </w:rPr>
        <w:t>Looking solely at this model specification comparison, the combined model seems to be superior to the other two.</w:t>
      </w:r>
    </w:p>
    <w:p w:rsidR="00CA2E65" w:rsidRDefault="00211731" w:rsidP="00211731">
      <w:pPr>
        <w:pStyle w:val="Heading2"/>
        <w:rPr>
          <w:lang w:val="en-US"/>
        </w:rPr>
      </w:pPr>
      <w:r>
        <w:rPr>
          <w:lang w:val="en-US"/>
        </w:rPr>
        <w:t>Forecasting</w:t>
      </w:r>
    </w:p>
    <w:p w:rsidR="00211731" w:rsidRDefault="00211731" w:rsidP="00170695">
      <w:pPr>
        <w:pStyle w:val="Heading3"/>
        <w:rPr>
          <w:rStyle w:val="eop"/>
          <w:rFonts w:ascii="Calibri" w:hAnsi="Calibri" w:cs="Segoe UI"/>
          <w:lang w:val="en-US"/>
        </w:rPr>
      </w:pPr>
      <w:r>
        <w:rPr>
          <w:rStyle w:val="eop"/>
          <w:rFonts w:ascii="Calibri" w:hAnsi="Calibri" w:cs="Segoe UI"/>
          <w:lang w:val="en-US"/>
        </w:rPr>
        <w:t>The Random Walk model</w:t>
      </w:r>
    </w:p>
    <w:p w:rsidR="00211731" w:rsidRDefault="00D84C7C" w:rsidP="00CE2BA2">
      <w:pPr>
        <w:spacing w:line="360" w:lineRule="auto"/>
        <w:jc w:val="both"/>
        <w:rPr>
          <w:lang w:val="en-US"/>
        </w:rPr>
      </w:pPr>
      <w:r>
        <w:rPr>
          <w:lang w:val="en-US"/>
        </w:rPr>
        <w:t xml:space="preserve">Conducting a static forecast over </w:t>
      </w:r>
      <w:r w:rsidR="00703E2E">
        <w:rPr>
          <w:lang w:val="en-US"/>
        </w:rPr>
        <w:t>the</w:t>
      </w:r>
      <w:r>
        <w:rPr>
          <w:lang w:val="en-US"/>
        </w:rPr>
        <w:t xml:space="preserve"> forecast sample</w:t>
      </w:r>
      <w:r w:rsidR="00036885">
        <w:rPr>
          <w:lang w:val="en-US"/>
        </w:rPr>
        <w:t xml:space="preserve"> using equation 2.2</w:t>
      </w:r>
      <w:r>
        <w:rPr>
          <w:lang w:val="en-US"/>
        </w:rPr>
        <w:t>, the following forecast evaluation is obtained:</w:t>
      </w:r>
    </w:p>
    <w:tbl>
      <w:tblPr>
        <w:tblStyle w:val="LightList-Accent11"/>
        <w:tblW w:w="0" w:type="auto"/>
        <w:jc w:val="center"/>
        <w:tblLook w:val="0420"/>
      </w:tblPr>
      <w:tblGrid>
        <w:gridCol w:w="285"/>
        <w:gridCol w:w="2914"/>
        <w:gridCol w:w="1053"/>
      </w:tblGrid>
      <w:tr w:rsidR="000D69A8" w:rsidTr="000D69A8">
        <w:trPr>
          <w:cnfStyle w:val="100000000000"/>
          <w:jc w:val="center"/>
        </w:trPr>
        <w:tc>
          <w:tcPr>
            <w:tcW w:w="0" w:type="auto"/>
            <w:gridSpan w:val="2"/>
          </w:tcPr>
          <w:p w:rsidR="000D69A8" w:rsidRDefault="000D69A8" w:rsidP="004B0255">
            <w:pPr>
              <w:rPr>
                <w:lang w:val="en-US"/>
              </w:rPr>
            </w:pPr>
            <w:r>
              <w:rPr>
                <w:lang w:val="en-US"/>
              </w:rPr>
              <w:lastRenderedPageBreak/>
              <w:t>Forecast evaluation</w:t>
            </w:r>
          </w:p>
        </w:tc>
        <w:tc>
          <w:tcPr>
            <w:tcW w:w="0" w:type="auto"/>
            <w:tcBorders>
              <w:bottom w:val="single" w:sz="8" w:space="0" w:color="4F81BD" w:themeColor="accent1"/>
            </w:tcBorders>
          </w:tcPr>
          <w:p w:rsidR="000D69A8" w:rsidRDefault="000D69A8" w:rsidP="004B0255">
            <w:pPr>
              <w:rPr>
                <w:lang w:val="en-US"/>
              </w:rPr>
            </w:pPr>
          </w:p>
        </w:tc>
      </w:tr>
      <w:tr w:rsidR="00D84C7C" w:rsidTr="000D69A8">
        <w:trPr>
          <w:cnfStyle w:val="000000100000"/>
          <w:jc w:val="center"/>
        </w:trPr>
        <w:tc>
          <w:tcPr>
            <w:tcW w:w="0" w:type="auto"/>
            <w:gridSpan w:val="2"/>
            <w:tcBorders>
              <w:right w:val="single" w:sz="4" w:space="0" w:color="4F81BD" w:themeColor="accent1"/>
            </w:tcBorders>
          </w:tcPr>
          <w:p w:rsidR="00D84C7C" w:rsidRPr="000D69A8" w:rsidRDefault="00D84C7C" w:rsidP="004B0255">
            <w:pPr>
              <w:rPr>
                <w:b/>
                <w:lang w:val="en-US"/>
              </w:rPr>
            </w:pPr>
            <w:r w:rsidRPr="000D69A8">
              <w:rPr>
                <w:b/>
                <w:lang w:val="en-US"/>
              </w:rPr>
              <w:t>Root Mean Squared Error</w:t>
            </w:r>
          </w:p>
        </w:tc>
        <w:tc>
          <w:tcPr>
            <w:tcW w:w="0" w:type="auto"/>
            <w:tcBorders>
              <w:left w:val="single" w:sz="4" w:space="0" w:color="4F81BD" w:themeColor="accent1"/>
            </w:tcBorders>
          </w:tcPr>
          <w:p w:rsidR="00D84C7C" w:rsidRDefault="001B6BA3" w:rsidP="004B0255">
            <w:pPr>
              <w:rPr>
                <w:lang w:val="en-US"/>
              </w:rPr>
            </w:pPr>
            <w:r>
              <w:rPr>
                <w:lang w:val="en-US"/>
              </w:rPr>
              <w:t>0.144503</w:t>
            </w:r>
          </w:p>
        </w:tc>
      </w:tr>
      <w:tr w:rsidR="00D84C7C" w:rsidTr="000D69A8">
        <w:trPr>
          <w:jc w:val="center"/>
        </w:trPr>
        <w:tc>
          <w:tcPr>
            <w:tcW w:w="0" w:type="auto"/>
            <w:gridSpan w:val="2"/>
            <w:tcBorders>
              <w:right w:val="single" w:sz="4" w:space="0" w:color="4F81BD" w:themeColor="accent1"/>
            </w:tcBorders>
          </w:tcPr>
          <w:p w:rsidR="00D84C7C" w:rsidRPr="000D69A8" w:rsidRDefault="001B6BA3" w:rsidP="004B0255">
            <w:pPr>
              <w:rPr>
                <w:b/>
                <w:lang w:val="en-US"/>
              </w:rPr>
            </w:pPr>
            <w:r w:rsidRPr="000D69A8">
              <w:rPr>
                <w:b/>
                <w:lang w:val="en-US"/>
              </w:rPr>
              <w:t>Mean Absolute Error</w:t>
            </w:r>
          </w:p>
        </w:tc>
        <w:tc>
          <w:tcPr>
            <w:tcW w:w="0" w:type="auto"/>
            <w:tcBorders>
              <w:top w:val="single" w:sz="8" w:space="0" w:color="4F81BD" w:themeColor="accent1"/>
              <w:left w:val="single" w:sz="4" w:space="0" w:color="4F81BD" w:themeColor="accent1"/>
              <w:bottom w:val="single" w:sz="8" w:space="0" w:color="4F81BD" w:themeColor="accent1"/>
            </w:tcBorders>
          </w:tcPr>
          <w:p w:rsidR="00D84C7C" w:rsidRDefault="001B6BA3" w:rsidP="004B0255">
            <w:pPr>
              <w:rPr>
                <w:lang w:val="en-US"/>
              </w:rPr>
            </w:pPr>
            <w:r>
              <w:rPr>
                <w:lang w:val="en-US"/>
              </w:rPr>
              <w:t>0.105171</w:t>
            </w:r>
          </w:p>
        </w:tc>
      </w:tr>
      <w:tr w:rsidR="00D84C7C" w:rsidTr="000D69A8">
        <w:trPr>
          <w:cnfStyle w:val="000000100000"/>
          <w:jc w:val="center"/>
        </w:trPr>
        <w:tc>
          <w:tcPr>
            <w:tcW w:w="0" w:type="auto"/>
            <w:gridSpan w:val="2"/>
            <w:tcBorders>
              <w:right w:val="single" w:sz="4" w:space="0" w:color="4F81BD" w:themeColor="accent1"/>
            </w:tcBorders>
          </w:tcPr>
          <w:p w:rsidR="00D84C7C" w:rsidRPr="000D69A8" w:rsidRDefault="001B6BA3" w:rsidP="004B0255">
            <w:pPr>
              <w:rPr>
                <w:b/>
                <w:lang w:val="en-US"/>
              </w:rPr>
            </w:pPr>
            <w:r w:rsidRPr="000D69A8">
              <w:rPr>
                <w:b/>
                <w:lang w:val="en-US"/>
              </w:rPr>
              <w:t>Mean Absolute Percentage Error</w:t>
            </w:r>
          </w:p>
        </w:tc>
        <w:tc>
          <w:tcPr>
            <w:tcW w:w="0" w:type="auto"/>
            <w:tcBorders>
              <w:left w:val="single" w:sz="4" w:space="0" w:color="4F81BD" w:themeColor="accent1"/>
            </w:tcBorders>
          </w:tcPr>
          <w:p w:rsidR="00D84C7C" w:rsidRDefault="001B6BA3" w:rsidP="004B0255">
            <w:pPr>
              <w:rPr>
                <w:lang w:val="en-US"/>
              </w:rPr>
            </w:pPr>
            <w:r>
              <w:rPr>
                <w:lang w:val="en-US"/>
              </w:rPr>
              <w:t>478.0261</w:t>
            </w:r>
          </w:p>
        </w:tc>
      </w:tr>
      <w:tr w:rsidR="00D84C7C" w:rsidTr="000D69A8">
        <w:trPr>
          <w:jc w:val="center"/>
        </w:trPr>
        <w:tc>
          <w:tcPr>
            <w:tcW w:w="0" w:type="auto"/>
            <w:gridSpan w:val="2"/>
            <w:tcBorders>
              <w:right w:val="single" w:sz="4" w:space="0" w:color="4F81BD" w:themeColor="accent1"/>
            </w:tcBorders>
          </w:tcPr>
          <w:p w:rsidR="00D84C7C" w:rsidRPr="000D69A8" w:rsidRDefault="001B6BA3" w:rsidP="004B0255">
            <w:pPr>
              <w:rPr>
                <w:b/>
                <w:lang w:val="en-US"/>
              </w:rPr>
            </w:pPr>
            <w:r w:rsidRPr="000D69A8">
              <w:rPr>
                <w:b/>
                <w:lang w:val="en-US"/>
              </w:rPr>
              <w:t>Theil Inequality Coefficient</w:t>
            </w:r>
          </w:p>
        </w:tc>
        <w:tc>
          <w:tcPr>
            <w:tcW w:w="0" w:type="auto"/>
            <w:tcBorders>
              <w:top w:val="single" w:sz="8" w:space="0" w:color="4F81BD" w:themeColor="accent1"/>
              <w:left w:val="single" w:sz="4" w:space="0" w:color="4F81BD" w:themeColor="accent1"/>
              <w:bottom w:val="single" w:sz="8" w:space="0" w:color="4F81BD" w:themeColor="accent1"/>
            </w:tcBorders>
          </w:tcPr>
          <w:p w:rsidR="00D84C7C" w:rsidRDefault="001B6BA3" w:rsidP="004B0255">
            <w:pPr>
              <w:rPr>
                <w:lang w:val="en-US"/>
              </w:rPr>
            </w:pPr>
            <w:r>
              <w:rPr>
                <w:lang w:val="en-US"/>
              </w:rPr>
              <w:t>0.579996</w:t>
            </w:r>
          </w:p>
        </w:tc>
      </w:tr>
      <w:tr w:rsidR="001B6BA3" w:rsidTr="000D69A8">
        <w:trPr>
          <w:cnfStyle w:val="000000100000"/>
          <w:jc w:val="center"/>
        </w:trPr>
        <w:tc>
          <w:tcPr>
            <w:tcW w:w="0" w:type="auto"/>
          </w:tcPr>
          <w:p w:rsidR="001B6BA3" w:rsidRDefault="001B6BA3" w:rsidP="004B0255">
            <w:pPr>
              <w:rPr>
                <w:lang w:val="en-US"/>
              </w:rPr>
            </w:pPr>
          </w:p>
        </w:tc>
        <w:tc>
          <w:tcPr>
            <w:tcW w:w="0" w:type="auto"/>
            <w:tcBorders>
              <w:right w:val="single" w:sz="4" w:space="0" w:color="4F81BD" w:themeColor="accent1"/>
            </w:tcBorders>
          </w:tcPr>
          <w:p w:rsidR="001B6BA3" w:rsidRPr="000D69A8" w:rsidRDefault="001B6BA3" w:rsidP="004B0255">
            <w:pPr>
              <w:rPr>
                <w:b/>
                <w:lang w:val="en-US"/>
              </w:rPr>
            </w:pPr>
            <w:r w:rsidRPr="000D69A8">
              <w:rPr>
                <w:b/>
                <w:lang w:val="en-US"/>
              </w:rPr>
              <w:t>Bias Proportion</w:t>
            </w:r>
          </w:p>
        </w:tc>
        <w:tc>
          <w:tcPr>
            <w:tcW w:w="0" w:type="auto"/>
            <w:tcBorders>
              <w:left w:val="single" w:sz="4" w:space="0" w:color="4F81BD" w:themeColor="accent1"/>
            </w:tcBorders>
          </w:tcPr>
          <w:p w:rsidR="001B6BA3" w:rsidRDefault="001B6BA3" w:rsidP="004B0255">
            <w:pPr>
              <w:rPr>
                <w:lang w:val="en-US"/>
              </w:rPr>
            </w:pPr>
            <w:r>
              <w:rPr>
                <w:lang w:val="en-US"/>
              </w:rPr>
              <w:t>0.001662</w:t>
            </w:r>
          </w:p>
        </w:tc>
      </w:tr>
      <w:tr w:rsidR="001B6BA3" w:rsidTr="000D69A8">
        <w:trPr>
          <w:jc w:val="center"/>
        </w:trPr>
        <w:tc>
          <w:tcPr>
            <w:tcW w:w="0" w:type="auto"/>
          </w:tcPr>
          <w:p w:rsidR="001B6BA3" w:rsidRDefault="001B6BA3" w:rsidP="004B0255">
            <w:pPr>
              <w:rPr>
                <w:lang w:val="en-US"/>
              </w:rPr>
            </w:pPr>
          </w:p>
        </w:tc>
        <w:tc>
          <w:tcPr>
            <w:tcW w:w="0" w:type="auto"/>
            <w:tcBorders>
              <w:right w:val="single" w:sz="4" w:space="0" w:color="4F81BD" w:themeColor="accent1"/>
            </w:tcBorders>
          </w:tcPr>
          <w:p w:rsidR="001B6BA3" w:rsidRPr="000D69A8" w:rsidRDefault="001B6BA3" w:rsidP="004B0255">
            <w:pPr>
              <w:rPr>
                <w:b/>
                <w:lang w:val="en-US"/>
              </w:rPr>
            </w:pPr>
            <w:r w:rsidRPr="000D69A8">
              <w:rPr>
                <w:b/>
                <w:lang w:val="en-US"/>
              </w:rPr>
              <w:t>Variance Proportion</w:t>
            </w:r>
          </w:p>
        </w:tc>
        <w:tc>
          <w:tcPr>
            <w:tcW w:w="0" w:type="auto"/>
            <w:tcBorders>
              <w:top w:val="single" w:sz="8" w:space="0" w:color="4F81BD" w:themeColor="accent1"/>
              <w:left w:val="single" w:sz="4" w:space="0" w:color="4F81BD" w:themeColor="accent1"/>
              <w:bottom w:val="single" w:sz="8" w:space="0" w:color="4F81BD" w:themeColor="accent1"/>
            </w:tcBorders>
          </w:tcPr>
          <w:p w:rsidR="001B6BA3" w:rsidRDefault="001B6BA3" w:rsidP="004B0255">
            <w:pPr>
              <w:rPr>
                <w:lang w:val="en-US"/>
              </w:rPr>
            </w:pPr>
            <w:r>
              <w:rPr>
                <w:lang w:val="en-US"/>
              </w:rPr>
              <w:t>0.370216</w:t>
            </w:r>
          </w:p>
        </w:tc>
      </w:tr>
      <w:tr w:rsidR="001B6BA3" w:rsidTr="000D69A8">
        <w:trPr>
          <w:cnfStyle w:val="000000100000"/>
          <w:jc w:val="center"/>
        </w:trPr>
        <w:tc>
          <w:tcPr>
            <w:tcW w:w="0" w:type="auto"/>
          </w:tcPr>
          <w:p w:rsidR="001B6BA3" w:rsidRDefault="001B6BA3" w:rsidP="004B0255">
            <w:pPr>
              <w:rPr>
                <w:lang w:val="en-US"/>
              </w:rPr>
            </w:pPr>
          </w:p>
        </w:tc>
        <w:tc>
          <w:tcPr>
            <w:tcW w:w="0" w:type="auto"/>
            <w:tcBorders>
              <w:right w:val="single" w:sz="4" w:space="0" w:color="4F81BD" w:themeColor="accent1"/>
            </w:tcBorders>
          </w:tcPr>
          <w:p w:rsidR="001B6BA3" w:rsidRPr="000D69A8" w:rsidRDefault="001B6BA3" w:rsidP="004B0255">
            <w:pPr>
              <w:rPr>
                <w:b/>
                <w:lang w:val="en-US"/>
              </w:rPr>
            </w:pPr>
            <w:r w:rsidRPr="000D69A8">
              <w:rPr>
                <w:b/>
                <w:lang w:val="en-US"/>
              </w:rPr>
              <w:t>Covariance Proportion</w:t>
            </w:r>
          </w:p>
        </w:tc>
        <w:tc>
          <w:tcPr>
            <w:tcW w:w="0" w:type="auto"/>
            <w:tcBorders>
              <w:left w:val="single" w:sz="4" w:space="0" w:color="4F81BD" w:themeColor="accent1"/>
            </w:tcBorders>
          </w:tcPr>
          <w:p w:rsidR="001B6BA3" w:rsidRDefault="001B6BA3" w:rsidP="004454F3">
            <w:pPr>
              <w:keepNext/>
              <w:rPr>
                <w:lang w:val="en-US"/>
              </w:rPr>
            </w:pPr>
            <w:r>
              <w:rPr>
                <w:lang w:val="en-US"/>
              </w:rPr>
              <w:t>0.628122</w:t>
            </w:r>
          </w:p>
        </w:tc>
      </w:tr>
    </w:tbl>
    <w:p w:rsidR="004454F3" w:rsidRPr="004454F3" w:rsidRDefault="004454F3" w:rsidP="004454F3">
      <w:pPr>
        <w:pStyle w:val="Caption"/>
        <w:jc w:val="center"/>
        <w:rPr>
          <w:lang w:val="en-US"/>
        </w:rPr>
      </w:pPr>
      <w:r w:rsidRPr="004454F3">
        <w:rPr>
          <w:lang w:val="en-US"/>
        </w:rPr>
        <w:t xml:space="preserve">Table </w:t>
      </w:r>
      <w:r w:rsidR="00DB780A">
        <w:fldChar w:fldCharType="begin"/>
      </w:r>
      <w:r w:rsidRPr="004454F3">
        <w:rPr>
          <w:lang w:val="en-US"/>
        </w:rPr>
        <w:instrText xml:space="preserve"> SEQ Table \* ARABIC </w:instrText>
      </w:r>
      <w:r w:rsidR="00DB780A">
        <w:fldChar w:fldCharType="separate"/>
      </w:r>
      <w:r>
        <w:rPr>
          <w:noProof/>
          <w:lang w:val="en-US"/>
        </w:rPr>
        <w:t>17</w:t>
      </w:r>
      <w:r w:rsidR="00DB780A">
        <w:fldChar w:fldCharType="end"/>
      </w:r>
      <w:r w:rsidRPr="004454F3">
        <w:rPr>
          <w:lang w:val="en-US"/>
        </w:rPr>
        <w:t xml:space="preserve"> | Forecast evaluation of equation 2.2</w:t>
      </w:r>
    </w:p>
    <w:p w:rsidR="001414F0" w:rsidRDefault="000850C9" w:rsidP="00CE2BA2">
      <w:pPr>
        <w:spacing w:line="360" w:lineRule="auto"/>
        <w:jc w:val="both"/>
        <w:rPr>
          <w:lang w:val="en-US"/>
        </w:rPr>
      </w:pPr>
      <w:r>
        <w:rPr>
          <w:lang w:val="en-US"/>
        </w:rPr>
        <w:t>Note that the Root Mean Squared Error statistic is dependent on the scale of the variables. Since we are using differenced variables instead of levels, this scale has most probably changed.</w:t>
      </w:r>
      <w:r>
        <w:rPr>
          <w:lang w:val="en-US"/>
        </w:rPr>
        <w:br/>
        <w:t xml:space="preserve">The Theil Inequality Coefficient statistic is independent of the scale of the variables. It ranges from 0 to 1, where 0 means the forecast is perfect. With 0.58 this model does not perform exceptionally well. The Theil Inequality Coefficient </w:t>
      </w:r>
      <w:r w:rsidR="00AC29A7">
        <w:rPr>
          <w:lang w:val="en-US"/>
        </w:rPr>
        <w:t xml:space="preserve">can be divided up into three proportions, adding up to 1: </w:t>
      </w:r>
      <w:r w:rsidR="00224B02">
        <w:rPr>
          <w:lang w:val="en-US"/>
        </w:rPr>
        <w:t>t</w:t>
      </w:r>
      <w:r w:rsidR="00AC29A7">
        <w:rPr>
          <w:lang w:val="en-US"/>
        </w:rPr>
        <w:t>he Bias Proportion, Variance Proportion and Covariance Proportion.</w:t>
      </w:r>
      <w:r w:rsidR="00415096">
        <w:rPr>
          <w:lang w:val="en-US"/>
        </w:rPr>
        <w:t xml:space="preserve"> </w:t>
      </w:r>
      <w:r w:rsidR="00F25DCD">
        <w:rPr>
          <w:lang w:val="en-US"/>
        </w:rPr>
        <w:t xml:space="preserve">The Bias Proportion </w:t>
      </w:r>
      <w:r w:rsidR="00224B02">
        <w:rPr>
          <w:lang w:val="en-US"/>
        </w:rPr>
        <w:t>should be as close to 0 as possible. It measures any systematic over or under prediction. As can be seen, this model performs very well on this statistic, with a value of 0.00.</w:t>
      </w:r>
      <w:r w:rsidR="00555600">
        <w:rPr>
          <w:lang w:val="en-US"/>
        </w:rPr>
        <w:t xml:space="preserve"> This means there is no systematic over or under prediction.</w:t>
      </w:r>
      <w:r w:rsidR="00415096">
        <w:rPr>
          <w:lang w:val="en-US"/>
        </w:rPr>
        <w:t xml:space="preserve"> </w:t>
      </w:r>
      <w:r w:rsidR="00224B02">
        <w:rPr>
          <w:lang w:val="en-US"/>
        </w:rPr>
        <w:t>The Variance Proportion should be as small as possible as well. It measures the model's ability to replicate the variance in the original series. If it is large, the original series</w:t>
      </w:r>
      <w:r w:rsidR="00603619">
        <w:rPr>
          <w:lang w:val="en-US"/>
        </w:rPr>
        <w:t xml:space="preserve"> systematically has a higher degree of fluctuation than the forecast. This model's performance on the Variance Proportion statistic could be better, but it is not bad. Especially since the Covariance Proportion is a lot bigger.</w:t>
      </w:r>
      <w:r w:rsidR="00415096">
        <w:rPr>
          <w:lang w:val="en-US"/>
        </w:rPr>
        <w:t xml:space="preserve"> </w:t>
      </w:r>
      <w:r w:rsidR="00603619">
        <w:rPr>
          <w:lang w:val="en-US"/>
        </w:rPr>
        <w:t>The Covariance Proportion measures unsystematic error. This proportion should ideally be the highest of the three, which is the case.</w:t>
      </w:r>
    </w:p>
    <w:p w:rsidR="001A2382" w:rsidRDefault="004D3E36" w:rsidP="001A2382">
      <w:pPr>
        <w:spacing w:line="360" w:lineRule="auto"/>
        <w:jc w:val="both"/>
        <w:rPr>
          <w:lang w:val="en-US"/>
        </w:rPr>
      </w:pPr>
      <w:r>
        <w:rPr>
          <w:lang w:val="en-US"/>
        </w:rPr>
        <w:t>The first difference of the logarithmically transformed Bitcoin/US Dollar exchange rate</w:t>
      </w:r>
      <w:r w:rsidR="001414F0">
        <w:rPr>
          <w:lang w:val="en-US"/>
        </w:rPr>
        <w:t xml:space="preserve"> and its forecast</w:t>
      </w:r>
      <w:r>
        <w:rPr>
          <w:lang w:val="en-US"/>
        </w:rPr>
        <w:t xml:space="preserve"> according to equation 2.2</w:t>
      </w:r>
      <w:r w:rsidR="001414F0">
        <w:rPr>
          <w:lang w:val="en-US"/>
        </w:rPr>
        <w:t xml:space="preserve"> look as follows:</w:t>
      </w:r>
    </w:p>
    <w:p w:rsidR="001414F0" w:rsidRPr="001A2382" w:rsidRDefault="001414F0" w:rsidP="001A2382">
      <w:pPr>
        <w:spacing w:line="360" w:lineRule="auto"/>
        <w:jc w:val="both"/>
        <w:rPr>
          <w:lang w:val="en-US"/>
        </w:rPr>
      </w:pPr>
      <w:r w:rsidRPr="001414F0">
        <w:rPr>
          <w:noProof/>
          <w:lang w:eastAsia="nl-NL"/>
        </w:rPr>
        <w:drawing>
          <wp:inline distT="0" distB="0" distL="0" distR="0">
            <wp:extent cx="5720269" cy="2227634"/>
            <wp:effectExtent l="1905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414F0" w:rsidRPr="0084634F" w:rsidRDefault="001414F0" w:rsidP="0084634F">
      <w:pPr>
        <w:pStyle w:val="Caption"/>
        <w:spacing w:line="360" w:lineRule="auto"/>
        <w:rPr>
          <w:lang w:val="en-US"/>
        </w:rPr>
      </w:pPr>
      <w:r w:rsidRPr="0084634F">
        <w:rPr>
          <w:lang w:val="en-US"/>
        </w:rPr>
        <w:t xml:space="preserve">Graph </w:t>
      </w:r>
      <w:r w:rsidR="00DB780A" w:rsidRPr="0084634F">
        <w:fldChar w:fldCharType="begin"/>
      </w:r>
      <w:r w:rsidRPr="0084634F">
        <w:rPr>
          <w:lang w:val="en-US"/>
        </w:rPr>
        <w:instrText xml:space="preserve"> SEQ Graph \* ARABIC </w:instrText>
      </w:r>
      <w:r w:rsidR="00DB780A" w:rsidRPr="0084634F">
        <w:fldChar w:fldCharType="separate"/>
      </w:r>
      <w:r w:rsidR="003F6AD1">
        <w:rPr>
          <w:noProof/>
          <w:lang w:val="en-US"/>
        </w:rPr>
        <w:t>1</w:t>
      </w:r>
      <w:r w:rsidR="00DB780A" w:rsidRPr="0084634F">
        <w:fldChar w:fldCharType="end"/>
      </w:r>
      <w:r w:rsidRPr="0084634F">
        <w:rPr>
          <w:lang w:val="en-US"/>
        </w:rPr>
        <w:t xml:space="preserve"> | </w:t>
      </w:r>
      <w:r w:rsidR="004D3E36" w:rsidRPr="0084634F">
        <w:rPr>
          <w:lang w:val="en-US"/>
        </w:rPr>
        <w:t>First difference of the logarithmically transformed US Dollar price in Bitcoins</w:t>
      </w:r>
      <w:r w:rsidR="0084634F">
        <w:rPr>
          <w:lang w:val="en-US"/>
        </w:rPr>
        <w:t>. Actual and equation 2.2's forecast.</w:t>
      </w:r>
    </w:p>
    <w:p w:rsidR="00415096" w:rsidRDefault="00B532B4" w:rsidP="00CE2BA2">
      <w:pPr>
        <w:spacing w:line="360" w:lineRule="auto"/>
        <w:jc w:val="both"/>
        <w:rPr>
          <w:lang w:val="en-US"/>
        </w:rPr>
      </w:pPr>
      <w:r>
        <w:rPr>
          <w:lang w:val="en-US"/>
        </w:rPr>
        <w:lastRenderedPageBreak/>
        <w:t>As can clearly be seen now, the forecast fluctuates a lot less than the actual series. This is what the Variance Proportion pointed out already. Now if we undo all data transformation done to arrive at equation 2.2, and plot it, we obtain the following graph:</w:t>
      </w:r>
    </w:p>
    <w:p w:rsidR="00B532B4" w:rsidRPr="008B54A2" w:rsidRDefault="00B532B4" w:rsidP="00CE2BA2">
      <w:pPr>
        <w:spacing w:line="360" w:lineRule="auto"/>
        <w:jc w:val="both"/>
        <w:rPr>
          <w:lang w:val="en-US"/>
        </w:rPr>
      </w:pPr>
      <w:r w:rsidRPr="00B532B4">
        <w:rPr>
          <w:rFonts w:eastAsiaTheme="minorEastAsia"/>
          <w:noProof/>
          <w:lang w:eastAsia="nl-NL"/>
        </w:rPr>
        <w:drawing>
          <wp:inline distT="0" distB="0" distL="0" distR="0">
            <wp:extent cx="5758774" cy="2636195"/>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634F" w:rsidRPr="0084634F" w:rsidRDefault="00B532B4" w:rsidP="0084634F">
      <w:pPr>
        <w:pStyle w:val="Caption"/>
        <w:spacing w:line="360" w:lineRule="auto"/>
        <w:rPr>
          <w:lang w:val="en-US"/>
        </w:rPr>
      </w:pPr>
      <w:r w:rsidRPr="0084634F">
        <w:rPr>
          <w:lang w:val="en-US"/>
        </w:rPr>
        <w:t xml:space="preserve">Graph </w:t>
      </w:r>
      <w:r w:rsidR="00DB780A" w:rsidRPr="0084634F">
        <w:fldChar w:fldCharType="begin"/>
      </w:r>
      <w:r w:rsidRPr="0084634F">
        <w:rPr>
          <w:lang w:val="en-US"/>
        </w:rPr>
        <w:instrText xml:space="preserve"> SEQ Graph \* ARABIC </w:instrText>
      </w:r>
      <w:r w:rsidR="00DB780A" w:rsidRPr="0084634F">
        <w:fldChar w:fldCharType="separate"/>
      </w:r>
      <w:r w:rsidR="003F6AD1">
        <w:rPr>
          <w:noProof/>
          <w:lang w:val="en-US"/>
        </w:rPr>
        <w:t>2</w:t>
      </w:r>
      <w:r w:rsidR="00DB780A" w:rsidRPr="0084634F">
        <w:fldChar w:fldCharType="end"/>
      </w:r>
      <w:r w:rsidRPr="0084634F">
        <w:rPr>
          <w:lang w:val="en-US"/>
        </w:rPr>
        <w:t xml:space="preserve"> | The Bitcoin price in US Dollars</w:t>
      </w:r>
      <w:r w:rsidR="0084634F" w:rsidRPr="0084634F">
        <w:rPr>
          <w:lang w:val="en-US"/>
        </w:rPr>
        <w:t>. Actual and equation 2.2's forecast.</w:t>
      </w:r>
    </w:p>
    <w:p w:rsidR="0004118C" w:rsidRDefault="00C874AA" w:rsidP="00CE2BA2">
      <w:pPr>
        <w:spacing w:line="360" w:lineRule="auto"/>
        <w:jc w:val="both"/>
        <w:rPr>
          <w:lang w:val="en-US"/>
        </w:rPr>
      </w:pPr>
      <w:r>
        <w:rPr>
          <w:lang w:val="en-US"/>
        </w:rPr>
        <w:t xml:space="preserve">Note that, for the purpose of easy interpretation of this graph, the exchange rate has been inverted. This graph shows the US Dollar/Bitcoin exchange rate, instead of the Bitcoin/US Dollar exchange rate we have been using. While the upward trend in the actual series is nicely reflected in the forecast, it is now even more obvious that the forecast does not replicate the original series' variance. </w:t>
      </w:r>
    </w:p>
    <w:p w:rsidR="00211731" w:rsidRDefault="00AE7EA4" w:rsidP="00170695">
      <w:pPr>
        <w:pStyle w:val="Heading3"/>
        <w:rPr>
          <w:lang w:val="en-US"/>
        </w:rPr>
      </w:pPr>
      <w:r>
        <w:rPr>
          <w:lang w:val="en-US"/>
        </w:rPr>
        <w:t>The Dornbusch model</w:t>
      </w:r>
    </w:p>
    <w:p w:rsidR="00703E2E" w:rsidRDefault="00703E2E" w:rsidP="00CE2BA2">
      <w:pPr>
        <w:spacing w:line="360" w:lineRule="auto"/>
        <w:jc w:val="both"/>
        <w:rPr>
          <w:lang w:val="en-US"/>
        </w:rPr>
      </w:pPr>
      <w:r>
        <w:rPr>
          <w:lang w:val="en-US"/>
        </w:rPr>
        <w:t>Conducting a static forecast over the forecast sample using equation 2.10, the following forecast evaluation is obtained:</w:t>
      </w:r>
    </w:p>
    <w:tbl>
      <w:tblPr>
        <w:tblStyle w:val="LightList-Accent11"/>
        <w:tblW w:w="0" w:type="auto"/>
        <w:jc w:val="center"/>
        <w:tblLook w:val="0420"/>
      </w:tblPr>
      <w:tblGrid>
        <w:gridCol w:w="285"/>
        <w:gridCol w:w="2914"/>
        <w:gridCol w:w="1053"/>
      </w:tblGrid>
      <w:tr w:rsidR="00703E2E" w:rsidTr="00B679B3">
        <w:trPr>
          <w:cnfStyle w:val="100000000000"/>
          <w:jc w:val="center"/>
        </w:trPr>
        <w:tc>
          <w:tcPr>
            <w:tcW w:w="0" w:type="auto"/>
            <w:gridSpan w:val="2"/>
          </w:tcPr>
          <w:p w:rsidR="00703E2E" w:rsidRDefault="00703E2E" w:rsidP="00B679B3">
            <w:pPr>
              <w:rPr>
                <w:lang w:val="en-US"/>
              </w:rPr>
            </w:pPr>
            <w:r>
              <w:rPr>
                <w:lang w:val="en-US"/>
              </w:rPr>
              <w:t>Forecast evaluation</w:t>
            </w:r>
          </w:p>
        </w:tc>
        <w:tc>
          <w:tcPr>
            <w:tcW w:w="0" w:type="auto"/>
            <w:tcBorders>
              <w:bottom w:val="single" w:sz="8" w:space="0" w:color="4F81BD" w:themeColor="accent1"/>
            </w:tcBorders>
          </w:tcPr>
          <w:p w:rsidR="00703E2E" w:rsidRDefault="00703E2E" w:rsidP="00B679B3">
            <w:pPr>
              <w:rPr>
                <w:lang w:val="en-US"/>
              </w:rPr>
            </w:pPr>
          </w:p>
        </w:tc>
      </w:tr>
      <w:tr w:rsidR="00703E2E" w:rsidTr="00B679B3">
        <w:trPr>
          <w:cnfStyle w:val="000000100000"/>
          <w:jc w:val="center"/>
        </w:trPr>
        <w:tc>
          <w:tcPr>
            <w:tcW w:w="0" w:type="auto"/>
            <w:gridSpan w:val="2"/>
            <w:tcBorders>
              <w:right w:val="single" w:sz="4" w:space="0" w:color="4F81BD" w:themeColor="accent1"/>
            </w:tcBorders>
          </w:tcPr>
          <w:p w:rsidR="00703E2E" w:rsidRPr="000D69A8" w:rsidRDefault="00703E2E" w:rsidP="00B679B3">
            <w:pPr>
              <w:rPr>
                <w:b/>
                <w:lang w:val="en-US"/>
              </w:rPr>
            </w:pPr>
            <w:r w:rsidRPr="000D69A8">
              <w:rPr>
                <w:b/>
                <w:lang w:val="en-US"/>
              </w:rPr>
              <w:t>Root Mean Squared Error</w:t>
            </w:r>
          </w:p>
        </w:tc>
        <w:tc>
          <w:tcPr>
            <w:tcW w:w="0" w:type="auto"/>
            <w:tcBorders>
              <w:left w:val="single" w:sz="4" w:space="0" w:color="4F81BD" w:themeColor="accent1"/>
            </w:tcBorders>
          </w:tcPr>
          <w:p w:rsidR="00703E2E" w:rsidRDefault="00703E2E" w:rsidP="00703E2E">
            <w:pPr>
              <w:rPr>
                <w:lang w:val="en-US"/>
              </w:rPr>
            </w:pPr>
            <w:r>
              <w:rPr>
                <w:lang w:val="en-US"/>
              </w:rPr>
              <w:t>0.159815</w:t>
            </w:r>
          </w:p>
        </w:tc>
      </w:tr>
      <w:tr w:rsidR="00703E2E" w:rsidTr="00B679B3">
        <w:trPr>
          <w:jc w:val="center"/>
        </w:trPr>
        <w:tc>
          <w:tcPr>
            <w:tcW w:w="0" w:type="auto"/>
            <w:gridSpan w:val="2"/>
            <w:tcBorders>
              <w:right w:val="single" w:sz="4" w:space="0" w:color="4F81BD" w:themeColor="accent1"/>
            </w:tcBorders>
          </w:tcPr>
          <w:p w:rsidR="00703E2E" w:rsidRPr="000D69A8" w:rsidRDefault="00703E2E" w:rsidP="00B679B3">
            <w:pPr>
              <w:rPr>
                <w:b/>
                <w:lang w:val="en-US"/>
              </w:rPr>
            </w:pPr>
            <w:r w:rsidRPr="000D69A8">
              <w:rPr>
                <w:b/>
                <w:lang w:val="en-US"/>
              </w:rPr>
              <w:t>Mean Absolute Error</w:t>
            </w:r>
          </w:p>
        </w:tc>
        <w:tc>
          <w:tcPr>
            <w:tcW w:w="0" w:type="auto"/>
            <w:tcBorders>
              <w:top w:val="single" w:sz="8" w:space="0" w:color="4F81BD" w:themeColor="accent1"/>
              <w:left w:val="single" w:sz="4" w:space="0" w:color="4F81BD" w:themeColor="accent1"/>
              <w:bottom w:val="single" w:sz="8" w:space="0" w:color="4F81BD" w:themeColor="accent1"/>
            </w:tcBorders>
          </w:tcPr>
          <w:p w:rsidR="00703E2E" w:rsidRDefault="00703E2E" w:rsidP="00703E2E">
            <w:pPr>
              <w:rPr>
                <w:lang w:val="en-US"/>
              </w:rPr>
            </w:pPr>
            <w:r>
              <w:rPr>
                <w:lang w:val="en-US"/>
              </w:rPr>
              <w:t>0.119581</w:t>
            </w:r>
          </w:p>
        </w:tc>
      </w:tr>
      <w:tr w:rsidR="00703E2E" w:rsidTr="00B679B3">
        <w:trPr>
          <w:cnfStyle w:val="000000100000"/>
          <w:jc w:val="center"/>
        </w:trPr>
        <w:tc>
          <w:tcPr>
            <w:tcW w:w="0" w:type="auto"/>
            <w:gridSpan w:val="2"/>
            <w:tcBorders>
              <w:right w:val="single" w:sz="4" w:space="0" w:color="4F81BD" w:themeColor="accent1"/>
            </w:tcBorders>
          </w:tcPr>
          <w:p w:rsidR="00703E2E" w:rsidRPr="000D69A8" w:rsidRDefault="00703E2E" w:rsidP="00B679B3">
            <w:pPr>
              <w:rPr>
                <w:b/>
                <w:lang w:val="en-US"/>
              </w:rPr>
            </w:pPr>
            <w:r w:rsidRPr="000D69A8">
              <w:rPr>
                <w:b/>
                <w:lang w:val="en-US"/>
              </w:rPr>
              <w:t>Mean Absolute Percentage Error</w:t>
            </w:r>
          </w:p>
        </w:tc>
        <w:tc>
          <w:tcPr>
            <w:tcW w:w="0" w:type="auto"/>
            <w:tcBorders>
              <w:left w:val="single" w:sz="4" w:space="0" w:color="4F81BD" w:themeColor="accent1"/>
            </w:tcBorders>
          </w:tcPr>
          <w:p w:rsidR="00703E2E" w:rsidRDefault="00703E2E" w:rsidP="00B679B3">
            <w:pPr>
              <w:rPr>
                <w:lang w:val="en-US"/>
              </w:rPr>
            </w:pPr>
            <w:r>
              <w:rPr>
                <w:lang w:val="en-US"/>
              </w:rPr>
              <w:t>606.4176</w:t>
            </w:r>
          </w:p>
        </w:tc>
      </w:tr>
      <w:tr w:rsidR="00703E2E" w:rsidTr="00B679B3">
        <w:trPr>
          <w:jc w:val="center"/>
        </w:trPr>
        <w:tc>
          <w:tcPr>
            <w:tcW w:w="0" w:type="auto"/>
            <w:gridSpan w:val="2"/>
            <w:tcBorders>
              <w:right w:val="single" w:sz="4" w:space="0" w:color="4F81BD" w:themeColor="accent1"/>
            </w:tcBorders>
          </w:tcPr>
          <w:p w:rsidR="00703E2E" w:rsidRPr="000D69A8" w:rsidRDefault="00703E2E" w:rsidP="00B679B3">
            <w:pPr>
              <w:rPr>
                <w:b/>
                <w:lang w:val="en-US"/>
              </w:rPr>
            </w:pPr>
            <w:r w:rsidRPr="000D69A8">
              <w:rPr>
                <w:b/>
                <w:lang w:val="en-US"/>
              </w:rPr>
              <w:t>Theil Inequality Coefficient</w:t>
            </w:r>
          </w:p>
        </w:tc>
        <w:tc>
          <w:tcPr>
            <w:tcW w:w="0" w:type="auto"/>
            <w:tcBorders>
              <w:top w:val="single" w:sz="8" w:space="0" w:color="4F81BD" w:themeColor="accent1"/>
              <w:left w:val="single" w:sz="4" w:space="0" w:color="4F81BD" w:themeColor="accent1"/>
              <w:bottom w:val="single" w:sz="8" w:space="0" w:color="4F81BD" w:themeColor="accent1"/>
            </w:tcBorders>
          </w:tcPr>
          <w:p w:rsidR="00703E2E" w:rsidRDefault="00703E2E" w:rsidP="00B679B3">
            <w:pPr>
              <w:rPr>
                <w:lang w:val="en-US"/>
              </w:rPr>
            </w:pPr>
            <w:r>
              <w:rPr>
                <w:lang w:val="en-US"/>
              </w:rPr>
              <w:t>0.719933</w:t>
            </w:r>
          </w:p>
        </w:tc>
      </w:tr>
      <w:tr w:rsidR="00703E2E" w:rsidTr="00B679B3">
        <w:trPr>
          <w:cnfStyle w:val="000000100000"/>
          <w:jc w:val="center"/>
        </w:trPr>
        <w:tc>
          <w:tcPr>
            <w:tcW w:w="0" w:type="auto"/>
          </w:tcPr>
          <w:p w:rsidR="00703E2E" w:rsidRDefault="00703E2E" w:rsidP="00B679B3">
            <w:pPr>
              <w:rPr>
                <w:lang w:val="en-US"/>
              </w:rPr>
            </w:pPr>
          </w:p>
        </w:tc>
        <w:tc>
          <w:tcPr>
            <w:tcW w:w="0" w:type="auto"/>
            <w:tcBorders>
              <w:right w:val="single" w:sz="4" w:space="0" w:color="4F81BD" w:themeColor="accent1"/>
            </w:tcBorders>
          </w:tcPr>
          <w:p w:rsidR="00703E2E" w:rsidRPr="000D69A8" w:rsidRDefault="00703E2E" w:rsidP="00B679B3">
            <w:pPr>
              <w:rPr>
                <w:b/>
                <w:lang w:val="en-US"/>
              </w:rPr>
            </w:pPr>
            <w:r w:rsidRPr="000D69A8">
              <w:rPr>
                <w:b/>
                <w:lang w:val="en-US"/>
              </w:rPr>
              <w:t>Bias Proportion</w:t>
            </w:r>
          </w:p>
        </w:tc>
        <w:tc>
          <w:tcPr>
            <w:tcW w:w="0" w:type="auto"/>
            <w:tcBorders>
              <w:left w:val="single" w:sz="4" w:space="0" w:color="4F81BD" w:themeColor="accent1"/>
            </w:tcBorders>
          </w:tcPr>
          <w:p w:rsidR="00703E2E" w:rsidRDefault="00703E2E" w:rsidP="00703E2E">
            <w:pPr>
              <w:rPr>
                <w:lang w:val="en-US"/>
              </w:rPr>
            </w:pPr>
            <w:r>
              <w:rPr>
                <w:lang w:val="en-US"/>
              </w:rPr>
              <w:t>0.004462</w:t>
            </w:r>
          </w:p>
        </w:tc>
      </w:tr>
      <w:tr w:rsidR="00703E2E" w:rsidTr="00B679B3">
        <w:trPr>
          <w:jc w:val="center"/>
        </w:trPr>
        <w:tc>
          <w:tcPr>
            <w:tcW w:w="0" w:type="auto"/>
          </w:tcPr>
          <w:p w:rsidR="00703E2E" w:rsidRDefault="00703E2E" w:rsidP="00B679B3">
            <w:pPr>
              <w:rPr>
                <w:lang w:val="en-US"/>
              </w:rPr>
            </w:pPr>
          </w:p>
        </w:tc>
        <w:tc>
          <w:tcPr>
            <w:tcW w:w="0" w:type="auto"/>
            <w:tcBorders>
              <w:right w:val="single" w:sz="4" w:space="0" w:color="4F81BD" w:themeColor="accent1"/>
            </w:tcBorders>
          </w:tcPr>
          <w:p w:rsidR="00703E2E" w:rsidRPr="000D69A8" w:rsidRDefault="00703E2E" w:rsidP="00B679B3">
            <w:pPr>
              <w:rPr>
                <w:b/>
                <w:lang w:val="en-US"/>
              </w:rPr>
            </w:pPr>
            <w:r w:rsidRPr="000D69A8">
              <w:rPr>
                <w:b/>
                <w:lang w:val="en-US"/>
              </w:rPr>
              <w:t>Variance Proportion</w:t>
            </w:r>
          </w:p>
        </w:tc>
        <w:tc>
          <w:tcPr>
            <w:tcW w:w="0" w:type="auto"/>
            <w:tcBorders>
              <w:top w:val="single" w:sz="8" w:space="0" w:color="4F81BD" w:themeColor="accent1"/>
              <w:left w:val="single" w:sz="4" w:space="0" w:color="4F81BD" w:themeColor="accent1"/>
              <w:bottom w:val="single" w:sz="8" w:space="0" w:color="4F81BD" w:themeColor="accent1"/>
            </w:tcBorders>
          </w:tcPr>
          <w:p w:rsidR="00703E2E" w:rsidRDefault="00703E2E" w:rsidP="00703E2E">
            <w:pPr>
              <w:rPr>
                <w:lang w:val="en-US"/>
              </w:rPr>
            </w:pPr>
            <w:r>
              <w:rPr>
                <w:lang w:val="en-US"/>
              </w:rPr>
              <w:t>0.707623</w:t>
            </w:r>
          </w:p>
        </w:tc>
      </w:tr>
      <w:tr w:rsidR="00703E2E" w:rsidTr="00B679B3">
        <w:trPr>
          <w:cnfStyle w:val="000000100000"/>
          <w:jc w:val="center"/>
        </w:trPr>
        <w:tc>
          <w:tcPr>
            <w:tcW w:w="0" w:type="auto"/>
          </w:tcPr>
          <w:p w:rsidR="00703E2E" w:rsidRDefault="00703E2E" w:rsidP="00B679B3">
            <w:pPr>
              <w:rPr>
                <w:lang w:val="en-US"/>
              </w:rPr>
            </w:pPr>
          </w:p>
        </w:tc>
        <w:tc>
          <w:tcPr>
            <w:tcW w:w="0" w:type="auto"/>
            <w:tcBorders>
              <w:right w:val="single" w:sz="4" w:space="0" w:color="4F81BD" w:themeColor="accent1"/>
            </w:tcBorders>
          </w:tcPr>
          <w:p w:rsidR="00703E2E" w:rsidRPr="000D69A8" w:rsidRDefault="00703E2E" w:rsidP="00B679B3">
            <w:pPr>
              <w:rPr>
                <w:b/>
                <w:lang w:val="en-US"/>
              </w:rPr>
            </w:pPr>
            <w:r w:rsidRPr="000D69A8">
              <w:rPr>
                <w:b/>
                <w:lang w:val="en-US"/>
              </w:rPr>
              <w:t>Covariance Proportion</w:t>
            </w:r>
          </w:p>
        </w:tc>
        <w:tc>
          <w:tcPr>
            <w:tcW w:w="0" w:type="auto"/>
            <w:tcBorders>
              <w:left w:val="single" w:sz="4" w:space="0" w:color="4F81BD" w:themeColor="accent1"/>
            </w:tcBorders>
          </w:tcPr>
          <w:p w:rsidR="00703E2E" w:rsidRDefault="00703E2E" w:rsidP="004454F3">
            <w:pPr>
              <w:keepNext/>
              <w:rPr>
                <w:lang w:val="en-US"/>
              </w:rPr>
            </w:pPr>
            <w:r>
              <w:rPr>
                <w:lang w:val="en-US"/>
              </w:rPr>
              <w:t>0.287915</w:t>
            </w:r>
          </w:p>
        </w:tc>
      </w:tr>
    </w:tbl>
    <w:p w:rsidR="004454F3" w:rsidRPr="004454F3" w:rsidRDefault="004454F3" w:rsidP="004454F3">
      <w:pPr>
        <w:pStyle w:val="Caption"/>
        <w:jc w:val="center"/>
        <w:rPr>
          <w:lang w:val="en-US"/>
        </w:rPr>
      </w:pPr>
      <w:r w:rsidRPr="004454F3">
        <w:rPr>
          <w:lang w:val="en-US"/>
        </w:rPr>
        <w:t xml:space="preserve">Table </w:t>
      </w:r>
      <w:r w:rsidR="00DB780A">
        <w:fldChar w:fldCharType="begin"/>
      </w:r>
      <w:r w:rsidRPr="004454F3">
        <w:rPr>
          <w:lang w:val="en-US"/>
        </w:rPr>
        <w:instrText xml:space="preserve"> SEQ Table \* ARABIC </w:instrText>
      </w:r>
      <w:r w:rsidR="00DB780A">
        <w:fldChar w:fldCharType="separate"/>
      </w:r>
      <w:r>
        <w:rPr>
          <w:noProof/>
          <w:lang w:val="en-US"/>
        </w:rPr>
        <w:t>18</w:t>
      </w:r>
      <w:r w:rsidR="00DB780A">
        <w:fldChar w:fldCharType="end"/>
      </w:r>
      <w:r w:rsidRPr="004454F3">
        <w:rPr>
          <w:lang w:val="en-US"/>
        </w:rPr>
        <w:t xml:space="preserve"> | Forecast evaluation of equation 2.10</w:t>
      </w:r>
    </w:p>
    <w:p w:rsidR="0084634F" w:rsidRDefault="006F56DC" w:rsidP="00CE2BA2">
      <w:pPr>
        <w:spacing w:line="360" w:lineRule="auto"/>
        <w:jc w:val="both"/>
        <w:rPr>
          <w:lang w:val="en-US"/>
        </w:rPr>
      </w:pPr>
      <w:r>
        <w:rPr>
          <w:lang w:val="en-US"/>
        </w:rPr>
        <w:t>The Theil Inequality Coefficient of 0.72 is fairly high. This indicates this model is not such a good predictor of the Bitcoin/US Dollar exchange rate.</w:t>
      </w:r>
      <w:r w:rsidR="00CE2BA2">
        <w:rPr>
          <w:lang w:val="en-US"/>
        </w:rPr>
        <w:t xml:space="preserve"> </w:t>
      </w:r>
      <w:r>
        <w:rPr>
          <w:lang w:val="en-US"/>
        </w:rPr>
        <w:t xml:space="preserve">The model does not systematically predict values too high or too low, as indicated by the low Bias Proportion of 0.00. </w:t>
      </w:r>
      <w:r w:rsidR="00705E99">
        <w:rPr>
          <w:lang w:val="en-US"/>
        </w:rPr>
        <w:t>The model does, however, fail to reproduce the variance of the original series, as indicated by the high Variance Proportion of 0.71.</w:t>
      </w:r>
      <w:r w:rsidR="004D3E36">
        <w:rPr>
          <w:lang w:val="en-US"/>
        </w:rPr>
        <w:br/>
      </w:r>
      <w:r w:rsidR="004D3E36">
        <w:rPr>
          <w:lang w:val="en-US"/>
        </w:rPr>
        <w:lastRenderedPageBreak/>
        <w:t>The Covariance Proportion, ideally the highest of the three proportion</w:t>
      </w:r>
      <w:r w:rsidR="00CE2BA2">
        <w:rPr>
          <w:lang w:val="en-US"/>
        </w:rPr>
        <w:t xml:space="preserve">s, measures unsystematic error. </w:t>
      </w:r>
      <w:r w:rsidR="004D3E36">
        <w:rPr>
          <w:lang w:val="en-US"/>
        </w:rPr>
        <w:t xml:space="preserve">With 0.29 this is not the case for this model.  </w:t>
      </w:r>
    </w:p>
    <w:p w:rsidR="004D3E36" w:rsidRDefault="004D3E36" w:rsidP="00CE2BA2">
      <w:pPr>
        <w:spacing w:line="360" w:lineRule="auto"/>
        <w:jc w:val="both"/>
        <w:rPr>
          <w:lang w:val="en-US"/>
        </w:rPr>
      </w:pPr>
      <w:r>
        <w:rPr>
          <w:lang w:val="en-US"/>
        </w:rPr>
        <w:t>The first difference of the logarithmically transformed Bitcoin/US Dollar exchange rate and its forecast according to equation 2.10 look as follows:</w:t>
      </w:r>
    </w:p>
    <w:p w:rsidR="006C22BC" w:rsidRDefault="006C22BC" w:rsidP="006C22BC">
      <w:pPr>
        <w:keepNext/>
        <w:spacing w:line="360" w:lineRule="auto"/>
      </w:pPr>
      <w:r w:rsidRPr="006C22BC">
        <w:rPr>
          <w:noProof/>
          <w:lang w:eastAsia="nl-NL"/>
        </w:rPr>
        <w:drawing>
          <wp:inline distT="0" distB="0" distL="0" distR="0">
            <wp:extent cx="5760720" cy="2788492"/>
            <wp:effectExtent l="0" t="0" r="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D3E36" w:rsidRPr="0084634F" w:rsidRDefault="006C22BC" w:rsidP="0084634F">
      <w:pPr>
        <w:pStyle w:val="Caption"/>
        <w:rPr>
          <w:lang w:val="en-US"/>
        </w:rPr>
      </w:pPr>
      <w:r w:rsidRPr="0084634F">
        <w:rPr>
          <w:lang w:val="en-US"/>
        </w:rPr>
        <w:t xml:space="preserve">Graph </w:t>
      </w:r>
      <w:r w:rsidR="00DB780A" w:rsidRPr="0084634F">
        <w:fldChar w:fldCharType="begin"/>
      </w:r>
      <w:r w:rsidRPr="0084634F">
        <w:rPr>
          <w:lang w:val="en-US"/>
        </w:rPr>
        <w:instrText xml:space="preserve"> SEQ Graph \* ARABIC </w:instrText>
      </w:r>
      <w:r w:rsidR="00DB780A" w:rsidRPr="0084634F">
        <w:fldChar w:fldCharType="separate"/>
      </w:r>
      <w:r w:rsidR="003F6AD1">
        <w:rPr>
          <w:noProof/>
          <w:lang w:val="en-US"/>
        </w:rPr>
        <w:t>3</w:t>
      </w:r>
      <w:r w:rsidR="00DB780A" w:rsidRPr="0084634F">
        <w:fldChar w:fldCharType="end"/>
      </w:r>
      <w:r w:rsidRPr="0084634F">
        <w:rPr>
          <w:lang w:val="en-US"/>
        </w:rPr>
        <w:t xml:space="preserve"> </w:t>
      </w:r>
      <w:r w:rsidR="0084634F" w:rsidRPr="0084634F">
        <w:rPr>
          <w:lang w:val="en-US"/>
        </w:rPr>
        <w:t>| First difference of the logarithmically transformed US Dollar price in Bitcoins. Actual and equation 2.10's forecast</w:t>
      </w:r>
      <w:r w:rsidR="0084634F">
        <w:rPr>
          <w:lang w:val="en-US"/>
        </w:rPr>
        <w:t>.</w:t>
      </w:r>
    </w:p>
    <w:p w:rsidR="004D3E36" w:rsidRDefault="00B84DB4" w:rsidP="00CE2BA2">
      <w:pPr>
        <w:spacing w:line="360" w:lineRule="auto"/>
        <w:jc w:val="both"/>
        <w:rPr>
          <w:lang w:val="en-US"/>
        </w:rPr>
      </w:pPr>
      <w:r>
        <w:rPr>
          <w:lang w:val="en-US"/>
        </w:rPr>
        <w:t>The forecast fluctuates a lot less than the actual series, which the high Variance Proportion did already indicate. If we undo all data transformation done to arrive at equation 2.</w:t>
      </w:r>
      <w:r w:rsidR="00421EA1">
        <w:rPr>
          <w:lang w:val="en-US"/>
        </w:rPr>
        <w:t>10</w:t>
      </w:r>
      <w:r>
        <w:rPr>
          <w:lang w:val="en-US"/>
        </w:rPr>
        <w:t>, and plot it, we obtain the following graph:</w:t>
      </w:r>
    </w:p>
    <w:p w:rsidR="004A5D59" w:rsidRDefault="004A5D59" w:rsidP="004A5D59">
      <w:pPr>
        <w:keepNext/>
      </w:pPr>
      <w:r w:rsidRPr="004A5D59">
        <w:rPr>
          <w:noProof/>
          <w:lang w:eastAsia="nl-NL"/>
        </w:rPr>
        <w:drawing>
          <wp:inline distT="0" distB="0" distL="0" distR="0">
            <wp:extent cx="5760720" cy="2788492"/>
            <wp:effectExtent l="0" t="0" r="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E7EA4" w:rsidRPr="0084634F" w:rsidRDefault="004A5D59" w:rsidP="0084634F">
      <w:pPr>
        <w:pStyle w:val="Caption"/>
        <w:spacing w:line="360" w:lineRule="auto"/>
        <w:rPr>
          <w:lang w:val="en-US"/>
        </w:rPr>
      </w:pPr>
      <w:r w:rsidRPr="0084634F">
        <w:rPr>
          <w:lang w:val="en-US"/>
        </w:rPr>
        <w:t xml:space="preserve">Graph </w:t>
      </w:r>
      <w:r w:rsidR="00DB780A" w:rsidRPr="0084634F">
        <w:fldChar w:fldCharType="begin"/>
      </w:r>
      <w:r w:rsidRPr="0084634F">
        <w:rPr>
          <w:lang w:val="en-US"/>
        </w:rPr>
        <w:instrText xml:space="preserve"> SEQ Graph \* ARABIC </w:instrText>
      </w:r>
      <w:r w:rsidR="00DB780A" w:rsidRPr="0084634F">
        <w:fldChar w:fldCharType="separate"/>
      </w:r>
      <w:r w:rsidR="003F6AD1">
        <w:rPr>
          <w:noProof/>
          <w:lang w:val="en-US"/>
        </w:rPr>
        <w:t>4</w:t>
      </w:r>
      <w:r w:rsidR="00DB780A" w:rsidRPr="0084634F">
        <w:fldChar w:fldCharType="end"/>
      </w:r>
      <w:r w:rsidRPr="0084634F">
        <w:rPr>
          <w:lang w:val="en-US"/>
        </w:rPr>
        <w:t xml:space="preserve"> </w:t>
      </w:r>
      <w:r w:rsidR="0084634F" w:rsidRPr="0084634F">
        <w:rPr>
          <w:lang w:val="en-US"/>
        </w:rPr>
        <w:t>| The Bitcoin price in US Dollars. Actual and equation 2.10's forecast.</w:t>
      </w:r>
    </w:p>
    <w:p w:rsidR="00D165EE" w:rsidRDefault="004A5D59" w:rsidP="00CE2BA2">
      <w:pPr>
        <w:spacing w:line="360" w:lineRule="auto"/>
        <w:jc w:val="both"/>
        <w:rPr>
          <w:rStyle w:val="eop"/>
          <w:rFonts w:ascii="Calibri" w:hAnsi="Calibri" w:cs="Segoe UI"/>
          <w:lang w:val="en-US"/>
        </w:rPr>
      </w:pPr>
      <w:r>
        <w:rPr>
          <w:rStyle w:val="eop"/>
          <w:rFonts w:ascii="Calibri" w:hAnsi="Calibri" w:cs="Segoe UI"/>
          <w:lang w:val="en-US"/>
        </w:rPr>
        <w:lastRenderedPageBreak/>
        <w:t xml:space="preserve">Again, the exchange rate has been inverted for the purpose of interpretation. The forecast follows the actual series' upward trend. However, while the actual series is heavily fluctuating, the forecast fails to replicate any of this variance. This was already indicated by the high Variance Proportion. </w:t>
      </w:r>
    </w:p>
    <w:p w:rsidR="00D165EE" w:rsidRPr="00F1547A" w:rsidRDefault="00D165EE" w:rsidP="00170695">
      <w:pPr>
        <w:pStyle w:val="Heading3"/>
        <w:rPr>
          <w:rStyle w:val="eop"/>
          <w:lang w:val="en-US"/>
        </w:rPr>
      </w:pPr>
      <w:r w:rsidRPr="00F1547A">
        <w:rPr>
          <w:rStyle w:val="eop"/>
          <w:lang w:val="en-US"/>
        </w:rPr>
        <w:t>Combined</w:t>
      </w:r>
    </w:p>
    <w:p w:rsidR="00D165EE" w:rsidRDefault="00D165EE" w:rsidP="00CE2BA2">
      <w:pPr>
        <w:spacing w:line="360" w:lineRule="auto"/>
        <w:jc w:val="both"/>
        <w:rPr>
          <w:lang w:val="en-US"/>
        </w:rPr>
      </w:pPr>
      <w:r>
        <w:rPr>
          <w:lang w:val="en-US"/>
        </w:rPr>
        <w:t>Conducting a static forecast over the forecast sample using equation 2.13, the following forecast evaluation is obtained:</w:t>
      </w:r>
    </w:p>
    <w:tbl>
      <w:tblPr>
        <w:tblStyle w:val="LightList-Accent11"/>
        <w:tblW w:w="0" w:type="auto"/>
        <w:jc w:val="center"/>
        <w:tblLook w:val="0420"/>
      </w:tblPr>
      <w:tblGrid>
        <w:gridCol w:w="285"/>
        <w:gridCol w:w="2914"/>
        <w:gridCol w:w="1053"/>
      </w:tblGrid>
      <w:tr w:rsidR="00D165EE" w:rsidTr="00B679B3">
        <w:trPr>
          <w:cnfStyle w:val="100000000000"/>
          <w:jc w:val="center"/>
        </w:trPr>
        <w:tc>
          <w:tcPr>
            <w:tcW w:w="0" w:type="auto"/>
            <w:gridSpan w:val="2"/>
          </w:tcPr>
          <w:p w:rsidR="00D165EE" w:rsidRDefault="00D165EE" w:rsidP="00B679B3">
            <w:pPr>
              <w:rPr>
                <w:lang w:val="en-US"/>
              </w:rPr>
            </w:pPr>
            <w:r>
              <w:rPr>
                <w:lang w:val="en-US"/>
              </w:rPr>
              <w:t>Forecast evaluation</w:t>
            </w:r>
          </w:p>
        </w:tc>
        <w:tc>
          <w:tcPr>
            <w:tcW w:w="0" w:type="auto"/>
            <w:tcBorders>
              <w:bottom w:val="single" w:sz="8" w:space="0" w:color="4F81BD" w:themeColor="accent1"/>
            </w:tcBorders>
          </w:tcPr>
          <w:p w:rsidR="00D165EE" w:rsidRDefault="00D165EE" w:rsidP="00B679B3">
            <w:pPr>
              <w:rPr>
                <w:lang w:val="en-US"/>
              </w:rPr>
            </w:pPr>
          </w:p>
        </w:tc>
      </w:tr>
      <w:tr w:rsidR="00D165EE" w:rsidTr="00B679B3">
        <w:trPr>
          <w:cnfStyle w:val="000000100000"/>
          <w:jc w:val="center"/>
        </w:trPr>
        <w:tc>
          <w:tcPr>
            <w:tcW w:w="0" w:type="auto"/>
            <w:gridSpan w:val="2"/>
            <w:tcBorders>
              <w:right w:val="single" w:sz="4" w:space="0" w:color="4F81BD" w:themeColor="accent1"/>
            </w:tcBorders>
          </w:tcPr>
          <w:p w:rsidR="00D165EE" w:rsidRPr="000D69A8" w:rsidRDefault="00D165EE" w:rsidP="00B679B3">
            <w:pPr>
              <w:rPr>
                <w:b/>
                <w:lang w:val="en-US"/>
              </w:rPr>
            </w:pPr>
            <w:r w:rsidRPr="000D69A8">
              <w:rPr>
                <w:b/>
                <w:lang w:val="en-US"/>
              </w:rPr>
              <w:t>Root Mean Squared Error</w:t>
            </w:r>
          </w:p>
        </w:tc>
        <w:tc>
          <w:tcPr>
            <w:tcW w:w="0" w:type="auto"/>
            <w:tcBorders>
              <w:left w:val="single" w:sz="4" w:space="0" w:color="4F81BD" w:themeColor="accent1"/>
            </w:tcBorders>
          </w:tcPr>
          <w:p w:rsidR="00D165EE" w:rsidRDefault="00D165EE" w:rsidP="00910054">
            <w:pPr>
              <w:rPr>
                <w:lang w:val="en-US"/>
              </w:rPr>
            </w:pPr>
            <w:r>
              <w:rPr>
                <w:lang w:val="en-US"/>
              </w:rPr>
              <w:t>0.</w:t>
            </w:r>
            <w:r w:rsidR="00910054">
              <w:rPr>
                <w:lang w:val="en-US"/>
              </w:rPr>
              <w:t>148146</w:t>
            </w:r>
          </w:p>
        </w:tc>
      </w:tr>
      <w:tr w:rsidR="00D165EE" w:rsidTr="00B679B3">
        <w:trPr>
          <w:jc w:val="center"/>
        </w:trPr>
        <w:tc>
          <w:tcPr>
            <w:tcW w:w="0" w:type="auto"/>
            <w:gridSpan w:val="2"/>
            <w:tcBorders>
              <w:right w:val="single" w:sz="4" w:space="0" w:color="4F81BD" w:themeColor="accent1"/>
            </w:tcBorders>
          </w:tcPr>
          <w:p w:rsidR="00D165EE" w:rsidRPr="000D69A8" w:rsidRDefault="00D165EE" w:rsidP="00B679B3">
            <w:pPr>
              <w:rPr>
                <w:b/>
                <w:lang w:val="en-US"/>
              </w:rPr>
            </w:pPr>
            <w:r w:rsidRPr="000D69A8">
              <w:rPr>
                <w:b/>
                <w:lang w:val="en-US"/>
              </w:rPr>
              <w:t>Mean Absolute Error</w:t>
            </w:r>
          </w:p>
        </w:tc>
        <w:tc>
          <w:tcPr>
            <w:tcW w:w="0" w:type="auto"/>
            <w:tcBorders>
              <w:top w:val="single" w:sz="8" w:space="0" w:color="4F81BD" w:themeColor="accent1"/>
              <w:left w:val="single" w:sz="4" w:space="0" w:color="4F81BD" w:themeColor="accent1"/>
              <w:bottom w:val="single" w:sz="8" w:space="0" w:color="4F81BD" w:themeColor="accent1"/>
            </w:tcBorders>
          </w:tcPr>
          <w:p w:rsidR="00D165EE" w:rsidRDefault="00D165EE" w:rsidP="00910054">
            <w:pPr>
              <w:rPr>
                <w:lang w:val="en-US"/>
              </w:rPr>
            </w:pPr>
            <w:r>
              <w:rPr>
                <w:lang w:val="en-US"/>
              </w:rPr>
              <w:t>0.1</w:t>
            </w:r>
            <w:r w:rsidR="00910054">
              <w:rPr>
                <w:lang w:val="en-US"/>
              </w:rPr>
              <w:t>07256</w:t>
            </w:r>
          </w:p>
        </w:tc>
      </w:tr>
      <w:tr w:rsidR="00D165EE" w:rsidTr="00B679B3">
        <w:trPr>
          <w:cnfStyle w:val="000000100000"/>
          <w:jc w:val="center"/>
        </w:trPr>
        <w:tc>
          <w:tcPr>
            <w:tcW w:w="0" w:type="auto"/>
            <w:gridSpan w:val="2"/>
            <w:tcBorders>
              <w:right w:val="single" w:sz="4" w:space="0" w:color="4F81BD" w:themeColor="accent1"/>
            </w:tcBorders>
          </w:tcPr>
          <w:p w:rsidR="00D165EE" w:rsidRPr="000D69A8" w:rsidRDefault="00D165EE" w:rsidP="00B679B3">
            <w:pPr>
              <w:rPr>
                <w:b/>
                <w:lang w:val="en-US"/>
              </w:rPr>
            </w:pPr>
            <w:r w:rsidRPr="000D69A8">
              <w:rPr>
                <w:b/>
                <w:lang w:val="en-US"/>
              </w:rPr>
              <w:t>Mean Absolute Percentage Error</w:t>
            </w:r>
          </w:p>
        </w:tc>
        <w:tc>
          <w:tcPr>
            <w:tcW w:w="0" w:type="auto"/>
            <w:tcBorders>
              <w:left w:val="single" w:sz="4" w:space="0" w:color="4F81BD" w:themeColor="accent1"/>
            </w:tcBorders>
          </w:tcPr>
          <w:p w:rsidR="00D165EE" w:rsidRDefault="00910054" w:rsidP="00B679B3">
            <w:pPr>
              <w:rPr>
                <w:lang w:val="en-US"/>
              </w:rPr>
            </w:pPr>
            <w:r>
              <w:rPr>
                <w:lang w:val="en-US"/>
              </w:rPr>
              <w:t>476.4820</w:t>
            </w:r>
          </w:p>
        </w:tc>
      </w:tr>
      <w:tr w:rsidR="00D165EE" w:rsidTr="00B679B3">
        <w:trPr>
          <w:jc w:val="center"/>
        </w:trPr>
        <w:tc>
          <w:tcPr>
            <w:tcW w:w="0" w:type="auto"/>
            <w:gridSpan w:val="2"/>
            <w:tcBorders>
              <w:right w:val="single" w:sz="4" w:space="0" w:color="4F81BD" w:themeColor="accent1"/>
            </w:tcBorders>
          </w:tcPr>
          <w:p w:rsidR="00D165EE" w:rsidRPr="000D69A8" w:rsidRDefault="00D165EE" w:rsidP="00B679B3">
            <w:pPr>
              <w:rPr>
                <w:b/>
                <w:lang w:val="en-US"/>
              </w:rPr>
            </w:pPr>
            <w:r w:rsidRPr="000D69A8">
              <w:rPr>
                <w:b/>
                <w:lang w:val="en-US"/>
              </w:rPr>
              <w:t>Theil Inequality Coefficient</w:t>
            </w:r>
          </w:p>
        </w:tc>
        <w:tc>
          <w:tcPr>
            <w:tcW w:w="0" w:type="auto"/>
            <w:tcBorders>
              <w:top w:val="single" w:sz="8" w:space="0" w:color="4F81BD" w:themeColor="accent1"/>
              <w:left w:val="single" w:sz="4" w:space="0" w:color="4F81BD" w:themeColor="accent1"/>
              <w:bottom w:val="single" w:sz="8" w:space="0" w:color="4F81BD" w:themeColor="accent1"/>
            </w:tcBorders>
          </w:tcPr>
          <w:p w:rsidR="00D165EE" w:rsidRDefault="00D165EE" w:rsidP="00910054">
            <w:pPr>
              <w:rPr>
                <w:lang w:val="en-US"/>
              </w:rPr>
            </w:pPr>
            <w:r>
              <w:rPr>
                <w:lang w:val="en-US"/>
              </w:rPr>
              <w:t>0.</w:t>
            </w:r>
            <w:r w:rsidR="00910054">
              <w:rPr>
                <w:lang w:val="en-US"/>
              </w:rPr>
              <w:t>564257</w:t>
            </w:r>
          </w:p>
        </w:tc>
      </w:tr>
      <w:tr w:rsidR="00D165EE" w:rsidTr="00B679B3">
        <w:trPr>
          <w:cnfStyle w:val="000000100000"/>
          <w:jc w:val="center"/>
        </w:trPr>
        <w:tc>
          <w:tcPr>
            <w:tcW w:w="0" w:type="auto"/>
          </w:tcPr>
          <w:p w:rsidR="00D165EE" w:rsidRDefault="00D165EE" w:rsidP="00B679B3">
            <w:pPr>
              <w:rPr>
                <w:lang w:val="en-US"/>
              </w:rPr>
            </w:pPr>
          </w:p>
        </w:tc>
        <w:tc>
          <w:tcPr>
            <w:tcW w:w="0" w:type="auto"/>
            <w:tcBorders>
              <w:right w:val="single" w:sz="4" w:space="0" w:color="4F81BD" w:themeColor="accent1"/>
            </w:tcBorders>
          </w:tcPr>
          <w:p w:rsidR="00D165EE" w:rsidRPr="000D69A8" w:rsidRDefault="00D165EE" w:rsidP="00B679B3">
            <w:pPr>
              <w:rPr>
                <w:b/>
                <w:lang w:val="en-US"/>
              </w:rPr>
            </w:pPr>
            <w:r w:rsidRPr="000D69A8">
              <w:rPr>
                <w:b/>
                <w:lang w:val="en-US"/>
              </w:rPr>
              <w:t>Bias Proportion</w:t>
            </w:r>
          </w:p>
        </w:tc>
        <w:tc>
          <w:tcPr>
            <w:tcW w:w="0" w:type="auto"/>
            <w:tcBorders>
              <w:left w:val="single" w:sz="4" w:space="0" w:color="4F81BD" w:themeColor="accent1"/>
            </w:tcBorders>
          </w:tcPr>
          <w:p w:rsidR="00D165EE" w:rsidRDefault="00D165EE" w:rsidP="00910054">
            <w:pPr>
              <w:rPr>
                <w:lang w:val="en-US"/>
              </w:rPr>
            </w:pPr>
            <w:r>
              <w:rPr>
                <w:lang w:val="en-US"/>
              </w:rPr>
              <w:t>0.00</w:t>
            </w:r>
            <w:r w:rsidR="00910054">
              <w:rPr>
                <w:lang w:val="en-US"/>
              </w:rPr>
              <w:t>1294</w:t>
            </w:r>
          </w:p>
        </w:tc>
      </w:tr>
      <w:tr w:rsidR="00D165EE" w:rsidTr="00B679B3">
        <w:trPr>
          <w:jc w:val="center"/>
        </w:trPr>
        <w:tc>
          <w:tcPr>
            <w:tcW w:w="0" w:type="auto"/>
          </w:tcPr>
          <w:p w:rsidR="00D165EE" w:rsidRDefault="00D165EE" w:rsidP="00B679B3">
            <w:pPr>
              <w:rPr>
                <w:lang w:val="en-US"/>
              </w:rPr>
            </w:pPr>
          </w:p>
        </w:tc>
        <w:tc>
          <w:tcPr>
            <w:tcW w:w="0" w:type="auto"/>
            <w:tcBorders>
              <w:right w:val="single" w:sz="4" w:space="0" w:color="4F81BD" w:themeColor="accent1"/>
            </w:tcBorders>
          </w:tcPr>
          <w:p w:rsidR="00D165EE" w:rsidRPr="000D69A8" w:rsidRDefault="00D165EE" w:rsidP="00B679B3">
            <w:pPr>
              <w:rPr>
                <w:b/>
                <w:lang w:val="en-US"/>
              </w:rPr>
            </w:pPr>
            <w:r w:rsidRPr="000D69A8">
              <w:rPr>
                <w:b/>
                <w:lang w:val="en-US"/>
              </w:rPr>
              <w:t>Variance Proportion</w:t>
            </w:r>
          </w:p>
        </w:tc>
        <w:tc>
          <w:tcPr>
            <w:tcW w:w="0" w:type="auto"/>
            <w:tcBorders>
              <w:top w:val="single" w:sz="8" w:space="0" w:color="4F81BD" w:themeColor="accent1"/>
              <w:left w:val="single" w:sz="4" w:space="0" w:color="4F81BD" w:themeColor="accent1"/>
              <w:bottom w:val="single" w:sz="8" w:space="0" w:color="4F81BD" w:themeColor="accent1"/>
            </w:tcBorders>
          </w:tcPr>
          <w:p w:rsidR="00D165EE" w:rsidRDefault="00D165EE" w:rsidP="00910054">
            <w:pPr>
              <w:rPr>
                <w:lang w:val="en-US"/>
              </w:rPr>
            </w:pPr>
            <w:r>
              <w:rPr>
                <w:lang w:val="en-US"/>
              </w:rPr>
              <w:t>0.</w:t>
            </w:r>
            <w:r w:rsidR="00910054">
              <w:rPr>
                <w:lang w:val="en-US"/>
              </w:rPr>
              <w:t>333614</w:t>
            </w:r>
          </w:p>
        </w:tc>
      </w:tr>
      <w:tr w:rsidR="00D165EE" w:rsidTr="00B679B3">
        <w:trPr>
          <w:cnfStyle w:val="000000100000"/>
          <w:jc w:val="center"/>
        </w:trPr>
        <w:tc>
          <w:tcPr>
            <w:tcW w:w="0" w:type="auto"/>
          </w:tcPr>
          <w:p w:rsidR="00D165EE" w:rsidRDefault="00D165EE" w:rsidP="00B679B3">
            <w:pPr>
              <w:rPr>
                <w:lang w:val="en-US"/>
              </w:rPr>
            </w:pPr>
          </w:p>
        </w:tc>
        <w:tc>
          <w:tcPr>
            <w:tcW w:w="0" w:type="auto"/>
            <w:tcBorders>
              <w:right w:val="single" w:sz="4" w:space="0" w:color="4F81BD" w:themeColor="accent1"/>
            </w:tcBorders>
          </w:tcPr>
          <w:p w:rsidR="00D165EE" w:rsidRPr="000D69A8" w:rsidRDefault="00D165EE" w:rsidP="00B679B3">
            <w:pPr>
              <w:rPr>
                <w:b/>
                <w:lang w:val="en-US"/>
              </w:rPr>
            </w:pPr>
            <w:r w:rsidRPr="000D69A8">
              <w:rPr>
                <w:b/>
                <w:lang w:val="en-US"/>
              </w:rPr>
              <w:t>Covariance Proportion</w:t>
            </w:r>
          </w:p>
        </w:tc>
        <w:tc>
          <w:tcPr>
            <w:tcW w:w="0" w:type="auto"/>
            <w:tcBorders>
              <w:left w:val="single" w:sz="4" w:space="0" w:color="4F81BD" w:themeColor="accent1"/>
            </w:tcBorders>
          </w:tcPr>
          <w:p w:rsidR="00D165EE" w:rsidRDefault="00D165EE" w:rsidP="004454F3">
            <w:pPr>
              <w:keepNext/>
              <w:rPr>
                <w:lang w:val="en-US"/>
              </w:rPr>
            </w:pPr>
            <w:r>
              <w:rPr>
                <w:lang w:val="en-US"/>
              </w:rPr>
              <w:t>0.</w:t>
            </w:r>
            <w:r w:rsidR="00910054">
              <w:rPr>
                <w:lang w:val="en-US"/>
              </w:rPr>
              <w:t>665093</w:t>
            </w:r>
          </w:p>
        </w:tc>
      </w:tr>
    </w:tbl>
    <w:p w:rsidR="00D165EE" w:rsidRDefault="004454F3" w:rsidP="004454F3">
      <w:pPr>
        <w:pStyle w:val="Caption"/>
        <w:jc w:val="center"/>
        <w:rPr>
          <w:lang w:val="en-US"/>
        </w:rPr>
      </w:pPr>
      <w:r w:rsidRPr="004454F3">
        <w:rPr>
          <w:lang w:val="en-US"/>
        </w:rPr>
        <w:t xml:space="preserve">Table </w:t>
      </w:r>
      <w:r w:rsidR="00DB780A">
        <w:fldChar w:fldCharType="begin"/>
      </w:r>
      <w:r w:rsidRPr="004454F3">
        <w:rPr>
          <w:lang w:val="en-US"/>
        </w:rPr>
        <w:instrText xml:space="preserve"> SEQ Table \* ARABIC </w:instrText>
      </w:r>
      <w:r w:rsidR="00DB780A">
        <w:fldChar w:fldCharType="separate"/>
      </w:r>
      <w:r w:rsidR="003F6AD1">
        <w:rPr>
          <w:noProof/>
          <w:lang w:val="en-US"/>
        </w:rPr>
        <w:t>19</w:t>
      </w:r>
      <w:r w:rsidR="00DB780A">
        <w:fldChar w:fldCharType="end"/>
      </w:r>
      <w:r w:rsidRPr="004454F3">
        <w:rPr>
          <w:lang w:val="en-US"/>
        </w:rPr>
        <w:t xml:space="preserve"> | Forecast evaluation of equation 2.13</w:t>
      </w:r>
    </w:p>
    <w:p w:rsidR="00CE2BA2" w:rsidRDefault="00507A30" w:rsidP="00CE2BA2">
      <w:pPr>
        <w:spacing w:line="360" w:lineRule="auto"/>
        <w:jc w:val="both"/>
        <w:rPr>
          <w:lang w:val="en-US"/>
        </w:rPr>
      </w:pPr>
      <w:r>
        <w:rPr>
          <w:lang w:val="en-US"/>
        </w:rPr>
        <w:t xml:space="preserve">Looking at the Theil Inequality Coefficient, it is slightly above average with 0.56. </w:t>
      </w:r>
      <w:r w:rsidR="00840C99">
        <w:rPr>
          <w:lang w:val="en-US"/>
        </w:rPr>
        <w:t xml:space="preserve">The model does not systematically over or under predict, as indicated by the very low Bias Proportion of the Theil Inequality Coefficient. The Variance Proportion of 0.33 indicates the model does not perform optimal when replicating the original series' variance. The Covariance Proportion is ideally the largest of the three, which is the case for this model. </w:t>
      </w:r>
      <w:r w:rsidR="00415096">
        <w:rPr>
          <w:lang w:val="en-US"/>
        </w:rPr>
        <w:t xml:space="preserve"> </w:t>
      </w:r>
      <w:r w:rsidR="00EC3625">
        <w:rPr>
          <w:lang w:val="en-US"/>
        </w:rPr>
        <w:t>The first difference of the logarithmically transformed Bitcoin/US Dollar exchange rate and its forecast according to equation 2.13 look as follows:</w:t>
      </w:r>
    </w:p>
    <w:p w:rsidR="00951DD0" w:rsidRPr="000B1FE1" w:rsidRDefault="00951DD0" w:rsidP="00CE2BA2">
      <w:pPr>
        <w:spacing w:line="360" w:lineRule="auto"/>
        <w:jc w:val="both"/>
        <w:rPr>
          <w:lang w:val="en-US"/>
        </w:rPr>
      </w:pPr>
      <w:r w:rsidRPr="00951DD0">
        <w:rPr>
          <w:rStyle w:val="eop"/>
          <w:rFonts w:ascii="Calibri" w:hAnsi="Calibri" w:cs="Segoe UI"/>
          <w:noProof/>
          <w:lang w:eastAsia="nl-NL"/>
        </w:rPr>
        <w:drawing>
          <wp:inline distT="0" distB="0" distL="0" distR="0">
            <wp:extent cx="5760720" cy="2788492"/>
            <wp:effectExtent l="0" t="0" r="0"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51DD0" w:rsidRPr="0084634F" w:rsidRDefault="00951DD0" w:rsidP="0084634F">
      <w:pPr>
        <w:pStyle w:val="Caption"/>
        <w:rPr>
          <w:lang w:val="en-US"/>
        </w:rPr>
      </w:pPr>
      <w:r w:rsidRPr="0084634F">
        <w:rPr>
          <w:lang w:val="en-US"/>
        </w:rPr>
        <w:t xml:space="preserve">Graph </w:t>
      </w:r>
      <w:r w:rsidR="00DB780A" w:rsidRPr="0084634F">
        <w:fldChar w:fldCharType="begin"/>
      </w:r>
      <w:r w:rsidRPr="0084634F">
        <w:rPr>
          <w:lang w:val="en-US"/>
        </w:rPr>
        <w:instrText xml:space="preserve"> SEQ Graph \* ARABIC </w:instrText>
      </w:r>
      <w:r w:rsidR="00DB780A" w:rsidRPr="0084634F">
        <w:fldChar w:fldCharType="separate"/>
      </w:r>
      <w:r w:rsidR="003F6AD1">
        <w:rPr>
          <w:noProof/>
          <w:lang w:val="en-US"/>
        </w:rPr>
        <w:t>5</w:t>
      </w:r>
      <w:r w:rsidR="00DB780A" w:rsidRPr="0084634F">
        <w:fldChar w:fldCharType="end"/>
      </w:r>
      <w:r w:rsidRPr="0084634F">
        <w:rPr>
          <w:lang w:val="en-US"/>
        </w:rPr>
        <w:t xml:space="preserve"> </w:t>
      </w:r>
      <w:r w:rsidR="0084634F" w:rsidRPr="0084634F">
        <w:rPr>
          <w:lang w:val="en-US"/>
        </w:rPr>
        <w:t>| First difference of the logarithmically transformed US Dollar price in Bitcoins. Actual and equation 2.13's forecast</w:t>
      </w:r>
      <w:r w:rsidR="0084634F">
        <w:rPr>
          <w:lang w:val="en-US"/>
        </w:rPr>
        <w:t>.</w:t>
      </w:r>
    </w:p>
    <w:p w:rsidR="00421EA1" w:rsidRDefault="00421EA1" w:rsidP="00CE2BA2">
      <w:pPr>
        <w:spacing w:line="360" w:lineRule="auto"/>
        <w:jc w:val="both"/>
        <w:rPr>
          <w:lang w:val="en-US"/>
        </w:rPr>
      </w:pPr>
      <w:r>
        <w:rPr>
          <w:rStyle w:val="eop"/>
          <w:rFonts w:ascii="Calibri" w:hAnsi="Calibri" w:cs="Segoe UI"/>
          <w:lang w:val="en-US"/>
        </w:rPr>
        <w:lastRenderedPageBreak/>
        <w:t xml:space="preserve">The forecast seems to follow the original series quite nicely. However, its peaks are less extreme. </w:t>
      </w:r>
      <w:r>
        <w:rPr>
          <w:lang w:val="en-US"/>
        </w:rPr>
        <w:t>If we undo all data transformation done to arrive at equation 2.13, and plot it, we obtain the following graph:</w:t>
      </w:r>
    </w:p>
    <w:p w:rsidR="00FA0AE5" w:rsidRDefault="00421EA1" w:rsidP="00FA0AE5">
      <w:pPr>
        <w:keepNext/>
      </w:pPr>
      <w:r w:rsidRPr="00421EA1">
        <w:rPr>
          <w:rStyle w:val="eop"/>
          <w:rFonts w:ascii="Calibri" w:hAnsi="Calibri" w:cs="Segoe UI"/>
          <w:noProof/>
          <w:lang w:eastAsia="nl-NL"/>
        </w:rPr>
        <w:drawing>
          <wp:inline distT="0" distB="0" distL="0" distR="0">
            <wp:extent cx="5760720" cy="2788492"/>
            <wp:effectExtent l="0" t="0" r="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4634F" w:rsidRPr="0084634F" w:rsidRDefault="00FA0AE5" w:rsidP="0084634F">
      <w:pPr>
        <w:pStyle w:val="Caption"/>
        <w:spacing w:line="360" w:lineRule="auto"/>
        <w:rPr>
          <w:lang w:val="en-US"/>
        </w:rPr>
      </w:pPr>
      <w:r w:rsidRPr="0084634F">
        <w:rPr>
          <w:lang w:val="en-US"/>
        </w:rPr>
        <w:t xml:space="preserve">Graph </w:t>
      </w:r>
      <w:r w:rsidR="00DB780A" w:rsidRPr="0084634F">
        <w:fldChar w:fldCharType="begin"/>
      </w:r>
      <w:r w:rsidRPr="0084634F">
        <w:rPr>
          <w:lang w:val="en-US"/>
        </w:rPr>
        <w:instrText xml:space="preserve"> SEQ Graph \* ARABIC </w:instrText>
      </w:r>
      <w:r w:rsidR="00DB780A" w:rsidRPr="0084634F">
        <w:fldChar w:fldCharType="separate"/>
      </w:r>
      <w:r w:rsidR="003F6AD1">
        <w:rPr>
          <w:noProof/>
          <w:lang w:val="en-US"/>
        </w:rPr>
        <w:t>6</w:t>
      </w:r>
      <w:r w:rsidR="00DB780A" w:rsidRPr="0084634F">
        <w:fldChar w:fldCharType="end"/>
      </w:r>
      <w:r w:rsidRPr="0084634F">
        <w:rPr>
          <w:lang w:val="en-US"/>
        </w:rPr>
        <w:t xml:space="preserve"> | </w:t>
      </w:r>
      <w:r w:rsidR="0084634F" w:rsidRPr="0084634F">
        <w:rPr>
          <w:lang w:val="en-US"/>
        </w:rPr>
        <w:t>The Bitcoin price in US Dollars. Actual and equation 2.13's forecast.</w:t>
      </w:r>
    </w:p>
    <w:p w:rsidR="00FA0AE5" w:rsidRDefault="00FA0AE5" w:rsidP="00CE2BA2">
      <w:pPr>
        <w:spacing w:line="360" w:lineRule="auto"/>
        <w:jc w:val="both"/>
        <w:rPr>
          <w:rStyle w:val="eop"/>
          <w:rFonts w:ascii="Calibri" w:hAnsi="Calibri" w:cs="Segoe UI"/>
          <w:lang w:val="en-US"/>
        </w:rPr>
      </w:pPr>
      <w:r>
        <w:rPr>
          <w:rStyle w:val="eop"/>
          <w:rFonts w:ascii="Calibri" w:hAnsi="Calibri" w:cs="Segoe UI"/>
          <w:lang w:val="en-US"/>
        </w:rPr>
        <w:t>The exchange rate has been inverted again, for easy interpretation. As can be seen, the forecast does follow the upward trend of the actual series. It also follows some, but definitely not all, fluctuations of the original series.</w:t>
      </w:r>
    </w:p>
    <w:p w:rsidR="00FA0AE5" w:rsidRDefault="00FA0AE5" w:rsidP="0041240A">
      <w:pPr>
        <w:pStyle w:val="Heading1"/>
        <w:spacing w:line="360" w:lineRule="auto"/>
        <w:rPr>
          <w:rStyle w:val="eop"/>
        </w:rPr>
      </w:pPr>
      <w:r w:rsidRPr="00FA0AE5">
        <w:rPr>
          <w:rStyle w:val="eop"/>
        </w:rPr>
        <w:t>Results</w:t>
      </w:r>
    </w:p>
    <w:p w:rsidR="00FA0AE5" w:rsidRDefault="00FA0AE5" w:rsidP="00CE2BA2">
      <w:pPr>
        <w:spacing w:line="360" w:lineRule="auto"/>
        <w:jc w:val="both"/>
        <w:rPr>
          <w:lang w:val="en-US" w:bidi="en-US"/>
        </w:rPr>
      </w:pPr>
      <w:r>
        <w:rPr>
          <w:lang w:val="en-US" w:bidi="en-US"/>
        </w:rPr>
        <w:t>The following forecasting evaluation comparison can be drawn:</w:t>
      </w:r>
    </w:p>
    <w:tbl>
      <w:tblPr>
        <w:tblStyle w:val="LightList-Accent11"/>
        <w:tblW w:w="0" w:type="auto"/>
        <w:jc w:val="center"/>
        <w:tblLook w:val="0420"/>
      </w:tblPr>
      <w:tblGrid>
        <w:gridCol w:w="285"/>
        <w:gridCol w:w="2914"/>
        <w:gridCol w:w="1589"/>
        <w:gridCol w:w="1204"/>
        <w:gridCol w:w="1162"/>
      </w:tblGrid>
      <w:tr w:rsidR="00FA0AE5" w:rsidTr="00FA0AE5">
        <w:trPr>
          <w:cnfStyle w:val="100000000000"/>
          <w:jc w:val="center"/>
        </w:trPr>
        <w:tc>
          <w:tcPr>
            <w:tcW w:w="0" w:type="auto"/>
            <w:gridSpan w:val="2"/>
            <w:tcBorders>
              <w:right w:val="single" w:sz="4" w:space="0" w:color="FFFFFF" w:themeColor="background1"/>
            </w:tcBorders>
          </w:tcPr>
          <w:p w:rsidR="00FA0AE5" w:rsidRDefault="00FA0AE5" w:rsidP="00B679B3">
            <w:pPr>
              <w:rPr>
                <w:lang w:val="en-US"/>
              </w:rPr>
            </w:pPr>
            <w:r>
              <w:rPr>
                <w:lang w:val="en-US"/>
              </w:rPr>
              <w:t>Forecast evaluation</w:t>
            </w:r>
          </w:p>
        </w:tc>
        <w:tc>
          <w:tcPr>
            <w:tcW w:w="0" w:type="auto"/>
            <w:tcBorders>
              <w:top w:val="single" w:sz="8" w:space="0" w:color="4F81BD" w:themeColor="accent1"/>
              <w:left w:val="single" w:sz="4" w:space="0" w:color="FFFFFF" w:themeColor="background1"/>
              <w:bottom w:val="single" w:sz="8" w:space="0" w:color="4F81BD" w:themeColor="accent1"/>
              <w:right w:val="single" w:sz="4" w:space="0" w:color="FFFFFF" w:themeColor="background1"/>
            </w:tcBorders>
          </w:tcPr>
          <w:p w:rsidR="00FA0AE5" w:rsidRDefault="00FA0AE5" w:rsidP="00B679B3">
            <w:pPr>
              <w:rPr>
                <w:lang w:val="en-US"/>
              </w:rPr>
            </w:pPr>
            <w:r>
              <w:rPr>
                <w:lang w:val="en-US"/>
              </w:rPr>
              <w:t>Autoregressive</w:t>
            </w:r>
          </w:p>
        </w:tc>
        <w:tc>
          <w:tcPr>
            <w:tcW w:w="0" w:type="auto"/>
            <w:tcBorders>
              <w:top w:val="single" w:sz="8" w:space="0" w:color="4F81BD" w:themeColor="accent1"/>
              <w:left w:val="single" w:sz="4" w:space="0" w:color="FFFFFF" w:themeColor="background1"/>
              <w:bottom w:val="single" w:sz="8" w:space="0" w:color="4F81BD" w:themeColor="accent1"/>
              <w:right w:val="single" w:sz="4" w:space="0" w:color="FFFFFF" w:themeColor="background1"/>
            </w:tcBorders>
          </w:tcPr>
          <w:p w:rsidR="00FA0AE5" w:rsidRDefault="00FA0AE5" w:rsidP="00B679B3">
            <w:pPr>
              <w:rPr>
                <w:lang w:val="en-US"/>
              </w:rPr>
            </w:pPr>
            <w:r>
              <w:rPr>
                <w:lang w:val="en-US"/>
              </w:rPr>
              <w:t>Dornbusch</w:t>
            </w:r>
          </w:p>
        </w:tc>
        <w:tc>
          <w:tcPr>
            <w:tcW w:w="0" w:type="auto"/>
            <w:tcBorders>
              <w:top w:val="single" w:sz="8" w:space="0" w:color="4F81BD" w:themeColor="accent1"/>
              <w:left w:val="single" w:sz="4" w:space="0" w:color="FFFFFF" w:themeColor="background1"/>
              <w:bottom w:val="single" w:sz="8" w:space="0" w:color="4F81BD" w:themeColor="accent1"/>
            </w:tcBorders>
          </w:tcPr>
          <w:p w:rsidR="00FA0AE5" w:rsidRDefault="00FA0AE5" w:rsidP="00B679B3">
            <w:pPr>
              <w:rPr>
                <w:lang w:val="en-US"/>
              </w:rPr>
            </w:pPr>
            <w:r>
              <w:rPr>
                <w:lang w:val="en-US"/>
              </w:rPr>
              <w:t>Combined</w:t>
            </w:r>
          </w:p>
        </w:tc>
      </w:tr>
      <w:tr w:rsidR="00FA0AE5" w:rsidTr="00FA0AE5">
        <w:trPr>
          <w:cnfStyle w:val="000000100000"/>
          <w:jc w:val="center"/>
        </w:trPr>
        <w:tc>
          <w:tcPr>
            <w:tcW w:w="0" w:type="auto"/>
            <w:gridSpan w:val="2"/>
            <w:tcBorders>
              <w:right w:val="single" w:sz="4" w:space="0" w:color="4F81BD" w:themeColor="accent1"/>
            </w:tcBorders>
          </w:tcPr>
          <w:p w:rsidR="00FA0AE5" w:rsidRPr="000D69A8" w:rsidRDefault="00FA0AE5" w:rsidP="00B679B3">
            <w:pPr>
              <w:rPr>
                <w:b/>
                <w:lang w:val="en-US"/>
              </w:rPr>
            </w:pPr>
            <w:r w:rsidRPr="000D69A8">
              <w:rPr>
                <w:b/>
                <w:lang w:val="en-US"/>
              </w:rPr>
              <w:t>Root Mean Squared Error</w:t>
            </w:r>
          </w:p>
        </w:tc>
        <w:tc>
          <w:tcPr>
            <w:tcW w:w="0" w:type="auto"/>
            <w:tcBorders>
              <w:left w:val="single" w:sz="4" w:space="0" w:color="4F81BD" w:themeColor="accent1"/>
            </w:tcBorders>
            <w:vAlign w:val="center"/>
          </w:tcPr>
          <w:p w:rsidR="00FA0AE5" w:rsidRDefault="00FA0AE5" w:rsidP="00FA0AE5">
            <w:pPr>
              <w:jc w:val="center"/>
              <w:rPr>
                <w:lang w:val="en-US"/>
              </w:rPr>
            </w:pPr>
            <w:r>
              <w:rPr>
                <w:lang w:val="en-US"/>
              </w:rPr>
              <w:t>0.144503*</w:t>
            </w:r>
          </w:p>
        </w:tc>
        <w:tc>
          <w:tcPr>
            <w:tcW w:w="0" w:type="auto"/>
            <w:tcBorders>
              <w:left w:val="single" w:sz="4" w:space="0" w:color="4F81BD" w:themeColor="accent1"/>
            </w:tcBorders>
            <w:vAlign w:val="center"/>
          </w:tcPr>
          <w:p w:rsidR="00FA0AE5" w:rsidRDefault="00FA0AE5" w:rsidP="00FA0AE5">
            <w:pPr>
              <w:jc w:val="center"/>
              <w:rPr>
                <w:lang w:val="en-US"/>
              </w:rPr>
            </w:pPr>
            <w:r>
              <w:rPr>
                <w:lang w:val="en-US"/>
              </w:rPr>
              <w:t>0.159815</w:t>
            </w:r>
          </w:p>
        </w:tc>
        <w:tc>
          <w:tcPr>
            <w:tcW w:w="0" w:type="auto"/>
            <w:tcBorders>
              <w:left w:val="single" w:sz="4" w:space="0" w:color="4F81BD" w:themeColor="accent1"/>
            </w:tcBorders>
            <w:vAlign w:val="center"/>
          </w:tcPr>
          <w:p w:rsidR="00FA0AE5" w:rsidRDefault="00FA0AE5" w:rsidP="00FA0AE5">
            <w:pPr>
              <w:jc w:val="center"/>
              <w:rPr>
                <w:lang w:val="en-US"/>
              </w:rPr>
            </w:pPr>
            <w:r>
              <w:rPr>
                <w:lang w:val="en-US"/>
              </w:rPr>
              <w:t>0.148146</w:t>
            </w:r>
          </w:p>
        </w:tc>
      </w:tr>
      <w:tr w:rsidR="00FA0AE5" w:rsidTr="00FA0AE5">
        <w:trPr>
          <w:jc w:val="center"/>
        </w:trPr>
        <w:tc>
          <w:tcPr>
            <w:tcW w:w="0" w:type="auto"/>
            <w:gridSpan w:val="2"/>
            <w:tcBorders>
              <w:right w:val="single" w:sz="4" w:space="0" w:color="4F81BD" w:themeColor="accent1"/>
            </w:tcBorders>
          </w:tcPr>
          <w:p w:rsidR="00FA0AE5" w:rsidRPr="000D69A8" w:rsidRDefault="00FA0AE5" w:rsidP="00B679B3">
            <w:pPr>
              <w:rPr>
                <w:b/>
                <w:lang w:val="en-US"/>
              </w:rPr>
            </w:pPr>
            <w:r w:rsidRPr="000D69A8">
              <w:rPr>
                <w:b/>
                <w:lang w:val="en-US"/>
              </w:rPr>
              <w:t>Mean Absolute Error</w:t>
            </w:r>
          </w:p>
        </w:tc>
        <w:tc>
          <w:tcPr>
            <w:tcW w:w="0" w:type="auto"/>
            <w:tcBorders>
              <w:top w:val="single" w:sz="8" w:space="0" w:color="4F81BD" w:themeColor="accent1"/>
              <w:left w:val="single" w:sz="4" w:space="0" w:color="4F81BD" w:themeColor="accent1"/>
              <w:bottom w:val="single" w:sz="8" w:space="0" w:color="4F81BD" w:themeColor="accent1"/>
            </w:tcBorders>
            <w:vAlign w:val="center"/>
          </w:tcPr>
          <w:p w:rsidR="00FA0AE5" w:rsidRDefault="00FA0AE5" w:rsidP="00FA0AE5">
            <w:pPr>
              <w:jc w:val="center"/>
              <w:rPr>
                <w:lang w:val="en-US"/>
              </w:rPr>
            </w:pPr>
            <w:r>
              <w:rPr>
                <w:lang w:val="en-US"/>
              </w:rPr>
              <w:t>0.105171*</w:t>
            </w:r>
          </w:p>
        </w:tc>
        <w:tc>
          <w:tcPr>
            <w:tcW w:w="0" w:type="auto"/>
            <w:tcBorders>
              <w:top w:val="single" w:sz="8" w:space="0" w:color="4F81BD" w:themeColor="accent1"/>
              <w:left w:val="single" w:sz="4" w:space="0" w:color="4F81BD" w:themeColor="accent1"/>
              <w:bottom w:val="single" w:sz="8" w:space="0" w:color="4F81BD" w:themeColor="accent1"/>
            </w:tcBorders>
            <w:vAlign w:val="center"/>
          </w:tcPr>
          <w:p w:rsidR="00FA0AE5" w:rsidRDefault="00FA0AE5" w:rsidP="00FA0AE5">
            <w:pPr>
              <w:jc w:val="center"/>
              <w:rPr>
                <w:lang w:val="en-US"/>
              </w:rPr>
            </w:pPr>
            <w:r>
              <w:rPr>
                <w:lang w:val="en-US"/>
              </w:rPr>
              <w:t>0.119581</w:t>
            </w:r>
          </w:p>
        </w:tc>
        <w:tc>
          <w:tcPr>
            <w:tcW w:w="0" w:type="auto"/>
            <w:tcBorders>
              <w:top w:val="single" w:sz="8" w:space="0" w:color="4F81BD" w:themeColor="accent1"/>
              <w:left w:val="single" w:sz="4" w:space="0" w:color="4F81BD" w:themeColor="accent1"/>
              <w:bottom w:val="single" w:sz="8" w:space="0" w:color="4F81BD" w:themeColor="accent1"/>
            </w:tcBorders>
            <w:vAlign w:val="center"/>
          </w:tcPr>
          <w:p w:rsidR="00FA0AE5" w:rsidRDefault="00FA0AE5" w:rsidP="00FA0AE5">
            <w:pPr>
              <w:jc w:val="center"/>
              <w:rPr>
                <w:lang w:val="en-US"/>
              </w:rPr>
            </w:pPr>
            <w:r>
              <w:rPr>
                <w:lang w:val="en-US"/>
              </w:rPr>
              <w:t>0.107256</w:t>
            </w:r>
          </w:p>
        </w:tc>
      </w:tr>
      <w:tr w:rsidR="00FA0AE5" w:rsidTr="00FA0AE5">
        <w:trPr>
          <w:cnfStyle w:val="000000100000"/>
          <w:jc w:val="center"/>
        </w:trPr>
        <w:tc>
          <w:tcPr>
            <w:tcW w:w="0" w:type="auto"/>
            <w:gridSpan w:val="2"/>
            <w:tcBorders>
              <w:right w:val="single" w:sz="4" w:space="0" w:color="4F81BD" w:themeColor="accent1"/>
            </w:tcBorders>
          </w:tcPr>
          <w:p w:rsidR="00FA0AE5" w:rsidRPr="000D69A8" w:rsidRDefault="00FA0AE5" w:rsidP="00B679B3">
            <w:pPr>
              <w:rPr>
                <w:b/>
                <w:lang w:val="en-US"/>
              </w:rPr>
            </w:pPr>
            <w:r w:rsidRPr="000D69A8">
              <w:rPr>
                <w:b/>
                <w:lang w:val="en-US"/>
              </w:rPr>
              <w:t>Mean Absolute Percentage Error</w:t>
            </w:r>
          </w:p>
        </w:tc>
        <w:tc>
          <w:tcPr>
            <w:tcW w:w="0" w:type="auto"/>
            <w:tcBorders>
              <w:left w:val="single" w:sz="4" w:space="0" w:color="4F81BD" w:themeColor="accent1"/>
            </w:tcBorders>
            <w:vAlign w:val="center"/>
          </w:tcPr>
          <w:p w:rsidR="00FA0AE5" w:rsidRDefault="00FA0AE5" w:rsidP="00FA0AE5">
            <w:pPr>
              <w:jc w:val="center"/>
              <w:rPr>
                <w:lang w:val="en-US"/>
              </w:rPr>
            </w:pPr>
            <w:r>
              <w:rPr>
                <w:lang w:val="en-US"/>
              </w:rPr>
              <w:t>478.0261</w:t>
            </w:r>
          </w:p>
        </w:tc>
        <w:tc>
          <w:tcPr>
            <w:tcW w:w="0" w:type="auto"/>
            <w:tcBorders>
              <w:left w:val="single" w:sz="4" w:space="0" w:color="4F81BD" w:themeColor="accent1"/>
            </w:tcBorders>
            <w:vAlign w:val="center"/>
          </w:tcPr>
          <w:p w:rsidR="00FA0AE5" w:rsidRDefault="00FA0AE5" w:rsidP="00FA0AE5">
            <w:pPr>
              <w:jc w:val="center"/>
              <w:rPr>
                <w:lang w:val="en-US"/>
              </w:rPr>
            </w:pPr>
            <w:r>
              <w:rPr>
                <w:lang w:val="en-US"/>
              </w:rPr>
              <w:t>606.4176</w:t>
            </w:r>
          </w:p>
        </w:tc>
        <w:tc>
          <w:tcPr>
            <w:tcW w:w="0" w:type="auto"/>
            <w:tcBorders>
              <w:left w:val="single" w:sz="4" w:space="0" w:color="4F81BD" w:themeColor="accent1"/>
            </w:tcBorders>
            <w:vAlign w:val="center"/>
          </w:tcPr>
          <w:p w:rsidR="00FA0AE5" w:rsidRDefault="00FA0AE5" w:rsidP="00FA0AE5">
            <w:pPr>
              <w:jc w:val="center"/>
              <w:rPr>
                <w:lang w:val="en-US"/>
              </w:rPr>
            </w:pPr>
            <w:r>
              <w:rPr>
                <w:lang w:val="en-US"/>
              </w:rPr>
              <w:t>476.4820*</w:t>
            </w:r>
          </w:p>
        </w:tc>
      </w:tr>
      <w:tr w:rsidR="00FA0AE5" w:rsidTr="00FA0AE5">
        <w:trPr>
          <w:jc w:val="center"/>
        </w:trPr>
        <w:tc>
          <w:tcPr>
            <w:tcW w:w="0" w:type="auto"/>
            <w:gridSpan w:val="2"/>
            <w:tcBorders>
              <w:right w:val="single" w:sz="4" w:space="0" w:color="4F81BD" w:themeColor="accent1"/>
            </w:tcBorders>
          </w:tcPr>
          <w:p w:rsidR="00FA0AE5" w:rsidRPr="000D69A8" w:rsidRDefault="00FA0AE5" w:rsidP="00B679B3">
            <w:pPr>
              <w:rPr>
                <w:b/>
                <w:lang w:val="en-US"/>
              </w:rPr>
            </w:pPr>
            <w:r w:rsidRPr="000D69A8">
              <w:rPr>
                <w:b/>
                <w:lang w:val="en-US"/>
              </w:rPr>
              <w:t>Theil Inequality Coefficient</w:t>
            </w:r>
          </w:p>
        </w:tc>
        <w:tc>
          <w:tcPr>
            <w:tcW w:w="0" w:type="auto"/>
            <w:tcBorders>
              <w:top w:val="single" w:sz="8" w:space="0" w:color="4F81BD" w:themeColor="accent1"/>
              <w:left w:val="single" w:sz="4" w:space="0" w:color="4F81BD" w:themeColor="accent1"/>
              <w:bottom w:val="single" w:sz="8" w:space="0" w:color="4F81BD" w:themeColor="accent1"/>
            </w:tcBorders>
            <w:vAlign w:val="center"/>
          </w:tcPr>
          <w:p w:rsidR="00FA0AE5" w:rsidRDefault="00FA0AE5" w:rsidP="00FA0AE5">
            <w:pPr>
              <w:jc w:val="center"/>
              <w:rPr>
                <w:lang w:val="en-US"/>
              </w:rPr>
            </w:pPr>
            <w:r>
              <w:rPr>
                <w:lang w:val="en-US"/>
              </w:rPr>
              <w:t>0.579996</w:t>
            </w:r>
          </w:p>
        </w:tc>
        <w:tc>
          <w:tcPr>
            <w:tcW w:w="0" w:type="auto"/>
            <w:tcBorders>
              <w:top w:val="single" w:sz="8" w:space="0" w:color="4F81BD" w:themeColor="accent1"/>
              <w:left w:val="single" w:sz="4" w:space="0" w:color="4F81BD" w:themeColor="accent1"/>
              <w:bottom w:val="single" w:sz="8" w:space="0" w:color="4F81BD" w:themeColor="accent1"/>
            </w:tcBorders>
            <w:vAlign w:val="center"/>
          </w:tcPr>
          <w:p w:rsidR="00FA0AE5" w:rsidRDefault="00FA0AE5" w:rsidP="00FA0AE5">
            <w:pPr>
              <w:jc w:val="center"/>
              <w:rPr>
                <w:lang w:val="en-US"/>
              </w:rPr>
            </w:pPr>
            <w:r>
              <w:rPr>
                <w:lang w:val="en-US"/>
              </w:rPr>
              <w:t>0.719933</w:t>
            </w:r>
          </w:p>
        </w:tc>
        <w:tc>
          <w:tcPr>
            <w:tcW w:w="0" w:type="auto"/>
            <w:tcBorders>
              <w:top w:val="single" w:sz="8" w:space="0" w:color="4F81BD" w:themeColor="accent1"/>
              <w:left w:val="single" w:sz="4" w:space="0" w:color="4F81BD" w:themeColor="accent1"/>
              <w:bottom w:val="single" w:sz="8" w:space="0" w:color="4F81BD" w:themeColor="accent1"/>
            </w:tcBorders>
            <w:vAlign w:val="center"/>
          </w:tcPr>
          <w:p w:rsidR="00FA0AE5" w:rsidRDefault="00FA0AE5" w:rsidP="00FA0AE5">
            <w:pPr>
              <w:jc w:val="center"/>
              <w:rPr>
                <w:lang w:val="en-US"/>
              </w:rPr>
            </w:pPr>
            <w:r>
              <w:rPr>
                <w:lang w:val="en-US"/>
              </w:rPr>
              <w:t>0.564257*</w:t>
            </w:r>
          </w:p>
        </w:tc>
      </w:tr>
      <w:tr w:rsidR="00FA0AE5" w:rsidTr="00FA0AE5">
        <w:trPr>
          <w:cnfStyle w:val="000000100000"/>
          <w:jc w:val="center"/>
        </w:trPr>
        <w:tc>
          <w:tcPr>
            <w:tcW w:w="0" w:type="auto"/>
          </w:tcPr>
          <w:p w:rsidR="00FA0AE5" w:rsidRDefault="00FA0AE5" w:rsidP="00B679B3">
            <w:pPr>
              <w:rPr>
                <w:lang w:val="en-US"/>
              </w:rPr>
            </w:pPr>
          </w:p>
        </w:tc>
        <w:tc>
          <w:tcPr>
            <w:tcW w:w="0" w:type="auto"/>
            <w:tcBorders>
              <w:right w:val="single" w:sz="4" w:space="0" w:color="4F81BD" w:themeColor="accent1"/>
            </w:tcBorders>
          </w:tcPr>
          <w:p w:rsidR="00FA0AE5" w:rsidRPr="000D69A8" w:rsidRDefault="00FA0AE5" w:rsidP="00B679B3">
            <w:pPr>
              <w:rPr>
                <w:b/>
                <w:lang w:val="en-US"/>
              </w:rPr>
            </w:pPr>
            <w:r w:rsidRPr="000D69A8">
              <w:rPr>
                <w:b/>
                <w:lang w:val="en-US"/>
              </w:rPr>
              <w:t>Bias Proportion</w:t>
            </w:r>
          </w:p>
        </w:tc>
        <w:tc>
          <w:tcPr>
            <w:tcW w:w="0" w:type="auto"/>
            <w:tcBorders>
              <w:left w:val="single" w:sz="4" w:space="0" w:color="4F81BD" w:themeColor="accent1"/>
            </w:tcBorders>
            <w:vAlign w:val="center"/>
          </w:tcPr>
          <w:p w:rsidR="00FA0AE5" w:rsidRDefault="00FA0AE5" w:rsidP="00FA0AE5">
            <w:pPr>
              <w:jc w:val="center"/>
              <w:rPr>
                <w:lang w:val="en-US"/>
              </w:rPr>
            </w:pPr>
            <w:r>
              <w:rPr>
                <w:lang w:val="en-US"/>
              </w:rPr>
              <w:t>0.001662</w:t>
            </w:r>
          </w:p>
        </w:tc>
        <w:tc>
          <w:tcPr>
            <w:tcW w:w="0" w:type="auto"/>
            <w:tcBorders>
              <w:left w:val="single" w:sz="4" w:space="0" w:color="4F81BD" w:themeColor="accent1"/>
            </w:tcBorders>
            <w:vAlign w:val="center"/>
          </w:tcPr>
          <w:p w:rsidR="00FA0AE5" w:rsidRDefault="00FA0AE5" w:rsidP="00FA0AE5">
            <w:pPr>
              <w:jc w:val="center"/>
              <w:rPr>
                <w:lang w:val="en-US"/>
              </w:rPr>
            </w:pPr>
            <w:r>
              <w:rPr>
                <w:lang w:val="en-US"/>
              </w:rPr>
              <w:t>0.004462</w:t>
            </w:r>
          </w:p>
        </w:tc>
        <w:tc>
          <w:tcPr>
            <w:tcW w:w="0" w:type="auto"/>
            <w:tcBorders>
              <w:left w:val="single" w:sz="4" w:space="0" w:color="4F81BD" w:themeColor="accent1"/>
            </w:tcBorders>
            <w:vAlign w:val="center"/>
          </w:tcPr>
          <w:p w:rsidR="00FA0AE5" w:rsidRDefault="00FA0AE5" w:rsidP="00FA0AE5">
            <w:pPr>
              <w:jc w:val="center"/>
              <w:rPr>
                <w:lang w:val="en-US"/>
              </w:rPr>
            </w:pPr>
            <w:r>
              <w:rPr>
                <w:lang w:val="en-US"/>
              </w:rPr>
              <w:t>0.001294*</w:t>
            </w:r>
          </w:p>
        </w:tc>
      </w:tr>
      <w:tr w:rsidR="00FA0AE5" w:rsidTr="00FA0AE5">
        <w:trPr>
          <w:jc w:val="center"/>
        </w:trPr>
        <w:tc>
          <w:tcPr>
            <w:tcW w:w="0" w:type="auto"/>
          </w:tcPr>
          <w:p w:rsidR="00FA0AE5" w:rsidRDefault="00FA0AE5" w:rsidP="00B679B3">
            <w:pPr>
              <w:rPr>
                <w:lang w:val="en-US"/>
              </w:rPr>
            </w:pPr>
          </w:p>
        </w:tc>
        <w:tc>
          <w:tcPr>
            <w:tcW w:w="0" w:type="auto"/>
            <w:tcBorders>
              <w:right w:val="single" w:sz="4" w:space="0" w:color="4F81BD" w:themeColor="accent1"/>
            </w:tcBorders>
          </w:tcPr>
          <w:p w:rsidR="00FA0AE5" w:rsidRPr="000D69A8" w:rsidRDefault="00FA0AE5" w:rsidP="00B679B3">
            <w:pPr>
              <w:rPr>
                <w:b/>
                <w:lang w:val="en-US"/>
              </w:rPr>
            </w:pPr>
            <w:r w:rsidRPr="000D69A8">
              <w:rPr>
                <w:b/>
                <w:lang w:val="en-US"/>
              </w:rPr>
              <w:t>Variance Proportion</w:t>
            </w:r>
          </w:p>
        </w:tc>
        <w:tc>
          <w:tcPr>
            <w:tcW w:w="0" w:type="auto"/>
            <w:tcBorders>
              <w:top w:val="single" w:sz="8" w:space="0" w:color="4F81BD" w:themeColor="accent1"/>
              <w:left w:val="single" w:sz="4" w:space="0" w:color="4F81BD" w:themeColor="accent1"/>
              <w:bottom w:val="single" w:sz="8" w:space="0" w:color="4F81BD" w:themeColor="accent1"/>
            </w:tcBorders>
            <w:vAlign w:val="center"/>
          </w:tcPr>
          <w:p w:rsidR="00FA0AE5" w:rsidRDefault="00FA0AE5" w:rsidP="00FA0AE5">
            <w:pPr>
              <w:jc w:val="center"/>
              <w:rPr>
                <w:lang w:val="en-US"/>
              </w:rPr>
            </w:pPr>
            <w:r>
              <w:rPr>
                <w:lang w:val="en-US"/>
              </w:rPr>
              <w:t>0.370216</w:t>
            </w:r>
          </w:p>
        </w:tc>
        <w:tc>
          <w:tcPr>
            <w:tcW w:w="0" w:type="auto"/>
            <w:tcBorders>
              <w:top w:val="single" w:sz="8" w:space="0" w:color="4F81BD" w:themeColor="accent1"/>
              <w:left w:val="single" w:sz="4" w:space="0" w:color="4F81BD" w:themeColor="accent1"/>
              <w:bottom w:val="single" w:sz="8" w:space="0" w:color="4F81BD" w:themeColor="accent1"/>
            </w:tcBorders>
            <w:vAlign w:val="center"/>
          </w:tcPr>
          <w:p w:rsidR="00FA0AE5" w:rsidRDefault="00FA0AE5" w:rsidP="00FA0AE5">
            <w:pPr>
              <w:jc w:val="center"/>
              <w:rPr>
                <w:lang w:val="en-US"/>
              </w:rPr>
            </w:pPr>
            <w:r>
              <w:rPr>
                <w:lang w:val="en-US"/>
              </w:rPr>
              <w:t>0.707623</w:t>
            </w:r>
          </w:p>
        </w:tc>
        <w:tc>
          <w:tcPr>
            <w:tcW w:w="0" w:type="auto"/>
            <w:tcBorders>
              <w:top w:val="single" w:sz="8" w:space="0" w:color="4F81BD" w:themeColor="accent1"/>
              <w:left w:val="single" w:sz="4" w:space="0" w:color="4F81BD" w:themeColor="accent1"/>
              <w:bottom w:val="single" w:sz="8" w:space="0" w:color="4F81BD" w:themeColor="accent1"/>
            </w:tcBorders>
            <w:vAlign w:val="center"/>
          </w:tcPr>
          <w:p w:rsidR="00FA0AE5" w:rsidRDefault="00FA0AE5" w:rsidP="00FA0AE5">
            <w:pPr>
              <w:jc w:val="center"/>
              <w:rPr>
                <w:lang w:val="en-US"/>
              </w:rPr>
            </w:pPr>
            <w:r>
              <w:rPr>
                <w:lang w:val="en-US"/>
              </w:rPr>
              <w:t>0.333614*</w:t>
            </w:r>
          </w:p>
        </w:tc>
      </w:tr>
      <w:tr w:rsidR="00FA0AE5" w:rsidTr="004454F3">
        <w:trPr>
          <w:cnfStyle w:val="000000100000"/>
          <w:jc w:val="center"/>
        </w:trPr>
        <w:tc>
          <w:tcPr>
            <w:tcW w:w="0" w:type="auto"/>
          </w:tcPr>
          <w:p w:rsidR="00FA0AE5" w:rsidRDefault="00FA0AE5" w:rsidP="00B679B3">
            <w:pPr>
              <w:rPr>
                <w:lang w:val="en-US"/>
              </w:rPr>
            </w:pPr>
          </w:p>
        </w:tc>
        <w:tc>
          <w:tcPr>
            <w:tcW w:w="0" w:type="auto"/>
            <w:tcBorders>
              <w:bottom w:val="single" w:sz="4" w:space="0" w:color="4F81BD" w:themeColor="accent1"/>
              <w:right w:val="single" w:sz="4" w:space="0" w:color="4F81BD" w:themeColor="accent1"/>
            </w:tcBorders>
          </w:tcPr>
          <w:p w:rsidR="00FA0AE5" w:rsidRPr="000D69A8" w:rsidRDefault="00FA0AE5" w:rsidP="00B679B3">
            <w:pPr>
              <w:rPr>
                <w:b/>
                <w:lang w:val="en-US"/>
              </w:rPr>
            </w:pPr>
            <w:r w:rsidRPr="000D69A8">
              <w:rPr>
                <w:b/>
                <w:lang w:val="en-US"/>
              </w:rPr>
              <w:t>Covariance Proportion</w:t>
            </w:r>
          </w:p>
        </w:tc>
        <w:tc>
          <w:tcPr>
            <w:tcW w:w="0" w:type="auto"/>
            <w:tcBorders>
              <w:left w:val="single" w:sz="4" w:space="0" w:color="4F81BD" w:themeColor="accent1"/>
              <w:bottom w:val="single" w:sz="4" w:space="0" w:color="4F81BD" w:themeColor="accent1"/>
            </w:tcBorders>
            <w:vAlign w:val="center"/>
          </w:tcPr>
          <w:p w:rsidR="00FA0AE5" w:rsidRDefault="00FA0AE5" w:rsidP="00FA0AE5">
            <w:pPr>
              <w:jc w:val="center"/>
              <w:rPr>
                <w:lang w:val="en-US"/>
              </w:rPr>
            </w:pPr>
            <w:r>
              <w:rPr>
                <w:lang w:val="en-US"/>
              </w:rPr>
              <w:t>0.628122</w:t>
            </w:r>
          </w:p>
        </w:tc>
        <w:tc>
          <w:tcPr>
            <w:tcW w:w="0" w:type="auto"/>
            <w:tcBorders>
              <w:left w:val="single" w:sz="4" w:space="0" w:color="4F81BD" w:themeColor="accent1"/>
              <w:bottom w:val="single" w:sz="4" w:space="0" w:color="4F81BD" w:themeColor="accent1"/>
            </w:tcBorders>
            <w:vAlign w:val="center"/>
          </w:tcPr>
          <w:p w:rsidR="00FA0AE5" w:rsidRDefault="00FA0AE5" w:rsidP="00FA0AE5">
            <w:pPr>
              <w:jc w:val="center"/>
              <w:rPr>
                <w:lang w:val="en-US"/>
              </w:rPr>
            </w:pPr>
            <w:r>
              <w:rPr>
                <w:lang w:val="en-US"/>
              </w:rPr>
              <w:t>0.287915</w:t>
            </w:r>
          </w:p>
        </w:tc>
        <w:tc>
          <w:tcPr>
            <w:tcW w:w="0" w:type="auto"/>
            <w:tcBorders>
              <w:left w:val="single" w:sz="4" w:space="0" w:color="4F81BD" w:themeColor="accent1"/>
              <w:bottom w:val="single" w:sz="4" w:space="0" w:color="4F81BD" w:themeColor="accent1"/>
            </w:tcBorders>
            <w:vAlign w:val="center"/>
          </w:tcPr>
          <w:p w:rsidR="00FA0AE5" w:rsidRDefault="00FA0AE5" w:rsidP="004454F3">
            <w:pPr>
              <w:keepNext/>
              <w:jc w:val="center"/>
              <w:rPr>
                <w:lang w:val="en-US"/>
              </w:rPr>
            </w:pPr>
            <w:r>
              <w:rPr>
                <w:lang w:val="en-US"/>
              </w:rPr>
              <w:t>0.665093*</w:t>
            </w:r>
          </w:p>
        </w:tc>
      </w:tr>
      <w:tr w:rsidR="004454F3" w:rsidTr="004454F3">
        <w:trPr>
          <w:jc w:val="center"/>
        </w:trPr>
        <w:tc>
          <w:tcPr>
            <w:tcW w:w="0" w:type="auto"/>
            <w:tcBorders>
              <w:top w:val="single" w:sz="8" w:space="0" w:color="4F81BD" w:themeColor="accent1"/>
              <w:left w:val="nil"/>
              <w:bottom w:val="nil"/>
            </w:tcBorders>
          </w:tcPr>
          <w:p w:rsidR="004454F3" w:rsidRDefault="004454F3" w:rsidP="00B679B3">
            <w:pPr>
              <w:rPr>
                <w:lang w:val="en-US"/>
              </w:rPr>
            </w:pPr>
          </w:p>
        </w:tc>
        <w:tc>
          <w:tcPr>
            <w:tcW w:w="0" w:type="auto"/>
            <w:gridSpan w:val="4"/>
            <w:tcBorders>
              <w:top w:val="single" w:sz="4" w:space="0" w:color="4F81BD" w:themeColor="accent1"/>
              <w:bottom w:val="nil"/>
              <w:right w:val="nil"/>
            </w:tcBorders>
            <w:vAlign w:val="center"/>
          </w:tcPr>
          <w:p w:rsidR="004454F3" w:rsidRDefault="004454F3" w:rsidP="004454F3">
            <w:pPr>
              <w:keepNext/>
              <w:jc w:val="right"/>
              <w:rPr>
                <w:lang w:val="en-US"/>
              </w:rPr>
            </w:pPr>
            <w:r w:rsidRPr="00FA0AE5">
              <w:rPr>
                <w:sz w:val="20"/>
                <w:szCs w:val="20"/>
                <w:lang w:val="en-US" w:bidi="en-US"/>
              </w:rPr>
              <w:t>* denotes the optimal value</w:t>
            </w:r>
          </w:p>
        </w:tc>
      </w:tr>
    </w:tbl>
    <w:p w:rsidR="004454F3" w:rsidRPr="004454F3" w:rsidRDefault="004454F3" w:rsidP="004454F3">
      <w:pPr>
        <w:pStyle w:val="Caption"/>
        <w:jc w:val="center"/>
        <w:rPr>
          <w:lang w:val="en-US"/>
        </w:rPr>
      </w:pPr>
      <w:r w:rsidRPr="004454F3">
        <w:rPr>
          <w:lang w:val="en-US"/>
        </w:rPr>
        <w:t xml:space="preserve">Table </w:t>
      </w:r>
      <w:r w:rsidR="00DB780A">
        <w:fldChar w:fldCharType="begin"/>
      </w:r>
      <w:r w:rsidRPr="004454F3">
        <w:rPr>
          <w:lang w:val="en-US"/>
        </w:rPr>
        <w:instrText xml:space="preserve"> SEQ Table \* ARABIC </w:instrText>
      </w:r>
      <w:r w:rsidR="00DB780A">
        <w:fldChar w:fldCharType="separate"/>
      </w:r>
      <w:r>
        <w:rPr>
          <w:noProof/>
          <w:lang w:val="en-US"/>
        </w:rPr>
        <w:t>20</w:t>
      </w:r>
      <w:r w:rsidR="00DB780A">
        <w:fldChar w:fldCharType="end"/>
      </w:r>
      <w:r w:rsidRPr="004454F3">
        <w:rPr>
          <w:lang w:val="en-US"/>
        </w:rPr>
        <w:t xml:space="preserve"> | Forecast evaluation comparison of equations 2.2, 2.10 and 2.13</w:t>
      </w:r>
    </w:p>
    <w:p w:rsidR="00E8782E" w:rsidRDefault="00977104" w:rsidP="00CE2BA2">
      <w:pPr>
        <w:spacing w:line="360" w:lineRule="auto"/>
        <w:jc w:val="both"/>
        <w:rPr>
          <w:rStyle w:val="eop"/>
          <w:rFonts w:ascii="Calibri" w:hAnsi="Calibri" w:cs="Segoe UI"/>
          <w:lang w:val="en-US"/>
        </w:rPr>
      </w:pPr>
      <w:r>
        <w:rPr>
          <w:rStyle w:val="eop"/>
          <w:rFonts w:ascii="Calibri" w:hAnsi="Calibri" w:cs="Segoe UI"/>
          <w:lang w:val="en-US"/>
        </w:rPr>
        <w:t xml:space="preserve">Since all three models use the logarithmically transformed first difference of the Bitcoin/US Dollar exchange rate as the dependent variable, the scale is the same. So it is possible to </w:t>
      </w:r>
      <w:r w:rsidR="00AE4ECB">
        <w:rPr>
          <w:rStyle w:val="eop"/>
          <w:rFonts w:ascii="Calibri" w:hAnsi="Calibri" w:cs="Segoe UI"/>
          <w:lang w:val="en-US"/>
        </w:rPr>
        <w:t xml:space="preserve">look at the Root Mean Squared Error. On the basis of that statistic, the autoregressive model performs best out of all three models. The same applies to the Mean Absolute Error. Based on every other statistic, the </w:t>
      </w:r>
      <w:r w:rsidR="00AE4ECB">
        <w:rPr>
          <w:rStyle w:val="eop"/>
          <w:rFonts w:ascii="Calibri" w:hAnsi="Calibri" w:cs="Segoe UI"/>
          <w:lang w:val="en-US"/>
        </w:rPr>
        <w:lastRenderedPageBreak/>
        <w:t>autoregressive model outperforms the Dornbusch model. However, the combined model outperforms the other two</w:t>
      </w:r>
      <w:r w:rsidR="00A80D7B">
        <w:rPr>
          <w:rStyle w:val="eop"/>
          <w:rFonts w:ascii="Calibri" w:hAnsi="Calibri" w:cs="Segoe UI"/>
          <w:lang w:val="en-US"/>
        </w:rPr>
        <w:t xml:space="preserve">. </w:t>
      </w:r>
    </w:p>
    <w:p w:rsidR="003A718C" w:rsidRPr="00E8782E" w:rsidRDefault="003A718C" w:rsidP="00170695">
      <w:pPr>
        <w:pStyle w:val="Heading2"/>
        <w:rPr>
          <w:rStyle w:val="eop"/>
          <w:lang w:val="en-US"/>
        </w:rPr>
      </w:pPr>
      <w:r w:rsidRPr="00E8782E">
        <w:rPr>
          <w:rStyle w:val="eop"/>
          <w:lang w:val="en-US"/>
        </w:rPr>
        <w:t>Conclusion</w:t>
      </w:r>
    </w:p>
    <w:p w:rsidR="00DB746E" w:rsidRDefault="00E8782E" w:rsidP="00CE2BA2">
      <w:pPr>
        <w:spacing w:line="360" w:lineRule="auto"/>
        <w:jc w:val="both"/>
        <w:rPr>
          <w:lang w:val="en-US"/>
        </w:rPr>
      </w:pPr>
      <w:r w:rsidRPr="00E8782E">
        <w:rPr>
          <w:lang w:val="en-US"/>
        </w:rPr>
        <w:t>The research problem of this paper is to try to specify a Dornbusch-inspired structural exchange rate model which is able to outperform a random walk exchange rate model</w:t>
      </w:r>
      <w:r>
        <w:rPr>
          <w:lang w:val="en-US"/>
        </w:rPr>
        <w:t xml:space="preserve"> in forecasting the Bitcoin/US Dollar exchange rate</w:t>
      </w:r>
      <w:r w:rsidR="00DB746E">
        <w:rPr>
          <w:lang w:val="en-US"/>
        </w:rPr>
        <w:t xml:space="preserve"> on the basis of the Root Mean Squared Error and the Theil Inequality Coefficient</w:t>
      </w:r>
      <w:r w:rsidRPr="00E8782E">
        <w:rPr>
          <w:lang w:val="en-US"/>
        </w:rPr>
        <w:t xml:space="preserve">. </w:t>
      </w:r>
      <w:r w:rsidR="00DB746E">
        <w:rPr>
          <w:lang w:val="en-US"/>
        </w:rPr>
        <w:t>The following hypotheses were formulated:</w:t>
      </w:r>
    </w:p>
    <w:p w:rsidR="00DB746E" w:rsidRPr="00E8782E" w:rsidRDefault="00DB746E" w:rsidP="00CE2BA2">
      <w:pPr>
        <w:pStyle w:val="ListParagraph"/>
        <w:numPr>
          <w:ilvl w:val="0"/>
          <w:numId w:val="14"/>
        </w:numPr>
        <w:spacing w:line="360" w:lineRule="auto"/>
        <w:jc w:val="both"/>
        <w:rPr>
          <w:i/>
          <w:lang w:val="en-US"/>
        </w:rPr>
      </w:pPr>
      <w:r w:rsidRPr="00E8782E">
        <w:rPr>
          <w:i/>
          <w:lang w:val="en-US" w:bidi="en-US"/>
        </w:rPr>
        <w:t>H</w:t>
      </w:r>
      <w:r w:rsidRPr="00E8782E">
        <w:rPr>
          <w:i/>
          <w:vertAlign w:val="subscript"/>
          <w:lang w:val="en-US" w:bidi="en-US"/>
        </w:rPr>
        <w:t>0</w:t>
      </w:r>
      <w:r w:rsidRPr="00E8782E">
        <w:rPr>
          <w:i/>
          <w:lang w:val="en-US" w:bidi="en-US"/>
        </w:rPr>
        <w:t xml:space="preserve">: It is not possible to </w:t>
      </w:r>
      <w:r w:rsidR="00346EC8">
        <w:rPr>
          <w:i/>
          <w:lang w:val="en-US" w:bidi="en-US"/>
        </w:rPr>
        <w:t>construct a</w:t>
      </w:r>
      <w:r w:rsidRPr="00E8782E">
        <w:rPr>
          <w:i/>
          <w:lang w:val="en-US" w:bidi="en-US"/>
        </w:rPr>
        <w:t xml:space="preserve"> Dornbusch model which outperforms a random walk model </w:t>
      </w:r>
      <w:r>
        <w:rPr>
          <w:i/>
          <w:lang w:val="en-US"/>
        </w:rPr>
        <w:t xml:space="preserve">in forecasting the Bitcoin/US Dollar exchange rate </w:t>
      </w:r>
      <w:r w:rsidRPr="00E8782E">
        <w:rPr>
          <w:i/>
          <w:lang w:val="en-US"/>
        </w:rPr>
        <w:t>on the basis of the Root Mean Squared Error and the Theil Inequality Coefficient.</w:t>
      </w:r>
    </w:p>
    <w:p w:rsidR="00DB746E" w:rsidRPr="00E8782E" w:rsidRDefault="00DB746E" w:rsidP="00CE2BA2">
      <w:pPr>
        <w:pStyle w:val="ListParagraph"/>
        <w:numPr>
          <w:ilvl w:val="0"/>
          <w:numId w:val="14"/>
        </w:numPr>
        <w:spacing w:line="360" w:lineRule="auto"/>
        <w:jc w:val="both"/>
        <w:rPr>
          <w:lang w:val="en-US" w:bidi="en-US"/>
        </w:rPr>
      </w:pPr>
      <w:r w:rsidRPr="00E8782E">
        <w:rPr>
          <w:i/>
          <w:lang w:val="en-US" w:bidi="en-US"/>
        </w:rPr>
        <w:t>H</w:t>
      </w:r>
      <w:r w:rsidRPr="00E8782E">
        <w:rPr>
          <w:i/>
          <w:vertAlign w:val="subscript"/>
          <w:lang w:val="en-US" w:bidi="en-US"/>
        </w:rPr>
        <w:t>a</w:t>
      </w:r>
      <w:r w:rsidRPr="00E8782E">
        <w:rPr>
          <w:i/>
          <w:lang w:val="en-US" w:bidi="en-US"/>
        </w:rPr>
        <w:t xml:space="preserve">: It is possible </w:t>
      </w:r>
      <w:r w:rsidR="00346EC8">
        <w:rPr>
          <w:i/>
          <w:lang w:val="en-US" w:bidi="en-US"/>
        </w:rPr>
        <w:t>to construct a</w:t>
      </w:r>
      <w:r w:rsidRPr="00E8782E">
        <w:rPr>
          <w:i/>
          <w:lang w:val="en-US" w:bidi="en-US"/>
        </w:rPr>
        <w:t xml:space="preserve"> Dornbusch model which outperforms a random walk model </w:t>
      </w:r>
      <w:r w:rsidRPr="00E8782E">
        <w:rPr>
          <w:i/>
          <w:lang w:val="en-US"/>
        </w:rPr>
        <w:t>in forecasting the Bitcoin/US Dollar exchange rate on the basis of the Root Mean Squared Error and the Theil Inequality Coefficient.</w:t>
      </w:r>
    </w:p>
    <w:p w:rsidR="00E8782E" w:rsidRDefault="00E8782E" w:rsidP="00CE2BA2">
      <w:pPr>
        <w:spacing w:line="360" w:lineRule="auto"/>
        <w:jc w:val="both"/>
        <w:rPr>
          <w:lang w:val="en-US"/>
        </w:rPr>
      </w:pPr>
      <w:r>
        <w:rPr>
          <w:lang w:val="en-US"/>
        </w:rPr>
        <w:t>It is found that t</w:t>
      </w:r>
      <w:r w:rsidRPr="00E8782E">
        <w:rPr>
          <w:lang w:val="en-US"/>
        </w:rPr>
        <w:t xml:space="preserve">he Dornbusch model in itself is not very meaningful in </w:t>
      </w:r>
      <w:r w:rsidR="00DB746E">
        <w:rPr>
          <w:lang w:val="en-US"/>
        </w:rPr>
        <w:t xml:space="preserve">forecasting said exchange rate. Also, the autoregressive model performs significantly better than the Dornbusch model. For this reason, the null hypothesis cannot be rejected. Consequently, the alternative hypothesis is rejected. </w:t>
      </w:r>
    </w:p>
    <w:p w:rsidR="000B1FE1" w:rsidRDefault="000B1FE1" w:rsidP="00CE2BA2">
      <w:pPr>
        <w:spacing w:line="360" w:lineRule="auto"/>
        <w:jc w:val="both"/>
        <w:rPr>
          <w:lang w:val="en-US"/>
        </w:rPr>
      </w:pPr>
      <w:r>
        <w:rPr>
          <w:lang w:val="en-US"/>
        </w:rPr>
        <w:t xml:space="preserve">However, if the Dornbusch and autoregressive models are combined, the best forecasting performance is obtained. This indicates that the Dornbusch model does add meaningful information to the autoregressive model and thus, Dornbusch' ideas are somewhat applicable to the Bitcoin/US Dollar exchange rate. </w:t>
      </w:r>
    </w:p>
    <w:p w:rsidR="000B1FE1" w:rsidRPr="00E8782E" w:rsidRDefault="000B1FE1" w:rsidP="00CE2BA2">
      <w:pPr>
        <w:spacing w:line="360" w:lineRule="auto"/>
        <w:jc w:val="both"/>
        <w:rPr>
          <w:lang w:val="en-US"/>
        </w:rPr>
      </w:pPr>
      <w:r>
        <w:rPr>
          <w:lang w:val="en-US"/>
        </w:rPr>
        <w:t>In conclusion, we can say that the Dornbusch model, while unable to outperform the autoregressive model in forecasting the Bitcoin/US Dollar exchange rate on the basis of the Root Mean Squared Error and the Theil Inequality Coefficient, does contain meaningful information which helps to improve the autoregressive model's forecasting performance.</w:t>
      </w:r>
    </w:p>
    <w:p w:rsidR="0004118C" w:rsidRDefault="0004118C" w:rsidP="00170695">
      <w:pPr>
        <w:pStyle w:val="Heading2"/>
        <w:rPr>
          <w:rStyle w:val="eop"/>
          <w:lang w:val="en-US"/>
        </w:rPr>
      </w:pPr>
      <w:r>
        <w:rPr>
          <w:rStyle w:val="eop"/>
          <w:lang w:val="en-US"/>
        </w:rPr>
        <w:t>Limitations and recommendations for further research</w:t>
      </w:r>
    </w:p>
    <w:p w:rsidR="00904D3B" w:rsidRDefault="0004118C" w:rsidP="00CE2BA2">
      <w:pPr>
        <w:spacing w:line="360" w:lineRule="auto"/>
        <w:jc w:val="both"/>
        <w:rPr>
          <w:rStyle w:val="eop"/>
          <w:lang w:val="en-US"/>
        </w:rPr>
      </w:pPr>
      <w:r>
        <w:rPr>
          <w:rStyle w:val="eop"/>
          <w:lang w:val="en-US"/>
        </w:rPr>
        <w:t xml:space="preserve">The main limitation of this research is due to the fact that data on the Bitcoin is scarce. Basically the only historical data available is </w:t>
      </w:r>
      <w:r w:rsidR="00F60106">
        <w:rPr>
          <w:rStyle w:val="eop"/>
          <w:lang w:val="en-US"/>
        </w:rPr>
        <w:t xml:space="preserve">its US Dollar price. Fortunately, this is available on a real-time basis opening up possibilities for high frequency data analysis. However, data on Gross Domestic Product or population is not available on such a high frequency. Since the Bitcoin has only been around for about 5 and a half years, it is impossible to conduct any meaningful research on a frequency lower than weekly, because using a lower frequency </w:t>
      </w:r>
      <w:r w:rsidR="00904D3B">
        <w:rPr>
          <w:rStyle w:val="eop"/>
          <w:lang w:val="en-US"/>
        </w:rPr>
        <w:t xml:space="preserve">would result in very few observations. Yet, this makes it necessary to convert data series of a lower frequency (i.e. monthly or even yearly) to weekly series. </w:t>
      </w:r>
      <w:r w:rsidR="00904D3B">
        <w:rPr>
          <w:rStyle w:val="eop"/>
          <w:lang w:val="en-US"/>
        </w:rPr>
        <w:lastRenderedPageBreak/>
        <w:t xml:space="preserve">This results in a lot of estimation and data observations which are not real observations. This is of course not optimal. </w:t>
      </w:r>
    </w:p>
    <w:p w:rsidR="00904D3B" w:rsidRDefault="00904D3B" w:rsidP="00CE2BA2">
      <w:pPr>
        <w:spacing w:line="360" w:lineRule="auto"/>
        <w:jc w:val="both"/>
        <w:rPr>
          <w:rStyle w:val="eop"/>
          <w:lang w:val="en-US"/>
        </w:rPr>
      </w:pPr>
      <w:r>
        <w:rPr>
          <w:rStyle w:val="eop"/>
          <w:lang w:val="en-US"/>
        </w:rPr>
        <w:t>The main recommendation for future research</w:t>
      </w:r>
      <w:r w:rsidR="008C3095">
        <w:rPr>
          <w:rStyle w:val="eop"/>
          <w:lang w:val="en-US"/>
        </w:rPr>
        <w:t xml:space="preserve"> therefore is </w:t>
      </w:r>
      <w:r w:rsidR="002B4328">
        <w:rPr>
          <w:rStyle w:val="eop"/>
          <w:lang w:val="en-US"/>
        </w:rPr>
        <w:t xml:space="preserve">to either wait a couple of years until, for example, monthly research on the Bitcoin is feasible, or to conduct research using only variables with the right (i.e. weekly) frequency. This has been impossible for this paper, as, to estimate the Dornbusch model, some data simply had to be used. A more in-depth analysis of the Bitcoin exchange rate's autoregressive behavior is one suggested research. Another suggestion is to attempt to identify other economic fundamentals as causes of the Bitcoin price. </w:t>
      </w:r>
      <w:r w:rsidR="00171423">
        <w:rPr>
          <w:rStyle w:val="eop"/>
          <w:lang w:val="en-US"/>
        </w:rPr>
        <w:t xml:space="preserve">Lastly, it might be interesting to investigate the relationship between the Bitcoin's price and certain 'internet variables'. The correlation between the Bitcoin's price and the Google Search frequency on the Bitcoin is evident from graph </w:t>
      </w:r>
      <w:r w:rsidR="003F6AD1">
        <w:rPr>
          <w:rStyle w:val="eop"/>
          <w:lang w:val="en-US"/>
        </w:rPr>
        <w:t>7</w:t>
      </w:r>
      <w:r w:rsidR="00171423">
        <w:rPr>
          <w:rStyle w:val="eop"/>
          <w:lang w:val="en-US"/>
        </w:rPr>
        <w:t xml:space="preserve">, </w:t>
      </w:r>
      <w:r w:rsidR="003F6AD1">
        <w:rPr>
          <w:rStyle w:val="eop"/>
          <w:lang w:val="en-US"/>
        </w:rPr>
        <w:t>below</w:t>
      </w:r>
      <w:r w:rsidR="00171423">
        <w:rPr>
          <w:rStyle w:val="eop"/>
          <w:lang w:val="en-US"/>
        </w:rPr>
        <w:t>. Other factors might include trending topics on Twitter and number of people talking about the Bitcoin on social media like Facebook and Google+.</w:t>
      </w:r>
      <w:r w:rsidR="002B4328">
        <w:rPr>
          <w:rStyle w:val="eop"/>
          <w:lang w:val="en-US"/>
        </w:rPr>
        <w:t xml:space="preserve"> </w:t>
      </w:r>
    </w:p>
    <w:p w:rsidR="003F6AD1" w:rsidRDefault="003F6AD1" w:rsidP="003F6AD1">
      <w:pPr>
        <w:keepNext/>
        <w:spacing w:line="360" w:lineRule="auto"/>
        <w:jc w:val="both"/>
      </w:pPr>
      <w:r w:rsidRPr="003F6AD1">
        <w:rPr>
          <w:rStyle w:val="eop"/>
          <w:noProof/>
          <w:lang w:eastAsia="nl-NL"/>
        </w:rPr>
        <w:drawing>
          <wp:inline distT="0" distB="0" distL="0" distR="0">
            <wp:extent cx="5760720" cy="2618231"/>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F6AD1" w:rsidRPr="003F6AD1" w:rsidRDefault="003F6AD1" w:rsidP="003F6AD1">
      <w:pPr>
        <w:pStyle w:val="Caption"/>
        <w:jc w:val="both"/>
        <w:rPr>
          <w:rStyle w:val="eop"/>
          <w:lang w:val="en-US"/>
        </w:rPr>
      </w:pPr>
      <w:r w:rsidRPr="003F6AD1">
        <w:rPr>
          <w:lang w:val="en-US"/>
        </w:rPr>
        <w:t xml:space="preserve">Graph </w:t>
      </w:r>
      <w:r w:rsidR="00DB780A">
        <w:fldChar w:fldCharType="begin"/>
      </w:r>
      <w:r w:rsidRPr="003F6AD1">
        <w:rPr>
          <w:lang w:val="en-US"/>
        </w:rPr>
        <w:instrText xml:space="preserve"> SEQ Graph \* ARABIC </w:instrText>
      </w:r>
      <w:r w:rsidR="00DB780A">
        <w:fldChar w:fldCharType="separate"/>
      </w:r>
      <w:r w:rsidRPr="003F6AD1">
        <w:rPr>
          <w:noProof/>
          <w:lang w:val="en-US"/>
        </w:rPr>
        <w:t>7</w:t>
      </w:r>
      <w:r w:rsidR="00DB780A">
        <w:fldChar w:fldCharType="end"/>
      </w:r>
      <w:r w:rsidRPr="003F6AD1">
        <w:rPr>
          <w:lang w:val="en-US"/>
        </w:rPr>
        <w:t xml:space="preserve"> | Bitcoin price plotted together with Google Trends on Bitcoin</w:t>
      </w:r>
    </w:p>
    <w:p w:rsidR="001A2382" w:rsidRDefault="001A2382">
      <w:pPr>
        <w:rPr>
          <w:rStyle w:val="eop"/>
          <w:lang w:val="en-US"/>
        </w:rPr>
      </w:pPr>
      <w:r>
        <w:rPr>
          <w:rStyle w:val="eop"/>
          <w:lang w:val="en-US"/>
        </w:rPr>
        <w:br w:type="page"/>
      </w:r>
    </w:p>
    <w:sdt>
      <w:sdtPr>
        <w:rPr>
          <w:rFonts w:asciiTheme="minorHAnsi" w:eastAsiaTheme="minorHAnsi" w:hAnsiTheme="minorHAnsi" w:cstheme="minorBidi"/>
          <w:b w:val="0"/>
          <w:bCs w:val="0"/>
          <w:color w:val="auto"/>
          <w:sz w:val="22"/>
          <w:szCs w:val="22"/>
          <w:lang w:val="nl-NL" w:bidi="ar-SA"/>
        </w:rPr>
        <w:id w:val="651960046"/>
        <w:docPartObj>
          <w:docPartGallery w:val="Bibliographies"/>
          <w:docPartUnique/>
        </w:docPartObj>
      </w:sdtPr>
      <w:sdtContent>
        <w:p w:rsidR="00170562" w:rsidRDefault="00170562">
          <w:pPr>
            <w:pStyle w:val="Heading1"/>
          </w:pPr>
          <w:r>
            <w:t>Works Cited</w:t>
          </w:r>
        </w:p>
        <w:p w:rsidR="002B7AD5" w:rsidRDefault="00DB780A" w:rsidP="002B7AD5">
          <w:pPr>
            <w:pStyle w:val="Bibliography"/>
            <w:rPr>
              <w:noProof/>
              <w:lang w:val="en-US"/>
            </w:rPr>
          </w:pPr>
          <w:r>
            <w:fldChar w:fldCharType="begin"/>
          </w:r>
          <w:r w:rsidR="00170562" w:rsidRPr="00170562">
            <w:rPr>
              <w:lang w:val="en-US"/>
            </w:rPr>
            <w:instrText xml:space="preserve"> BIBLIOGRAPHY </w:instrText>
          </w:r>
          <w:r>
            <w:fldChar w:fldCharType="separate"/>
          </w:r>
          <w:r w:rsidR="002B7AD5">
            <w:rPr>
              <w:noProof/>
              <w:lang w:val="en-US"/>
            </w:rPr>
            <w:t xml:space="preserve">Akaike, H. (1974). A new look at the statistical model identification. </w:t>
          </w:r>
          <w:r w:rsidR="002B7AD5">
            <w:rPr>
              <w:i/>
              <w:iCs/>
              <w:noProof/>
              <w:lang w:val="en-US"/>
            </w:rPr>
            <w:t>IEEE Transactions on Automatic Control</w:t>
          </w:r>
          <w:r w:rsidR="002B7AD5">
            <w:rPr>
              <w:noProof/>
              <w:lang w:val="en-US"/>
            </w:rPr>
            <w:t xml:space="preserve"> </w:t>
          </w:r>
          <w:r w:rsidR="002B7AD5">
            <w:rPr>
              <w:i/>
              <w:iCs/>
              <w:noProof/>
              <w:lang w:val="en-US"/>
            </w:rPr>
            <w:t>, 19</w:t>
          </w:r>
          <w:r w:rsidR="002B7AD5">
            <w:rPr>
              <w:noProof/>
              <w:lang w:val="en-US"/>
            </w:rPr>
            <w:t xml:space="preserve"> (6), 716-723.</w:t>
          </w:r>
        </w:p>
        <w:p w:rsidR="002B7AD5" w:rsidRDefault="002B7AD5" w:rsidP="002B7AD5">
          <w:pPr>
            <w:pStyle w:val="Bibliography"/>
            <w:rPr>
              <w:noProof/>
              <w:lang w:val="en-US"/>
            </w:rPr>
          </w:pPr>
          <w:r>
            <w:rPr>
              <w:noProof/>
              <w:lang w:val="en-US"/>
            </w:rPr>
            <w:t xml:space="preserve">Bitcoin.it. (2014, March 3). </w:t>
          </w:r>
          <w:r>
            <w:rPr>
              <w:i/>
              <w:iCs/>
              <w:noProof/>
              <w:lang w:val="en-US"/>
            </w:rPr>
            <w:t>Controlled Supply</w:t>
          </w:r>
          <w:r>
            <w:rPr>
              <w:noProof/>
              <w:lang w:val="en-US"/>
            </w:rPr>
            <w:t>. Retrieved June 28, 2014, from Bitcoin wiki: https://en.bitcoin.it/wiki/Controlled_supply</w:t>
          </w:r>
        </w:p>
        <w:p w:rsidR="002B7AD5" w:rsidRDefault="002B7AD5" w:rsidP="002B7AD5">
          <w:pPr>
            <w:pStyle w:val="Bibliography"/>
            <w:rPr>
              <w:noProof/>
              <w:lang w:val="en-US"/>
            </w:rPr>
          </w:pPr>
          <w:r>
            <w:rPr>
              <w:noProof/>
              <w:lang w:val="en-US"/>
            </w:rPr>
            <w:t xml:space="preserve">BitcoinRichList. (2014, June). </w:t>
          </w:r>
          <w:r>
            <w:rPr>
              <w:i/>
              <w:iCs/>
              <w:noProof/>
              <w:lang w:val="en-US"/>
            </w:rPr>
            <w:t>Bitcoin Distribution by Address at Block 305,000</w:t>
          </w:r>
          <w:r>
            <w:rPr>
              <w:noProof/>
              <w:lang w:val="en-US"/>
            </w:rPr>
            <w:t>. Retrieved June 30, 2014, from BitcoinRichList: http://bitcoinrichlist.com/charts/bitcoin-distribution-by-address</w:t>
          </w:r>
        </w:p>
        <w:p w:rsidR="002B7AD5" w:rsidRDefault="002B7AD5" w:rsidP="002B7AD5">
          <w:pPr>
            <w:pStyle w:val="Bibliography"/>
            <w:rPr>
              <w:noProof/>
              <w:lang w:val="en-US"/>
            </w:rPr>
          </w:pPr>
          <w:r>
            <w:rPr>
              <w:noProof/>
              <w:lang w:val="en-US"/>
            </w:rPr>
            <w:t xml:space="preserve">Bjørnland, H. C. (2009). Monetary policy and exchange rate overshooting: Dornbusch was right after all. </w:t>
          </w:r>
          <w:r>
            <w:rPr>
              <w:i/>
              <w:iCs/>
              <w:noProof/>
              <w:lang w:val="en-US"/>
            </w:rPr>
            <w:t>Journal of International Economics</w:t>
          </w:r>
          <w:r>
            <w:rPr>
              <w:noProof/>
              <w:lang w:val="en-US"/>
            </w:rPr>
            <w:t xml:space="preserve"> </w:t>
          </w:r>
          <w:r>
            <w:rPr>
              <w:i/>
              <w:iCs/>
              <w:noProof/>
              <w:lang w:val="en-US"/>
            </w:rPr>
            <w:t>, 79</w:t>
          </w:r>
          <w:r>
            <w:rPr>
              <w:noProof/>
              <w:lang w:val="en-US"/>
            </w:rPr>
            <w:t>, 64-77.</w:t>
          </w:r>
        </w:p>
        <w:p w:rsidR="002B7AD5" w:rsidRDefault="002B7AD5" w:rsidP="002B7AD5">
          <w:pPr>
            <w:pStyle w:val="Bibliography"/>
            <w:rPr>
              <w:noProof/>
              <w:lang w:val="en-US"/>
            </w:rPr>
          </w:pPr>
          <w:r>
            <w:rPr>
              <w:noProof/>
              <w:lang w:val="en-US"/>
            </w:rPr>
            <w:t xml:space="preserve">Blockchain.info. (2014, June). </w:t>
          </w:r>
          <w:r>
            <w:rPr>
              <w:i/>
              <w:iCs/>
              <w:noProof/>
              <w:lang w:val="en-US"/>
            </w:rPr>
            <w:t>Market Capitalization</w:t>
          </w:r>
          <w:r>
            <w:rPr>
              <w:noProof/>
              <w:lang w:val="en-US"/>
            </w:rPr>
            <w:t>. Retrieved June 30, 2014, from Blockchain.info: http://blockchain.info/nl/charts/market-cap</w:t>
          </w:r>
        </w:p>
        <w:p w:rsidR="002B7AD5" w:rsidRDefault="002B7AD5" w:rsidP="002B7AD5">
          <w:pPr>
            <w:pStyle w:val="Bibliography"/>
            <w:rPr>
              <w:noProof/>
              <w:lang w:val="en-US"/>
            </w:rPr>
          </w:pPr>
          <w:r>
            <w:rPr>
              <w:noProof/>
              <w:lang w:val="en-US"/>
            </w:rPr>
            <w:t xml:space="preserve">Blockchain.info. (2014, June). </w:t>
          </w:r>
          <w:r>
            <w:rPr>
              <w:i/>
              <w:iCs/>
              <w:noProof/>
              <w:lang w:val="en-US"/>
            </w:rPr>
            <w:t>Number of Daily Transactions</w:t>
          </w:r>
          <w:r>
            <w:rPr>
              <w:noProof/>
              <w:lang w:val="en-US"/>
            </w:rPr>
            <w:t>. Retrieved June 30, 2014, from Blockchain.info: http://blockchain.info/nl/charts/n-transactions</w:t>
          </w:r>
        </w:p>
        <w:p w:rsidR="002B7AD5" w:rsidRDefault="002B7AD5" w:rsidP="002B7AD5">
          <w:pPr>
            <w:pStyle w:val="Bibliography"/>
            <w:rPr>
              <w:noProof/>
              <w:lang w:val="en-US"/>
            </w:rPr>
          </w:pPr>
          <w:r>
            <w:rPr>
              <w:noProof/>
              <w:lang w:val="en-US"/>
            </w:rPr>
            <w:t xml:space="preserve">Blockchain.info. (2014, June 28). </w:t>
          </w:r>
          <w:r>
            <w:rPr>
              <w:i/>
              <w:iCs/>
              <w:noProof/>
              <w:lang w:val="en-US"/>
            </w:rPr>
            <w:t>Total Bitcoins In Circulation</w:t>
          </w:r>
          <w:r>
            <w:rPr>
              <w:noProof/>
              <w:lang w:val="en-US"/>
            </w:rPr>
            <w:t>. Retrieved June 28, 2014, from Blockchain.info: http://blockchain.info/en/charts/total-bitcoins?timespan=all&amp;showDataPoints=false&amp;daysAverageString=1&amp;show_header=true&amp;scale=0&amp;address=</w:t>
          </w:r>
        </w:p>
        <w:p w:rsidR="002B7AD5" w:rsidRDefault="002B7AD5" w:rsidP="002B7AD5">
          <w:pPr>
            <w:pStyle w:val="Bibliography"/>
            <w:rPr>
              <w:noProof/>
              <w:lang w:val="en-US"/>
            </w:rPr>
          </w:pPr>
          <w:r>
            <w:rPr>
              <w:noProof/>
              <w:lang w:val="en-US"/>
            </w:rPr>
            <w:t xml:space="preserve">Board of Governors of the Federal Reserve System. (2014, June). </w:t>
          </w:r>
          <w:r>
            <w:rPr>
              <w:i/>
              <w:iCs/>
              <w:noProof/>
              <w:lang w:val="en-US"/>
            </w:rPr>
            <w:t>Money Stock Measures - H.6</w:t>
          </w:r>
          <w:r>
            <w:rPr>
              <w:noProof/>
              <w:lang w:val="en-US"/>
            </w:rPr>
            <w:t>. Retrieved June 28, 2014, from Board of Governors of the Federal Reserve System: http://www.federalreserve.gov/releases/h6/current/default.htm</w:t>
          </w:r>
        </w:p>
        <w:p w:rsidR="002B7AD5" w:rsidRDefault="002B7AD5" w:rsidP="002B7AD5">
          <w:pPr>
            <w:pStyle w:val="Bibliography"/>
            <w:rPr>
              <w:noProof/>
              <w:lang w:val="en-US"/>
            </w:rPr>
          </w:pPr>
          <w:r>
            <w:rPr>
              <w:noProof/>
              <w:lang w:val="en-US"/>
            </w:rPr>
            <w:t xml:space="preserve">Board of Governors of the Federal Reserve System. (2014, June). </w:t>
          </w:r>
          <w:r>
            <w:rPr>
              <w:i/>
              <w:iCs/>
              <w:noProof/>
              <w:lang w:val="en-US"/>
            </w:rPr>
            <w:t>Selected Interest Rates (Weekly) - H.15</w:t>
          </w:r>
          <w:r>
            <w:rPr>
              <w:noProof/>
              <w:lang w:val="en-US"/>
            </w:rPr>
            <w:t>. Retrieved June 28, 2014, from Board of Governors of the Federal Reserve System: http://www.federalreserve.gov/releases/h15/current/</w:t>
          </w:r>
        </w:p>
        <w:p w:rsidR="002B7AD5" w:rsidRDefault="002B7AD5" w:rsidP="002B7AD5">
          <w:pPr>
            <w:pStyle w:val="Bibliography"/>
            <w:rPr>
              <w:noProof/>
              <w:lang w:val="en-US"/>
            </w:rPr>
          </w:pPr>
          <w:r>
            <w:rPr>
              <w:noProof/>
              <w:lang w:val="en-US"/>
            </w:rPr>
            <w:t xml:space="preserve">Bonser-Neal, C., Roley, V., &amp; Sellon Jr., G. (1998). Monetary policy actions, intervention, and exchange rates: a re-examination of the empirical relationships using federal funds rate target data. </w:t>
          </w:r>
          <w:r>
            <w:rPr>
              <w:i/>
              <w:iCs/>
              <w:noProof/>
              <w:lang w:val="en-US"/>
            </w:rPr>
            <w:t>Journal of Business</w:t>
          </w:r>
          <w:r>
            <w:rPr>
              <w:noProof/>
              <w:lang w:val="en-US"/>
            </w:rPr>
            <w:t xml:space="preserve"> </w:t>
          </w:r>
          <w:r>
            <w:rPr>
              <w:i/>
              <w:iCs/>
              <w:noProof/>
              <w:lang w:val="en-US"/>
            </w:rPr>
            <w:t>, 71</w:t>
          </w:r>
          <w:r>
            <w:rPr>
              <w:noProof/>
              <w:lang w:val="en-US"/>
            </w:rPr>
            <w:t>, 147-177.</w:t>
          </w:r>
        </w:p>
        <w:p w:rsidR="002B7AD5" w:rsidRDefault="002B7AD5" w:rsidP="002B7AD5">
          <w:pPr>
            <w:pStyle w:val="Bibliography"/>
            <w:rPr>
              <w:noProof/>
              <w:lang w:val="en-US"/>
            </w:rPr>
          </w:pPr>
          <w:r>
            <w:rPr>
              <w:noProof/>
              <w:lang w:val="en-US"/>
            </w:rPr>
            <w:t xml:space="preserve">Cheung, Y. W., &amp; Chinn, M. D. (1999). Macroeconomic Implications of the Beliefs and Behavior of Foreign Exchange Traders. </w:t>
          </w:r>
          <w:r>
            <w:rPr>
              <w:i/>
              <w:iCs/>
              <w:noProof/>
              <w:lang w:val="en-US"/>
            </w:rPr>
            <w:t>NBER Working Papers</w:t>
          </w:r>
          <w:r>
            <w:rPr>
              <w:noProof/>
              <w:lang w:val="en-US"/>
            </w:rPr>
            <w:t xml:space="preserve"> (7417).</w:t>
          </w:r>
        </w:p>
        <w:p w:rsidR="002B7AD5" w:rsidRDefault="002B7AD5" w:rsidP="002B7AD5">
          <w:pPr>
            <w:pStyle w:val="Bibliography"/>
            <w:rPr>
              <w:noProof/>
              <w:lang w:val="en-US"/>
            </w:rPr>
          </w:pPr>
          <w:r>
            <w:rPr>
              <w:noProof/>
              <w:lang w:val="en-US"/>
            </w:rPr>
            <w:t xml:space="preserve">CoinDesk. (2014). </w:t>
          </w:r>
          <w:r>
            <w:rPr>
              <w:i/>
              <w:iCs/>
              <w:noProof/>
              <w:lang w:val="en-US"/>
            </w:rPr>
            <w:t>About the Bitcoin Price Index</w:t>
          </w:r>
          <w:r>
            <w:rPr>
              <w:noProof/>
              <w:lang w:val="en-US"/>
            </w:rPr>
            <w:t>. Retrieved June 6, 2041, from CoinDesk - The Voice of Digital Currency: http://www.coindesk.com/price/bitcoin-price-index/</w:t>
          </w:r>
        </w:p>
        <w:p w:rsidR="002B7AD5" w:rsidRDefault="002B7AD5" w:rsidP="002B7AD5">
          <w:pPr>
            <w:pStyle w:val="Bibliography"/>
            <w:rPr>
              <w:noProof/>
              <w:lang w:val="en-US"/>
            </w:rPr>
          </w:pPr>
          <w:r>
            <w:rPr>
              <w:noProof/>
              <w:lang w:val="en-US"/>
            </w:rPr>
            <w:t xml:space="preserve">Copeland, L. S. (2008). </w:t>
          </w:r>
          <w:r>
            <w:rPr>
              <w:i/>
              <w:iCs/>
              <w:noProof/>
              <w:lang w:val="en-US"/>
            </w:rPr>
            <w:t>Exchange Rates and International Finance.</w:t>
          </w:r>
          <w:r>
            <w:rPr>
              <w:noProof/>
              <w:lang w:val="en-US"/>
            </w:rPr>
            <w:t xml:space="preserve"> Essex: Pearson Education Limited.</w:t>
          </w:r>
        </w:p>
        <w:p w:rsidR="002B7AD5" w:rsidRDefault="002B7AD5" w:rsidP="002B7AD5">
          <w:pPr>
            <w:pStyle w:val="Bibliography"/>
            <w:rPr>
              <w:noProof/>
              <w:lang w:val="en-US"/>
            </w:rPr>
          </w:pPr>
          <w:r>
            <w:rPr>
              <w:noProof/>
              <w:lang w:val="en-US"/>
            </w:rPr>
            <w:t xml:space="preserve">Dornbusch, R. (1976). Expectations and Exchange Rate Dynamics. </w:t>
          </w:r>
          <w:r>
            <w:rPr>
              <w:i/>
              <w:iCs/>
              <w:noProof/>
              <w:lang w:val="en-US"/>
            </w:rPr>
            <w:t>Journal of Political Economy</w:t>
          </w:r>
          <w:r>
            <w:rPr>
              <w:noProof/>
              <w:lang w:val="en-US"/>
            </w:rPr>
            <w:t xml:space="preserve"> </w:t>
          </w:r>
          <w:r>
            <w:rPr>
              <w:i/>
              <w:iCs/>
              <w:noProof/>
              <w:lang w:val="en-US"/>
            </w:rPr>
            <w:t>, 84</w:t>
          </w:r>
          <w:r>
            <w:rPr>
              <w:noProof/>
              <w:lang w:val="en-US"/>
            </w:rPr>
            <w:t xml:space="preserve"> (6), 1161-1176.</w:t>
          </w:r>
        </w:p>
        <w:p w:rsidR="002B7AD5" w:rsidRDefault="002B7AD5" w:rsidP="002B7AD5">
          <w:pPr>
            <w:pStyle w:val="Bibliography"/>
            <w:rPr>
              <w:noProof/>
              <w:lang w:val="en-US"/>
            </w:rPr>
          </w:pPr>
          <w:r>
            <w:rPr>
              <w:noProof/>
              <w:lang w:val="en-US"/>
            </w:rPr>
            <w:t xml:space="preserve">European Central Bank. (2012). Virtual Currency Schemes. </w:t>
          </w:r>
          <w:r>
            <w:rPr>
              <w:i/>
              <w:iCs/>
              <w:noProof/>
              <w:lang w:val="en-US"/>
            </w:rPr>
            <w:t>Eurosystem</w:t>
          </w:r>
          <w:r>
            <w:rPr>
              <w:noProof/>
              <w:lang w:val="en-US"/>
            </w:rPr>
            <w:t xml:space="preserve"> .</w:t>
          </w:r>
        </w:p>
        <w:p w:rsidR="002B7AD5" w:rsidRDefault="002B7AD5" w:rsidP="002B7AD5">
          <w:pPr>
            <w:pStyle w:val="Bibliography"/>
            <w:rPr>
              <w:noProof/>
              <w:lang w:val="en-US"/>
            </w:rPr>
          </w:pPr>
          <w:r>
            <w:rPr>
              <w:noProof/>
              <w:lang w:val="en-US"/>
            </w:rPr>
            <w:lastRenderedPageBreak/>
            <w:t xml:space="preserve">Frankel, J. A. (1979). On the Mark: A Theory of Floating Exchange Rates Based on Real Interest Differentials. </w:t>
          </w:r>
          <w:r>
            <w:rPr>
              <w:i/>
              <w:iCs/>
              <w:noProof/>
              <w:lang w:val="en-US"/>
            </w:rPr>
            <w:t>69</w:t>
          </w:r>
          <w:r>
            <w:rPr>
              <w:noProof/>
              <w:lang w:val="en-US"/>
            </w:rPr>
            <w:t xml:space="preserve"> (4).</w:t>
          </w:r>
        </w:p>
        <w:p w:rsidR="002B7AD5" w:rsidRDefault="002B7AD5" w:rsidP="002B7AD5">
          <w:pPr>
            <w:pStyle w:val="Bibliography"/>
            <w:rPr>
              <w:noProof/>
              <w:lang w:val="en-US"/>
            </w:rPr>
          </w:pPr>
          <w:r>
            <w:rPr>
              <w:noProof/>
              <w:lang w:val="en-US"/>
            </w:rPr>
            <w:t xml:space="preserve">Google Trends. (2014, June). </w:t>
          </w:r>
          <w:r>
            <w:rPr>
              <w:i/>
              <w:iCs/>
              <w:noProof/>
              <w:lang w:val="en-US"/>
            </w:rPr>
            <w:t>Topics: Bitcoin</w:t>
          </w:r>
          <w:r>
            <w:rPr>
              <w:noProof/>
              <w:lang w:val="en-US"/>
            </w:rPr>
            <w:t>. Retrieved June 30, 2014, from Google Trends: https://www.google.com/trends/explore?hl=en-US#q=/m/05p0rrx&amp;date=1/2009%2066m&amp;cmpt=q</w:t>
          </w:r>
        </w:p>
        <w:p w:rsidR="002B7AD5" w:rsidRDefault="002B7AD5" w:rsidP="002B7AD5">
          <w:pPr>
            <w:pStyle w:val="Bibliography"/>
            <w:rPr>
              <w:noProof/>
              <w:lang w:val="en-US"/>
            </w:rPr>
          </w:pPr>
          <w:r>
            <w:rPr>
              <w:noProof/>
              <w:lang w:val="en-US"/>
            </w:rPr>
            <w:t xml:space="preserve">Hill, R. C., Griffiths, W. E., &amp; Lim, G. C. (2012). </w:t>
          </w:r>
          <w:r>
            <w:rPr>
              <w:i/>
              <w:iCs/>
              <w:noProof/>
              <w:lang w:val="en-US"/>
            </w:rPr>
            <w:t>Principles of Econometrics.</w:t>
          </w:r>
          <w:r>
            <w:rPr>
              <w:noProof/>
              <w:lang w:val="en-US"/>
            </w:rPr>
            <w:t xml:space="preserve"> John Wiley &amp; Sons, Inc.</w:t>
          </w:r>
        </w:p>
        <w:p w:rsidR="002B7AD5" w:rsidRDefault="002B7AD5" w:rsidP="002B7AD5">
          <w:pPr>
            <w:pStyle w:val="Bibliography"/>
            <w:rPr>
              <w:noProof/>
              <w:lang w:val="en-US"/>
            </w:rPr>
          </w:pPr>
          <w:r>
            <w:rPr>
              <w:noProof/>
              <w:lang w:val="en-US"/>
            </w:rPr>
            <w:t xml:space="preserve">Hwang, J.-K. (2003). Dynamic forecasting of sticky-price monetary exchange rate model. </w:t>
          </w:r>
          <w:r>
            <w:rPr>
              <w:i/>
              <w:iCs/>
              <w:noProof/>
              <w:lang w:val="en-US"/>
            </w:rPr>
            <w:t>Atlantic Economic Journal</w:t>
          </w:r>
          <w:r>
            <w:rPr>
              <w:noProof/>
              <w:lang w:val="en-US"/>
            </w:rPr>
            <w:t xml:space="preserve"> </w:t>
          </w:r>
          <w:r>
            <w:rPr>
              <w:i/>
              <w:iCs/>
              <w:noProof/>
              <w:lang w:val="en-US"/>
            </w:rPr>
            <w:t>, 31</w:t>
          </w:r>
          <w:r>
            <w:rPr>
              <w:noProof/>
              <w:lang w:val="en-US"/>
            </w:rPr>
            <w:t xml:space="preserve"> (1), 103-114.</w:t>
          </w:r>
        </w:p>
        <w:p w:rsidR="002B7AD5" w:rsidRDefault="002B7AD5" w:rsidP="002B7AD5">
          <w:pPr>
            <w:pStyle w:val="Bibliography"/>
            <w:rPr>
              <w:noProof/>
              <w:lang w:val="en-US"/>
            </w:rPr>
          </w:pPr>
          <w:r>
            <w:rPr>
              <w:noProof/>
              <w:lang w:val="en-US"/>
            </w:rPr>
            <w:t xml:space="preserve">Kearns, J., &amp; Manners, P. (2006). The impact of monetary policy on the exchange rate: a study using intraday data. </w:t>
          </w:r>
          <w:r>
            <w:rPr>
              <w:i/>
              <w:iCs/>
              <w:noProof/>
              <w:lang w:val="en-US"/>
            </w:rPr>
            <w:t>International Journal of Central Banking</w:t>
          </w:r>
          <w:r>
            <w:rPr>
              <w:noProof/>
              <w:lang w:val="en-US"/>
            </w:rPr>
            <w:t xml:space="preserve"> </w:t>
          </w:r>
          <w:r>
            <w:rPr>
              <w:i/>
              <w:iCs/>
              <w:noProof/>
              <w:lang w:val="en-US"/>
            </w:rPr>
            <w:t>, 2</w:t>
          </w:r>
          <w:r>
            <w:rPr>
              <w:noProof/>
              <w:lang w:val="en-US"/>
            </w:rPr>
            <w:t xml:space="preserve"> (4), 157-183.</w:t>
          </w:r>
        </w:p>
        <w:p w:rsidR="002B7AD5" w:rsidRDefault="002B7AD5" w:rsidP="002B7AD5">
          <w:pPr>
            <w:pStyle w:val="Bibliography"/>
            <w:rPr>
              <w:noProof/>
              <w:lang w:val="en-US"/>
            </w:rPr>
          </w:pPr>
          <w:r>
            <w:rPr>
              <w:noProof/>
              <w:lang w:val="en-US"/>
            </w:rPr>
            <w:t xml:space="preserve">Lutz Kilian, M. P. (2001). Why is it so difficult to beat the Random Walk Forecast of Exchange Rates? </w:t>
          </w:r>
          <w:r>
            <w:rPr>
              <w:i/>
              <w:iCs/>
              <w:noProof/>
              <w:lang w:val="en-US"/>
            </w:rPr>
            <w:t>Tinbergen Institute Discussion Paper</w:t>
          </w:r>
          <w:r>
            <w:rPr>
              <w:noProof/>
              <w:lang w:val="en-US"/>
            </w:rPr>
            <w:t xml:space="preserve"> .</w:t>
          </w:r>
        </w:p>
        <w:p w:rsidR="002B7AD5" w:rsidRDefault="002B7AD5" w:rsidP="002B7AD5">
          <w:pPr>
            <w:pStyle w:val="Bibliography"/>
            <w:rPr>
              <w:noProof/>
              <w:lang w:val="en-US"/>
            </w:rPr>
          </w:pPr>
          <w:r>
            <w:rPr>
              <w:noProof/>
              <w:lang w:val="en-US"/>
            </w:rPr>
            <w:t xml:space="preserve">Meese, R. A., &amp; Rogoff, K. (1983). Empirical Exchange Rate Models of the Seventies: Do They Fit out of Sample? </w:t>
          </w:r>
          <w:r>
            <w:rPr>
              <w:i/>
              <w:iCs/>
              <w:noProof/>
              <w:lang w:val="en-US"/>
            </w:rPr>
            <w:t>Journal of International Economics</w:t>
          </w:r>
          <w:r>
            <w:rPr>
              <w:noProof/>
              <w:lang w:val="en-US"/>
            </w:rPr>
            <w:t xml:space="preserve"> </w:t>
          </w:r>
          <w:r>
            <w:rPr>
              <w:i/>
              <w:iCs/>
              <w:noProof/>
              <w:lang w:val="en-US"/>
            </w:rPr>
            <w:t>, 14</w:t>
          </w:r>
          <w:r>
            <w:rPr>
              <w:noProof/>
              <w:lang w:val="en-US"/>
            </w:rPr>
            <w:t>, 3-74.</w:t>
          </w:r>
        </w:p>
        <w:p w:rsidR="002B7AD5" w:rsidRDefault="002B7AD5" w:rsidP="002B7AD5">
          <w:pPr>
            <w:pStyle w:val="Bibliography"/>
            <w:rPr>
              <w:noProof/>
              <w:lang w:val="en-US"/>
            </w:rPr>
          </w:pPr>
          <w:r>
            <w:rPr>
              <w:noProof/>
              <w:lang w:val="en-US"/>
            </w:rPr>
            <w:t xml:space="preserve">Mises, L. v. (1912). </w:t>
          </w:r>
          <w:r>
            <w:rPr>
              <w:i/>
              <w:iCs/>
              <w:noProof/>
              <w:lang w:val="en-US"/>
            </w:rPr>
            <w:t>The Theory of Money and Credit.</w:t>
          </w:r>
          <w:r>
            <w:rPr>
              <w:noProof/>
              <w:lang w:val="en-US"/>
            </w:rPr>
            <w:t xml:space="preserve"> Vienna.</w:t>
          </w:r>
        </w:p>
        <w:p w:rsidR="002B7AD5" w:rsidRDefault="002B7AD5" w:rsidP="002B7AD5">
          <w:pPr>
            <w:pStyle w:val="Bibliography"/>
            <w:rPr>
              <w:noProof/>
              <w:lang w:val="en-US"/>
            </w:rPr>
          </w:pPr>
          <w:r>
            <w:rPr>
              <w:noProof/>
              <w:lang w:val="en-US"/>
            </w:rPr>
            <w:t>Nakamoto, S. (2008). Bitcoin: A Peer-to-Peer Electronic Cash System.</w:t>
          </w:r>
        </w:p>
        <w:p w:rsidR="002B7AD5" w:rsidRDefault="002B7AD5" w:rsidP="002B7AD5">
          <w:pPr>
            <w:pStyle w:val="Bibliography"/>
            <w:rPr>
              <w:noProof/>
              <w:lang w:val="en-US"/>
            </w:rPr>
          </w:pPr>
          <w:r>
            <w:rPr>
              <w:noProof/>
              <w:lang w:val="en-US"/>
            </w:rPr>
            <w:t xml:space="preserve">OECD.StatExtracts. (2014, June). </w:t>
          </w:r>
          <w:r>
            <w:rPr>
              <w:i/>
              <w:iCs/>
              <w:noProof/>
              <w:lang w:val="en-US"/>
            </w:rPr>
            <w:t>Gross domestic product (GDP)</w:t>
          </w:r>
          <w:r>
            <w:rPr>
              <w:noProof/>
              <w:lang w:val="en-US"/>
            </w:rPr>
            <w:t>. Retrieved June 28, 2014, from OECD.StatExtracts: http://stats.oecd.org/index.aspx?queryid=26665#</w:t>
          </w:r>
        </w:p>
        <w:p w:rsidR="002B7AD5" w:rsidRDefault="002B7AD5" w:rsidP="002B7AD5">
          <w:pPr>
            <w:pStyle w:val="Bibliography"/>
            <w:rPr>
              <w:noProof/>
              <w:lang w:val="en-US"/>
            </w:rPr>
          </w:pPr>
          <w:r>
            <w:rPr>
              <w:noProof/>
              <w:lang w:val="en-US"/>
            </w:rPr>
            <w:t xml:space="preserve">OECD.StatExtracts. (2014, June). </w:t>
          </w:r>
          <w:r>
            <w:rPr>
              <w:i/>
              <w:iCs/>
              <w:noProof/>
              <w:lang w:val="en-US"/>
            </w:rPr>
            <w:t>Monthly Monetary and Financial Statistics: Short-term interest rates</w:t>
          </w:r>
          <w:r>
            <w:rPr>
              <w:noProof/>
              <w:lang w:val="en-US"/>
            </w:rPr>
            <w:t>. Retrieved June 28, 2014, from OECD.StatExtracts: http://stats.oecd.org/index.aspx?queryid=26665#</w:t>
          </w:r>
        </w:p>
        <w:p w:rsidR="002B7AD5" w:rsidRDefault="002B7AD5" w:rsidP="002B7AD5">
          <w:pPr>
            <w:pStyle w:val="Bibliography"/>
            <w:rPr>
              <w:noProof/>
              <w:lang w:val="en-US"/>
            </w:rPr>
          </w:pPr>
          <w:r>
            <w:rPr>
              <w:noProof/>
              <w:lang w:val="en-US"/>
            </w:rPr>
            <w:t xml:space="preserve">OECD.StatExtracts. (2014, June). </w:t>
          </w:r>
          <w:r>
            <w:rPr>
              <w:i/>
              <w:iCs/>
              <w:noProof/>
              <w:lang w:val="en-US"/>
            </w:rPr>
            <w:t>Population</w:t>
          </w:r>
          <w:r>
            <w:rPr>
              <w:noProof/>
              <w:lang w:val="en-US"/>
            </w:rPr>
            <w:t>. Retrieved June 28, 2014, from OECD.StatExtracts: http://stats.oecd.org/index.aspx?queryid=26665#</w:t>
          </w:r>
        </w:p>
        <w:p w:rsidR="002B7AD5" w:rsidRDefault="002B7AD5" w:rsidP="002B7AD5">
          <w:pPr>
            <w:pStyle w:val="Bibliography"/>
            <w:rPr>
              <w:noProof/>
              <w:lang w:val="en-US"/>
            </w:rPr>
          </w:pPr>
          <w:r>
            <w:rPr>
              <w:noProof/>
              <w:lang w:val="en-US"/>
            </w:rPr>
            <w:t xml:space="preserve">United States Department of Labor. (2014, June). </w:t>
          </w:r>
          <w:r>
            <w:rPr>
              <w:i/>
              <w:iCs/>
              <w:noProof/>
              <w:lang w:val="en-US"/>
            </w:rPr>
            <w:t>Consumer Price Index</w:t>
          </w:r>
          <w:r>
            <w:rPr>
              <w:noProof/>
              <w:lang w:val="en-US"/>
            </w:rPr>
            <w:t>. Retrieved June 28, 2014, from Bureau of Labor Statistics: http://www.bls.gov/cpi/</w:t>
          </w:r>
        </w:p>
        <w:p w:rsidR="002B7AD5" w:rsidRDefault="002B7AD5" w:rsidP="002B7AD5">
          <w:pPr>
            <w:pStyle w:val="Bibliography"/>
            <w:rPr>
              <w:noProof/>
              <w:lang w:val="en-US"/>
            </w:rPr>
          </w:pPr>
          <w:r>
            <w:rPr>
              <w:noProof/>
              <w:lang w:val="en-US"/>
            </w:rPr>
            <w:t xml:space="preserve">Woo, W. T. (1985). The monetary approach to exchange rate determination under rational expectations. </w:t>
          </w:r>
          <w:r>
            <w:rPr>
              <w:i/>
              <w:iCs/>
              <w:noProof/>
              <w:lang w:val="en-US"/>
            </w:rPr>
            <w:t>Journal of International Economics</w:t>
          </w:r>
          <w:r>
            <w:rPr>
              <w:noProof/>
              <w:lang w:val="en-US"/>
            </w:rPr>
            <w:t xml:space="preserve"> </w:t>
          </w:r>
          <w:r>
            <w:rPr>
              <w:i/>
              <w:iCs/>
              <w:noProof/>
              <w:lang w:val="en-US"/>
            </w:rPr>
            <w:t>, 18</w:t>
          </w:r>
          <w:r>
            <w:rPr>
              <w:noProof/>
              <w:lang w:val="en-US"/>
            </w:rPr>
            <w:t xml:space="preserve"> (1-2), 1-16.</w:t>
          </w:r>
        </w:p>
        <w:p w:rsidR="002B7AD5" w:rsidRDefault="002B7AD5" w:rsidP="002B7AD5">
          <w:pPr>
            <w:pStyle w:val="Bibliography"/>
            <w:rPr>
              <w:noProof/>
              <w:lang w:val="en-US"/>
            </w:rPr>
          </w:pPr>
          <w:r>
            <w:rPr>
              <w:noProof/>
              <w:lang w:val="en-US"/>
            </w:rPr>
            <w:t xml:space="preserve">Yermack, D. (2014). Is Bitcoin a Real Currency? An economic appraisal. </w:t>
          </w:r>
          <w:r>
            <w:rPr>
              <w:i/>
              <w:iCs/>
              <w:noProof/>
              <w:lang w:val="en-US"/>
            </w:rPr>
            <w:t>NBER Working Papers</w:t>
          </w:r>
          <w:r>
            <w:rPr>
              <w:noProof/>
              <w:lang w:val="en-US"/>
            </w:rPr>
            <w:t xml:space="preserve"> (19747).</w:t>
          </w:r>
        </w:p>
        <w:p w:rsidR="002B7AD5" w:rsidRDefault="002B7AD5" w:rsidP="002B7AD5">
          <w:pPr>
            <w:pStyle w:val="Bibliography"/>
            <w:rPr>
              <w:noProof/>
              <w:lang w:val="en-US"/>
            </w:rPr>
          </w:pPr>
          <w:r>
            <w:rPr>
              <w:noProof/>
              <w:lang w:val="en-US"/>
            </w:rPr>
            <w:t xml:space="preserve">Zettelmeyer, J. (2004). The impact of monetary policy on the exchange rate: evidence from three small open economies. </w:t>
          </w:r>
          <w:r>
            <w:rPr>
              <w:i/>
              <w:iCs/>
              <w:noProof/>
              <w:lang w:val="en-US"/>
            </w:rPr>
            <w:t>Journal of Monetary Economics</w:t>
          </w:r>
          <w:r>
            <w:rPr>
              <w:noProof/>
              <w:lang w:val="en-US"/>
            </w:rPr>
            <w:t xml:space="preserve"> </w:t>
          </w:r>
          <w:r>
            <w:rPr>
              <w:i/>
              <w:iCs/>
              <w:noProof/>
              <w:lang w:val="en-US"/>
            </w:rPr>
            <w:t>, 51</w:t>
          </w:r>
          <w:r>
            <w:rPr>
              <w:noProof/>
              <w:lang w:val="en-US"/>
            </w:rPr>
            <w:t xml:space="preserve"> (3), 635-652.</w:t>
          </w:r>
        </w:p>
        <w:p w:rsidR="00170562" w:rsidRDefault="00DB780A" w:rsidP="002B7AD5">
          <w:r>
            <w:fldChar w:fldCharType="end"/>
          </w:r>
        </w:p>
      </w:sdtContent>
    </w:sdt>
    <w:p w:rsidR="001F7B0E" w:rsidRPr="001F7B0E" w:rsidRDefault="001F7B0E" w:rsidP="00DF5CF4">
      <w:pPr>
        <w:pStyle w:val="paragraph"/>
        <w:spacing w:before="0" w:beforeAutospacing="0" w:after="0" w:afterAutospacing="0" w:line="360" w:lineRule="auto"/>
        <w:textAlignment w:val="baseline"/>
        <w:rPr>
          <w:rFonts w:ascii="Segoe UI" w:hAnsi="Segoe UI" w:cs="Segoe UI"/>
          <w:sz w:val="12"/>
          <w:szCs w:val="12"/>
          <w:lang w:val="en-US"/>
        </w:rPr>
      </w:pPr>
    </w:p>
    <w:p w:rsidR="001F7B0E" w:rsidRPr="001F7B0E" w:rsidRDefault="001F7B0E" w:rsidP="00DF5CF4">
      <w:pPr>
        <w:pStyle w:val="paragraph"/>
        <w:spacing w:before="0" w:beforeAutospacing="0" w:after="0" w:afterAutospacing="0" w:line="360" w:lineRule="auto"/>
        <w:textAlignment w:val="baseline"/>
        <w:rPr>
          <w:rFonts w:ascii="Segoe UI" w:hAnsi="Segoe UI" w:cs="Segoe UI"/>
          <w:sz w:val="12"/>
          <w:szCs w:val="12"/>
          <w:lang w:val="en-US"/>
        </w:rPr>
      </w:pPr>
      <w:r w:rsidRPr="001F7B0E">
        <w:rPr>
          <w:rStyle w:val="eop"/>
          <w:rFonts w:ascii="Calibri" w:hAnsi="Calibri" w:cs="Segoe UI"/>
          <w:sz w:val="22"/>
          <w:szCs w:val="22"/>
          <w:lang w:val="en-US"/>
        </w:rPr>
        <w:t> </w:t>
      </w:r>
    </w:p>
    <w:p w:rsidR="001F7B0E" w:rsidRPr="001F7B0E" w:rsidRDefault="001F7B0E" w:rsidP="00DF5CF4">
      <w:pPr>
        <w:pStyle w:val="paragraph"/>
        <w:spacing w:before="0" w:beforeAutospacing="0" w:after="0" w:afterAutospacing="0" w:line="360" w:lineRule="auto"/>
        <w:textAlignment w:val="baseline"/>
        <w:rPr>
          <w:rFonts w:ascii="Segoe UI" w:hAnsi="Segoe UI" w:cs="Segoe UI"/>
          <w:sz w:val="12"/>
          <w:szCs w:val="12"/>
          <w:lang w:val="en-US"/>
        </w:rPr>
      </w:pPr>
      <w:r w:rsidRPr="001F7B0E">
        <w:rPr>
          <w:rStyle w:val="eop"/>
          <w:rFonts w:ascii="Calibri" w:hAnsi="Calibri" w:cs="Segoe UI"/>
          <w:sz w:val="22"/>
          <w:szCs w:val="22"/>
          <w:lang w:val="en-US"/>
        </w:rPr>
        <w:t> </w:t>
      </w:r>
    </w:p>
    <w:p w:rsidR="00743BDA" w:rsidRDefault="00743BDA">
      <w:pPr>
        <w:rPr>
          <w:lang w:val="en-US"/>
        </w:rPr>
      </w:pPr>
      <w:r>
        <w:rPr>
          <w:lang w:val="en-US"/>
        </w:rPr>
        <w:br w:type="page"/>
      </w:r>
    </w:p>
    <w:p w:rsidR="00D84C7C" w:rsidRDefault="00743BDA" w:rsidP="000655FF">
      <w:pPr>
        <w:pStyle w:val="Heading1"/>
        <w:rPr>
          <w:noProof/>
          <w:lang w:eastAsia="nl-NL"/>
        </w:rPr>
      </w:pPr>
      <w:r>
        <w:lastRenderedPageBreak/>
        <w:t>Appendi</w:t>
      </w:r>
      <w:r w:rsidR="000655FF">
        <w:t>x</w:t>
      </w:r>
    </w:p>
    <w:p w:rsidR="000655FF" w:rsidRDefault="002A62CC" w:rsidP="000655FF">
      <w:pPr>
        <w:rPr>
          <w:lang w:val="en-US" w:eastAsia="nl-NL" w:bidi="en-US"/>
        </w:rPr>
      </w:pPr>
      <w:r>
        <w:rPr>
          <w:lang w:val="en-US" w:eastAsia="nl-NL" w:bidi="en-US"/>
        </w:rPr>
        <w:t>Information about the datasets used:</w:t>
      </w:r>
    </w:p>
    <w:tbl>
      <w:tblPr>
        <w:tblStyle w:val="LightList-Accent11"/>
        <w:tblW w:w="0" w:type="auto"/>
        <w:tblLook w:val="04A0"/>
      </w:tblPr>
      <w:tblGrid>
        <w:gridCol w:w="1699"/>
        <w:gridCol w:w="1424"/>
        <w:gridCol w:w="1309"/>
        <w:gridCol w:w="1843"/>
        <w:gridCol w:w="1843"/>
        <w:gridCol w:w="1170"/>
      </w:tblGrid>
      <w:tr w:rsidR="00265698" w:rsidTr="00415096">
        <w:trPr>
          <w:cnfStyle w:val="100000000000"/>
        </w:trPr>
        <w:tc>
          <w:tcPr>
            <w:cnfStyle w:val="001000000000"/>
            <w:tcW w:w="1682" w:type="dxa"/>
          </w:tcPr>
          <w:p w:rsidR="00265698" w:rsidRDefault="00265698" w:rsidP="00265698">
            <w:pPr>
              <w:rPr>
                <w:lang w:val="en-US" w:eastAsia="nl-NL" w:bidi="en-US"/>
              </w:rPr>
            </w:pPr>
          </w:p>
        </w:tc>
        <w:tc>
          <w:tcPr>
            <w:tcW w:w="1472" w:type="dxa"/>
          </w:tcPr>
          <w:p w:rsidR="00265698" w:rsidRPr="00265698" w:rsidRDefault="00265698" w:rsidP="00171423">
            <w:pPr>
              <w:jc w:val="center"/>
              <w:cnfStyle w:val="100000000000"/>
              <w:rPr>
                <w:rFonts w:ascii="Cambria Math" w:hAnsi="Cambria Math"/>
                <w:i/>
                <w:lang w:val="en-US" w:eastAsia="nl-NL" w:bidi="en-US"/>
              </w:rPr>
            </w:pPr>
            <w:r>
              <w:rPr>
                <w:rFonts w:ascii="Cambria Math" w:hAnsi="Cambria Math"/>
                <w:i/>
                <w:lang w:val="en-US" w:eastAsia="nl-NL" w:bidi="en-US"/>
              </w:rPr>
              <w:t>S</w:t>
            </w:r>
            <w:r>
              <w:rPr>
                <w:rFonts w:ascii="Cambria Math" w:hAnsi="Cambria Math"/>
                <w:i/>
                <w:vertAlign w:val="subscript"/>
                <w:lang w:val="en-US" w:eastAsia="nl-NL" w:bidi="en-US"/>
              </w:rPr>
              <w:t>t</w:t>
            </w:r>
          </w:p>
        </w:tc>
        <w:tc>
          <w:tcPr>
            <w:tcW w:w="1313" w:type="dxa"/>
          </w:tcPr>
          <w:p w:rsidR="00265698" w:rsidRPr="00265698" w:rsidRDefault="00265698" w:rsidP="00171423">
            <w:pPr>
              <w:jc w:val="center"/>
              <w:cnfStyle w:val="100000000000"/>
              <w:rPr>
                <w:rFonts w:ascii="Cambria Math" w:hAnsi="Cambria Math"/>
                <w:i/>
                <w:lang w:val="en-US" w:eastAsia="nl-NL" w:bidi="en-US"/>
              </w:rPr>
            </w:pPr>
            <w:r>
              <w:rPr>
                <w:rFonts w:ascii="Cambria Math" w:hAnsi="Cambria Math"/>
                <w:i/>
                <w:lang w:val="en-US" w:eastAsia="nl-NL" w:bidi="en-US"/>
              </w:rPr>
              <w:t>M</w:t>
            </w:r>
            <w:r>
              <w:rPr>
                <w:rFonts w:ascii="Cambria Math" w:hAnsi="Cambria Math"/>
                <w:i/>
                <w:vertAlign w:val="subscript"/>
                <w:lang w:val="en-US" w:eastAsia="nl-NL" w:bidi="en-US"/>
              </w:rPr>
              <w:t>t</w:t>
            </w:r>
          </w:p>
        </w:tc>
        <w:tc>
          <w:tcPr>
            <w:tcW w:w="1843" w:type="dxa"/>
          </w:tcPr>
          <w:p w:rsidR="00265698" w:rsidRPr="00265698" w:rsidRDefault="00265698" w:rsidP="00171423">
            <w:pPr>
              <w:jc w:val="center"/>
              <w:cnfStyle w:val="100000000000"/>
              <w:rPr>
                <w:rFonts w:ascii="Cambria Math" w:hAnsi="Cambria Math"/>
                <w:i/>
                <w:lang w:val="en-US" w:eastAsia="nl-NL" w:bidi="en-US"/>
              </w:rPr>
            </w:pPr>
            <w:r>
              <w:rPr>
                <w:rFonts w:ascii="Cambria Math" w:hAnsi="Cambria Math"/>
                <w:i/>
                <w:lang w:val="en-US" w:eastAsia="nl-NL" w:bidi="en-US"/>
              </w:rPr>
              <w:t>Y</w:t>
            </w:r>
            <w:r>
              <w:rPr>
                <w:rFonts w:ascii="Cambria Math" w:hAnsi="Cambria Math"/>
                <w:i/>
                <w:vertAlign w:val="subscript"/>
                <w:lang w:val="en-US" w:eastAsia="nl-NL" w:bidi="en-US"/>
              </w:rPr>
              <w:t>t</w:t>
            </w:r>
          </w:p>
        </w:tc>
        <w:tc>
          <w:tcPr>
            <w:tcW w:w="1843" w:type="dxa"/>
          </w:tcPr>
          <w:p w:rsidR="00265698" w:rsidRPr="00DE1ECC" w:rsidRDefault="00DE1ECC" w:rsidP="00171423">
            <w:pPr>
              <w:jc w:val="center"/>
              <w:cnfStyle w:val="100000000000"/>
              <w:rPr>
                <w:rFonts w:ascii="Cambria Math" w:hAnsi="Cambria Math"/>
                <w:i/>
                <w:lang w:val="en-US" w:eastAsia="nl-NL" w:bidi="en-US"/>
              </w:rPr>
            </w:pPr>
            <w:r>
              <w:rPr>
                <w:rFonts w:ascii="Cambria Math" w:hAnsi="Cambria Math"/>
                <w:i/>
                <w:lang w:val="en-US" w:eastAsia="nl-NL" w:bidi="en-US"/>
              </w:rPr>
              <w:t>I</w:t>
            </w:r>
            <w:r>
              <w:rPr>
                <w:rFonts w:ascii="Cambria Math" w:hAnsi="Cambria Math"/>
                <w:i/>
                <w:vertAlign w:val="subscript"/>
                <w:lang w:val="en-US" w:eastAsia="nl-NL" w:bidi="en-US"/>
              </w:rPr>
              <w:t>t</w:t>
            </w:r>
          </w:p>
        </w:tc>
        <w:tc>
          <w:tcPr>
            <w:tcW w:w="1135" w:type="dxa"/>
          </w:tcPr>
          <w:p w:rsidR="00265698" w:rsidRPr="00DE1ECC" w:rsidRDefault="00DE1ECC" w:rsidP="00171423">
            <w:pPr>
              <w:jc w:val="center"/>
              <w:cnfStyle w:val="100000000000"/>
              <w:rPr>
                <w:rFonts w:ascii="Cambria Math" w:hAnsi="Cambria Math"/>
                <w:i/>
                <w:lang w:val="en-US" w:eastAsia="nl-NL" w:bidi="en-US"/>
              </w:rPr>
            </w:pPr>
            <w:r>
              <w:rPr>
                <w:rFonts w:ascii="Cambria Math" w:hAnsi="Cambria Math"/>
                <w:i/>
                <w:lang w:val="en-US" w:eastAsia="nl-NL" w:bidi="en-US"/>
              </w:rPr>
              <w:t>P</w:t>
            </w:r>
            <w:r>
              <w:rPr>
                <w:rFonts w:ascii="Cambria Math" w:hAnsi="Cambria Math"/>
                <w:i/>
                <w:vertAlign w:val="superscript"/>
                <w:lang w:val="en-US" w:eastAsia="nl-NL" w:bidi="en-US"/>
              </w:rPr>
              <w:t>e</w:t>
            </w:r>
            <w:r>
              <w:rPr>
                <w:rFonts w:ascii="Cambria Math" w:hAnsi="Cambria Math"/>
                <w:i/>
                <w:vertAlign w:val="subscript"/>
                <w:lang w:val="en-US" w:eastAsia="nl-NL" w:bidi="en-US"/>
              </w:rPr>
              <w:t>t</w:t>
            </w:r>
          </w:p>
        </w:tc>
      </w:tr>
      <w:tr w:rsidR="00DE1ECC" w:rsidRPr="00346EC8" w:rsidTr="00246C71">
        <w:trPr>
          <w:cnfStyle w:val="000000100000"/>
        </w:trPr>
        <w:tc>
          <w:tcPr>
            <w:cnfStyle w:val="001000000000"/>
            <w:tcW w:w="1682" w:type="dxa"/>
            <w:shd w:val="clear" w:color="auto" w:fill="4F81BD" w:themeFill="accent1"/>
          </w:tcPr>
          <w:p w:rsidR="00DE1ECC" w:rsidRPr="00246C71" w:rsidRDefault="00DE1ECC" w:rsidP="00265698">
            <w:pPr>
              <w:rPr>
                <w:color w:val="FFFFFF" w:themeColor="background1"/>
                <w:lang w:val="en-US" w:eastAsia="nl-NL" w:bidi="en-US"/>
              </w:rPr>
            </w:pPr>
            <w:r w:rsidRPr="00246C71">
              <w:rPr>
                <w:color w:val="FFFFFF" w:themeColor="background1"/>
                <w:lang w:val="en-US" w:eastAsia="nl-NL" w:bidi="en-US"/>
              </w:rPr>
              <w:t>Source:</w:t>
            </w:r>
          </w:p>
        </w:tc>
        <w:tc>
          <w:tcPr>
            <w:tcW w:w="1472" w:type="dxa"/>
          </w:tcPr>
          <w:p w:rsidR="00DE1ECC" w:rsidRDefault="00DE1ECC" w:rsidP="00171423">
            <w:pPr>
              <w:jc w:val="center"/>
              <w:cnfStyle w:val="000000100000"/>
              <w:rPr>
                <w:lang w:val="en-US" w:eastAsia="nl-NL" w:bidi="en-US"/>
              </w:rPr>
            </w:pPr>
            <w:r>
              <w:rPr>
                <w:lang w:val="en-US" w:eastAsia="nl-NL" w:bidi="en-US"/>
              </w:rPr>
              <w:t>CoinDesk</w:t>
            </w:r>
          </w:p>
        </w:tc>
        <w:tc>
          <w:tcPr>
            <w:tcW w:w="1313" w:type="dxa"/>
          </w:tcPr>
          <w:p w:rsidR="00DE1ECC" w:rsidRDefault="00DE1ECC" w:rsidP="00171423">
            <w:pPr>
              <w:jc w:val="center"/>
              <w:cnfStyle w:val="000000100000"/>
              <w:rPr>
                <w:lang w:val="en-US" w:eastAsia="nl-NL" w:bidi="en-US"/>
              </w:rPr>
            </w:pPr>
            <w:r>
              <w:rPr>
                <w:rStyle w:val="eop"/>
                <w:rFonts w:ascii="Calibri" w:hAnsi="Calibri" w:cs="Segoe UI"/>
                <w:lang w:val="en-US"/>
              </w:rPr>
              <w:t>Federal Reserve System Board of Governors</w:t>
            </w:r>
          </w:p>
        </w:tc>
        <w:tc>
          <w:tcPr>
            <w:tcW w:w="1843" w:type="dxa"/>
          </w:tcPr>
          <w:p w:rsidR="00DE1ECC" w:rsidRDefault="00DE1ECC" w:rsidP="00171423">
            <w:pPr>
              <w:jc w:val="center"/>
              <w:cnfStyle w:val="000000100000"/>
              <w:rPr>
                <w:lang w:val="en-US" w:eastAsia="nl-NL" w:bidi="en-US"/>
              </w:rPr>
            </w:pPr>
            <w:r>
              <w:rPr>
                <w:rStyle w:val="eop"/>
                <w:rFonts w:ascii="Calibri" w:hAnsi="Calibri" w:cs="Segoe UI"/>
                <w:lang w:val="en-US"/>
              </w:rPr>
              <w:t>OECD.StatExtracts</w:t>
            </w:r>
          </w:p>
        </w:tc>
        <w:tc>
          <w:tcPr>
            <w:tcW w:w="1843" w:type="dxa"/>
          </w:tcPr>
          <w:p w:rsidR="00DE1ECC" w:rsidRDefault="00DE1ECC" w:rsidP="00171423">
            <w:pPr>
              <w:jc w:val="center"/>
              <w:cnfStyle w:val="000000100000"/>
              <w:rPr>
                <w:lang w:val="en-US" w:eastAsia="nl-NL" w:bidi="en-US"/>
              </w:rPr>
            </w:pPr>
            <w:r>
              <w:rPr>
                <w:rStyle w:val="eop"/>
                <w:rFonts w:ascii="Calibri" w:hAnsi="Calibri" w:cs="Segoe UI"/>
                <w:lang w:val="en-US"/>
              </w:rPr>
              <w:t>Federal Reserve System Board of Governors</w:t>
            </w:r>
          </w:p>
        </w:tc>
        <w:tc>
          <w:tcPr>
            <w:tcW w:w="1135" w:type="dxa"/>
          </w:tcPr>
          <w:p w:rsidR="00DE1ECC" w:rsidRDefault="00DE1ECC" w:rsidP="00171423">
            <w:pPr>
              <w:jc w:val="center"/>
              <w:cnfStyle w:val="000000100000"/>
              <w:rPr>
                <w:lang w:val="en-US" w:eastAsia="nl-NL" w:bidi="en-US"/>
              </w:rPr>
            </w:pPr>
            <w:r>
              <w:rPr>
                <w:rStyle w:val="eop"/>
                <w:rFonts w:ascii="Calibri" w:hAnsi="Calibri" w:cs="Segoe UI"/>
                <w:lang w:val="en-US"/>
              </w:rPr>
              <w:t>US Bureau of Labor Statistics</w:t>
            </w:r>
          </w:p>
        </w:tc>
      </w:tr>
      <w:tr w:rsidR="00DE1ECC" w:rsidTr="00246C71">
        <w:tc>
          <w:tcPr>
            <w:cnfStyle w:val="001000000000"/>
            <w:tcW w:w="1682" w:type="dxa"/>
            <w:shd w:val="clear" w:color="auto" w:fill="4F81BD" w:themeFill="accent1"/>
          </w:tcPr>
          <w:p w:rsidR="00DE1ECC" w:rsidRPr="00246C71" w:rsidRDefault="00DE1ECC" w:rsidP="00265698">
            <w:pPr>
              <w:rPr>
                <w:color w:val="FFFFFF" w:themeColor="background1"/>
                <w:lang w:val="en-US" w:eastAsia="nl-NL" w:bidi="en-US"/>
              </w:rPr>
            </w:pPr>
            <w:r w:rsidRPr="00246C71">
              <w:rPr>
                <w:color w:val="FFFFFF" w:themeColor="background1"/>
                <w:lang w:val="en-US" w:eastAsia="nl-NL" w:bidi="en-US"/>
              </w:rPr>
              <w:t>Original frequency:</w:t>
            </w:r>
          </w:p>
        </w:tc>
        <w:tc>
          <w:tcPr>
            <w:tcW w:w="1472" w:type="dxa"/>
          </w:tcPr>
          <w:p w:rsidR="00DE1ECC" w:rsidRDefault="00DE1ECC" w:rsidP="00171423">
            <w:pPr>
              <w:jc w:val="center"/>
              <w:cnfStyle w:val="000000000000"/>
              <w:rPr>
                <w:lang w:val="en-US" w:eastAsia="nl-NL" w:bidi="en-US"/>
              </w:rPr>
            </w:pPr>
            <w:r>
              <w:rPr>
                <w:lang w:val="en-US" w:eastAsia="nl-NL" w:bidi="en-US"/>
              </w:rPr>
              <w:t>Daily</w:t>
            </w:r>
          </w:p>
        </w:tc>
        <w:tc>
          <w:tcPr>
            <w:tcW w:w="1313" w:type="dxa"/>
          </w:tcPr>
          <w:p w:rsidR="00DE1ECC" w:rsidRDefault="00DE1ECC" w:rsidP="00171423">
            <w:pPr>
              <w:jc w:val="center"/>
              <w:cnfStyle w:val="000000000000"/>
              <w:rPr>
                <w:lang w:val="en-US" w:eastAsia="nl-NL" w:bidi="en-US"/>
              </w:rPr>
            </w:pPr>
            <w:r>
              <w:rPr>
                <w:lang w:val="en-US" w:eastAsia="nl-NL" w:bidi="en-US"/>
              </w:rPr>
              <w:t>Weekly</w:t>
            </w:r>
          </w:p>
        </w:tc>
        <w:tc>
          <w:tcPr>
            <w:tcW w:w="1843" w:type="dxa"/>
          </w:tcPr>
          <w:p w:rsidR="00DE1ECC" w:rsidRDefault="00DE1ECC" w:rsidP="00171423">
            <w:pPr>
              <w:jc w:val="center"/>
              <w:cnfStyle w:val="000000000000"/>
              <w:rPr>
                <w:lang w:val="en-US" w:eastAsia="nl-NL" w:bidi="en-US"/>
              </w:rPr>
            </w:pPr>
            <w:r>
              <w:rPr>
                <w:lang w:val="en-US" w:eastAsia="nl-NL" w:bidi="en-US"/>
              </w:rPr>
              <w:t>Monthly</w:t>
            </w:r>
          </w:p>
        </w:tc>
        <w:tc>
          <w:tcPr>
            <w:tcW w:w="1843" w:type="dxa"/>
          </w:tcPr>
          <w:p w:rsidR="00DE1ECC" w:rsidRDefault="00DE1ECC" w:rsidP="00171423">
            <w:pPr>
              <w:jc w:val="center"/>
              <w:cnfStyle w:val="000000000000"/>
              <w:rPr>
                <w:lang w:val="en-US" w:eastAsia="nl-NL" w:bidi="en-US"/>
              </w:rPr>
            </w:pPr>
            <w:r>
              <w:rPr>
                <w:lang w:val="en-US" w:eastAsia="nl-NL" w:bidi="en-US"/>
              </w:rPr>
              <w:t>Weekly</w:t>
            </w:r>
          </w:p>
        </w:tc>
        <w:tc>
          <w:tcPr>
            <w:tcW w:w="1135" w:type="dxa"/>
          </w:tcPr>
          <w:p w:rsidR="00DE1ECC" w:rsidRDefault="00DE1ECC" w:rsidP="00171423">
            <w:pPr>
              <w:jc w:val="center"/>
              <w:cnfStyle w:val="000000000000"/>
              <w:rPr>
                <w:lang w:val="en-US" w:eastAsia="nl-NL" w:bidi="en-US"/>
              </w:rPr>
            </w:pPr>
            <w:r>
              <w:rPr>
                <w:lang w:val="en-US" w:eastAsia="nl-NL" w:bidi="en-US"/>
              </w:rPr>
              <w:t>Monthly</w:t>
            </w:r>
          </w:p>
        </w:tc>
      </w:tr>
      <w:tr w:rsidR="00DE1ECC" w:rsidRPr="00346EC8" w:rsidTr="00246C71">
        <w:trPr>
          <w:cnfStyle w:val="000000100000"/>
        </w:trPr>
        <w:tc>
          <w:tcPr>
            <w:cnfStyle w:val="001000000000"/>
            <w:tcW w:w="1682" w:type="dxa"/>
            <w:tcBorders>
              <w:bottom w:val="nil"/>
            </w:tcBorders>
            <w:shd w:val="clear" w:color="auto" w:fill="4F81BD" w:themeFill="accent1"/>
          </w:tcPr>
          <w:p w:rsidR="00DE1ECC" w:rsidRPr="00246C71" w:rsidRDefault="00DE1ECC" w:rsidP="00265698">
            <w:pPr>
              <w:rPr>
                <w:color w:val="FFFFFF" w:themeColor="background1"/>
                <w:lang w:val="en-US" w:eastAsia="nl-NL" w:bidi="en-US"/>
              </w:rPr>
            </w:pPr>
            <w:r w:rsidRPr="00246C71">
              <w:rPr>
                <w:color w:val="FFFFFF" w:themeColor="background1"/>
                <w:lang w:val="en-US" w:eastAsia="nl-NL" w:bidi="en-US"/>
              </w:rPr>
              <w:t>Transformation:</w:t>
            </w:r>
          </w:p>
        </w:tc>
        <w:tc>
          <w:tcPr>
            <w:tcW w:w="1472" w:type="dxa"/>
            <w:tcBorders>
              <w:bottom w:val="nil"/>
            </w:tcBorders>
          </w:tcPr>
          <w:p w:rsidR="00DE1ECC" w:rsidRDefault="00DE1ECC" w:rsidP="00171423">
            <w:pPr>
              <w:jc w:val="center"/>
              <w:cnfStyle w:val="000000100000"/>
              <w:rPr>
                <w:lang w:val="en-US" w:eastAsia="nl-NL" w:bidi="en-US"/>
              </w:rPr>
            </w:pPr>
            <w:r>
              <w:rPr>
                <w:lang w:val="en-US" w:eastAsia="nl-NL" w:bidi="en-US"/>
              </w:rPr>
              <w:t>Weekly averages</w:t>
            </w:r>
          </w:p>
        </w:tc>
        <w:tc>
          <w:tcPr>
            <w:tcW w:w="1313" w:type="dxa"/>
            <w:tcBorders>
              <w:bottom w:val="nil"/>
            </w:tcBorders>
          </w:tcPr>
          <w:p w:rsidR="00DE1ECC" w:rsidRDefault="00DE1ECC" w:rsidP="00171423">
            <w:pPr>
              <w:jc w:val="center"/>
              <w:cnfStyle w:val="000000100000"/>
              <w:rPr>
                <w:lang w:val="en-US" w:eastAsia="nl-NL" w:bidi="en-US"/>
              </w:rPr>
            </w:pPr>
            <w:r>
              <w:rPr>
                <w:lang w:val="en-US" w:eastAsia="nl-NL" w:bidi="en-US"/>
              </w:rPr>
              <w:t>none</w:t>
            </w:r>
          </w:p>
        </w:tc>
        <w:tc>
          <w:tcPr>
            <w:tcW w:w="1843" w:type="dxa"/>
            <w:tcBorders>
              <w:bottom w:val="nil"/>
            </w:tcBorders>
          </w:tcPr>
          <w:p w:rsidR="00DE1ECC" w:rsidRDefault="00DE1ECC" w:rsidP="00171423">
            <w:pPr>
              <w:jc w:val="center"/>
              <w:cnfStyle w:val="000000100000"/>
              <w:rPr>
                <w:lang w:val="en-US" w:eastAsia="nl-NL" w:bidi="en-US"/>
              </w:rPr>
            </w:pPr>
            <w:r>
              <w:rPr>
                <w:lang w:val="en-US" w:eastAsia="nl-NL" w:bidi="en-US"/>
              </w:rPr>
              <w:t>Linearly filling in the unknown weeks</w:t>
            </w:r>
          </w:p>
        </w:tc>
        <w:tc>
          <w:tcPr>
            <w:tcW w:w="1843" w:type="dxa"/>
            <w:tcBorders>
              <w:bottom w:val="nil"/>
            </w:tcBorders>
          </w:tcPr>
          <w:p w:rsidR="00DE1ECC" w:rsidRDefault="00DE1ECC" w:rsidP="00171423">
            <w:pPr>
              <w:jc w:val="center"/>
              <w:cnfStyle w:val="000000100000"/>
              <w:rPr>
                <w:lang w:val="en-US" w:eastAsia="nl-NL" w:bidi="en-US"/>
              </w:rPr>
            </w:pPr>
            <w:r>
              <w:rPr>
                <w:lang w:val="en-US" w:eastAsia="nl-NL" w:bidi="en-US"/>
              </w:rPr>
              <w:t>none</w:t>
            </w:r>
          </w:p>
        </w:tc>
        <w:tc>
          <w:tcPr>
            <w:tcW w:w="1135" w:type="dxa"/>
            <w:tcBorders>
              <w:bottom w:val="nil"/>
            </w:tcBorders>
          </w:tcPr>
          <w:p w:rsidR="00DE1ECC" w:rsidRDefault="00DE1ECC" w:rsidP="00171423">
            <w:pPr>
              <w:jc w:val="center"/>
              <w:cnfStyle w:val="000000100000"/>
              <w:rPr>
                <w:lang w:val="en-US" w:eastAsia="nl-NL" w:bidi="en-US"/>
              </w:rPr>
            </w:pPr>
            <w:r>
              <w:rPr>
                <w:lang w:val="en-US" w:eastAsia="nl-NL" w:bidi="en-US"/>
              </w:rPr>
              <w:t>Linearly filling in the unknown weeks</w:t>
            </w:r>
          </w:p>
        </w:tc>
      </w:tr>
      <w:tr w:rsidR="009A6F2E" w:rsidRPr="00346EC8" w:rsidTr="00246C71">
        <w:tc>
          <w:tcPr>
            <w:cnfStyle w:val="001000000000"/>
            <w:tcW w:w="1682" w:type="dxa"/>
            <w:tcBorders>
              <w:top w:val="nil"/>
              <w:bottom w:val="single" w:sz="8" w:space="0" w:color="4F81BD" w:themeColor="accent1"/>
            </w:tcBorders>
            <w:shd w:val="clear" w:color="auto" w:fill="4F81BD" w:themeFill="accent1"/>
          </w:tcPr>
          <w:p w:rsidR="009A6F2E" w:rsidRPr="00246C71" w:rsidRDefault="009A6F2E" w:rsidP="00265698">
            <w:pPr>
              <w:rPr>
                <w:color w:val="FFFFFF" w:themeColor="background1"/>
                <w:lang w:val="en-US" w:eastAsia="nl-NL" w:bidi="en-US"/>
              </w:rPr>
            </w:pPr>
          </w:p>
        </w:tc>
        <w:tc>
          <w:tcPr>
            <w:tcW w:w="1472" w:type="dxa"/>
            <w:tcBorders>
              <w:top w:val="nil"/>
              <w:bottom w:val="single" w:sz="8" w:space="0" w:color="4F81BD" w:themeColor="accent1"/>
            </w:tcBorders>
          </w:tcPr>
          <w:p w:rsidR="009A6F2E" w:rsidRDefault="009A6F2E" w:rsidP="00171423">
            <w:pPr>
              <w:jc w:val="center"/>
              <w:cnfStyle w:val="000000000000"/>
              <w:rPr>
                <w:lang w:val="en-US" w:eastAsia="nl-NL" w:bidi="en-US"/>
              </w:rPr>
            </w:pPr>
          </w:p>
        </w:tc>
        <w:tc>
          <w:tcPr>
            <w:tcW w:w="1313" w:type="dxa"/>
            <w:tcBorders>
              <w:top w:val="nil"/>
              <w:bottom w:val="single" w:sz="8" w:space="0" w:color="4F81BD" w:themeColor="accent1"/>
            </w:tcBorders>
          </w:tcPr>
          <w:p w:rsidR="009A6F2E" w:rsidRDefault="009A6F2E" w:rsidP="00171423">
            <w:pPr>
              <w:jc w:val="center"/>
              <w:cnfStyle w:val="000000000000"/>
              <w:rPr>
                <w:lang w:val="en-US" w:eastAsia="nl-NL" w:bidi="en-US"/>
              </w:rPr>
            </w:pPr>
          </w:p>
        </w:tc>
        <w:tc>
          <w:tcPr>
            <w:tcW w:w="1843" w:type="dxa"/>
            <w:tcBorders>
              <w:top w:val="nil"/>
              <w:bottom w:val="single" w:sz="8" w:space="0" w:color="4F81BD" w:themeColor="accent1"/>
            </w:tcBorders>
          </w:tcPr>
          <w:p w:rsidR="009A6F2E" w:rsidRDefault="009A6F2E" w:rsidP="00171423">
            <w:pPr>
              <w:jc w:val="center"/>
              <w:cnfStyle w:val="000000000000"/>
              <w:rPr>
                <w:lang w:val="en-US" w:eastAsia="nl-NL" w:bidi="en-US"/>
              </w:rPr>
            </w:pPr>
          </w:p>
        </w:tc>
        <w:tc>
          <w:tcPr>
            <w:tcW w:w="1843" w:type="dxa"/>
            <w:tcBorders>
              <w:top w:val="nil"/>
              <w:bottom w:val="single" w:sz="8" w:space="0" w:color="4F81BD" w:themeColor="accent1"/>
            </w:tcBorders>
          </w:tcPr>
          <w:p w:rsidR="009A6F2E" w:rsidRDefault="009A6F2E" w:rsidP="00171423">
            <w:pPr>
              <w:jc w:val="center"/>
              <w:cnfStyle w:val="000000000000"/>
              <w:rPr>
                <w:lang w:val="en-US" w:eastAsia="nl-NL" w:bidi="en-US"/>
              </w:rPr>
            </w:pPr>
          </w:p>
        </w:tc>
        <w:tc>
          <w:tcPr>
            <w:tcW w:w="1135" w:type="dxa"/>
            <w:tcBorders>
              <w:top w:val="nil"/>
              <w:bottom w:val="single" w:sz="8" w:space="0" w:color="4F81BD" w:themeColor="accent1"/>
            </w:tcBorders>
          </w:tcPr>
          <w:p w:rsidR="009A6F2E" w:rsidRDefault="009A6F2E" w:rsidP="00171423">
            <w:pPr>
              <w:jc w:val="center"/>
              <w:cnfStyle w:val="000000000000"/>
              <w:rPr>
                <w:lang w:val="en-US" w:eastAsia="nl-NL" w:bidi="en-US"/>
              </w:rPr>
            </w:pPr>
          </w:p>
        </w:tc>
      </w:tr>
      <w:tr w:rsidR="009A6F2E" w:rsidRPr="00DE1ECC" w:rsidTr="00415096">
        <w:trPr>
          <w:cnfStyle w:val="000000100000"/>
        </w:trPr>
        <w:tc>
          <w:tcPr>
            <w:cnfStyle w:val="001000000000"/>
            <w:tcW w:w="1682" w:type="dxa"/>
            <w:shd w:val="clear" w:color="auto" w:fill="4F81BD" w:themeFill="accent1"/>
          </w:tcPr>
          <w:p w:rsidR="009A6F2E" w:rsidRPr="00246C71" w:rsidRDefault="009A6F2E" w:rsidP="00F1547A">
            <w:pPr>
              <w:rPr>
                <w:color w:val="FFFFFF" w:themeColor="background1"/>
                <w:lang w:val="en-US" w:eastAsia="nl-NL" w:bidi="en-US"/>
              </w:rPr>
            </w:pPr>
          </w:p>
        </w:tc>
        <w:tc>
          <w:tcPr>
            <w:tcW w:w="1472" w:type="dxa"/>
            <w:shd w:val="clear" w:color="auto" w:fill="4F81BD" w:themeFill="accent1"/>
          </w:tcPr>
          <w:p w:rsidR="009A6F2E" w:rsidRPr="00415096" w:rsidRDefault="009A6F2E" w:rsidP="00171423">
            <w:pPr>
              <w:jc w:val="center"/>
              <w:cnfStyle w:val="000000100000"/>
              <w:rPr>
                <w:rFonts w:ascii="Cambria Math" w:hAnsi="Cambria Math"/>
                <w:b/>
                <w:i/>
                <w:color w:val="FFFFFF" w:themeColor="background1"/>
                <w:lang w:val="en-US" w:eastAsia="nl-NL" w:bidi="en-US"/>
              </w:rPr>
            </w:pPr>
          </w:p>
        </w:tc>
        <w:tc>
          <w:tcPr>
            <w:tcW w:w="1313" w:type="dxa"/>
            <w:shd w:val="clear" w:color="auto" w:fill="4F81BD" w:themeFill="accent1"/>
          </w:tcPr>
          <w:p w:rsidR="009A6F2E" w:rsidRPr="00415096" w:rsidRDefault="009A6F2E" w:rsidP="00171423">
            <w:pPr>
              <w:jc w:val="center"/>
              <w:cnfStyle w:val="000000100000"/>
              <w:rPr>
                <w:rFonts w:ascii="Cambria Math" w:hAnsi="Cambria Math"/>
                <w:b/>
                <w:i/>
                <w:color w:val="FFFFFF" w:themeColor="background1"/>
                <w:lang w:val="en-US" w:eastAsia="nl-NL" w:bidi="en-US"/>
              </w:rPr>
            </w:pPr>
            <w:r w:rsidRPr="00415096">
              <w:rPr>
                <w:rFonts w:ascii="Cambria Math" w:hAnsi="Cambria Math"/>
                <w:b/>
                <w:i/>
                <w:color w:val="FFFFFF" w:themeColor="background1"/>
                <w:lang w:val="en-US" w:eastAsia="nl-NL" w:bidi="en-US"/>
              </w:rPr>
              <w:t>M</w:t>
            </w:r>
            <w:r w:rsidRPr="00415096">
              <w:rPr>
                <w:rFonts w:ascii="Cambria Math" w:hAnsi="Cambria Math"/>
                <w:b/>
                <w:i/>
                <w:color w:val="FFFFFF" w:themeColor="background1"/>
                <w:vertAlign w:val="subscript"/>
                <w:lang w:val="en-US" w:eastAsia="nl-NL" w:bidi="en-US"/>
              </w:rPr>
              <w:t>t</w:t>
            </w:r>
            <w:r w:rsidRPr="00415096">
              <w:rPr>
                <w:rFonts w:ascii="Cambria Math" w:hAnsi="Cambria Math"/>
                <w:b/>
                <w:i/>
                <w:color w:val="FFFFFF" w:themeColor="background1"/>
                <w:lang w:val="en-US" w:eastAsia="nl-NL" w:bidi="en-US"/>
              </w:rPr>
              <w:t>*</w:t>
            </w:r>
          </w:p>
        </w:tc>
        <w:tc>
          <w:tcPr>
            <w:tcW w:w="1843" w:type="dxa"/>
            <w:shd w:val="clear" w:color="auto" w:fill="4F81BD" w:themeFill="accent1"/>
          </w:tcPr>
          <w:p w:rsidR="009A6F2E" w:rsidRPr="00415096" w:rsidRDefault="009A6F2E" w:rsidP="00171423">
            <w:pPr>
              <w:jc w:val="center"/>
              <w:cnfStyle w:val="000000100000"/>
              <w:rPr>
                <w:rFonts w:ascii="Cambria Math" w:hAnsi="Cambria Math"/>
                <w:b/>
                <w:i/>
                <w:color w:val="FFFFFF" w:themeColor="background1"/>
                <w:lang w:val="en-US" w:eastAsia="nl-NL" w:bidi="en-US"/>
              </w:rPr>
            </w:pPr>
            <w:r w:rsidRPr="00415096">
              <w:rPr>
                <w:rFonts w:ascii="Cambria Math" w:hAnsi="Cambria Math"/>
                <w:b/>
                <w:i/>
                <w:color w:val="FFFFFF" w:themeColor="background1"/>
                <w:lang w:val="en-US" w:eastAsia="nl-NL" w:bidi="en-US"/>
              </w:rPr>
              <w:t>Y</w:t>
            </w:r>
            <w:r w:rsidRPr="00415096">
              <w:rPr>
                <w:rFonts w:ascii="Cambria Math" w:hAnsi="Cambria Math"/>
                <w:b/>
                <w:i/>
                <w:color w:val="FFFFFF" w:themeColor="background1"/>
                <w:vertAlign w:val="subscript"/>
                <w:lang w:val="en-US" w:eastAsia="nl-NL" w:bidi="en-US"/>
              </w:rPr>
              <w:t>t</w:t>
            </w:r>
            <w:r w:rsidRPr="00415096">
              <w:rPr>
                <w:rFonts w:ascii="Cambria Math" w:hAnsi="Cambria Math"/>
                <w:b/>
                <w:i/>
                <w:color w:val="FFFFFF" w:themeColor="background1"/>
                <w:lang w:val="en-US" w:eastAsia="nl-NL" w:bidi="en-US"/>
              </w:rPr>
              <w:t>*</w:t>
            </w:r>
          </w:p>
        </w:tc>
        <w:tc>
          <w:tcPr>
            <w:tcW w:w="1843" w:type="dxa"/>
            <w:shd w:val="clear" w:color="auto" w:fill="4F81BD" w:themeFill="accent1"/>
          </w:tcPr>
          <w:p w:rsidR="009A6F2E" w:rsidRPr="00415096" w:rsidRDefault="009A6F2E" w:rsidP="00171423">
            <w:pPr>
              <w:jc w:val="center"/>
              <w:cnfStyle w:val="000000100000"/>
              <w:rPr>
                <w:rFonts w:ascii="Cambria Math" w:hAnsi="Cambria Math"/>
                <w:b/>
                <w:i/>
                <w:color w:val="FFFFFF" w:themeColor="background1"/>
                <w:lang w:val="en-US" w:eastAsia="nl-NL" w:bidi="en-US"/>
              </w:rPr>
            </w:pPr>
            <w:r w:rsidRPr="00415096">
              <w:rPr>
                <w:rFonts w:ascii="Cambria Math" w:hAnsi="Cambria Math"/>
                <w:b/>
                <w:i/>
                <w:color w:val="FFFFFF" w:themeColor="background1"/>
                <w:lang w:val="en-US" w:eastAsia="nl-NL" w:bidi="en-US"/>
              </w:rPr>
              <w:t>I</w:t>
            </w:r>
            <w:r w:rsidRPr="00415096">
              <w:rPr>
                <w:rFonts w:ascii="Cambria Math" w:hAnsi="Cambria Math"/>
                <w:b/>
                <w:i/>
                <w:color w:val="FFFFFF" w:themeColor="background1"/>
                <w:vertAlign w:val="subscript"/>
                <w:lang w:val="en-US" w:eastAsia="nl-NL" w:bidi="en-US"/>
              </w:rPr>
              <w:t>t</w:t>
            </w:r>
            <w:r w:rsidRPr="00415096">
              <w:rPr>
                <w:rFonts w:ascii="Cambria Math" w:hAnsi="Cambria Math"/>
                <w:b/>
                <w:i/>
                <w:color w:val="FFFFFF" w:themeColor="background1"/>
                <w:lang w:val="en-US" w:eastAsia="nl-NL" w:bidi="en-US"/>
              </w:rPr>
              <w:t>*</w:t>
            </w:r>
          </w:p>
        </w:tc>
        <w:tc>
          <w:tcPr>
            <w:tcW w:w="1135" w:type="dxa"/>
            <w:shd w:val="clear" w:color="auto" w:fill="4F81BD" w:themeFill="accent1"/>
          </w:tcPr>
          <w:p w:rsidR="009A6F2E" w:rsidRPr="00415096" w:rsidRDefault="009A6F2E" w:rsidP="00171423">
            <w:pPr>
              <w:jc w:val="center"/>
              <w:cnfStyle w:val="000000100000"/>
              <w:rPr>
                <w:rFonts w:ascii="Cambria Math" w:hAnsi="Cambria Math"/>
                <w:b/>
                <w:i/>
                <w:color w:val="FFFFFF" w:themeColor="background1"/>
                <w:lang w:val="en-US" w:eastAsia="nl-NL" w:bidi="en-US"/>
              </w:rPr>
            </w:pPr>
            <w:r w:rsidRPr="00415096">
              <w:rPr>
                <w:rFonts w:ascii="Cambria Math" w:hAnsi="Cambria Math"/>
                <w:b/>
                <w:i/>
                <w:color w:val="FFFFFF" w:themeColor="background1"/>
                <w:lang w:val="en-US" w:eastAsia="nl-NL" w:bidi="en-US"/>
              </w:rPr>
              <w:t>P</w:t>
            </w:r>
            <w:r w:rsidRPr="00415096">
              <w:rPr>
                <w:rFonts w:ascii="Cambria Math" w:hAnsi="Cambria Math"/>
                <w:b/>
                <w:i/>
                <w:color w:val="FFFFFF" w:themeColor="background1"/>
                <w:vertAlign w:val="superscript"/>
                <w:lang w:val="en-US" w:eastAsia="nl-NL" w:bidi="en-US"/>
              </w:rPr>
              <w:t>e</w:t>
            </w:r>
            <w:r w:rsidRPr="00415096">
              <w:rPr>
                <w:rFonts w:ascii="Cambria Math" w:hAnsi="Cambria Math"/>
                <w:b/>
                <w:i/>
                <w:color w:val="FFFFFF" w:themeColor="background1"/>
                <w:vertAlign w:val="subscript"/>
                <w:lang w:val="en-US" w:eastAsia="nl-NL" w:bidi="en-US"/>
              </w:rPr>
              <w:t>t</w:t>
            </w:r>
            <w:r w:rsidRPr="00415096">
              <w:rPr>
                <w:rFonts w:ascii="Cambria Math" w:hAnsi="Cambria Math"/>
                <w:b/>
                <w:i/>
                <w:color w:val="FFFFFF" w:themeColor="background1"/>
                <w:lang w:val="en-US" w:eastAsia="nl-NL" w:bidi="en-US"/>
              </w:rPr>
              <w:t>*</w:t>
            </w:r>
          </w:p>
        </w:tc>
      </w:tr>
      <w:tr w:rsidR="009A6F2E" w:rsidRPr="00346EC8" w:rsidTr="00246C71">
        <w:tc>
          <w:tcPr>
            <w:cnfStyle w:val="001000000000"/>
            <w:tcW w:w="1682" w:type="dxa"/>
            <w:shd w:val="clear" w:color="auto" w:fill="4F81BD" w:themeFill="accent1"/>
          </w:tcPr>
          <w:p w:rsidR="009A6F2E" w:rsidRPr="00246C71" w:rsidRDefault="009A6F2E" w:rsidP="00F1547A">
            <w:pPr>
              <w:rPr>
                <w:color w:val="FFFFFF" w:themeColor="background1"/>
                <w:lang w:val="en-US" w:eastAsia="nl-NL" w:bidi="en-US"/>
              </w:rPr>
            </w:pPr>
            <w:r w:rsidRPr="00246C71">
              <w:rPr>
                <w:color w:val="FFFFFF" w:themeColor="background1"/>
                <w:lang w:val="en-US" w:eastAsia="nl-NL" w:bidi="en-US"/>
              </w:rPr>
              <w:t>Source:</w:t>
            </w:r>
          </w:p>
        </w:tc>
        <w:tc>
          <w:tcPr>
            <w:tcW w:w="1472" w:type="dxa"/>
          </w:tcPr>
          <w:p w:rsidR="009A6F2E" w:rsidRDefault="009A6F2E" w:rsidP="00171423">
            <w:pPr>
              <w:jc w:val="center"/>
              <w:cnfStyle w:val="000000000000"/>
              <w:rPr>
                <w:lang w:val="en-US" w:eastAsia="nl-NL" w:bidi="en-US"/>
              </w:rPr>
            </w:pPr>
          </w:p>
        </w:tc>
        <w:tc>
          <w:tcPr>
            <w:tcW w:w="1313" w:type="dxa"/>
          </w:tcPr>
          <w:p w:rsidR="009A6F2E" w:rsidRDefault="009A6F2E" w:rsidP="00171423">
            <w:pPr>
              <w:jc w:val="center"/>
              <w:cnfStyle w:val="000000000000"/>
              <w:rPr>
                <w:lang w:val="en-US" w:eastAsia="nl-NL" w:bidi="en-US"/>
              </w:rPr>
            </w:pPr>
            <w:r>
              <w:rPr>
                <w:lang w:val="en-US" w:eastAsia="nl-NL" w:bidi="en-US"/>
              </w:rPr>
              <w:t>Blockchain</w:t>
            </w:r>
          </w:p>
        </w:tc>
        <w:tc>
          <w:tcPr>
            <w:tcW w:w="1843" w:type="dxa"/>
          </w:tcPr>
          <w:p w:rsidR="009A6F2E" w:rsidRDefault="009A6F2E" w:rsidP="00171423">
            <w:pPr>
              <w:jc w:val="center"/>
              <w:cnfStyle w:val="000000000000"/>
              <w:rPr>
                <w:lang w:val="en-US" w:eastAsia="nl-NL" w:bidi="en-US"/>
              </w:rPr>
            </w:pPr>
            <w:r>
              <w:rPr>
                <w:rStyle w:val="eop"/>
                <w:rFonts w:ascii="Calibri" w:hAnsi="Calibri" w:cs="Segoe UI"/>
                <w:lang w:val="en-US"/>
              </w:rPr>
              <w:t>OECD.StatExtracts</w:t>
            </w:r>
          </w:p>
        </w:tc>
        <w:tc>
          <w:tcPr>
            <w:tcW w:w="1843" w:type="dxa"/>
          </w:tcPr>
          <w:p w:rsidR="009A6F2E" w:rsidRDefault="009A6F2E" w:rsidP="00171423">
            <w:pPr>
              <w:jc w:val="center"/>
              <w:cnfStyle w:val="000000000000"/>
              <w:rPr>
                <w:lang w:val="en-US" w:eastAsia="nl-NL" w:bidi="en-US"/>
              </w:rPr>
            </w:pPr>
            <w:r>
              <w:rPr>
                <w:rStyle w:val="eop"/>
                <w:rFonts w:ascii="Calibri" w:hAnsi="Calibri" w:cs="Segoe UI"/>
                <w:lang w:val="en-US"/>
              </w:rPr>
              <w:t>OECD.StatExtracts</w:t>
            </w:r>
          </w:p>
        </w:tc>
        <w:tc>
          <w:tcPr>
            <w:tcW w:w="1135" w:type="dxa"/>
          </w:tcPr>
          <w:p w:rsidR="009A6F2E" w:rsidRDefault="009A6F2E" w:rsidP="00171423">
            <w:pPr>
              <w:jc w:val="center"/>
              <w:cnfStyle w:val="000000000000"/>
              <w:rPr>
                <w:lang w:val="en-US" w:eastAsia="nl-NL" w:bidi="en-US"/>
              </w:rPr>
            </w:pPr>
            <w:r>
              <w:rPr>
                <w:rStyle w:val="eop"/>
                <w:rFonts w:ascii="Calibri" w:hAnsi="Calibri" w:cs="Segoe UI"/>
                <w:lang w:val="en-US"/>
              </w:rPr>
              <w:t>US Bureau of Labor Statistics</w:t>
            </w:r>
          </w:p>
        </w:tc>
      </w:tr>
      <w:tr w:rsidR="009A6F2E" w:rsidTr="00246C71">
        <w:trPr>
          <w:cnfStyle w:val="000000100000"/>
        </w:trPr>
        <w:tc>
          <w:tcPr>
            <w:cnfStyle w:val="001000000000"/>
            <w:tcW w:w="1682" w:type="dxa"/>
            <w:shd w:val="clear" w:color="auto" w:fill="4F81BD" w:themeFill="accent1"/>
          </w:tcPr>
          <w:p w:rsidR="009A6F2E" w:rsidRPr="00246C71" w:rsidRDefault="009A6F2E" w:rsidP="00F1547A">
            <w:pPr>
              <w:rPr>
                <w:color w:val="FFFFFF" w:themeColor="background1"/>
                <w:lang w:val="en-US" w:eastAsia="nl-NL" w:bidi="en-US"/>
              </w:rPr>
            </w:pPr>
            <w:r w:rsidRPr="00246C71">
              <w:rPr>
                <w:color w:val="FFFFFF" w:themeColor="background1"/>
                <w:lang w:val="en-US" w:eastAsia="nl-NL" w:bidi="en-US"/>
              </w:rPr>
              <w:t>Original frequency:</w:t>
            </w:r>
          </w:p>
        </w:tc>
        <w:tc>
          <w:tcPr>
            <w:tcW w:w="1472" w:type="dxa"/>
          </w:tcPr>
          <w:p w:rsidR="009A6F2E" w:rsidRDefault="009A6F2E" w:rsidP="00171423">
            <w:pPr>
              <w:jc w:val="center"/>
              <w:cnfStyle w:val="000000100000"/>
              <w:rPr>
                <w:lang w:val="en-US" w:eastAsia="nl-NL" w:bidi="en-US"/>
              </w:rPr>
            </w:pPr>
          </w:p>
        </w:tc>
        <w:tc>
          <w:tcPr>
            <w:tcW w:w="1313" w:type="dxa"/>
          </w:tcPr>
          <w:p w:rsidR="009A6F2E" w:rsidRDefault="009A6F2E" w:rsidP="00171423">
            <w:pPr>
              <w:jc w:val="center"/>
              <w:cnfStyle w:val="000000100000"/>
              <w:rPr>
                <w:lang w:val="en-US" w:eastAsia="nl-NL" w:bidi="en-US"/>
              </w:rPr>
            </w:pPr>
            <w:r>
              <w:rPr>
                <w:lang w:val="en-US" w:eastAsia="nl-NL" w:bidi="en-US"/>
              </w:rPr>
              <w:t>Daily</w:t>
            </w:r>
          </w:p>
        </w:tc>
        <w:tc>
          <w:tcPr>
            <w:tcW w:w="1843" w:type="dxa"/>
          </w:tcPr>
          <w:p w:rsidR="009A6F2E" w:rsidRDefault="009A6F2E" w:rsidP="00171423">
            <w:pPr>
              <w:jc w:val="center"/>
              <w:cnfStyle w:val="000000100000"/>
              <w:rPr>
                <w:lang w:val="en-US" w:eastAsia="nl-NL" w:bidi="en-US"/>
              </w:rPr>
            </w:pPr>
            <w:r>
              <w:rPr>
                <w:lang w:val="en-US" w:eastAsia="nl-NL" w:bidi="en-US"/>
              </w:rPr>
              <w:t>Monthly</w:t>
            </w:r>
          </w:p>
        </w:tc>
        <w:tc>
          <w:tcPr>
            <w:tcW w:w="1843" w:type="dxa"/>
          </w:tcPr>
          <w:p w:rsidR="009A6F2E" w:rsidRDefault="009A6F2E" w:rsidP="00171423">
            <w:pPr>
              <w:jc w:val="center"/>
              <w:cnfStyle w:val="000000100000"/>
              <w:rPr>
                <w:lang w:val="en-US" w:eastAsia="nl-NL" w:bidi="en-US"/>
              </w:rPr>
            </w:pPr>
            <w:r>
              <w:rPr>
                <w:lang w:val="en-US" w:eastAsia="nl-NL" w:bidi="en-US"/>
              </w:rPr>
              <w:t>Monthly</w:t>
            </w:r>
          </w:p>
        </w:tc>
        <w:tc>
          <w:tcPr>
            <w:tcW w:w="1135" w:type="dxa"/>
          </w:tcPr>
          <w:p w:rsidR="009A6F2E" w:rsidRDefault="009A6F2E" w:rsidP="00171423">
            <w:pPr>
              <w:jc w:val="center"/>
              <w:cnfStyle w:val="000000100000"/>
              <w:rPr>
                <w:lang w:val="en-US" w:eastAsia="nl-NL" w:bidi="en-US"/>
              </w:rPr>
            </w:pPr>
            <w:r>
              <w:rPr>
                <w:lang w:val="en-US" w:eastAsia="nl-NL" w:bidi="en-US"/>
              </w:rPr>
              <w:t>Monthly</w:t>
            </w:r>
          </w:p>
        </w:tc>
      </w:tr>
      <w:tr w:rsidR="009A6F2E" w:rsidRPr="00346EC8" w:rsidTr="00246C71">
        <w:tc>
          <w:tcPr>
            <w:cnfStyle w:val="001000000000"/>
            <w:tcW w:w="1682" w:type="dxa"/>
            <w:shd w:val="clear" w:color="auto" w:fill="4F81BD" w:themeFill="accent1"/>
          </w:tcPr>
          <w:p w:rsidR="009A6F2E" w:rsidRPr="00246C71" w:rsidRDefault="009A6F2E" w:rsidP="00F1547A">
            <w:pPr>
              <w:rPr>
                <w:color w:val="FFFFFF" w:themeColor="background1"/>
                <w:lang w:val="en-US" w:eastAsia="nl-NL" w:bidi="en-US"/>
              </w:rPr>
            </w:pPr>
            <w:r w:rsidRPr="00246C71">
              <w:rPr>
                <w:color w:val="FFFFFF" w:themeColor="background1"/>
                <w:lang w:val="en-US" w:eastAsia="nl-NL" w:bidi="en-US"/>
              </w:rPr>
              <w:t>Transformation:</w:t>
            </w:r>
          </w:p>
        </w:tc>
        <w:tc>
          <w:tcPr>
            <w:tcW w:w="1472" w:type="dxa"/>
          </w:tcPr>
          <w:p w:rsidR="009A6F2E" w:rsidRDefault="009A6F2E" w:rsidP="00171423">
            <w:pPr>
              <w:jc w:val="center"/>
              <w:cnfStyle w:val="000000000000"/>
              <w:rPr>
                <w:lang w:val="en-US" w:eastAsia="nl-NL" w:bidi="en-US"/>
              </w:rPr>
            </w:pPr>
          </w:p>
        </w:tc>
        <w:tc>
          <w:tcPr>
            <w:tcW w:w="1313" w:type="dxa"/>
          </w:tcPr>
          <w:p w:rsidR="009A6F2E" w:rsidRDefault="009A6F2E" w:rsidP="00171423">
            <w:pPr>
              <w:jc w:val="center"/>
              <w:cnfStyle w:val="000000000000"/>
              <w:rPr>
                <w:lang w:val="en-US" w:eastAsia="nl-NL" w:bidi="en-US"/>
              </w:rPr>
            </w:pPr>
            <w:r>
              <w:rPr>
                <w:lang w:val="en-US" w:eastAsia="nl-NL" w:bidi="en-US"/>
              </w:rPr>
              <w:t>Last observation of the week is used</w:t>
            </w:r>
          </w:p>
        </w:tc>
        <w:tc>
          <w:tcPr>
            <w:tcW w:w="1843" w:type="dxa"/>
          </w:tcPr>
          <w:p w:rsidR="009A6F2E" w:rsidRDefault="009A6F2E" w:rsidP="00171423">
            <w:pPr>
              <w:jc w:val="center"/>
              <w:cnfStyle w:val="000000000000"/>
              <w:rPr>
                <w:lang w:val="en-US" w:eastAsia="nl-NL" w:bidi="en-US"/>
              </w:rPr>
            </w:pPr>
            <w:r>
              <w:rPr>
                <w:lang w:val="en-US" w:eastAsia="nl-NL" w:bidi="en-US"/>
              </w:rPr>
              <w:t>Linearly filling in the unknown weeks after constructing a population weighted average</w:t>
            </w:r>
          </w:p>
        </w:tc>
        <w:tc>
          <w:tcPr>
            <w:tcW w:w="1843" w:type="dxa"/>
          </w:tcPr>
          <w:p w:rsidR="009A6F2E" w:rsidRDefault="009A6F2E" w:rsidP="00171423">
            <w:pPr>
              <w:jc w:val="center"/>
              <w:cnfStyle w:val="000000000000"/>
              <w:rPr>
                <w:lang w:val="en-US" w:eastAsia="nl-NL" w:bidi="en-US"/>
              </w:rPr>
            </w:pPr>
            <w:r>
              <w:rPr>
                <w:lang w:val="en-US" w:eastAsia="nl-NL" w:bidi="en-US"/>
              </w:rPr>
              <w:t>Linearly filling in the unknown weeks after constructing a population weighted average</w:t>
            </w:r>
          </w:p>
        </w:tc>
        <w:tc>
          <w:tcPr>
            <w:tcW w:w="1135" w:type="dxa"/>
          </w:tcPr>
          <w:p w:rsidR="009A6F2E" w:rsidRDefault="009A6F2E" w:rsidP="004454F3">
            <w:pPr>
              <w:keepNext/>
              <w:jc w:val="center"/>
              <w:cnfStyle w:val="000000000000"/>
              <w:rPr>
                <w:lang w:val="en-US" w:eastAsia="nl-NL" w:bidi="en-US"/>
              </w:rPr>
            </w:pPr>
            <w:r>
              <w:rPr>
                <w:lang w:val="en-US" w:eastAsia="nl-NL" w:bidi="en-US"/>
              </w:rPr>
              <w:t xml:space="preserve">Linearly filling in the unknown weeks after converting US CPI data into Bitcoins using </w:t>
            </w:r>
            <w:r>
              <w:rPr>
                <w:rFonts w:ascii="Cambria Math" w:hAnsi="Cambria Math"/>
                <w:i/>
                <w:lang w:val="en-US" w:eastAsia="nl-NL" w:bidi="en-US"/>
              </w:rPr>
              <w:t>S</w:t>
            </w:r>
            <w:r>
              <w:rPr>
                <w:rFonts w:ascii="Cambria Math" w:hAnsi="Cambria Math"/>
                <w:i/>
                <w:vertAlign w:val="subscript"/>
                <w:lang w:val="en-US" w:eastAsia="nl-NL" w:bidi="en-US"/>
              </w:rPr>
              <w:t>t</w:t>
            </w:r>
          </w:p>
        </w:tc>
      </w:tr>
    </w:tbl>
    <w:p w:rsidR="00265698" w:rsidRPr="000655FF" w:rsidRDefault="004454F3" w:rsidP="004454F3">
      <w:pPr>
        <w:pStyle w:val="Caption"/>
        <w:rPr>
          <w:lang w:val="en-US" w:eastAsia="nl-NL" w:bidi="en-US"/>
        </w:rPr>
      </w:pPr>
      <w:r w:rsidRPr="0084634F">
        <w:rPr>
          <w:lang w:val="en-US"/>
        </w:rPr>
        <w:t xml:space="preserve">Table </w:t>
      </w:r>
      <w:r w:rsidR="00DB780A">
        <w:fldChar w:fldCharType="begin"/>
      </w:r>
      <w:r w:rsidRPr="0084634F">
        <w:rPr>
          <w:lang w:val="en-US"/>
        </w:rPr>
        <w:instrText xml:space="preserve"> SEQ Table \* ARABIC </w:instrText>
      </w:r>
      <w:r w:rsidR="00DB780A">
        <w:fldChar w:fldCharType="separate"/>
      </w:r>
      <w:r w:rsidRPr="0084634F">
        <w:rPr>
          <w:noProof/>
          <w:lang w:val="en-US"/>
        </w:rPr>
        <w:t>21</w:t>
      </w:r>
      <w:r w:rsidR="00DB780A">
        <w:fldChar w:fldCharType="end"/>
      </w:r>
      <w:r w:rsidRPr="0084634F">
        <w:rPr>
          <w:lang w:val="en-US"/>
        </w:rPr>
        <w:t xml:space="preserve"> | Various information about the datasets</w:t>
      </w:r>
    </w:p>
    <w:sectPr w:rsidR="00265698" w:rsidRPr="000655FF" w:rsidSect="00B679B3">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C96" w:rsidRDefault="00091C96" w:rsidP="008A4B15">
      <w:pPr>
        <w:spacing w:after="0" w:line="240" w:lineRule="auto"/>
      </w:pPr>
      <w:r>
        <w:separator/>
      </w:r>
    </w:p>
  </w:endnote>
  <w:endnote w:type="continuationSeparator" w:id="0">
    <w:p w:rsidR="00091C96" w:rsidRDefault="00091C96" w:rsidP="008A4B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0866943"/>
      <w:docPartObj>
        <w:docPartGallery w:val="Page Numbers (Bottom of Page)"/>
        <w:docPartUnique/>
      </w:docPartObj>
    </w:sdtPr>
    <w:sdtContent>
      <w:p w:rsidR="004205AA" w:rsidRDefault="004205AA">
        <w:pPr>
          <w:pStyle w:val="Footer"/>
          <w:jc w:val="right"/>
        </w:pPr>
        <w:r>
          <w:t xml:space="preserve">Page | </w:t>
        </w:r>
        <w:fldSimple w:instr=" PAGE   \* MERGEFORMAT ">
          <w:r w:rsidR="00E869A9">
            <w:rPr>
              <w:noProof/>
            </w:rPr>
            <w:t>27</w:t>
          </w:r>
        </w:fldSimple>
        <w:r>
          <w:t xml:space="preserve"> </w:t>
        </w:r>
      </w:p>
    </w:sdtContent>
  </w:sdt>
  <w:p w:rsidR="004205AA" w:rsidRDefault="004205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C96" w:rsidRDefault="00091C96" w:rsidP="008A4B15">
      <w:pPr>
        <w:spacing w:after="0" w:line="240" w:lineRule="auto"/>
      </w:pPr>
      <w:r>
        <w:separator/>
      </w:r>
    </w:p>
  </w:footnote>
  <w:footnote w:type="continuationSeparator" w:id="0">
    <w:p w:rsidR="00091C96" w:rsidRDefault="00091C96" w:rsidP="008A4B15">
      <w:pPr>
        <w:spacing w:after="0" w:line="240" w:lineRule="auto"/>
      </w:pPr>
      <w:r>
        <w:continuationSeparator/>
      </w:r>
    </w:p>
  </w:footnote>
  <w:footnote w:id="1">
    <w:p w:rsidR="004205AA" w:rsidRPr="00AC391D" w:rsidRDefault="004205AA" w:rsidP="003F6AD1">
      <w:pPr>
        <w:pStyle w:val="FootnoteText"/>
        <w:jc w:val="both"/>
        <w:rPr>
          <w:lang w:val="en-US"/>
        </w:rPr>
      </w:pPr>
      <w:r>
        <w:rPr>
          <w:rStyle w:val="FootnoteReference"/>
        </w:rPr>
        <w:footnoteRef/>
      </w:r>
      <w:r w:rsidRPr="00AC391D">
        <w:rPr>
          <w:lang w:val="en-US"/>
        </w:rPr>
        <w:t xml:space="preserve"> Developed by Ludwig von </w:t>
      </w:r>
      <w:proofErr w:type="spellStart"/>
      <w:r w:rsidRPr="00AC391D">
        <w:rPr>
          <w:lang w:val="en-US"/>
        </w:rPr>
        <w:t>Mises</w:t>
      </w:r>
      <w:proofErr w:type="spellEnd"/>
      <w:r w:rsidRPr="00AC391D">
        <w:rPr>
          <w:lang w:val="en-US"/>
        </w:rPr>
        <w:t xml:space="preserve"> </w:t>
      </w:r>
      <w:sdt>
        <w:sdtPr>
          <w:rPr>
            <w:lang w:val="en-US"/>
          </w:rPr>
          <w:id w:val="1090866196"/>
          <w:citation/>
        </w:sdtPr>
        <w:sdtContent>
          <w:r>
            <w:rPr>
              <w:lang w:val="en-US"/>
            </w:rPr>
            <w:fldChar w:fldCharType="begin"/>
          </w:r>
          <w:r w:rsidRPr="00AC391D">
            <w:rPr>
              <w:lang w:val="en-US"/>
            </w:rPr>
            <w:instrText xml:space="preserve"> CITATION Lud12 \n  \t  \l 1043  </w:instrText>
          </w:r>
          <w:r>
            <w:rPr>
              <w:lang w:val="en-US"/>
            </w:rPr>
            <w:fldChar w:fldCharType="separate"/>
          </w:r>
          <w:r>
            <w:rPr>
              <w:noProof/>
              <w:lang w:val="en-US"/>
            </w:rPr>
            <w:t>(1912)</w:t>
          </w:r>
          <w:r>
            <w:rPr>
              <w:lang w:val="en-US"/>
            </w:rPr>
            <w:fldChar w:fldCharType="end"/>
          </w:r>
        </w:sdtContent>
      </w:sdt>
      <w:r w:rsidRPr="00AC391D">
        <w:rPr>
          <w:lang w:val="en-US"/>
        </w:rPr>
        <w:t xml:space="preserve">. </w:t>
      </w:r>
      <w:r>
        <w:rPr>
          <w:lang w:val="en-US"/>
        </w:rPr>
        <w:t>It states that people value money today, because of its expected purchasing power tomorrow.  The Bitcoin fails to satisfy this because of the Bitcoin's high volatility. It is very uncertain what its purchasing power tomorrow will be. Also, the number of merchants accepting the Bitcoin is, while it is rising, still low.</w:t>
      </w:r>
    </w:p>
  </w:footnote>
  <w:footnote w:id="2">
    <w:p w:rsidR="004205AA" w:rsidRPr="009A6F2E" w:rsidRDefault="004205AA" w:rsidP="003F6AD1">
      <w:pPr>
        <w:pStyle w:val="FootnoteText"/>
        <w:jc w:val="both"/>
        <w:rPr>
          <w:lang w:val="en-US"/>
        </w:rPr>
      </w:pPr>
      <w:r>
        <w:rPr>
          <w:rStyle w:val="FootnoteReference"/>
        </w:rPr>
        <w:footnoteRef/>
      </w:r>
      <w:r w:rsidRPr="009A6F2E">
        <w:rPr>
          <w:lang w:val="en-US"/>
        </w:rPr>
        <w:t xml:space="preserve"> The following </w:t>
      </w:r>
      <w:r>
        <w:rPr>
          <w:lang w:val="en-US"/>
        </w:rPr>
        <w:t xml:space="preserve">OECD </w:t>
      </w:r>
      <w:r w:rsidRPr="009A6F2E">
        <w:rPr>
          <w:lang w:val="en-US"/>
        </w:rPr>
        <w:t>countries were used</w:t>
      </w:r>
      <w:r>
        <w:rPr>
          <w:lang w:val="en-US"/>
        </w:rPr>
        <w:t xml:space="preserve"> to construct the average: Australia, Canada, Chile, Czech Republic, Denmark, Euro Area (18), Hungary, Iceland, Israel, Japan, Korea, Mexico, New Zealand, Norway, Poland, Sweden, Switzerland, United Kingdom, United States. </w:t>
      </w:r>
      <w:r w:rsidRPr="009A6F2E">
        <w:rPr>
          <w:lang w:val="en-US"/>
        </w:rPr>
        <w:t xml:space="preserve">The following </w:t>
      </w:r>
      <w:r>
        <w:rPr>
          <w:lang w:val="en-US"/>
        </w:rPr>
        <w:t xml:space="preserve">non-OECD </w:t>
      </w:r>
      <w:r w:rsidRPr="009A6F2E">
        <w:rPr>
          <w:lang w:val="en-US"/>
        </w:rPr>
        <w:t>countries were used</w:t>
      </w:r>
      <w:r>
        <w:rPr>
          <w:lang w:val="en-US"/>
        </w:rPr>
        <w:t xml:space="preserve"> to construct the average: China, Indonesia, Russian Federation, South Africa.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6213D"/>
    <w:multiLevelType w:val="hybridMultilevel"/>
    <w:tmpl w:val="A0B48D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CAB3F8F"/>
    <w:multiLevelType w:val="hybridMultilevel"/>
    <w:tmpl w:val="43269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EA21659"/>
    <w:multiLevelType w:val="hybridMultilevel"/>
    <w:tmpl w:val="32CE87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56D7C99"/>
    <w:multiLevelType w:val="hybridMultilevel"/>
    <w:tmpl w:val="78DE4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90541FA"/>
    <w:multiLevelType w:val="hybridMultilevel"/>
    <w:tmpl w:val="9120FC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DCE52C3"/>
    <w:multiLevelType w:val="hybridMultilevel"/>
    <w:tmpl w:val="9AF096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E3526BD"/>
    <w:multiLevelType w:val="hybridMultilevel"/>
    <w:tmpl w:val="0B24BC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4577287"/>
    <w:multiLevelType w:val="multilevel"/>
    <w:tmpl w:val="CA84B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430ED5"/>
    <w:multiLevelType w:val="hybridMultilevel"/>
    <w:tmpl w:val="79066F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02F7289"/>
    <w:multiLevelType w:val="hybridMultilevel"/>
    <w:tmpl w:val="AF2CC2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204390A"/>
    <w:multiLevelType w:val="hybridMultilevel"/>
    <w:tmpl w:val="E876B7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2FF3CE3"/>
    <w:multiLevelType w:val="hybridMultilevel"/>
    <w:tmpl w:val="47E818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93637B2"/>
    <w:multiLevelType w:val="hybridMultilevel"/>
    <w:tmpl w:val="E4820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99D14A0"/>
    <w:multiLevelType w:val="hybridMultilevel"/>
    <w:tmpl w:val="0B5292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AEB6F5E"/>
    <w:multiLevelType w:val="hybridMultilevel"/>
    <w:tmpl w:val="4A6802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D3A6703"/>
    <w:multiLevelType w:val="multilevel"/>
    <w:tmpl w:val="0413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2"/>
  </w:num>
  <w:num w:numId="3">
    <w:abstractNumId w:val="14"/>
  </w:num>
  <w:num w:numId="4">
    <w:abstractNumId w:val="4"/>
  </w:num>
  <w:num w:numId="5">
    <w:abstractNumId w:val="13"/>
  </w:num>
  <w:num w:numId="6">
    <w:abstractNumId w:val="5"/>
  </w:num>
  <w:num w:numId="7">
    <w:abstractNumId w:val="12"/>
  </w:num>
  <w:num w:numId="8">
    <w:abstractNumId w:val="11"/>
  </w:num>
  <w:num w:numId="9">
    <w:abstractNumId w:val="9"/>
  </w:num>
  <w:num w:numId="10">
    <w:abstractNumId w:val="0"/>
  </w:num>
  <w:num w:numId="11">
    <w:abstractNumId w:val="1"/>
  </w:num>
  <w:num w:numId="12">
    <w:abstractNumId w:val="3"/>
  </w:num>
  <w:num w:numId="13">
    <w:abstractNumId w:val="8"/>
  </w:num>
  <w:num w:numId="14">
    <w:abstractNumId w:val="6"/>
  </w:num>
  <w:num w:numId="15">
    <w:abstractNumId w:val="15"/>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F7B0E"/>
    <w:rsid w:val="00000B1E"/>
    <w:rsid w:val="00004357"/>
    <w:rsid w:val="00022620"/>
    <w:rsid w:val="00033F15"/>
    <w:rsid w:val="00036885"/>
    <w:rsid w:val="0004118C"/>
    <w:rsid w:val="00041E6A"/>
    <w:rsid w:val="0005725E"/>
    <w:rsid w:val="000655FF"/>
    <w:rsid w:val="00082ECB"/>
    <w:rsid w:val="000850C9"/>
    <w:rsid w:val="00091C96"/>
    <w:rsid w:val="000A26FA"/>
    <w:rsid w:val="000A2CE8"/>
    <w:rsid w:val="000B1FE1"/>
    <w:rsid w:val="000B4562"/>
    <w:rsid w:val="000C56AB"/>
    <w:rsid w:val="000D69A8"/>
    <w:rsid w:val="000E2B86"/>
    <w:rsid w:val="000E793D"/>
    <w:rsid w:val="00101832"/>
    <w:rsid w:val="00102DE7"/>
    <w:rsid w:val="00111AB3"/>
    <w:rsid w:val="00113DF4"/>
    <w:rsid w:val="00122C0B"/>
    <w:rsid w:val="001414F0"/>
    <w:rsid w:val="00151F49"/>
    <w:rsid w:val="001537AF"/>
    <w:rsid w:val="00170562"/>
    <w:rsid w:val="00170695"/>
    <w:rsid w:val="00171423"/>
    <w:rsid w:val="00171808"/>
    <w:rsid w:val="00172700"/>
    <w:rsid w:val="001839F8"/>
    <w:rsid w:val="00186593"/>
    <w:rsid w:val="00192C67"/>
    <w:rsid w:val="001954C8"/>
    <w:rsid w:val="001A2382"/>
    <w:rsid w:val="001A3F3C"/>
    <w:rsid w:val="001B14F6"/>
    <w:rsid w:val="001B6BA3"/>
    <w:rsid w:val="001E7A3E"/>
    <w:rsid w:val="001F53E6"/>
    <w:rsid w:val="001F7B0E"/>
    <w:rsid w:val="00202C64"/>
    <w:rsid w:val="00211731"/>
    <w:rsid w:val="00216843"/>
    <w:rsid w:val="00222AA0"/>
    <w:rsid w:val="00224B02"/>
    <w:rsid w:val="00225C66"/>
    <w:rsid w:val="0023673A"/>
    <w:rsid w:val="002370ED"/>
    <w:rsid w:val="00240CE9"/>
    <w:rsid w:val="00246C71"/>
    <w:rsid w:val="00262E9D"/>
    <w:rsid w:val="002642BC"/>
    <w:rsid w:val="0026538F"/>
    <w:rsid w:val="00265698"/>
    <w:rsid w:val="002851B0"/>
    <w:rsid w:val="00296871"/>
    <w:rsid w:val="002A195D"/>
    <w:rsid w:val="002A62CC"/>
    <w:rsid w:val="002B4328"/>
    <w:rsid w:val="002B7AD5"/>
    <w:rsid w:val="002D6245"/>
    <w:rsid w:val="002F6565"/>
    <w:rsid w:val="003235DE"/>
    <w:rsid w:val="00325C5B"/>
    <w:rsid w:val="0033190C"/>
    <w:rsid w:val="003360E1"/>
    <w:rsid w:val="0034430D"/>
    <w:rsid w:val="00346EC8"/>
    <w:rsid w:val="00356381"/>
    <w:rsid w:val="00357195"/>
    <w:rsid w:val="00364C97"/>
    <w:rsid w:val="00373A96"/>
    <w:rsid w:val="00374E81"/>
    <w:rsid w:val="003A718C"/>
    <w:rsid w:val="003A757B"/>
    <w:rsid w:val="003C6B76"/>
    <w:rsid w:val="003C70BB"/>
    <w:rsid w:val="003F019C"/>
    <w:rsid w:val="003F282D"/>
    <w:rsid w:val="003F6AD1"/>
    <w:rsid w:val="004106E1"/>
    <w:rsid w:val="0041240A"/>
    <w:rsid w:val="00414EF3"/>
    <w:rsid w:val="00415096"/>
    <w:rsid w:val="004205AA"/>
    <w:rsid w:val="00421EA1"/>
    <w:rsid w:val="00426A0E"/>
    <w:rsid w:val="0043411C"/>
    <w:rsid w:val="00443B38"/>
    <w:rsid w:val="004454F3"/>
    <w:rsid w:val="0045354B"/>
    <w:rsid w:val="0046040D"/>
    <w:rsid w:val="00464197"/>
    <w:rsid w:val="004648C4"/>
    <w:rsid w:val="0046658C"/>
    <w:rsid w:val="00466881"/>
    <w:rsid w:val="00481D80"/>
    <w:rsid w:val="00484F01"/>
    <w:rsid w:val="004A5D59"/>
    <w:rsid w:val="004B0255"/>
    <w:rsid w:val="004B39B0"/>
    <w:rsid w:val="004C21C4"/>
    <w:rsid w:val="004C2255"/>
    <w:rsid w:val="004D3E36"/>
    <w:rsid w:val="004E6A7B"/>
    <w:rsid w:val="004F2803"/>
    <w:rsid w:val="004F7DB7"/>
    <w:rsid w:val="005051DE"/>
    <w:rsid w:val="00507A30"/>
    <w:rsid w:val="00515FFD"/>
    <w:rsid w:val="00537DA6"/>
    <w:rsid w:val="00543171"/>
    <w:rsid w:val="00547E1E"/>
    <w:rsid w:val="00555600"/>
    <w:rsid w:val="00571780"/>
    <w:rsid w:val="00572642"/>
    <w:rsid w:val="0057681B"/>
    <w:rsid w:val="005870C7"/>
    <w:rsid w:val="005E1E88"/>
    <w:rsid w:val="005F38FD"/>
    <w:rsid w:val="005F47AA"/>
    <w:rsid w:val="00603619"/>
    <w:rsid w:val="00630485"/>
    <w:rsid w:val="006353E1"/>
    <w:rsid w:val="00641180"/>
    <w:rsid w:val="00641BDB"/>
    <w:rsid w:val="00650F14"/>
    <w:rsid w:val="00652741"/>
    <w:rsid w:val="00653B9F"/>
    <w:rsid w:val="00686474"/>
    <w:rsid w:val="00687F02"/>
    <w:rsid w:val="00697CC8"/>
    <w:rsid w:val="006C22BC"/>
    <w:rsid w:val="006D11FD"/>
    <w:rsid w:val="006D50B6"/>
    <w:rsid w:val="006E025D"/>
    <w:rsid w:val="006E3648"/>
    <w:rsid w:val="006F093F"/>
    <w:rsid w:val="006F1825"/>
    <w:rsid w:val="006F56DC"/>
    <w:rsid w:val="006F7876"/>
    <w:rsid w:val="00703E2E"/>
    <w:rsid w:val="00705E99"/>
    <w:rsid w:val="00730D12"/>
    <w:rsid w:val="00735207"/>
    <w:rsid w:val="007355EC"/>
    <w:rsid w:val="00741A75"/>
    <w:rsid w:val="00743BDA"/>
    <w:rsid w:val="00757409"/>
    <w:rsid w:val="0076064D"/>
    <w:rsid w:val="00762E6F"/>
    <w:rsid w:val="00773FF0"/>
    <w:rsid w:val="007C6E94"/>
    <w:rsid w:val="007C7C5F"/>
    <w:rsid w:val="007D4B22"/>
    <w:rsid w:val="007E2D5E"/>
    <w:rsid w:val="007F085C"/>
    <w:rsid w:val="007F42F6"/>
    <w:rsid w:val="007F47CE"/>
    <w:rsid w:val="00803036"/>
    <w:rsid w:val="008133FE"/>
    <w:rsid w:val="008239CA"/>
    <w:rsid w:val="00833DF2"/>
    <w:rsid w:val="00834DDB"/>
    <w:rsid w:val="00837B05"/>
    <w:rsid w:val="00840990"/>
    <w:rsid w:val="00840C99"/>
    <w:rsid w:val="0084634F"/>
    <w:rsid w:val="0085084A"/>
    <w:rsid w:val="00854C31"/>
    <w:rsid w:val="00865308"/>
    <w:rsid w:val="008910E6"/>
    <w:rsid w:val="00897EB0"/>
    <w:rsid w:val="008A4B15"/>
    <w:rsid w:val="008B54A2"/>
    <w:rsid w:val="008C3095"/>
    <w:rsid w:val="008D792C"/>
    <w:rsid w:val="008F34F2"/>
    <w:rsid w:val="008F5E74"/>
    <w:rsid w:val="00902135"/>
    <w:rsid w:val="00904D3B"/>
    <w:rsid w:val="00910054"/>
    <w:rsid w:val="0091249E"/>
    <w:rsid w:val="00920F20"/>
    <w:rsid w:val="009319E2"/>
    <w:rsid w:val="00943E59"/>
    <w:rsid w:val="00951DD0"/>
    <w:rsid w:val="00960EE6"/>
    <w:rsid w:val="00962F53"/>
    <w:rsid w:val="00967B1A"/>
    <w:rsid w:val="00973D38"/>
    <w:rsid w:val="00977104"/>
    <w:rsid w:val="009A1768"/>
    <w:rsid w:val="009A4096"/>
    <w:rsid w:val="009A58AA"/>
    <w:rsid w:val="009A6F2E"/>
    <w:rsid w:val="009C2493"/>
    <w:rsid w:val="009F4306"/>
    <w:rsid w:val="00A03B6D"/>
    <w:rsid w:val="00A078D7"/>
    <w:rsid w:val="00A220AA"/>
    <w:rsid w:val="00A23C5D"/>
    <w:rsid w:val="00A411AD"/>
    <w:rsid w:val="00A538A8"/>
    <w:rsid w:val="00A739EB"/>
    <w:rsid w:val="00A80D7B"/>
    <w:rsid w:val="00A81B06"/>
    <w:rsid w:val="00A82833"/>
    <w:rsid w:val="00A906B7"/>
    <w:rsid w:val="00A92127"/>
    <w:rsid w:val="00AA41B0"/>
    <w:rsid w:val="00AA6017"/>
    <w:rsid w:val="00AC29A7"/>
    <w:rsid w:val="00AC391D"/>
    <w:rsid w:val="00AC3B23"/>
    <w:rsid w:val="00AC6BB1"/>
    <w:rsid w:val="00AD2EA4"/>
    <w:rsid w:val="00AE4ECB"/>
    <w:rsid w:val="00AE7EA4"/>
    <w:rsid w:val="00AF6B3D"/>
    <w:rsid w:val="00B03763"/>
    <w:rsid w:val="00B532B4"/>
    <w:rsid w:val="00B57A96"/>
    <w:rsid w:val="00B679B3"/>
    <w:rsid w:val="00B77459"/>
    <w:rsid w:val="00B818E5"/>
    <w:rsid w:val="00B84DB4"/>
    <w:rsid w:val="00B86DF3"/>
    <w:rsid w:val="00B96876"/>
    <w:rsid w:val="00BA0575"/>
    <w:rsid w:val="00BE25BC"/>
    <w:rsid w:val="00BE655E"/>
    <w:rsid w:val="00C05BE8"/>
    <w:rsid w:val="00C06A0E"/>
    <w:rsid w:val="00C145D2"/>
    <w:rsid w:val="00C15249"/>
    <w:rsid w:val="00C179E8"/>
    <w:rsid w:val="00C238AE"/>
    <w:rsid w:val="00C24D45"/>
    <w:rsid w:val="00C56EC8"/>
    <w:rsid w:val="00C67E5D"/>
    <w:rsid w:val="00C874AA"/>
    <w:rsid w:val="00CA08EB"/>
    <w:rsid w:val="00CA2E65"/>
    <w:rsid w:val="00CC0A92"/>
    <w:rsid w:val="00CC116A"/>
    <w:rsid w:val="00CC4901"/>
    <w:rsid w:val="00CC60EF"/>
    <w:rsid w:val="00CD6748"/>
    <w:rsid w:val="00CE2BA2"/>
    <w:rsid w:val="00CE6826"/>
    <w:rsid w:val="00D05D86"/>
    <w:rsid w:val="00D13705"/>
    <w:rsid w:val="00D16051"/>
    <w:rsid w:val="00D165EE"/>
    <w:rsid w:val="00D273FA"/>
    <w:rsid w:val="00D27663"/>
    <w:rsid w:val="00D41687"/>
    <w:rsid w:val="00D539B9"/>
    <w:rsid w:val="00D73ABF"/>
    <w:rsid w:val="00D84C7C"/>
    <w:rsid w:val="00D8702C"/>
    <w:rsid w:val="00D92DD9"/>
    <w:rsid w:val="00DB0595"/>
    <w:rsid w:val="00DB6D50"/>
    <w:rsid w:val="00DB746E"/>
    <w:rsid w:val="00DB780A"/>
    <w:rsid w:val="00DC252D"/>
    <w:rsid w:val="00DC313B"/>
    <w:rsid w:val="00DD28F9"/>
    <w:rsid w:val="00DE0DC6"/>
    <w:rsid w:val="00DE1ECC"/>
    <w:rsid w:val="00DE7374"/>
    <w:rsid w:val="00DF296A"/>
    <w:rsid w:val="00DF548D"/>
    <w:rsid w:val="00DF5CF4"/>
    <w:rsid w:val="00DF726F"/>
    <w:rsid w:val="00E33B93"/>
    <w:rsid w:val="00E34E36"/>
    <w:rsid w:val="00E4088A"/>
    <w:rsid w:val="00E5052A"/>
    <w:rsid w:val="00E62129"/>
    <w:rsid w:val="00E63311"/>
    <w:rsid w:val="00E6699F"/>
    <w:rsid w:val="00E869A9"/>
    <w:rsid w:val="00E8782E"/>
    <w:rsid w:val="00EA154A"/>
    <w:rsid w:val="00EA1A92"/>
    <w:rsid w:val="00EA6AAE"/>
    <w:rsid w:val="00EB4257"/>
    <w:rsid w:val="00EB4EBB"/>
    <w:rsid w:val="00EC3625"/>
    <w:rsid w:val="00ED460E"/>
    <w:rsid w:val="00EF3B13"/>
    <w:rsid w:val="00EF4234"/>
    <w:rsid w:val="00F12AB1"/>
    <w:rsid w:val="00F13942"/>
    <w:rsid w:val="00F1547A"/>
    <w:rsid w:val="00F25DCD"/>
    <w:rsid w:val="00F4718C"/>
    <w:rsid w:val="00F60106"/>
    <w:rsid w:val="00F61D97"/>
    <w:rsid w:val="00F627B2"/>
    <w:rsid w:val="00F74A94"/>
    <w:rsid w:val="00FA0AE5"/>
    <w:rsid w:val="00FC3C21"/>
    <w:rsid w:val="00FD124F"/>
    <w:rsid w:val="00FE027E"/>
    <w:rsid w:val="00FE087C"/>
    <w:rsid w:val="00FE1DD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58C"/>
  </w:style>
  <w:style w:type="paragraph" w:styleId="Heading1">
    <w:name w:val="heading 1"/>
    <w:basedOn w:val="Normal"/>
    <w:next w:val="Normal"/>
    <w:link w:val="Heading1Char"/>
    <w:uiPriority w:val="9"/>
    <w:qFormat/>
    <w:rsid w:val="00170562"/>
    <w:pPr>
      <w:keepNext/>
      <w:keepLines/>
      <w:numPr>
        <w:numId w:val="15"/>
      </w:numPr>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paragraph" w:styleId="Heading2">
    <w:name w:val="heading 2"/>
    <w:basedOn w:val="Normal"/>
    <w:next w:val="Normal"/>
    <w:link w:val="Heading2Char"/>
    <w:uiPriority w:val="9"/>
    <w:unhideWhenUsed/>
    <w:qFormat/>
    <w:rsid w:val="00743BDA"/>
    <w:pPr>
      <w:keepNext/>
      <w:keepLines/>
      <w:numPr>
        <w:ilvl w:val="1"/>
        <w:numId w:val="1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70695"/>
    <w:pPr>
      <w:keepNext/>
      <w:keepLines/>
      <w:numPr>
        <w:ilvl w:val="2"/>
        <w:numId w:val="1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70695"/>
    <w:pPr>
      <w:keepNext/>
      <w:keepLines/>
      <w:numPr>
        <w:ilvl w:val="3"/>
        <w:numId w:val="1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70695"/>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70695"/>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70695"/>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70695"/>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70695"/>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F7B0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1F7B0E"/>
  </w:style>
  <w:style w:type="character" w:customStyle="1" w:styleId="eop">
    <w:name w:val="eop"/>
    <w:basedOn w:val="DefaultParagraphFont"/>
    <w:rsid w:val="001F7B0E"/>
  </w:style>
  <w:style w:type="character" w:customStyle="1" w:styleId="apple-converted-space">
    <w:name w:val="apple-converted-space"/>
    <w:basedOn w:val="DefaultParagraphFont"/>
    <w:rsid w:val="001F7B0E"/>
  </w:style>
  <w:style w:type="character" w:customStyle="1" w:styleId="pagebreaktextspan">
    <w:name w:val="pagebreaktextspan"/>
    <w:basedOn w:val="DefaultParagraphFont"/>
    <w:rsid w:val="001F7B0E"/>
  </w:style>
  <w:style w:type="character" w:customStyle="1" w:styleId="spellingerror">
    <w:name w:val="spellingerror"/>
    <w:basedOn w:val="DefaultParagraphFont"/>
    <w:rsid w:val="001F7B0E"/>
  </w:style>
  <w:style w:type="character" w:customStyle="1" w:styleId="scx104594494">
    <w:name w:val="scx104594494"/>
    <w:basedOn w:val="DefaultParagraphFont"/>
    <w:rsid w:val="001F7B0E"/>
  </w:style>
  <w:style w:type="paragraph" w:styleId="Subtitle">
    <w:name w:val="Subtitle"/>
    <w:basedOn w:val="Normal"/>
    <w:next w:val="Normal"/>
    <w:link w:val="SubtitleChar"/>
    <w:uiPriority w:val="11"/>
    <w:qFormat/>
    <w:rsid w:val="001F7B0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F7B0E"/>
    <w:rPr>
      <w:rFonts w:asciiTheme="majorHAnsi" w:eastAsiaTheme="majorEastAsia" w:hAnsiTheme="majorHAnsi" w:cstheme="majorBidi"/>
      <w:i/>
      <w:iCs/>
      <w:color w:val="4F81BD" w:themeColor="accent1"/>
      <w:spacing w:val="15"/>
      <w:sz w:val="24"/>
      <w:szCs w:val="24"/>
    </w:rPr>
  </w:style>
  <w:style w:type="character" w:customStyle="1" w:styleId="scx216965691">
    <w:name w:val="scx216965691"/>
    <w:basedOn w:val="DefaultParagraphFont"/>
    <w:rsid w:val="003360E1"/>
  </w:style>
  <w:style w:type="paragraph" w:styleId="ListParagraph">
    <w:name w:val="List Paragraph"/>
    <w:basedOn w:val="Normal"/>
    <w:uiPriority w:val="34"/>
    <w:qFormat/>
    <w:rsid w:val="003360E1"/>
    <w:pPr>
      <w:ind w:left="720"/>
      <w:contextualSpacing/>
    </w:pPr>
  </w:style>
  <w:style w:type="character" w:styleId="PlaceholderText">
    <w:name w:val="Placeholder Text"/>
    <w:basedOn w:val="DefaultParagraphFont"/>
    <w:uiPriority w:val="99"/>
    <w:semiHidden/>
    <w:rsid w:val="003360E1"/>
    <w:rPr>
      <w:color w:val="808080"/>
    </w:rPr>
  </w:style>
  <w:style w:type="paragraph" w:styleId="BalloonText">
    <w:name w:val="Balloon Text"/>
    <w:basedOn w:val="Normal"/>
    <w:link w:val="BalloonTextChar"/>
    <w:uiPriority w:val="99"/>
    <w:semiHidden/>
    <w:unhideWhenUsed/>
    <w:rsid w:val="003360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0E1"/>
    <w:rPr>
      <w:rFonts w:ascii="Tahoma" w:hAnsi="Tahoma" w:cs="Tahoma"/>
      <w:sz w:val="16"/>
      <w:szCs w:val="16"/>
    </w:rPr>
  </w:style>
  <w:style w:type="character" w:customStyle="1" w:styleId="Heading1Char">
    <w:name w:val="Heading 1 Char"/>
    <w:basedOn w:val="DefaultParagraphFont"/>
    <w:link w:val="Heading1"/>
    <w:uiPriority w:val="9"/>
    <w:rsid w:val="00170562"/>
    <w:rPr>
      <w:rFonts w:asciiTheme="majorHAnsi" w:eastAsiaTheme="majorEastAsia" w:hAnsiTheme="majorHAnsi" w:cstheme="majorBidi"/>
      <w:b/>
      <w:bCs/>
      <w:color w:val="365F91" w:themeColor="accent1" w:themeShade="BF"/>
      <w:sz w:val="28"/>
      <w:szCs w:val="28"/>
      <w:lang w:val="en-US" w:bidi="en-US"/>
    </w:rPr>
  </w:style>
  <w:style w:type="paragraph" w:styleId="Bibliography">
    <w:name w:val="Bibliography"/>
    <w:basedOn w:val="Normal"/>
    <w:next w:val="Normal"/>
    <w:uiPriority w:val="37"/>
    <w:unhideWhenUsed/>
    <w:rsid w:val="00170562"/>
  </w:style>
  <w:style w:type="character" w:customStyle="1" w:styleId="Heading2Char">
    <w:name w:val="Heading 2 Char"/>
    <w:basedOn w:val="DefaultParagraphFont"/>
    <w:link w:val="Heading2"/>
    <w:uiPriority w:val="9"/>
    <w:rsid w:val="00743BDA"/>
    <w:rPr>
      <w:rFonts w:asciiTheme="majorHAnsi" w:eastAsiaTheme="majorEastAsia" w:hAnsiTheme="majorHAnsi" w:cstheme="majorBidi"/>
      <w:b/>
      <w:bCs/>
      <w:color w:val="4F81BD" w:themeColor="accent1"/>
      <w:sz w:val="26"/>
      <w:szCs w:val="26"/>
    </w:rPr>
  </w:style>
  <w:style w:type="table" w:customStyle="1" w:styleId="LightList-Accent11">
    <w:name w:val="Light List - Accent 11"/>
    <w:basedOn w:val="TableNormal"/>
    <w:uiPriority w:val="61"/>
    <w:rsid w:val="007F47C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D84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414F0"/>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8A4B1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8A4B15"/>
  </w:style>
  <w:style w:type="paragraph" w:styleId="Footer">
    <w:name w:val="footer"/>
    <w:basedOn w:val="Normal"/>
    <w:link w:val="FooterChar"/>
    <w:uiPriority w:val="99"/>
    <w:unhideWhenUsed/>
    <w:rsid w:val="008A4B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8A4B15"/>
  </w:style>
  <w:style w:type="paragraph" w:styleId="EndnoteText">
    <w:name w:val="endnote text"/>
    <w:basedOn w:val="Normal"/>
    <w:link w:val="EndnoteTextChar"/>
    <w:uiPriority w:val="99"/>
    <w:semiHidden/>
    <w:unhideWhenUsed/>
    <w:rsid w:val="00AC39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C391D"/>
    <w:rPr>
      <w:sz w:val="20"/>
      <w:szCs w:val="20"/>
    </w:rPr>
  </w:style>
  <w:style w:type="character" w:styleId="EndnoteReference">
    <w:name w:val="endnote reference"/>
    <w:basedOn w:val="DefaultParagraphFont"/>
    <w:uiPriority w:val="99"/>
    <w:semiHidden/>
    <w:unhideWhenUsed/>
    <w:rsid w:val="00AC391D"/>
    <w:rPr>
      <w:vertAlign w:val="superscript"/>
    </w:rPr>
  </w:style>
  <w:style w:type="paragraph" w:styleId="FootnoteText">
    <w:name w:val="footnote text"/>
    <w:basedOn w:val="Normal"/>
    <w:link w:val="FootnoteTextChar"/>
    <w:uiPriority w:val="99"/>
    <w:semiHidden/>
    <w:unhideWhenUsed/>
    <w:rsid w:val="00AC39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91D"/>
    <w:rPr>
      <w:sz w:val="20"/>
      <w:szCs w:val="20"/>
    </w:rPr>
  </w:style>
  <w:style w:type="character" w:styleId="FootnoteReference">
    <w:name w:val="footnote reference"/>
    <w:basedOn w:val="DefaultParagraphFont"/>
    <w:uiPriority w:val="99"/>
    <w:semiHidden/>
    <w:unhideWhenUsed/>
    <w:rsid w:val="00AC391D"/>
    <w:rPr>
      <w:vertAlign w:val="superscript"/>
    </w:rPr>
  </w:style>
  <w:style w:type="paragraph" w:styleId="NoSpacing">
    <w:name w:val="No Spacing"/>
    <w:link w:val="NoSpacingChar"/>
    <w:uiPriority w:val="1"/>
    <w:qFormat/>
    <w:rsid w:val="00B679B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79B3"/>
    <w:rPr>
      <w:rFonts w:eastAsiaTheme="minorEastAsia"/>
      <w:lang w:val="en-US"/>
    </w:rPr>
  </w:style>
  <w:style w:type="paragraph" w:styleId="Title">
    <w:name w:val="Title"/>
    <w:basedOn w:val="Normal"/>
    <w:next w:val="Normal"/>
    <w:link w:val="TitleChar"/>
    <w:uiPriority w:val="10"/>
    <w:qFormat/>
    <w:rsid w:val="00837B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7B05"/>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837B05"/>
    <w:rPr>
      <w:b/>
      <w:bCs/>
    </w:rPr>
  </w:style>
  <w:style w:type="character" w:customStyle="1" w:styleId="Heading3Char">
    <w:name w:val="Heading 3 Char"/>
    <w:basedOn w:val="DefaultParagraphFont"/>
    <w:link w:val="Heading3"/>
    <w:uiPriority w:val="9"/>
    <w:rsid w:val="0017069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7069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7069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7069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7069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7069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70695"/>
    <w:rPr>
      <w:rFonts w:asciiTheme="majorHAnsi" w:eastAsiaTheme="majorEastAsia" w:hAnsiTheme="majorHAnsi" w:cstheme="majorBidi"/>
      <w:i/>
      <w:iCs/>
      <w:color w:val="404040" w:themeColor="text1" w:themeTint="BF"/>
      <w:sz w:val="20"/>
      <w:szCs w:val="20"/>
    </w:rPr>
  </w:style>
  <w:style w:type="table" w:customStyle="1" w:styleId="LightShading1">
    <w:name w:val="Light Shading1"/>
    <w:basedOn w:val="TableNormal"/>
    <w:uiPriority w:val="60"/>
    <w:rsid w:val="00943E5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552355535">
      <w:bodyDiv w:val="1"/>
      <w:marLeft w:val="0"/>
      <w:marRight w:val="0"/>
      <w:marTop w:val="0"/>
      <w:marBottom w:val="0"/>
      <w:divBdr>
        <w:top w:val="none" w:sz="0" w:space="0" w:color="auto"/>
        <w:left w:val="none" w:sz="0" w:space="0" w:color="auto"/>
        <w:bottom w:val="none" w:sz="0" w:space="0" w:color="auto"/>
        <w:right w:val="none" w:sz="0" w:space="0" w:color="auto"/>
      </w:divBdr>
      <w:divsChild>
        <w:div w:id="777288353">
          <w:marLeft w:val="0"/>
          <w:marRight w:val="0"/>
          <w:marTop w:val="0"/>
          <w:marBottom w:val="0"/>
          <w:divBdr>
            <w:top w:val="none" w:sz="0" w:space="0" w:color="auto"/>
            <w:left w:val="none" w:sz="0" w:space="0" w:color="auto"/>
            <w:bottom w:val="none" w:sz="0" w:space="0" w:color="auto"/>
            <w:right w:val="none" w:sz="0" w:space="0" w:color="auto"/>
          </w:divBdr>
        </w:div>
        <w:div w:id="336352548">
          <w:marLeft w:val="0"/>
          <w:marRight w:val="0"/>
          <w:marTop w:val="0"/>
          <w:marBottom w:val="0"/>
          <w:divBdr>
            <w:top w:val="none" w:sz="0" w:space="0" w:color="auto"/>
            <w:left w:val="none" w:sz="0" w:space="0" w:color="auto"/>
            <w:bottom w:val="none" w:sz="0" w:space="0" w:color="auto"/>
            <w:right w:val="none" w:sz="0" w:space="0" w:color="auto"/>
          </w:divBdr>
        </w:div>
        <w:div w:id="1615015770">
          <w:marLeft w:val="0"/>
          <w:marRight w:val="0"/>
          <w:marTop w:val="0"/>
          <w:marBottom w:val="0"/>
          <w:divBdr>
            <w:top w:val="none" w:sz="0" w:space="0" w:color="auto"/>
            <w:left w:val="none" w:sz="0" w:space="0" w:color="auto"/>
            <w:bottom w:val="none" w:sz="0" w:space="0" w:color="auto"/>
            <w:right w:val="none" w:sz="0" w:space="0" w:color="auto"/>
          </w:divBdr>
        </w:div>
        <w:div w:id="569770874">
          <w:marLeft w:val="0"/>
          <w:marRight w:val="0"/>
          <w:marTop w:val="0"/>
          <w:marBottom w:val="0"/>
          <w:divBdr>
            <w:top w:val="none" w:sz="0" w:space="0" w:color="auto"/>
            <w:left w:val="none" w:sz="0" w:space="0" w:color="auto"/>
            <w:bottom w:val="none" w:sz="0" w:space="0" w:color="auto"/>
            <w:right w:val="none" w:sz="0" w:space="0" w:color="auto"/>
          </w:divBdr>
        </w:div>
        <w:div w:id="1646817476">
          <w:marLeft w:val="0"/>
          <w:marRight w:val="0"/>
          <w:marTop w:val="0"/>
          <w:marBottom w:val="0"/>
          <w:divBdr>
            <w:top w:val="none" w:sz="0" w:space="0" w:color="auto"/>
            <w:left w:val="none" w:sz="0" w:space="0" w:color="auto"/>
            <w:bottom w:val="none" w:sz="0" w:space="0" w:color="auto"/>
            <w:right w:val="none" w:sz="0" w:space="0" w:color="auto"/>
          </w:divBdr>
        </w:div>
        <w:div w:id="247617467">
          <w:marLeft w:val="0"/>
          <w:marRight w:val="0"/>
          <w:marTop w:val="0"/>
          <w:marBottom w:val="0"/>
          <w:divBdr>
            <w:top w:val="none" w:sz="0" w:space="0" w:color="auto"/>
            <w:left w:val="none" w:sz="0" w:space="0" w:color="auto"/>
            <w:bottom w:val="none" w:sz="0" w:space="0" w:color="auto"/>
            <w:right w:val="none" w:sz="0" w:space="0" w:color="auto"/>
          </w:divBdr>
        </w:div>
        <w:div w:id="865942760">
          <w:marLeft w:val="0"/>
          <w:marRight w:val="0"/>
          <w:marTop w:val="0"/>
          <w:marBottom w:val="0"/>
          <w:divBdr>
            <w:top w:val="none" w:sz="0" w:space="0" w:color="auto"/>
            <w:left w:val="none" w:sz="0" w:space="0" w:color="auto"/>
            <w:bottom w:val="none" w:sz="0" w:space="0" w:color="auto"/>
            <w:right w:val="none" w:sz="0" w:space="0" w:color="auto"/>
          </w:divBdr>
        </w:div>
        <w:div w:id="745689688">
          <w:marLeft w:val="0"/>
          <w:marRight w:val="0"/>
          <w:marTop w:val="0"/>
          <w:marBottom w:val="0"/>
          <w:divBdr>
            <w:top w:val="none" w:sz="0" w:space="0" w:color="auto"/>
            <w:left w:val="none" w:sz="0" w:space="0" w:color="auto"/>
            <w:bottom w:val="none" w:sz="0" w:space="0" w:color="auto"/>
            <w:right w:val="none" w:sz="0" w:space="0" w:color="auto"/>
          </w:divBdr>
        </w:div>
        <w:div w:id="513500361">
          <w:marLeft w:val="0"/>
          <w:marRight w:val="0"/>
          <w:marTop w:val="0"/>
          <w:marBottom w:val="0"/>
          <w:divBdr>
            <w:top w:val="none" w:sz="0" w:space="0" w:color="auto"/>
            <w:left w:val="none" w:sz="0" w:space="0" w:color="auto"/>
            <w:bottom w:val="none" w:sz="0" w:space="0" w:color="auto"/>
            <w:right w:val="none" w:sz="0" w:space="0" w:color="auto"/>
          </w:divBdr>
        </w:div>
        <w:div w:id="336811560">
          <w:marLeft w:val="0"/>
          <w:marRight w:val="0"/>
          <w:marTop w:val="0"/>
          <w:marBottom w:val="0"/>
          <w:divBdr>
            <w:top w:val="none" w:sz="0" w:space="0" w:color="auto"/>
            <w:left w:val="none" w:sz="0" w:space="0" w:color="auto"/>
            <w:bottom w:val="none" w:sz="0" w:space="0" w:color="auto"/>
            <w:right w:val="none" w:sz="0" w:space="0" w:color="auto"/>
          </w:divBdr>
        </w:div>
        <w:div w:id="1565335865">
          <w:marLeft w:val="0"/>
          <w:marRight w:val="0"/>
          <w:marTop w:val="0"/>
          <w:marBottom w:val="0"/>
          <w:divBdr>
            <w:top w:val="none" w:sz="0" w:space="0" w:color="auto"/>
            <w:left w:val="none" w:sz="0" w:space="0" w:color="auto"/>
            <w:bottom w:val="none" w:sz="0" w:space="0" w:color="auto"/>
            <w:right w:val="none" w:sz="0" w:space="0" w:color="auto"/>
          </w:divBdr>
        </w:div>
      </w:divsChild>
    </w:div>
    <w:div w:id="803278090">
      <w:bodyDiv w:val="1"/>
      <w:marLeft w:val="0"/>
      <w:marRight w:val="0"/>
      <w:marTop w:val="0"/>
      <w:marBottom w:val="0"/>
      <w:divBdr>
        <w:top w:val="none" w:sz="0" w:space="0" w:color="auto"/>
        <w:left w:val="none" w:sz="0" w:space="0" w:color="auto"/>
        <w:bottom w:val="none" w:sz="0" w:space="0" w:color="auto"/>
        <w:right w:val="none" w:sz="0" w:space="0" w:color="auto"/>
      </w:divBdr>
    </w:div>
    <w:div w:id="1582565020">
      <w:bodyDiv w:val="1"/>
      <w:marLeft w:val="0"/>
      <w:marRight w:val="0"/>
      <w:marTop w:val="0"/>
      <w:marBottom w:val="0"/>
      <w:divBdr>
        <w:top w:val="none" w:sz="0" w:space="0" w:color="auto"/>
        <w:left w:val="none" w:sz="0" w:space="0" w:color="auto"/>
        <w:bottom w:val="none" w:sz="0" w:space="0" w:color="auto"/>
        <w:right w:val="none" w:sz="0" w:space="0" w:color="auto"/>
      </w:divBdr>
    </w:div>
    <w:div w:id="1668241869">
      <w:bodyDiv w:val="1"/>
      <w:marLeft w:val="0"/>
      <w:marRight w:val="0"/>
      <w:marTop w:val="0"/>
      <w:marBottom w:val="0"/>
      <w:divBdr>
        <w:top w:val="none" w:sz="0" w:space="0" w:color="auto"/>
        <w:left w:val="none" w:sz="0" w:space="0" w:color="auto"/>
        <w:bottom w:val="none" w:sz="0" w:space="0" w:color="auto"/>
        <w:right w:val="none" w:sz="0" w:space="0" w:color="auto"/>
      </w:divBdr>
      <w:divsChild>
        <w:div w:id="1384911363">
          <w:marLeft w:val="0"/>
          <w:marRight w:val="0"/>
          <w:marTop w:val="0"/>
          <w:marBottom w:val="0"/>
          <w:divBdr>
            <w:top w:val="none" w:sz="0" w:space="0" w:color="auto"/>
            <w:left w:val="none" w:sz="0" w:space="0" w:color="auto"/>
            <w:bottom w:val="none" w:sz="0" w:space="0" w:color="auto"/>
            <w:right w:val="none" w:sz="0" w:space="0" w:color="auto"/>
          </w:divBdr>
        </w:div>
        <w:div w:id="483278665">
          <w:marLeft w:val="0"/>
          <w:marRight w:val="0"/>
          <w:marTop w:val="0"/>
          <w:marBottom w:val="0"/>
          <w:divBdr>
            <w:top w:val="none" w:sz="0" w:space="0" w:color="auto"/>
            <w:left w:val="none" w:sz="0" w:space="0" w:color="auto"/>
            <w:bottom w:val="none" w:sz="0" w:space="0" w:color="auto"/>
            <w:right w:val="none" w:sz="0" w:space="0" w:color="auto"/>
          </w:divBdr>
        </w:div>
        <w:div w:id="1618026956">
          <w:marLeft w:val="0"/>
          <w:marRight w:val="0"/>
          <w:marTop w:val="0"/>
          <w:marBottom w:val="0"/>
          <w:divBdr>
            <w:top w:val="none" w:sz="0" w:space="0" w:color="auto"/>
            <w:left w:val="none" w:sz="0" w:space="0" w:color="auto"/>
            <w:bottom w:val="none" w:sz="0" w:space="0" w:color="auto"/>
            <w:right w:val="none" w:sz="0" w:space="0" w:color="auto"/>
          </w:divBdr>
        </w:div>
        <w:div w:id="567114646">
          <w:marLeft w:val="0"/>
          <w:marRight w:val="0"/>
          <w:marTop w:val="0"/>
          <w:marBottom w:val="0"/>
          <w:divBdr>
            <w:top w:val="none" w:sz="0" w:space="0" w:color="auto"/>
            <w:left w:val="none" w:sz="0" w:space="0" w:color="auto"/>
            <w:bottom w:val="none" w:sz="0" w:space="0" w:color="auto"/>
            <w:right w:val="none" w:sz="0" w:space="0" w:color="auto"/>
          </w:divBdr>
        </w:div>
      </w:divsChild>
    </w:div>
    <w:div w:id="1815484404">
      <w:bodyDiv w:val="1"/>
      <w:marLeft w:val="0"/>
      <w:marRight w:val="0"/>
      <w:marTop w:val="0"/>
      <w:marBottom w:val="0"/>
      <w:divBdr>
        <w:top w:val="none" w:sz="0" w:space="0" w:color="auto"/>
        <w:left w:val="none" w:sz="0" w:space="0" w:color="auto"/>
        <w:bottom w:val="none" w:sz="0" w:space="0" w:color="auto"/>
        <w:right w:val="none" w:sz="0" w:space="0" w:color="auto"/>
      </w:divBdr>
    </w:div>
    <w:div w:id="2031182623">
      <w:bodyDiv w:val="1"/>
      <w:marLeft w:val="0"/>
      <w:marRight w:val="0"/>
      <w:marTop w:val="0"/>
      <w:marBottom w:val="0"/>
      <w:divBdr>
        <w:top w:val="none" w:sz="0" w:space="0" w:color="auto"/>
        <w:left w:val="none" w:sz="0" w:space="0" w:color="auto"/>
        <w:bottom w:val="none" w:sz="0" w:space="0" w:color="auto"/>
        <w:right w:val="none" w:sz="0" w:space="0" w:color="auto"/>
      </w:divBdr>
      <w:divsChild>
        <w:div w:id="997612792">
          <w:marLeft w:val="0"/>
          <w:marRight w:val="0"/>
          <w:marTop w:val="0"/>
          <w:marBottom w:val="0"/>
          <w:divBdr>
            <w:top w:val="none" w:sz="0" w:space="0" w:color="auto"/>
            <w:left w:val="none" w:sz="0" w:space="0" w:color="auto"/>
            <w:bottom w:val="none" w:sz="0" w:space="0" w:color="auto"/>
            <w:right w:val="none" w:sz="0" w:space="0" w:color="auto"/>
          </w:divBdr>
        </w:div>
        <w:div w:id="1228759959">
          <w:marLeft w:val="0"/>
          <w:marRight w:val="0"/>
          <w:marTop w:val="0"/>
          <w:marBottom w:val="0"/>
          <w:divBdr>
            <w:top w:val="none" w:sz="0" w:space="0" w:color="auto"/>
            <w:left w:val="none" w:sz="0" w:space="0" w:color="auto"/>
            <w:bottom w:val="none" w:sz="0" w:space="0" w:color="auto"/>
            <w:right w:val="none" w:sz="0" w:space="0" w:color="auto"/>
          </w:divBdr>
        </w:div>
        <w:div w:id="1103038551">
          <w:marLeft w:val="0"/>
          <w:marRight w:val="0"/>
          <w:marTop w:val="0"/>
          <w:marBottom w:val="0"/>
          <w:divBdr>
            <w:top w:val="none" w:sz="0" w:space="0" w:color="auto"/>
            <w:left w:val="none" w:sz="0" w:space="0" w:color="auto"/>
            <w:bottom w:val="none" w:sz="0" w:space="0" w:color="auto"/>
            <w:right w:val="none" w:sz="0" w:space="0" w:color="auto"/>
          </w:divBdr>
        </w:div>
        <w:div w:id="1865243283">
          <w:marLeft w:val="0"/>
          <w:marRight w:val="0"/>
          <w:marTop w:val="0"/>
          <w:marBottom w:val="0"/>
          <w:divBdr>
            <w:top w:val="none" w:sz="0" w:space="0" w:color="auto"/>
            <w:left w:val="none" w:sz="0" w:space="0" w:color="auto"/>
            <w:bottom w:val="none" w:sz="0" w:space="0" w:color="auto"/>
            <w:right w:val="none" w:sz="0" w:space="0" w:color="auto"/>
          </w:divBdr>
        </w:div>
        <w:div w:id="1575816307">
          <w:marLeft w:val="0"/>
          <w:marRight w:val="0"/>
          <w:marTop w:val="0"/>
          <w:marBottom w:val="0"/>
          <w:divBdr>
            <w:top w:val="none" w:sz="0" w:space="0" w:color="auto"/>
            <w:left w:val="none" w:sz="0" w:space="0" w:color="auto"/>
            <w:bottom w:val="none" w:sz="0" w:space="0" w:color="auto"/>
            <w:right w:val="none" w:sz="0" w:space="0" w:color="auto"/>
          </w:divBdr>
        </w:div>
        <w:div w:id="653946154">
          <w:marLeft w:val="0"/>
          <w:marRight w:val="0"/>
          <w:marTop w:val="0"/>
          <w:marBottom w:val="0"/>
          <w:divBdr>
            <w:top w:val="none" w:sz="0" w:space="0" w:color="auto"/>
            <w:left w:val="none" w:sz="0" w:space="0" w:color="auto"/>
            <w:bottom w:val="none" w:sz="0" w:space="0" w:color="auto"/>
            <w:right w:val="none" w:sz="0" w:space="0" w:color="auto"/>
          </w:divBdr>
        </w:div>
        <w:div w:id="428965297">
          <w:marLeft w:val="0"/>
          <w:marRight w:val="0"/>
          <w:marTop w:val="0"/>
          <w:marBottom w:val="0"/>
          <w:divBdr>
            <w:top w:val="none" w:sz="0" w:space="0" w:color="auto"/>
            <w:left w:val="none" w:sz="0" w:space="0" w:color="auto"/>
            <w:bottom w:val="none" w:sz="0" w:space="0" w:color="auto"/>
            <w:right w:val="none" w:sz="0" w:space="0" w:color="auto"/>
          </w:divBdr>
        </w:div>
        <w:div w:id="411391294">
          <w:marLeft w:val="0"/>
          <w:marRight w:val="0"/>
          <w:marTop w:val="0"/>
          <w:marBottom w:val="0"/>
          <w:divBdr>
            <w:top w:val="none" w:sz="0" w:space="0" w:color="auto"/>
            <w:left w:val="none" w:sz="0" w:space="0" w:color="auto"/>
            <w:bottom w:val="none" w:sz="0" w:space="0" w:color="auto"/>
            <w:right w:val="none" w:sz="0" w:space="0" w:color="auto"/>
          </w:divBdr>
        </w:div>
        <w:div w:id="1446998519">
          <w:marLeft w:val="0"/>
          <w:marRight w:val="0"/>
          <w:marTop w:val="0"/>
          <w:marBottom w:val="0"/>
          <w:divBdr>
            <w:top w:val="none" w:sz="0" w:space="0" w:color="auto"/>
            <w:left w:val="none" w:sz="0" w:space="0" w:color="auto"/>
            <w:bottom w:val="none" w:sz="0" w:space="0" w:color="auto"/>
            <w:right w:val="none" w:sz="0" w:space="0" w:color="auto"/>
          </w:divBdr>
        </w:div>
        <w:div w:id="1213151397">
          <w:marLeft w:val="0"/>
          <w:marRight w:val="0"/>
          <w:marTop w:val="0"/>
          <w:marBottom w:val="0"/>
          <w:divBdr>
            <w:top w:val="none" w:sz="0" w:space="0" w:color="auto"/>
            <w:left w:val="none" w:sz="0" w:space="0" w:color="auto"/>
            <w:bottom w:val="none" w:sz="0" w:space="0" w:color="auto"/>
            <w:right w:val="none" w:sz="0" w:space="0" w:color="auto"/>
          </w:divBdr>
        </w:div>
        <w:div w:id="532231793">
          <w:marLeft w:val="0"/>
          <w:marRight w:val="0"/>
          <w:marTop w:val="0"/>
          <w:marBottom w:val="0"/>
          <w:divBdr>
            <w:top w:val="none" w:sz="0" w:space="0" w:color="auto"/>
            <w:left w:val="none" w:sz="0" w:space="0" w:color="auto"/>
            <w:bottom w:val="none" w:sz="0" w:space="0" w:color="auto"/>
            <w:right w:val="none" w:sz="0" w:space="0" w:color="auto"/>
          </w:divBdr>
        </w:div>
        <w:div w:id="377365122">
          <w:marLeft w:val="0"/>
          <w:marRight w:val="0"/>
          <w:marTop w:val="0"/>
          <w:marBottom w:val="0"/>
          <w:divBdr>
            <w:top w:val="none" w:sz="0" w:space="0" w:color="auto"/>
            <w:left w:val="none" w:sz="0" w:space="0" w:color="auto"/>
            <w:bottom w:val="none" w:sz="0" w:space="0" w:color="auto"/>
            <w:right w:val="none" w:sz="0" w:space="0" w:color="auto"/>
          </w:divBdr>
        </w:div>
        <w:div w:id="1555042684">
          <w:marLeft w:val="0"/>
          <w:marRight w:val="0"/>
          <w:marTop w:val="0"/>
          <w:marBottom w:val="0"/>
          <w:divBdr>
            <w:top w:val="none" w:sz="0" w:space="0" w:color="auto"/>
            <w:left w:val="none" w:sz="0" w:space="0" w:color="auto"/>
            <w:bottom w:val="none" w:sz="0" w:space="0" w:color="auto"/>
            <w:right w:val="none" w:sz="0" w:space="0" w:color="auto"/>
          </w:divBdr>
        </w:div>
        <w:div w:id="1042243425">
          <w:marLeft w:val="0"/>
          <w:marRight w:val="0"/>
          <w:marTop w:val="0"/>
          <w:marBottom w:val="0"/>
          <w:divBdr>
            <w:top w:val="none" w:sz="0" w:space="0" w:color="auto"/>
            <w:left w:val="none" w:sz="0" w:space="0" w:color="auto"/>
            <w:bottom w:val="none" w:sz="0" w:space="0" w:color="auto"/>
            <w:right w:val="none" w:sz="0" w:space="0" w:color="auto"/>
          </w:divBdr>
        </w:div>
        <w:div w:id="661079207">
          <w:marLeft w:val="0"/>
          <w:marRight w:val="0"/>
          <w:marTop w:val="0"/>
          <w:marBottom w:val="0"/>
          <w:divBdr>
            <w:top w:val="none" w:sz="0" w:space="0" w:color="auto"/>
            <w:left w:val="none" w:sz="0" w:space="0" w:color="auto"/>
            <w:bottom w:val="none" w:sz="0" w:space="0" w:color="auto"/>
            <w:right w:val="none" w:sz="0" w:space="0" w:color="auto"/>
          </w:divBdr>
        </w:div>
        <w:div w:id="1438672128">
          <w:marLeft w:val="0"/>
          <w:marRight w:val="0"/>
          <w:marTop w:val="0"/>
          <w:marBottom w:val="0"/>
          <w:divBdr>
            <w:top w:val="none" w:sz="0" w:space="0" w:color="auto"/>
            <w:left w:val="none" w:sz="0" w:space="0" w:color="auto"/>
            <w:bottom w:val="none" w:sz="0" w:space="0" w:color="auto"/>
            <w:right w:val="none" w:sz="0" w:space="0" w:color="auto"/>
          </w:divBdr>
        </w:div>
        <w:div w:id="1337809502">
          <w:marLeft w:val="0"/>
          <w:marRight w:val="0"/>
          <w:marTop w:val="0"/>
          <w:marBottom w:val="0"/>
          <w:divBdr>
            <w:top w:val="none" w:sz="0" w:space="0" w:color="auto"/>
            <w:left w:val="none" w:sz="0" w:space="0" w:color="auto"/>
            <w:bottom w:val="none" w:sz="0" w:space="0" w:color="auto"/>
            <w:right w:val="none" w:sz="0" w:space="0" w:color="auto"/>
          </w:divBdr>
        </w:div>
        <w:div w:id="1860043187">
          <w:marLeft w:val="0"/>
          <w:marRight w:val="0"/>
          <w:marTop w:val="0"/>
          <w:marBottom w:val="0"/>
          <w:divBdr>
            <w:top w:val="none" w:sz="0" w:space="0" w:color="auto"/>
            <w:left w:val="none" w:sz="0" w:space="0" w:color="auto"/>
            <w:bottom w:val="none" w:sz="0" w:space="0" w:color="auto"/>
            <w:right w:val="none" w:sz="0" w:space="0" w:color="auto"/>
          </w:divBdr>
        </w:div>
        <w:div w:id="912272525">
          <w:marLeft w:val="0"/>
          <w:marRight w:val="0"/>
          <w:marTop w:val="0"/>
          <w:marBottom w:val="0"/>
          <w:divBdr>
            <w:top w:val="none" w:sz="0" w:space="0" w:color="auto"/>
            <w:left w:val="none" w:sz="0" w:space="0" w:color="auto"/>
            <w:bottom w:val="none" w:sz="0" w:space="0" w:color="auto"/>
            <w:right w:val="none" w:sz="0" w:space="0" w:color="auto"/>
          </w:divBdr>
        </w:div>
        <w:div w:id="712465656">
          <w:marLeft w:val="0"/>
          <w:marRight w:val="0"/>
          <w:marTop w:val="0"/>
          <w:marBottom w:val="0"/>
          <w:divBdr>
            <w:top w:val="none" w:sz="0" w:space="0" w:color="auto"/>
            <w:left w:val="none" w:sz="0" w:space="0" w:color="auto"/>
            <w:bottom w:val="none" w:sz="0" w:space="0" w:color="auto"/>
            <w:right w:val="none" w:sz="0" w:space="0" w:color="auto"/>
          </w:divBdr>
        </w:div>
        <w:div w:id="1121025936">
          <w:marLeft w:val="0"/>
          <w:marRight w:val="0"/>
          <w:marTop w:val="0"/>
          <w:marBottom w:val="0"/>
          <w:divBdr>
            <w:top w:val="none" w:sz="0" w:space="0" w:color="auto"/>
            <w:left w:val="none" w:sz="0" w:space="0" w:color="auto"/>
            <w:bottom w:val="none" w:sz="0" w:space="0" w:color="auto"/>
            <w:right w:val="none" w:sz="0" w:space="0" w:color="auto"/>
          </w:divBdr>
        </w:div>
        <w:div w:id="1529100169">
          <w:marLeft w:val="0"/>
          <w:marRight w:val="0"/>
          <w:marTop w:val="0"/>
          <w:marBottom w:val="0"/>
          <w:divBdr>
            <w:top w:val="none" w:sz="0" w:space="0" w:color="auto"/>
            <w:left w:val="none" w:sz="0" w:space="0" w:color="auto"/>
            <w:bottom w:val="none" w:sz="0" w:space="0" w:color="auto"/>
            <w:right w:val="none" w:sz="0" w:space="0" w:color="auto"/>
          </w:divBdr>
        </w:div>
        <w:div w:id="730932876">
          <w:marLeft w:val="0"/>
          <w:marRight w:val="0"/>
          <w:marTop w:val="0"/>
          <w:marBottom w:val="0"/>
          <w:divBdr>
            <w:top w:val="none" w:sz="0" w:space="0" w:color="auto"/>
            <w:left w:val="none" w:sz="0" w:space="0" w:color="auto"/>
            <w:bottom w:val="none" w:sz="0" w:space="0" w:color="auto"/>
            <w:right w:val="none" w:sz="0" w:space="0" w:color="auto"/>
          </w:divBdr>
        </w:div>
        <w:div w:id="1816993785">
          <w:marLeft w:val="0"/>
          <w:marRight w:val="0"/>
          <w:marTop w:val="0"/>
          <w:marBottom w:val="0"/>
          <w:divBdr>
            <w:top w:val="none" w:sz="0" w:space="0" w:color="auto"/>
            <w:left w:val="none" w:sz="0" w:space="0" w:color="auto"/>
            <w:bottom w:val="none" w:sz="0" w:space="0" w:color="auto"/>
            <w:right w:val="none" w:sz="0" w:space="0" w:color="auto"/>
          </w:divBdr>
        </w:div>
        <w:div w:id="598610623">
          <w:marLeft w:val="0"/>
          <w:marRight w:val="0"/>
          <w:marTop w:val="0"/>
          <w:marBottom w:val="0"/>
          <w:divBdr>
            <w:top w:val="none" w:sz="0" w:space="0" w:color="auto"/>
            <w:left w:val="none" w:sz="0" w:space="0" w:color="auto"/>
            <w:bottom w:val="none" w:sz="0" w:space="0" w:color="auto"/>
            <w:right w:val="none" w:sz="0" w:space="0" w:color="auto"/>
          </w:divBdr>
        </w:div>
        <w:div w:id="1164585365">
          <w:marLeft w:val="0"/>
          <w:marRight w:val="0"/>
          <w:marTop w:val="0"/>
          <w:marBottom w:val="0"/>
          <w:divBdr>
            <w:top w:val="none" w:sz="0" w:space="0" w:color="auto"/>
            <w:left w:val="none" w:sz="0" w:space="0" w:color="auto"/>
            <w:bottom w:val="none" w:sz="0" w:space="0" w:color="auto"/>
            <w:right w:val="none" w:sz="0" w:space="0" w:color="auto"/>
          </w:divBdr>
        </w:div>
        <w:div w:id="1185902361">
          <w:marLeft w:val="0"/>
          <w:marRight w:val="0"/>
          <w:marTop w:val="0"/>
          <w:marBottom w:val="0"/>
          <w:divBdr>
            <w:top w:val="none" w:sz="0" w:space="0" w:color="auto"/>
            <w:left w:val="none" w:sz="0" w:space="0" w:color="auto"/>
            <w:bottom w:val="none" w:sz="0" w:space="0" w:color="auto"/>
            <w:right w:val="none" w:sz="0" w:space="0" w:color="auto"/>
          </w:divBdr>
        </w:div>
        <w:div w:id="1031220798">
          <w:marLeft w:val="0"/>
          <w:marRight w:val="0"/>
          <w:marTop w:val="0"/>
          <w:marBottom w:val="0"/>
          <w:divBdr>
            <w:top w:val="none" w:sz="0" w:space="0" w:color="auto"/>
            <w:left w:val="none" w:sz="0" w:space="0" w:color="auto"/>
            <w:bottom w:val="none" w:sz="0" w:space="0" w:color="auto"/>
            <w:right w:val="none" w:sz="0" w:space="0" w:color="auto"/>
          </w:divBdr>
        </w:div>
        <w:div w:id="162550342">
          <w:marLeft w:val="0"/>
          <w:marRight w:val="0"/>
          <w:marTop w:val="0"/>
          <w:marBottom w:val="0"/>
          <w:divBdr>
            <w:top w:val="none" w:sz="0" w:space="0" w:color="auto"/>
            <w:left w:val="none" w:sz="0" w:space="0" w:color="auto"/>
            <w:bottom w:val="none" w:sz="0" w:space="0" w:color="auto"/>
            <w:right w:val="none" w:sz="0" w:space="0" w:color="auto"/>
          </w:divBdr>
        </w:div>
        <w:div w:id="1972444790">
          <w:marLeft w:val="0"/>
          <w:marRight w:val="0"/>
          <w:marTop w:val="0"/>
          <w:marBottom w:val="0"/>
          <w:divBdr>
            <w:top w:val="none" w:sz="0" w:space="0" w:color="auto"/>
            <w:left w:val="none" w:sz="0" w:space="0" w:color="auto"/>
            <w:bottom w:val="none" w:sz="0" w:space="0" w:color="auto"/>
            <w:right w:val="none" w:sz="0" w:space="0" w:color="auto"/>
          </w:divBdr>
        </w:div>
        <w:div w:id="351733049">
          <w:marLeft w:val="0"/>
          <w:marRight w:val="0"/>
          <w:marTop w:val="0"/>
          <w:marBottom w:val="0"/>
          <w:divBdr>
            <w:top w:val="none" w:sz="0" w:space="0" w:color="auto"/>
            <w:left w:val="none" w:sz="0" w:space="0" w:color="auto"/>
            <w:bottom w:val="none" w:sz="0" w:space="0" w:color="auto"/>
            <w:right w:val="none" w:sz="0" w:space="0" w:color="auto"/>
          </w:divBdr>
        </w:div>
        <w:div w:id="1465348492">
          <w:marLeft w:val="0"/>
          <w:marRight w:val="0"/>
          <w:marTop w:val="0"/>
          <w:marBottom w:val="0"/>
          <w:divBdr>
            <w:top w:val="none" w:sz="0" w:space="0" w:color="auto"/>
            <w:left w:val="none" w:sz="0" w:space="0" w:color="auto"/>
            <w:bottom w:val="none" w:sz="0" w:space="0" w:color="auto"/>
            <w:right w:val="none" w:sz="0" w:space="0" w:color="auto"/>
          </w:divBdr>
        </w:div>
        <w:div w:id="616916034">
          <w:marLeft w:val="0"/>
          <w:marRight w:val="0"/>
          <w:marTop w:val="0"/>
          <w:marBottom w:val="0"/>
          <w:divBdr>
            <w:top w:val="none" w:sz="0" w:space="0" w:color="auto"/>
            <w:left w:val="none" w:sz="0" w:space="0" w:color="auto"/>
            <w:bottom w:val="none" w:sz="0" w:space="0" w:color="auto"/>
            <w:right w:val="none" w:sz="0" w:space="0" w:color="auto"/>
          </w:divBdr>
        </w:div>
        <w:div w:id="1486892705">
          <w:marLeft w:val="0"/>
          <w:marRight w:val="0"/>
          <w:marTop w:val="0"/>
          <w:marBottom w:val="0"/>
          <w:divBdr>
            <w:top w:val="none" w:sz="0" w:space="0" w:color="auto"/>
            <w:left w:val="none" w:sz="0" w:space="0" w:color="auto"/>
            <w:bottom w:val="none" w:sz="0" w:space="0" w:color="auto"/>
            <w:right w:val="none" w:sz="0" w:space="0" w:color="auto"/>
          </w:divBdr>
        </w:div>
        <w:div w:id="1989435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op%20Korteweg\AppData\Roaming\Microsoft\Excel\BPI%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op%20Korteweg\AppData\Roaming\Microsoft\Excel\BPI%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s\School\EUR\Year%203\Bachelor%20Thesis\AL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s\School\EUR\Year%203\Bachelor%20Thesis\AL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s\School\EUR\Year%203\Bachelor%20Thesis\AL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uments\School\EUR\Year%203\Bachelor%20Thesis\AL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ocuments\School\EUR\Year%203\Bachelor%20Thesis\A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roundedCorners val="1"/>
  <c:chart>
    <c:autoTitleDeleted val="1"/>
    <c:plotArea>
      <c:layout/>
      <c:lineChart>
        <c:grouping val="standard"/>
        <c:ser>
          <c:idx val="0"/>
          <c:order val="0"/>
          <c:tx>
            <c:strRef>
              <c:f>Sheet5!$B$1</c:f>
              <c:strCache>
                <c:ptCount val="1"/>
                <c:pt idx="0">
                  <c:v>Forecast</c:v>
                </c:pt>
              </c:strCache>
            </c:strRef>
          </c:tx>
          <c:marker>
            <c:symbol val="none"/>
          </c:marker>
          <c:cat>
            <c:numRef>
              <c:f>Sheet5!$A$103:$A$204</c:f>
              <c:numCache>
                <c:formatCode>d/m/yyyy</c:formatCode>
                <c:ptCount val="102"/>
                <c:pt idx="0">
                  <c:v>41085</c:v>
                </c:pt>
                <c:pt idx="1">
                  <c:v>41092</c:v>
                </c:pt>
                <c:pt idx="2">
                  <c:v>41099</c:v>
                </c:pt>
                <c:pt idx="3">
                  <c:v>41106</c:v>
                </c:pt>
                <c:pt idx="4">
                  <c:v>41113</c:v>
                </c:pt>
                <c:pt idx="5">
                  <c:v>41120</c:v>
                </c:pt>
                <c:pt idx="6">
                  <c:v>41127</c:v>
                </c:pt>
                <c:pt idx="7">
                  <c:v>41134</c:v>
                </c:pt>
                <c:pt idx="8">
                  <c:v>41141</c:v>
                </c:pt>
                <c:pt idx="9">
                  <c:v>41148</c:v>
                </c:pt>
                <c:pt idx="10">
                  <c:v>41155</c:v>
                </c:pt>
                <c:pt idx="11">
                  <c:v>41162</c:v>
                </c:pt>
                <c:pt idx="12">
                  <c:v>41169</c:v>
                </c:pt>
                <c:pt idx="13">
                  <c:v>41176</c:v>
                </c:pt>
                <c:pt idx="14">
                  <c:v>41183</c:v>
                </c:pt>
                <c:pt idx="15">
                  <c:v>41190</c:v>
                </c:pt>
                <c:pt idx="16">
                  <c:v>41197</c:v>
                </c:pt>
                <c:pt idx="17">
                  <c:v>41204</c:v>
                </c:pt>
                <c:pt idx="18">
                  <c:v>41211</c:v>
                </c:pt>
                <c:pt idx="19">
                  <c:v>41218</c:v>
                </c:pt>
                <c:pt idx="20">
                  <c:v>41225</c:v>
                </c:pt>
                <c:pt idx="21">
                  <c:v>41232</c:v>
                </c:pt>
                <c:pt idx="22">
                  <c:v>41239</c:v>
                </c:pt>
                <c:pt idx="23">
                  <c:v>41246</c:v>
                </c:pt>
                <c:pt idx="24">
                  <c:v>41253</c:v>
                </c:pt>
                <c:pt idx="25">
                  <c:v>41260</c:v>
                </c:pt>
                <c:pt idx="26">
                  <c:v>41267</c:v>
                </c:pt>
                <c:pt idx="27">
                  <c:v>41274</c:v>
                </c:pt>
                <c:pt idx="28">
                  <c:v>41281</c:v>
                </c:pt>
                <c:pt idx="29">
                  <c:v>41288</c:v>
                </c:pt>
                <c:pt idx="30">
                  <c:v>41295</c:v>
                </c:pt>
                <c:pt idx="31">
                  <c:v>41302</c:v>
                </c:pt>
                <c:pt idx="32">
                  <c:v>41309</c:v>
                </c:pt>
                <c:pt idx="33">
                  <c:v>41316</c:v>
                </c:pt>
                <c:pt idx="34">
                  <c:v>41323</c:v>
                </c:pt>
                <c:pt idx="35">
                  <c:v>41330</c:v>
                </c:pt>
                <c:pt idx="36">
                  <c:v>41337</c:v>
                </c:pt>
                <c:pt idx="37">
                  <c:v>41344</c:v>
                </c:pt>
                <c:pt idx="38">
                  <c:v>41351</c:v>
                </c:pt>
                <c:pt idx="39">
                  <c:v>41358</c:v>
                </c:pt>
                <c:pt idx="40">
                  <c:v>41365</c:v>
                </c:pt>
                <c:pt idx="41">
                  <c:v>41372</c:v>
                </c:pt>
                <c:pt idx="42">
                  <c:v>41379</c:v>
                </c:pt>
                <c:pt idx="43">
                  <c:v>41386</c:v>
                </c:pt>
                <c:pt idx="44">
                  <c:v>41393</c:v>
                </c:pt>
                <c:pt idx="45">
                  <c:v>41400</c:v>
                </c:pt>
                <c:pt idx="46">
                  <c:v>41407</c:v>
                </c:pt>
                <c:pt idx="47">
                  <c:v>41414</c:v>
                </c:pt>
                <c:pt idx="48">
                  <c:v>41421</c:v>
                </c:pt>
                <c:pt idx="49">
                  <c:v>41428</c:v>
                </c:pt>
                <c:pt idx="50">
                  <c:v>41435</c:v>
                </c:pt>
                <c:pt idx="51">
                  <c:v>41442</c:v>
                </c:pt>
                <c:pt idx="52">
                  <c:v>41449</c:v>
                </c:pt>
                <c:pt idx="53">
                  <c:v>41456</c:v>
                </c:pt>
                <c:pt idx="54">
                  <c:v>41463</c:v>
                </c:pt>
                <c:pt idx="55">
                  <c:v>41470</c:v>
                </c:pt>
                <c:pt idx="56">
                  <c:v>41477</c:v>
                </c:pt>
                <c:pt idx="57">
                  <c:v>41484</c:v>
                </c:pt>
                <c:pt idx="58">
                  <c:v>41491</c:v>
                </c:pt>
                <c:pt idx="59">
                  <c:v>41498</c:v>
                </c:pt>
                <c:pt idx="60">
                  <c:v>41505</c:v>
                </c:pt>
                <c:pt idx="61">
                  <c:v>41512</c:v>
                </c:pt>
                <c:pt idx="62">
                  <c:v>41519</c:v>
                </c:pt>
                <c:pt idx="63">
                  <c:v>41526</c:v>
                </c:pt>
                <c:pt idx="64">
                  <c:v>41533</c:v>
                </c:pt>
                <c:pt idx="65">
                  <c:v>41540</c:v>
                </c:pt>
                <c:pt idx="66">
                  <c:v>41547</c:v>
                </c:pt>
                <c:pt idx="67">
                  <c:v>41554</c:v>
                </c:pt>
                <c:pt idx="68">
                  <c:v>41561</c:v>
                </c:pt>
                <c:pt idx="69">
                  <c:v>41568</c:v>
                </c:pt>
                <c:pt idx="70">
                  <c:v>41575</c:v>
                </c:pt>
                <c:pt idx="71">
                  <c:v>41582</c:v>
                </c:pt>
                <c:pt idx="72">
                  <c:v>41589</c:v>
                </c:pt>
                <c:pt idx="73">
                  <c:v>41596</c:v>
                </c:pt>
                <c:pt idx="74">
                  <c:v>41603</c:v>
                </c:pt>
                <c:pt idx="75">
                  <c:v>41610</c:v>
                </c:pt>
                <c:pt idx="76">
                  <c:v>41617</c:v>
                </c:pt>
                <c:pt idx="77">
                  <c:v>41624</c:v>
                </c:pt>
                <c:pt idx="78">
                  <c:v>41631</c:v>
                </c:pt>
                <c:pt idx="79">
                  <c:v>41638</c:v>
                </c:pt>
                <c:pt idx="80">
                  <c:v>41645</c:v>
                </c:pt>
                <c:pt idx="81">
                  <c:v>41652</c:v>
                </c:pt>
                <c:pt idx="82">
                  <c:v>41659</c:v>
                </c:pt>
                <c:pt idx="83">
                  <c:v>41666</c:v>
                </c:pt>
                <c:pt idx="84">
                  <c:v>41673</c:v>
                </c:pt>
                <c:pt idx="85">
                  <c:v>41680</c:v>
                </c:pt>
                <c:pt idx="86">
                  <c:v>41687</c:v>
                </c:pt>
                <c:pt idx="87">
                  <c:v>41694</c:v>
                </c:pt>
                <c:pt idx="88">
                  <c:v>41701</c:v>
                </c:pt>
                <c:pt idx="89">
                  <c:v>41708</c:v>
                </c:pt>
                <c:pt idx="90">
                  <c:v>41715</c:v>
                </c:pt>
                <c:pt idx="91">
                  <c:v>41722</c:v>
                </c:pt>
                <c:pt idx="92">
                  <c:v>41729</c:v>
                </c:pt>
                <c:pt idx="93">
                  <c:v>41736</c:v>
                </c:pt>
                <c:pt idx="94">
                  <c:v>41743</c:v>
                </c:pt>
                <c:pt idx="95">
                  <c:v>41750</c:v>
                </c:pt>
                <c:pt idx="96">
                  <c:v>41757</c:v>
                </c:pt>
                <c:pt idx="97">
                  <c:v>41764</c:v>
                </c:pt>
                <c:pt idx="98">
                  <c:v>41771</c:v>
                </c:pt>
                <c:pt idx="99">
                  <c:v>41778</c:v>
                </c:pt>
                <c:pt idx="100">
                  <c:v>41785</c:v>
                </c:pt>
                <c:pt idx="101">
                  <c:v>41792</c:v>
                </c:pt>
              </c:numCache>
            </c:numRef>
          </c:cat>
          <c:val>
            <c:numRef>
              <c:f>Sheet5!$B$103:$B$204</c:f>
              <c:numCache>
                <c:formatCode>General</c:formatCode>
                <c:ptCount val="102"/>
                <c:pt idx="27" formatCode="0.0000000">
                  <c:v>1.0700000000000064E-4</c:v>
                </c:pt>
                <c:pt idx="28" formatCode="0.0000000">
                  <c:v>-2.3531000000000052E-2</c:v>
                </c:pt>
                <c:pt idx="29" formatCode="0.0000000">
                  <c:v>-4.1373000000000014E-2</c:v>
                </c:pt>
                <c:pt idx="30" formatCode="0.0000000">
                  <c:v>-5.8532000000000139E-2</c:v>
                </c:pt>
                <c:pt idx="31" formatCode="0.0000000">
                  <c:v>-8.4945000000000256E-2</c:v>
                </c:pt>
                <c:pt idx="32" formatCode="0.0000000">
                  <c:v>-8.3042000000000046E-2</c:v>
                </c:pt>
                <c:pt idx="33" formatCode="0.0000000">
                  <c:v>-7.0415000000000144E-2</c:v>
                </c:pt>
                <c:pt idx="34" formatCode="0.0000000">
                  <c:v>-9.6422000000000022E-2</c:v>
                </c:pt>
                <c:pt idx="35" formatCode="0.0000000">
                  <c:v>-7.6744000000000021E-2</c:v>
                </c:pt>
                <c:pt idx="36" formatCode="0.0000000">
                  <c:v>-7.1026000000000034E-2</c:v>
                </c:pt>
                <c:pt idx="37" formatCode="0.0000000">
                  <c:v>-0.137653</c:v>
                </c:pt>
                <c:pt idx="38" formatCode="0.0000000">
                  <c:v>-6.8300000000000166E-2</c:v>
                </c:pt>
                <c:pt idx="39" formatCode="0.0000000">
                  <c:v>-0.16481900000000049</c:v>
                </c:pt>
                <c:pt idx="40" formatCode="0.0000000">
                  <c:v>-0.15102199999999999</c:v>
                </c:pt>
                <c:pt idx="41" formatCode="0.0000000">
                  <c:v>-0.21799200000000077</c:v>
                </c:pt>
                <c:pt idx="42" formatCode="0.0000000">
                  <c:v>-5.5879000000000012E-2</c:v>
                </c:pt>
                <c:pt idx="43" formatCode="0.0000000">
                  <c:v>0.126524</c:v>
                </c:pt>
                <c:pt idx="44" formatCode="0.0000000">
                  <c:v>-0.15520200000000056</c:v>
                </c:pt>
                <c:pt idx="45" formatCode="0.0000000">
                  <c:v>4.1983000000000013E-2</c:v>
                </c:pt>
                <c:pt idx="46" formatCode="0.0000000">
                  <c:v>-3.6030000000000168E-3</c:v>
                </c:pt>
                <c:pt idx="47" formatCode="0.0000000">
                  <c:v>-4.2587000000000111E-2</c:v>
                </c:pt>
                <c:pt idx="48" formatCode="0.0000000">
                  <c:v>-5.5643000000000012E-2</c:v>
                </c:pt>
                <c:pt idx="49" formatCode="0.0000000">
                  <c:v>-2.6946000000000012E-2</c:v>
                </c:pt>
                <c:pt idx="50" formatCode="0.0000000">
                  <c:v>2.7366000000000001E-2</c:v>
                </c:pt>
                <c:pt idx="51" formatCode="0.0000000">
                  <c:v>1.9497E-2</c:v>
                </c:pt>
                <c:pt idx="52" formatCode="0.0000000">
                  <c:v>-3.9467000000000071E-2</c:v>
                </c:pt>
                <c:pt idx="53" formatCode="0.0000000">
                  <c:v>1.0553999999999996E-2</c:v>
                </c:pt>
                <c:pt idx="54" formatCode="0.0000000">
                  <c:v>9.6123000000000028E-2</c:v>
                </c:pt>
                <c:pt idx="55" formatCode="0.0000000">
                  <c:v>-7.2357000000000227E-2</c:v>
                </c:pt>
                <c:pt idx="56" formatCode="0.0000000">
                  <c:v>-4.1078999999999997E-2</c:v>
                </c:pt>
                <c:pt idx="57" formatCode="0.0000000">
                  <c:v>-2.5686000000000053E-2</c:v>
                </c:pt>
                <c:pt idx="58" formatCode="0.0000000">
                  <c:v>-5.9518000000000182E-2</c:v>
                </c:pt>
                <c:pt idx="59" formatCode="0.0000000">
                  <c:v>-1.8381000000000067E-2</c:v>
                </c:pt>
                <c:pt idx="60" formatCode="0.0000000">
                  <c:v>-3.5772000000000012E-2</c:v>
                </c:pt>
                <c:pt idx="61" formatCode="0.0000000">
                  <c:v>-6.7297000000000134E-2</c:v>
                </c:pt>
                <c:pt idx="62" formatCode="0.0000000">
                  <c:v>-7.2820000000000148E-2</c:v>
                </c:pt>
                <c:pt idx="63" formatCode="0.0000000">
                  <c:v>-2.4761999999999999E-2</c:v>
                </c:pt>
                <c:pt idx="64" formatCode="0.0000000">
                  <c:v>-3.3797000000000001E-2</c:v>
                </c:pt>
                <c:pt idx="65" formatCode="0.0000000">
                  <c:v>-2.4517999999999998E-2</c:v>
                </c:pt>
                <c:pt idx="66" formatCode="0.0000000">
                  <c:v>-2.1226000000000002E-2</c:v>
                </c:pt>
                <c:pt idx="67" formatCode="0.0000000">
                  <c:v>-4.9340000000000122E-3</c:v>
                </c:pt>
                <c:pt idx="68" formatCode="0.0000000">
                  <c:v>-5.0546000000000084E-2</c:v>
                </c:pt>
                <c:pt idx="69" formatCode="0.0000000">
                  <c:v>-8.985700000000045E-2</c:v>
                </c:pt>
                <c:pt idx="70" formatCode="0.0000000">
                  <c:v>-0.12252700000000002</c:v>
                </c:pt>
                <c:pt idx="71" formatCode="0.0000000">
                  <c:v>-5.8138000000000023E-2</c:v>
                </c:pt>
                <c:pt idx="72" formatCode="0.0000000">
                  <c:v>-0.17965700000000001</c:v>
                </c:pt>
                <c:pt idx="73" formatCode="0.0000000">
                  <c:v>-0.17815700000000001</c:v>
                </c:pt>
                <c:pt idx="74" formatCode="0.0000000">
                  <c:v>-0.25791600000000031</c:v>
                </c:pt>
                <c:pt idx="75" formatCode="0.0000000">
                  <c:v>-0.18470300000000056</c:v>
                </c:pt>
                <c:pt idx="76" formatCode="0.0000000">
                  <c:v>-8.1130000000000126E-3</c:v>
                </c:pt>
                <c:pt idx="77" formatCode="0.0000000">
                  <c:v>-1.1360000000000061E-3</c:v>
                </c:pt>
                <c:pt idx="78" formatCode="0.0000000">
                  <c:v>0.12776100000000001</c:v>
                </c:pt>
                <c:pt idx="79" formatCode="0.0000000">
                  <c:v>-7.4773000000000187E-2</c:v>
                </c:pt>
                <c:pt idx="80" formatCode="0.0000000">
                  <c:v>-8.1604000000000301E-2</c:v>
                </c:pt>
                <c:pt idx="81" formatCode="0.0000000">
                  <c:v>-5.715300000000012E-2</c:v>
                </c:pt>
                <c:pt idx="82" formatCode="0.0000000">
                  <c:v>-9.8340000000000181E-3</c:v>
                </c:pt>
                <c:pt idx="83" formatCode="0.0000000">
                  <c:v>-2.7123999999999999E-2</c:v>
                </c:pt>
                <c:pt idx="84" formatCode="0.0000000">
                  <c:v>-1.2961000000000044E-2</c:v>
                </c:pt>
                <c:pt idx="85" formatCode="0.0000000">
                  <c:v>1.8223000000000041E-2</c:v>
                </c:pt>
                <c:pt idx="86" formatCode="0.0000000">
                  <c:v>5.2467000000000236E-2</c:v>
                </c:pt>
                <c:pt idx="87" formatCode="0.0000000">
                  <c:v>8.688000000000003E-3</c:v>
                </c:pt>
                <c:pt idx="88" formatCode="0.0000000">
                  <c:v>8.0010000000000046E-3</c:v>
                </c:pt>
                <c:pt idx="89" formatCode="0.0000000">
                  <c:v>-8.8482999999999992E-2</c:v>
                </c:pt>
                <c:pt idx="90" formatCode="0.0000000">
                  <c:v>-1.3291000000000027E-2</c:v>
                </c:pt>
                <c:pt idx="91" formatCode="0.0000000">
                  <c:v>6.2780000000000275E-3</c:v>
                </c:pt>
                <c:pt idx="92" formatCode="0.0000000">
                  <c:v>2.6638000000000085E-2</c:v>
                </c:pt>
                <c:pt idx="93" formatCode="0.0000000">
                  <c:v>3.9061000000000012E-2</c:v>
                </c:pt>
                <c:pt idx="94" formatCode="0.0000000">
                  <c:v>1.1318999999999996E-2</c:v>
                </c:pt>
                <c:pt idx="95" formatCode="0.0000000">
                  <c:v>-9.5841000000000051E-2</c:v>
                </c:pt>
                <c:pt idx="96" formatCode="0.0000000">
                  <c:v>-1.6750000000000066E-3</c:v>
                </c:pt>
                <c:pt idx="97" formatCode="0.0000000">
                  <c:v>5.2290000000000132E-3</c:v>
                </c:pt>
                <c:pt idx="98" formatCode="0.0000000">
                  <c:v>-1.8623000000000067E-2</c:v>
                </c:pt>
                <c:pt idx="99" formatCode="0.0000000">
                  <c:v>-2.8106000000000003E-2</c:v>
                </c:pt>
                <c:pt idx="100" formatCode="0.0000000">
                  <c:v>-8.4970000000000045E-2</c:v>
                </c:pt>
                <c:pt idx="101" formatCode="0.0000000">
                  <c:v>-9.2368999999999993E-2</c:v>
                </c:pt>
              </c:numCache>
            </c:numRef>
          </c:val>
        </c:ser>
        <c:ser>
          <c:idx val="1"/>
          <c:order val="1"/>
          <c:tx>
            <c:strRef>
              <c:f>Sheet5!$C$1</c:f>
              <c:strCache>
                <c:ptCount val="1"/>
                <c:pt idx="0">
                  <c:v>Actual</c:v>
                </c:pt>
              </c:strCache>
            </c:strRef>
          </c:tx>
          <c:marker>
            <c:symbol val="none"/>
          </c:marker>
          <c:cat>
            <c:numRef>
              <c:f>Sheet5!$A$103:$A$204</c:f>
              <c:numCache>
                <c:formatCode>d/m/yyyy</c:formatCode>
                <c:ptCount val="102"/>
                <c:pt idx="0">
                  <c:v>41085</c:v>
                </c:pt>
                <c:pt idx="1">
                  <c:v>41092</c:v>
                </c:pt>
                <c:pt idx="2">
                  <c:v>41099</c:v>
                </c:pt>
                <c:pt idx="3">
                  <c:v>41106</c:v>
                </c:pt>
                <c:pt idx="4">
                  <c:v>41113</c:v>
                </c:pt>
                <c:pt idx="5">
                  <c:v>41120</c:v>
                </c:pt>
                <c:pt idx="6">
                  <c:v>41127</c:v>
                </c:pt>
                <c:pt idx="7">
                  <c:v>41134</c:v>
                </c:pt>
                <c:pt idx="8">
                  <c:v>41141</c:v>
                </c:pt>
                <c:pt idx="9">
                  <c:v>41148</c:v>
                </c:pt>
                <c:pt idx="10">
                  <c:v>41155</c:v>
                </c:pt>
                <c:pt idx="11">
                  <c:v>41162</c:v>
                </c:pt>
                <c:pt idx="12">
                  <c:v>41169</c:v>
                </c:pt>
                <c:pt idx="13">
                  <c:v>41176</c:v>
                </c:pt>
                <c:pt idx="14">
                  <c:v>41183</c:v>
                </c:pt>
                <c:pt idx="15">
                  <c:v>41190</c:v>
                </c:pt>
                <c:pt idx="16">
                  <c:v>41197</c:v>
                </c:pt>
                <c:pt idx="17">
                  <c:v>41204</c:v>
                </c:pt>
                <c:pt idx="18">
                  <c:v>41211</c:v>
                </c:pt>
                <c:pt idx="19">
                  <c:v>41218</c:v>
                </c:pt>
                <c:pt idx="20">
                  <c:v>41225</c:v>
                </c:pt>
                <c:pt idx="21">
                  <c:v>41232</c:v>
                </c:pt>
                <c:pt idx="22">
                  <c:v>41239</c:v>
                </c:pt>
                <c:pt idx="23">
                  <c:v>41246</c:v>
                </c:pt>
                <c:pt idx="24">
                  <c:v>41253</c:v>
                </c:pt>
                <c:pt idx="25">
                  <c:v>41260</c:v>
                </c:pt>
                <c:pt idx="26">
                  <c:v>41267</c:v>
                </c:pt>
                <c:pt idx="27">
                  <c:v>41274</c:v>
                </c:pt>
                <c:pt idx="28">
                  <c:v>41281</c:v>
                </c:pt>
                <c:pt idx="29">
                  <c:v>41288</c:v>
                </c:pt>
                <c:pt idx="30">
                  <c:v>41295</c:v>
                </c:pt>
                <c:pt idx="31">
                  <c:v>41302</c:v>
                </c:pt>
                <c:pt idx="32">
                  <c:v>41309</c:v>
                </c:pt>
                <c:pt idx="33">
                  <c:v>41316</c:v>
                </c:pt>
                <c:pt idx="34">
                  <c:v>41323</c:v>
                </c:pt>
                <c:pt idx="35">
                  <c:v>41330</c:v>
                </c:pt>
                <c:pt idx="36">
                  <c:v>41337</c:v>
                </c:pt>
                <c:pt idx="37">
                  <c:v>41344</c:v>
                </c:pt>
                <c:pt idx="38">
                  <c:v>41351</c:v>
                </c:pt>
                <c:pt idx="39">
                  <c:v>41358</c:v>
                </c:pt>
                <c:pt idx="40">
                  <c:v>41365</c:v>
                </c:pt>
                <c:pt idx="41">
                  <c:v>41372</c:v>
                </c:pt>
                <c:pt idx="42">
                  <c:v>41379</c:v>
                </c:pt>
                <c:pt idx="43">
                  <c:v>41386</c:v>
                </c:pt>
                <c:pt idx="44">
                  <c:v>41393</c:v>
                </c:pt>
                <c:pt idx="45">
                  <c:v>41400</c:v>
                </c:pt>
                <c:pt idx="46">
                  <c:v>41407</c:v>
                </c:pt>
                <c:pt idx="47">
                  <c:v>41414</c:v>
                </c:pt>
                <c:pt idx="48">
                  <c:v>41421</c:v>
                </c:pt>
                <c:pt idx="49">
                  <c:v>41428</c:v>
                </c:pt>
                <c:pt idx="50">
                  <c:v>41435</c:v>
                </c:pt>
                <c:pt idx="51">
                  <c:v>41442</c:v>
                </c:pt>
                <c:pt idx="52">
                  <c:v>41449</c:v>
                </c:pt>
                <c:pt idx="53">
                  <c:v>41456</c:v>
                </c:pt>
                <c:pt idx="54">
                  <c:v>41463</c:v>
                </c:pt>
                <c:pt idx="55">
                  <c:v>41470</c:v>
                </c:pt>
                <c:pt idx="56">
                  <c:v>41477</c:v>
                </c:pt>
                <c:pt idx="57">
                  <c:v>41484</c:v>
                </c:pt>
                <c:pt idx="58">
                  <c:v>41491</c:v>
                </c:pt>
                <c:pt idx="59">
                  <c:v>41498</c:v>
                </c:pt>
                <c:pt idx="60">
                  <c:v>41505</c:v>
                </c:pt>
                <c:pt idx="61">
                  <c:v>41512</c:v>
                </c:pt>
                <c:pt idx="62">
                  <c:v>41519</c:v>
                </c:pt>
                <c:pt idx="63">
                  <c:v>41526</c:v>
                </c:pt>
                <c:pt idx="64">
                  <c:v>41533</c:v>
                </c:pt>
                <c:pt idx="65">
                  <c:v>41540</c:v>
                </c:pt>
                <c:pt idx="66">
                  <c:v>41547</c:v>
                </c:pt>
                <c:pt idx="67">
                  <c:v>41554</c:v>
                </c:pt>
                <c:pt idx="68">
                  <c:v>41561</c:v>
                </c:pt>
                <c:pt idx="69">
                  <c:v>41568</c:v>
                </c:pt>
                <c:pt idx="70">
                  <c:v>41575</c:v>
                </c:pt>
                <c:pt idx="71">
                  <c:v>41582</c:v>
                </c:pt>
                <c:pt idx="72">
                  <c:v>41589</c:v>
                </c:pt>
                <c:pt idx="73">
                  <c:v>41596</c:v>
                </c:pt>
                <c:pt idx="74">
                  <c:v>41603</c:v>
                </c:pt>
                <c:pt idx="75">
                  <c:v>41610</c:v>
                </c:pt>
                <c:pt idx="76">
                  <c:v>41617</c:v>
                </c:pt>
                <c:pt idx="77">
                  <c:v>41624</c:v>
                </c:pt>
                <c:pt idx="78">
                  <c:v>41631</c:v>
                </c:pt>
                <c:pt idx="79">
                  <c:v>41638</c:v>
                </c:pt>
                <c:pt idx="80">
                  <c:v>41645</c:v>
                </c:pt>
                <c:pt idx="81">
                  <c:v>41652</c:v>
                </c:pt>
                <c:pt idx="82">
                  <c:v>41659</c:v>
                </c:pt>
                <c:pt idx="83">
                  <c:v>41666</c:v>
                </c:pt>
                <c:pt idx="84">
                  <c:v>41673</c:v>
                </c:pt>
                <c:pt idx="85">
                  <c:v>41680</c:v>
                </c:pt>
                <c:pt idx="86">
                  <c:v>41687</c:v>
                </c:pt>
                <c:pt idx="87">
                  <c:v>41694</c:v>
                </c:pt>
                <c:pt idx="88">
                  <c:v>41701</c:v>
                </c:pt>
                <c:pt idx="89">
                  <c:v>41708</c:v>
                </c:pt>
                <c:pt idx="90">
                  <c:v>41715</c:v>
                </c:pt>
                <c:pt idx="91">
                  <c:v>41722</c:v>
                </c:pt>
                <c:pt idx="92">
                  <c:v>41729</c:v>
                </c:pt>
                <c:pt idx="93">
                  <c:v>41736</c:v>
                </c:pt>
                <c:pt idx="94">
                  <c:v>41743</c:v>
                </c:pt>
                <c:pt idx="95">
                  <c:v>41750</c:v>
                </c:pt>
                <c:pt idx="96">
                  <c:v>41757</c:v>
                </c:pt>
                <c:pt idx="97">
                  <c:v>41764</c:v>
                </c:pt>
                <c:pt idx="98">
                  <c:v>41771</c:v>
                </c:pt>
                <c:pt idx="99">
                  <c:v>41778</c:v>
                </c:pt>
                <c:pt idx="100">
                  <c:v>41785</c:v>
                </c:pt>
                <c:pt idx="101">
                  <c:v>41792</c:v>
                </c:pt>
              </c:numCache>
            </c:numRef>
          </c:cat>
          <c:val>
            <c:numRef>
              <c:f>Sheet5!$C$103:$C$204</c:f>
              <c:numCache>
                <c:formatCode>0.0000000</c:formatCode>
                <c:ptCount val="102"/>
                <c:pt idx="0">
                  <c:v>-1.0061000000000021E-2</c:v>
                </c:pt>
                <c:pt idx="1">
                  <c:v>-1.4047E-2</c:v>
                </c:pt>
                <c:pt idx="2">
                  <c:v>-0.10887400000000012</c:v>
                </c:pt>
                <c:pt idx="3">
                  <c:v>-0.16138300000000019</c:v>
                </c:pt>
                <c:pt idx="4">
                  <c:v>-3.1070000000000138E-3</c:v>
                </c:pt>
                <c:pt idx="5">
                  <c:v>-0.15263299999999999</c:v>
                </c:pt>
                <c:pt idx="6">
                  <c:v>-9.6774000000000304E-2</c:v>
                </c:pt>
                <c:pt idx="7">
                  <c:v>-4.4419000000000132E-2</c:v>
                </c:pt>
                <c:pt idx="8">
                  <c:v>0.13699700000000056</c:v>
                </c:pt>
                <c:pt idx="9">
                  <c:v>-3.1190000000000002E-2</c:v>
                </c:pt>
                <c:pt idx="10">
                  <c:v>-2.9721999999999998E-2</c:v>
                </c:pt>
                <c:pt idx="11">
                  <c:v>-5.6173000000000001E-2</c:v>
                </c:pt>
                <c:pt idx="12">
                  <c:v>-6.3024000000000011E-2</c:v>
                </c:pt>
                <c:pt idx="13">
                  <c:v>-2.7940000000000074E-3</c:v>
                </c:pt>
                <c:pt idx="14">
                  <c:v>-2.2300000000000052E-2</c:v>
                </c:pt>
                <c:pt idx="15">
                  <c:v>5.3108000000000002E-2</c:v>
                </c:pt>
                <c:pt idx="16">
                  <c:v>1.0484000000000026E-2</c:v>
                </c:pt>
                <c:pt idx="17">
                  <c:v>6.9599000000000133E-2</c:v>
                </c:pt>
                <c:pt idx="18">
                  <c:v>2.4053000000000012E-2</c:v>
                </c:pt>
                <c:pt idx="19">
                  <c:v>-1.177000000000003E-2</c:v>
                </c:pt>
                <c:pt idx="20">
                  <c:v>-4.171600000000019E-2</c:v>
                </c:pt>
                <c:pt idx="21">
                  <c:v>-6.8825000000000011E-2</c:v>
                </c:pt>
                <c:pt idx="22">
                  <c:v>-2.2350000000000002E-2</c:v>
                </c:pt>
                <c:pt idx="23">
                  <c:v>-6.9047000000000136E-2</c:v>
                </c:pt>
                <c:pt idx="24">
                  <c:v>-1.8099000000000001E-2</c:v>
                </c:pt>
                <c:pt idx="25">
                  <c:v>9.8610000000000416E-3</c:v>
                </c:pt>
                <c:pt idx="26">
                  <c:v>-4.2600000000000125E-4</c:v>
                </c:pt>
                <c:pt idx="27">
                  <c:v>1.0700000000000064E-4</c:v>
                </c:pt>
                <c:pt idx="28">
                  <c:v>-4.0294000000000003E-2</c:v>
                </c:pt>
                <c:pt idx="29">
                  <c:v>-7.9145000000000021E-2</c:v>
                </c:pt>
                <c:pt idx="30">
                  <c:v>-0.13895199999999999</c:v>
                </c:pt>
                <c:pt idx="31">
                  <c:v>-0.13464100000000001</c:v>
                </c:pt>
                <c:pt idx="32">
                  <c:v>-0.10605100000000002</c:v>
                </c:pt>
                <c:pt idx="33">
                  <c:v>-0.16493800000000067</c:v>
                </c:pt>
                <c:pt idx="34">
                  <c:v>-0.120381</c:v>
                </c:pt>
                <c:pt idx="35">
                  <c:v>-0.10743400000000022</c:v>
                </c:pt>
                <c:pt idx="36">
                  <c:v>-0.25829499999999994</c:v>
                </c:pt>
                <c:pt idx="37">
                  <c:v>-0.10126100000000025</c:v>
                </c:pt>
                <c:pt idx="38">
                  <c:v>-0.31980800000000148</c:v>
                </c:pt>
                <c:pt idx="39">
                  <c:v>-0.28856700000000002</c:v>
                </c:pt>
                <c:pt idx="40">
                  <c:v>-0.44020499999999996</c:v>
                </c:pt>
                <c:pt idx="41">
                  <c:v>-7.3139000000000023E-2</c:v>
                </c:pt>
                <c:pt idx="42">
                  <c:v>0.33987100000000148</c:v>
                </c:pt>
                <c:pt idx="43">
                  <c:v>-0.2980310000000001</c:v>
                </c:pt>
                <c:pt idx="44">
                  <c:v>0.14844700000000091</c:v>
                </c:pt>
                <c:pt idx="45">
                  <c:v>4.5229999999999985E-2</c:v>
                </c:pt>
                <c:pt idx="46">
                  <c:v>-4.3041999999999997E-2</c:v>
                </c:pt>
                <c:pt idx="47">
                  <c:v>-7.2604000000000113E-2</c:v>
                </c:pt>
                <c:pt idx="48">
                  <c:v>-7.6249999999999998E-3</c:v>
                </c:pt>
                <c:pt idx="49">
                  <c:v>0.11535100000000001</c:v>
                </c:pt>
                <c:pt idx="50">
                  <c:v>9.7534000000000343E-2</c:v>
                </c:pt>
                <c:pt idx="51">
                  <c:v>-3.5977000000000078E-2</c:v>
                </c:pt>
                <c:pt idx="52">
                  <c:v>7.7284000000000033E-2</c:v>
                </c:pt>
                <c:pt idx="53">
                  <c:v>0.271034</c:v>
                </c:pt>
                <c:pt idx="54">
                  <c:v>-0.11045000000000001</c:v>
                </c:pt>
                <c:pt idx="55">
                  <c:v>-3.9626000000000001E-2</c:v>
                </c:pt>
                <c:pt idx="56">
                  <c:v>-4.7720000000000149E-3</c:v>
                </c:pt>
                <c:pt idx="57">
                  <c:v>-8.1377000000000033E-2</c:v>
                </c:pt>
                <c:pt idx="58">
                  <c:v>1.1768000000000049E-2</c:v>
                </c:pt>
                <c:pt idx="59">
                  <c:v>-2.7610000000000093E-2</c:v>
                </c:pt>
                <c:pt idx="60">
                  <c:v>-9.8990000000000328E-2</c:v>
                </c:pt>
                <c:pt idx="61">
                  <c:v>-0.11149600000000022</c:v>
                </c:pt>
                <c:pt idx="62">
                  <c:v>-2.6800000000000127E-3</c:v>
                </c:pt>
                <c:pt idx="63">
                  <c:v>-2.3137999999999999E-2</c:v>
                </c:pt>
                <c:pt idx="64">
                  <c:v>-2.1290000000000055E-3</c:v>
                </c:pt>
                <c:pt idx="65">
                  <c:v>5.3260000000000104E-3</c:v>
                </c:pt>
                <c:pt idx="66">
                  <c:v>4.2215000000000023E-2</c:v>
                </c:pt>
                <c:pt idx="67">
                  <c:v>-6.1064000000000104E-2</c:v>
                </c:pt>
                <c:pt idx="68">
                  <c:v>-0.15007300000000001</c:v>
                </c:pt>
                <c:pt idx="69">
                  <c:v>-0.2240470000000005</c:v>
                </c:pt>
                <c:pt idx="70">
                  <c:v>-7.8252000000000113E-2</c:v>
                </c:pt>
                <c:pt idx="71">
                  <c:v>-0.35340300000000002</c:v>
                </c:pt>
                <c:pt idx="72">
                  <c:v>-0.35000600000000032</c:v>
                </c:pt>
                <c:pt idx="73">
                  <c:v>-0.53060399999999996</c:v>
                </c:pt>
                <c:pt idx="74">
                  <c:v>-0.36482900000000118</c:v>
                </c:pt>
                <c:pt idx="75">
                  <c:v>3.5016000000000012E-2</c:v>
                </c:pt>
                <c:pt idx="76">
                  <c:v>5.0815000000000124E-2</c:v>
                </c:pt>
                <c:pt idx="77">
                  <c:v>0.34267200000000059</c:v>
                </c:pt>
                <c:pt idx="78">
                  <c:v>-0.11591799999999981</c:v>
                </c:pt>
                <c:pt idx="79">
                  <c:v>-0.131386</c:v>
                </c:pt>
                <c:pt idx="80">
                  <c:v>-7.6022000000000034E-2</c:v>
                </c:pt>
                <c:pt idx="81">
                  <c:v>3.1120999999999999E-2</c:v>
                </c:pt>
                <c:pt idx="82">
                  <c:v>-8.0290000000000066E-3</c:v>
                </c:pt>
                <c:pt idx="83">
                  <c:v>2.4040000000000002E-2</c:v>
                </c:pt>
                <c:pt idx="84">
                  <c:v>9.4649000000000066E-2</c:v>
                </c:pt>
                <c:pt idx="85">
                  <c:v>0.17218600000000001</c:v>
                </c:pt>
                <c:pt idx="86">
                  <c:v>7.3058000000000123E-2</c:v>
                </c:pt>
                <c:pt idx="87">
                  <c:v>7.1504000000000012E-2</c:v>
                </c:pt>
                <c:pt idx="88">
                  <c:v>-0.14696200000000056</c:v>
                </c:pt>
                <c:pt idx="89">
                  <c:v>2.3292E-2</c:v>
                </c:pt>
                <c:pt idx="90">
                  <c:v>6.7603000000000024E-2</c:v>
                </c:pt>
                <c:pt idx="91">
                  <c:v>0.1137010000000002</c:v>
                </c:pt>
                <c:pt idx="92">
                  <c:v>0.14183200000000001</c:v>
                </c:pt>
                <c:pt idx="93">
                  <c:v>7.9015000000000252E-2</c:v>
                </c:pt>
                <c:pt idx="94">
                  <c:v>-0.16362199999999988</c:v>
                </c:pt>
                <c:pt idx="95">
                  <c:v>4.9594000000000159E-2</c:v>
                </c:pt>
                <c:pt idx="96">
                  <c:v>6.5227999999999994E-2</c:v>
                </c:pt>
                <c:pt idx="97">
                  <c:v>1.1220000000000056E-2</c:v>
                </c:pt>
                <c:pt idx="98">
                  <c:v>-1.0252000000000001E-2</c:v>
                </c:pt>
                <c:pt idx="99">
                  <c:v>-0.13900799999999999</c:v>
                </c:pt>
                <c:pt idx="100">
                  <c:v>-0.15576200000000068</c:v>
                </c:pt>
                <c:pt idx="101">
                  <c:v>-9.3557000000000543E-2</c:v>
                </c:pt>
              </c:numCache>
            </c:numRef>
          </c:val>
        </c:ser>
        <c:marker val="1"/>
        <c:axId val="103301888"/>
        <c:axId val="103303424"/>
      </c:lineChart>
      <c:dateAx>
        <c:axId val="103301888"/>
        <c:scaling>
          <c:orientation val="minMax"/>
        </c:scaling>
        <c:axPos val="b"/>
        <c:numFmt formatCode="d/m/yyyy" sourceLinked="1"/>
        <c:majorTickMark val="none"/>
        <c:tickLblPos val="low"/>
        <c:txPr>
          <a:bodyPr/>
          <a:lstStyle/>
          <a:p>
            <a:pPr>
              <a:defRPr sz="800"/>
            </a:pPr>
            <a:endParaRPr lang="nl-NL"/>
          </a:p>
        </c:txPr>
        <c:crossAx val="103303424"/>
        <c:crosses val="autoZero"/>
        <c:lblOffset val="100"/>
        <c:baseTimeUnit val="days"/>
      </c:dateAx>
      <c:valAx>
        <c:axId val="103303424"/>
        <c:scaling>
          <c:orientation val="minMax"/>
        </c:scaling>
        <c:axPos val="l"/>
        <c:majorGridlines/>
        <c:numFmt formatCode="0.0" sourceLinked="0"/>
        <c:majorTickMark val="none"/>
        <c:tickLblPos val="nextTo"/>
        <c:crossAx val="103301888"/>
        <c:crossesAt val="40385"/>
        <c:crossBetween val="between"/>
      </c:valAx>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lineChart>
        <c:grouping val="standard"/>
        <c:ser>
          <c:idx val="0"/>
          <c:order val="0"/>
          <c:tx>
            <c:strRef>
              <c:f>Sheet2!$H$1</c:f>
              <c:strCache>
                <c:ptCount val="1"/>
                <c:pt idx="0">
                  <c:v>Forecast</c:v>
                </c:pt>
              </c:strCache>
            </c:strRef>
          </c:tx>
          <c:marker>
            <c:symbol val="none"/>
          </c:marker>
          <c:cat>
            <c:numRef>
              <c:f>Sheet2!$A$103:$A$205</c:f>
              <c:numCache>
                <c:formatCode>d/m/yyyy</c:formatCode>
                <c:ptCount val="103"/>
                <c:pt idx="0">
                  <c:v>41078</c:v>
                </c:pt>
                <c:pt idx="1">
                  <c:v>41085</c:v>
                </c:pt>
                <c:pt idx="2">
                  <c:v>41092</c:v>
                </c:pt>
                <c:pt idx="3">
                  <c:v>41099</c:v>
                </c:pt>
                <c:pt idx="4">
                  <c:v>41106</c:v>
                </c:pt>
                <c:pt idx="5">
                  <c:v>41113</c:v>
                </c:pt>
                <c:pt idx="6">
                  <c:v>41120</c:v>
                </c:pt>
                <c:pt idx="7">
                  <c:v>41127</c:v>
                </c:pt>
                <c:pt idx="8">
                  <c:v>41134</c:v>
                </c:pt>
                <c:pt idx="9">
                  <c:v>41141</c:v>
                </c:pt>
                <c:pt idx="10">
                  <c:v>41148</c:v>
                </c:pt>
                <c:pt idx="11">
                  <c:v>41155</c:v>
                </c:pt>
                <c:pt idx="12">
                  <c:v>41162</c:v>
                </c:pt>
                <c:pt idx="13">
                  <c:v>41169</c:v>
                </c:pt>
                <c:pt idx="14">
                  <c:v>41176</c:v>
                </c:pt>
                <c:pt idx="15">
                  <c:v>41183</c:v>
                </c:pt>
                <c:pt idx="16">
                  <c:v>41190</c:v>
                </c:pt>
                <c:pt idx="17">
                  <c:v>41197</c:v>
                </c:pt>
                <c:pt idx="18">
                  <c:v>41204</c:v>
                </c:pt>
                <c:pt idx="19">
                  <c:v>41211</c:v>
                </c:pt>
                <c:pt idx="20">
                  <c:v>41218</c:v>
                </c:pt>
                <c:pt idx="21">
                  <c:v>41225</c:v>
                </c:pt>
                <c:pt idx="22">
                  <c:v>41232</c:v>
                </c:pt>
                <c:pt idx="23">
                  <c:v>41239</c:v>
                </c:pt>
                <c:pt idx="24">
                  <c:v>41246</c:v>
                </c:pt>
                <c:pt idx="25">
                  <c:v>41253</c:v>
                </c:pt>
                <c:pt idx="26">
                  <c:v>41260</c:v>
                </c:pt>
                <c:pt idx="27">
                  <c:v>41267</c:v>
                </c:pt>
                <c:pt idx="28">
                  <c:v>41274</c:v>
                </c:pt>
                <c:pt idx="29">
                  <c:v>41281</c:v>
                </c:pt>
                <c:pt idx="30">
                  <c:v>41288</c:v>
                </c:pt>
                <c:pt idx="31">
                  <c:v>41295</c:v>
                </c:pt>
                <c:pt idx="32">
                  <c:v>41302</c:v>
                </c:pt>
                <c:pt idx="33">
                  <c:v>41309</c:v>
                </c:pt>
                <c:pt idx="34">
                  <c:v>41316</c:v>
                </c:pt>
                <c:pt idx="35">
                  <c:v>41323</c:v>
                </c:pt>
                <c:pt idx="36">
                  <c:v>41330</c:v>
                </c:pt>
                <c:pt idx="37">
                  <c:v>41337</c:v>
                </c:pt>
                <c:pt idx="38">
                  <c:v>41344</c:v>
                </c:pt>
                <c:pt idx="39">
                  <c:v>41351</c:v>
                </c:pt>
                <c:pt idx="40">
                  <c:v>41358</c:v>
                </c:pt>
                <c:pt idx="41">
                  <c:v>41365</c:v>
                </c:pt>
                <c:pt idx="42">
                  <c:v>41372</c:v>
                </c:pt>
                <c:pt idx="43">
                  <c:v>41379</c:v>
                </c:pt>
                <c:pt idx="44">
                  <c:v>41386</c:v>
                </c:pt>
                <c:pt idx="45">
                  <c:v>41393</c:v>
                </c:pt>
                <c:pt idx="46">
                  <c:v>41400</c:v>
                </c:pt>
                <c:pt idx="47">
                  <c:v>41407</c:v>
                </c:pt>
                <c:pt idx="48">
                  <c:v>41414</c:v>
                </c:pt>
                <c:pt idx="49">
                  <c:v>41421</c:v>
                </c:pt>
                <c:pt idx="50">
                  <c:v>41428</c:v>
                </c:pt>
                <c:pt idx="51">
                  <c:v>41435</c:v>
                </c:pt>
                <c:pt idx="52">
                  <c:v>41442</c:v>
                </c:pt>
                <c:pt idx="53">
                  <c:v>41449</c:v>
                </c:pt>
                <c:pt idx="54">
                  <c:v>41456</c:v>
                </c:pt>
                <c:pt idx="55">
                  <c:v>41463</c:v>
                </c:pt>
                <c:pt idx="56">
                  <c:v>41470</c:v>
                </c:pt>
                <c:pt idx="57">
                  <c:v>41477</c:v>
                </c:pt>
                <c:pt idx="58">
                  <c:v>41484</c:v>
                </c:pt>
                <c:pt idx="59">
                  <c:v>41491</c:v>
                </c:pt>
                <c:pt idx="60">
                  <c:v>41498</c:v>
                </c:pt>
                <c:pt idx="61">
                  <c:v>41505</c:v>
                </c:pt>
                <c:pt idx="62">
                  <c:v>41512</c:v>
                </c:pt>
                <c:pt idx="63">
                  <c:v>41519</c:v>
                </c:pt>
                <c:pt idx="64">
                  <c:v>41526</c:v>
                </c:pt>
                <c:pt idx="65">
                  <c:v>41533</c:v>
                </c:pt>
                <c:pt idx="66">
                  <c:v>41540</c:v>
                </c:pt>
                <c:pt idx="67">
                  <c:v>41547</c:v>
                </c:pt>
                <c:pt idx="68">
                  <c:v>41554</c:v>
                </c:pt>
                <c:pt idx="69">
                  <c:v>41561</c:v>
                </c:pt>
                <c:pt idx="70">
                  <c:v>41568</c:v>
                </c:pt>
                <c:pt idx="71">
                  <c:v>41575</c:v>
                </c:pt>
                <c:pt idx="72">
                  <c:v>41582</c:v>
                </c:pt>
                <c:pt idx="73">
                  <c:v>41589</c:v>
                </c:pt>
                <c:pt idx="74">
                  <c:v>41596</c:v>
                </c:pt>
                <c:pt idx="75">
                  <c:v>41603</c:v>
                </c:pt>
                <c:pt idx="76">
                  <c:v>41610</c:v>
                </c:pt>
                <c:pt idx="77">
                  <c:v>41617</c:v>
                </c:pt>
                <c:pt idx="78">
                  <c:v>41624</c:v>
                </c:pt>
                <c:pt idx="79">
                  <c:v>41631</c:v>
                </c:pt>
                <c:pt idx="80">
                  <c:v>41638</c:v>
                </c:pt>
                <c:pt idx="81">
                  <c:v>41645</c:v>
                </c:pt>
                <c:pt idx="82">
                  <c:v>41652</c:v>
                </c:pt>
                <c:pt idx="83">
                  <c:v>41659</c:v>
                </c:pt>
                <c:pt idx="84">
                  <c:v>41666</c:v>
                </c:pt>
                <c:pt idx="85">
                  <c:v>41673</c:v>
                </c:pt>
                <c:pt idx="86">
                  <c:v>41680</c:v>
                </c:pt>
                <c:pt idx="87">
                  <c:v>41687</c:v>
                </c:pt>
                <c:pt idx="88">
                  <c:v>41694</c:v>
                </c:pt>
                <c:pt idx="89">
                  <c:v>41701</c:v>
                </c:pt>
                <c:pt idx="90">
                  <c:v>41708</c:v>
                </c:pt>
                <c:pt idx="91">
                  <c:v>41715</c:v>
                </c:pt>
                <c:pt idx="92">
                  <c:v>41722</c:v>
                </c:pt>
                <c:pt idx="93">
                  <c:v>41729</c:v>
                </c:pt>
                <c:pt idx="94">
                  <c:v>41736</c:v>
                </c:pt>
                <c:pt idx="95">
                  <c:v>41743</c:v>
                </c:pt>
                <c:pt idx="96">
                  <c:v>41750</c:v>
                </c:pt>
                <c:pt idx="97">
                  <c:v>41757</c:v>
                </c:pt>
                <c:pt idx="98">
                  <c:v>41764</c:v>
                </c:pt>
                <c:pt idx="99">
                  <c:v>41771</c:v>
                </c:pt>
                <c:pt idx="100">
                  <c:v>41778</c:v>
                </c:pt>
                <c:pt idx="101">
                  <c:v>41785</c:v>
                </c:pt>
                <c:pt idx="102">
                  <c:v>41792</c:v>
                </c:pt>
              </c:numCache>
            </c:numRef>
          </c:cat>
          <c:val>
            <c:numRef>
              <c:f>Sheet2!$K$103:$K$205</c:f>
              <c:numCache>
                <c:formatCode>0.000000</c:formatCode>
                <c:ptCount val="103"/>
                <c:pt idx="0">
                  <c:v>6.4986209964411934</c:v>
                </c:pt>
                <c:pt idx="1">
                  <c:v>6.5643336354111694</c:v>
                </c:pt>
                <c:pt idx="2">
                  <c:v>6.6571935043705235</c:v>
                </c:pt>
                <c:pt idx="3">
                  <c:v>7.4229162086437617</c:v>
                </c:pt>
                <c:pt idx="4">
                  <c:v>8.7229283369145492</c:v>
                </c:pt>
                <c:pt idx="5">
                  <c:v>8.7500726220680427</c:v>
                </c:pt>
                <c:pt idx="6">
                  <c:v>10.192936699767886</c:v>
                </c:pt>
                <c:pt idx="7">
                  <c:v>11.228655077474999</c:v>
                </c:pt>
                <c:pt idx="8">
                  <c:v>11.738663894980018</c:v>
                </c:pt>
                <c:pt idx="9">
                  <c:v>10.23579611833685</c:v>
                </c:pt>
                <c:pt idx="10">
                  <c:v>10.560081541697922</c:v>
                </c:pt>
                <c:pt idx="11">
                  <c:v>10.878659215887406</c:v>
                </c:pt>
                <c:pt idx="12">
                  <c:v>11.507235368411033</c:v>
                </c:pt>
                <c:pt idx="13">
                  <c:v>12.25580864858742</c:v>
                </c:pt>
                <c:pt idx="14">
                  <c:v>12.290099259627958</c:v>
                </c:pt>
                <c:pt idx="15">
                  <c:v>12.567247187366</c:v>
                </c:pt>
                <c:pt idx="16">
                  <c:v>11.917238913115835</c:v>
                </c:pt>
                <c:pt idx="17">
                  <c:v>11.792951234774153</c:v>
                </c:pt>
                <c:pt idx="18">
                  <c:v>11.000084999546379</c:v>
                </c:pt>
                <c:pt idx="19">
                  <c:v>10.738656627295461</c:v>
                </c:pt>
                <c:pt idx="20">
                  <c:v>10.865797371316058</c:v>
                </c:pt>
                <c:pt idx="21">
                  <c:v>11.328662288774471</c:v>
                </c:pt>
                <c:pt idx="22">
                  <c:v>12.135815023936647</c:v>
                </c:pt>
                <c:pt idx="23">
                  <c:v>12.410104254160988</c:v>
                </c:pt>
                <c:pt idx="24">
                  <c:v>13.297260013748014</c:v>
                </c:pt>
                <c:pt idx="25">
                  <c:v>13.540118238781147</c:v>
                </c:pt>
                <c:pt idx="26">
                  <c:v>13.407255290219906</c:v>
                </c:pt>
                <c:pt idx="27">
                  <c:v>13.412967997693839</c:v>
                </c:pt>
                <c:pt idx="28">
                  <c:v>13.735558757383869</c:v>
                </c:pt>
                <c:pt idx="29">
                  <c:v>14.062602938374065</c:v>
                </c:pt>
                <c:pt idx="30">
                  <c:v>14.656618379997189</c:v>
                </c:pt>
                <c:pt idx="31">
                  <c:v>15.540103419984284</c:v>
                </c:pt>
                <c:pt idx="32">
                  <c:v>16.91784530451465</c:v>
                </c:pt>
                <c:pt idx="33">
                  <c:v>18.382718291861419</c:v>
                </c:pt>
                <c:pt idx="34">
                  <c:v>19.723799440249884</c:v>
                </c:pt>
                <c:pt idx="35">
                  <c:v>21.72031504945712</c:v>
                </c:pt>
                <c:pt idx="36">
                  <c:v>23.452849467884793</c:v>
                </c:pt>
                <c:pt idx="37">
                  <c:v>25.179193532359129</c:v>
                </c:pt>
                <c:pt idx="38">
                  <c:v>28.895070221588643</c:v>
                </c:pt>
                <c:pt idx="39">
                  <c:v>30.937560627383764</c:v>
                </c:pt>
                <c:pt idx="40">
                  <c:v>36.480942465454319</c:v>
                </c:pt>
                <c:pt idx="41">
                  <c:v>42.428147579977953</c:v>
                </c:pt>
                <c:pt idx="42">
                  <c:v>52.762673530416961</c:v>
                </c:pt>
                <c:pt idx="43">
                  <c:v>55.79492971856088</c:v>
                </c:pt>
                <c:pt idx="44">
                  <c:v>49.163869796558565</c:v>
                </c:pt>
                <c:pt idx="45">
                  <c:v>57.41818126793649</c:v>
                </c:pt>
                <c:pt idx="46">
                  <c:v>55.057494842714021</c:v>
                </c:pt>
                <c:pt idx="47">
                  <c:v>55.256224793652748</c:v>
                </c:pt>
                <c:pt idx="48">
                  <c:v>57.660248387691595</c:v>
                </c:pt>
                <c:pt idx="49">
                  <c:v>60.959578683829207</c:v>
                </c:pt>
                <c:pt idx="50">
                  <c:v>62.624526594049357</c:v>
                </c:pt>
                <c:pt idx="51">
                  <c:v>60.933981036664065</c:v>
                </c:pt>
                <c:pt idx="52">
                  <c:v>59.757457814397846</c:v>
                </c:pt>
                <c:pt idx="53">
                  <c:v>62.163064186870457</c:v>
                </c:pt>
                <c:pt idx="54">
                  <c:v>61.510445135931406</c:v>
                </c:pt>
                <c:pt idx="55">
                  <c:v>55.8731531978489</c:v>
                </c:pt>
                <c:pt idx="56">
                  <c:v>60.065822345132659</c:v>
                </c:pt>
                <c:pt idx="57">
                  <c:v>62.58464747345699</c:v>
                </c:pt>
                <c:pt idx="58">
                  <c:v>64.21302039347583</c:v>
                </c:pt>
                <c:pt idx="59">
                  <c:v>68.150875178204799</c:v>
                </c:pt>
                <c:pt idx="60">
                  <c:v>69.415140045822397</c:v>
                </c:pt>
                <c:pt idx="61">
                  <c:v>71.943205842465957</c:v>
                </c:pt>
                <c:pt idx="62">
                  <c:v>76.951395863737986</c:v>
                </c:pt>
                <c:pt idx="63">
                  <c:v>82.764067515823569</c:v>
                </c:pt>
                <c:pt idx="64">
                  <c:v>84.839055761804929</c:v>
                </c:pt>
                <c:pt idx="65">
                  <c:v>87.755364993140432</c:v>
                </c:pt>
                <c:pt idx="66">
                  <c:v>89.933544217754758</c:v>
                </c:pt>
                <c:pt idx="67">
                  <c:v>91.862877201519865</c:v>
                </c:pt>
                <c:pt idx="68">
                  <c:v>92.317248650215561</c:v>
                </c:pt>
                <c:pt idx="69">
                  <c:v>97.103459220250542</c:v>
                </c:pt>
                <c:pt idx="70">
                  <c:v>106.23291554446268</c:v>
                </c:pt>
                <c:pt idx="71">
                  <c:v>120.08033774646356</c:v>
                </c:pt>
                <c:pt idx="72">
                  <c:v>127.26849644059789</c:v>
                </c:pt>
                <c:pt idx="73">
                  <c:v>152.31580043661501</c:v>
                </c:pt>
                <c:pt idx="74">
                  <c:v>182.01934998058121</c:v>
                </c:pt>
                <c:pt idx="75">
                  <c:v>235.57492129609602</c:v>
                </c:pt>
                <c:pt idx="76">
                  <c:v>283.36391775265855</c:v>
                </c:pt>
                <c:pt idx="77">
                  <c:v>285.67220010368231</c:v>
                </c:pt>
                <c:pt idx="78">
                  <c:v>285.99690812223304</c:v>
                </c:pt>
                <c:pt idx="79">
                  <c:v>251.69549407137458</c:v>
                </c:pt>
                <c:pt idx="80">
                  <c:v>271.23700611940785</c:v>
                </c:pt>
                <c:pt idx="81">
                  <c:v>294.29921856407213</c:v>
                </c:pt>
                <c:pt idx="82">
                  <c:v>311.60925029596314</c:v>
                </c:pt>
                <c:pt idx="83">
                  <c:v>314.68873266076582</c:v>
                </c:pt>
                <c:pt idx="84">
                  <c:v>323.34116364666602</c:v>
                </c:pt>
                <c:pt idx="85">
                  <c:v>327.55926482450997</c:v>
                </c:pt>
                <c:pt idx="86">
                  <c:v>321.64421104138631</c:v>
                </c:pt>
                <c:pt idx="87">
                  <c:v>305.20357104086628</c:v>
                </c:pt>
                <c:pt idx="88">
                  <c:v>302.5634477180281</c:v>
                </c:pt>
                <c:pt idx="89">
                  <c:v>300.15229624697196</c:v>
                </c:pt>
                <c:pt idx="90">
                  <c:v>327.92108994358892</c:v>
                </c:pt>
                <c:pt idx="91">
                  <c:v>332.30858163849672</c:v>
                </c:pt>
                <c:pt idx="92">
                  <c:v>330.2288833664864</c:v>
                </c:pt>
                <c:pt idx="93">
                  <c:v>321.5483753467235</c:v>
                </c:pt>
                <c:pt idx="94">
                  <c:v>309.2305143778612</c:v>
                </c:pt>
                <c:pt idx="95">
                  <c:v>305.75006892605984</c:v>
                </c:pt>
                <c:pt idx="96">
                  <c:v>336.50365135277929</c:v>
                </c:pt>
                <c:pt idx="97">
                  <c:v>337.06776728399598</c:v>
                </c:pt>
                <c:pt idx="98">
                  <c:v>335.3098400351621</c:v>
                </c:pt>
                <c:pt idx="99">
                  <c:v>341.61282325071272</c:v>
                </c:pt>
                <c:pt idx="100">
                  <c:v>351.35039434203554</c:v>
                </c:pt>
                <c:pt idx="101">
                  <c:v>382.50969524839815</c:v>
                </c:pt>
                <c:pt idx="102">
                  <c:v>419.52495012383912</c:v>
                </c:pt>
              </c:numCache>
            </c:numRef>
          </c:val>
        </c:ser>
        <c:ser>
          <c:idx val="1"/>
          <c:order val="1"/>
          <c:tx>
            <c:strRef>
              <c:f>Sheet2!$C$1</c:f>
              <c:strCache>
                <c:ptCount val="1"/>
                <c:pt idx="0">
                  <c:v>Actual</c:v>
                </c:pt>
              </c:strCache>
            </c:strRef>
          </c:tx>
          <c:marker>
            <c:symbol val="none"/>
          </c:marker>
          <c:cat>
            <c:numRef>
              <c:f>Sheet2!$A$103:$A$205</c:f>
              <c:numCache>
                <c:formatCode>d/m/yyyy</c:formatCode>
                <c:ptCount val="103"/>
                <c:pt idx="0">
                  <c:v>41078</c:v>
                </c:pt>
                <c:pt idx="1">
                  <c:v>41085</c:v>
                </c:pt>
                <c:pt idx="2">
                  <c:v>41092</c:v>
                </c:pt>
                <c:pt idx="3">
                  <c:v>41099</c:v>
                </c:pt>
                <c:pt idx="4">
                  <c:v>41106</c:v>
                </c:pt>
                <c:pt idx="5">
                  <c:v>41113</c:v>
                </c:pt>
                <c:pt idx="6">
                  <c:v>41120</c:v>
                </c:pt>
                <c:pt idx="7">
                  <c:v>41127</c:v>
                </c:pt>
                <c:pt idx="8">
                  <c:v>41134</c:v>
                </c:pt>
                <c:pt idx="9">
                  <c:v>41141</c:v>
                </c:pt>
                <c:pt idx="10">
                  <c:v>41148</c:v>
                </c:pt>
                <c:pt idx="11">
                  <c:v>41155</c:v>
                </c:pt>
                <c:pt idx="12">
                  <c:v>41162</c:v>
                </c:pt>
                <c:pt idx="13">
                  <c:v>41169</c:v>
                </c:pt>
                <c:pt idx="14">
                  <c:v>41176</c:v>
                </c:pt>
                <c:pt idx="15">
                  <c:v>41183</c:v>
                </c:pt>
                <c:pt idx="16">
                  <c:v>41190</c:v>
                </c:pt>
                <c:pt idx="17">
                  <c:v>41197</c:v>
                </c:pt>
                <c:pt idx="18">
                  <c:v>41204</c:v>
                </c:pt>
                <c:pt idx="19">
                  <c:v>41211</c:v>
                </c:pt>
                <c:pt idx="20">
                  <c:v>41218</c:v>
                </c:pt>
                <c:pt idx="21">
                  <c:v>41225</c:v>
                </c:pt>
                <c:pt idx="22">
                  <c:v>41232</c:v>
                </c:pt>
                <c:pt idx="23">
                  <c:v>41239</c:v>
                </c:pt>
                <c:pt idx="24">
                  <c:v>41246</c:v>
                </c:pt>
                <c:pt idx="25">
                  <c:v>41253</c:v>
                </c:pt>
                <c:pt idx="26">
                  <c:v>41260</c:v>
                </c:pt>
                <c:pt idx="27">
                  <c:v>41267</c:v>
                </c:pt>
                <c:pt idx="28">
                  <c:v>41274</c:v>
                </c:pt>
                <c:pt idx="29">
                  <c:v>41281</c:v>
                </c:pt>
                <c:pt idx="30">
                  <c:v>41288</c:v>
                </c:pt>
                <c:pt idx="31">
                  <c:v>41295</c:v>
                </c:pt>
                <c:pt idx="32">
                  <c:v>41302</c:v>
                </c:pt>
                <c:pt idx="33">
                  <c:v>41309</c:v>
                </c:pt>
                <c:pt idx="34">
                  <c:v>41316</c:v>
                </c:pt>
                <c:pt idx="35">
                  <c:v>41323</c:v>
                </c:pt>
                <c:pt idx="36">
                  <c:v>41330</c:v>
                </c:pt>
                <c:pt idx="37">
                  <c:v>41337</c:v>
                </c:pt>
                <c:pt idx="38">
                  <c:v>41344</c:v>
                </c:pt>
                <c:pt idx="39">
                  <c:v>41351</c:v>
                </c:pt>
                <c:pt idx="40">
                  <c:v>41358</c:v>
                </c:pt>
                <c:pt idx="41">
                  <c:v>41365</c:v>
                </c:pt>
                <c:pt idx="42">
                  <c:v>41372</c:v>
                </c:pt>
                <c:pt idx="43">
                  <c:v>41379</c:v>
                </c:pt>
                <c:pt idx="44">
                  <c:v>41386</c:v>
                </c:pt>
                <c:pt idx="45">
                  <c:v>41393</c:v>
                </c:pt>
                <c:pt idx="46">
                  <c:v>41400</c:v>
                </c:pt>
                <c:pt idx="47">
                  <c:v>41407</c:v>
                </c:pt>
                <c:pt idx="48">
                  <c:v>41414</c:v>
                </c:pt>
                <c:pt idx="49">
                  <c:v>41421</c:v>
                </c:pt>
                <c:pt idx="50">
                  <c:v>41428</c:v>
                </c:pt>
                <c:pt idx="51">
                  <c:v>41435</c:v>
                </c:pt>
                <c:pt idx="52">
                  <c:v>41442</c:v>
                </c:pt>
                <c:pt idx="53">
                  <c:v>41449</c:v>
                </c:pt>
                <c:pt idx="54">
                  <c:v>41456</c:v>
                </c:pt>
                <c:pt idx="55">
                  <c:v>41463</c:v>
                </c:pt>
                <c:pt idx="56">
                  <c:v>41470</c:v>
                </c:pt>
                <c:pt idx="57">
                  <c:v>41477</c:v>
                </c:pt>
                <c:pt idx="58">
                  <c:v>41484</c:v>
                </c:pt>
                <c:pt idx="59">
                  <c:v>41491</c:v>
                </c:pt>
                <c:pt idx="60">
                  <c:v>41498</c:v>
                </c:pt>
                <c:pt idx="61">
                  <c:v>41505</c:v>
                </c:pt>
                <c:pt idx="62">
                  <c:v>41512</c:v>
                </c:pt>
                <c:pt idx="63">
                  <c:v>41519</c:v>
                </c:pt>
                <c:pt idx="64">
                  <c:v>41526</c:v>
                </c:pt>
                <c:pt idx="65">
                  <c:v>41533</c:v>
                </c:pt>
                <c:pt idx="66">
                  <c:v>41540</c:v>
                </c:pt>
                <c:pt idx="67">
                  <c:v>41547</c:v>
                </c:pt>
                <c:pt idx="68">
                  <c:v>41554</c:v>
                </c:pt>
                <c:pt idx="69">
                  <c:v>41561</c:v>
                </c:pt>
                <c:pt idx="70">
                  <c:v>41568</c:v>
                </c:pt>
                <c:pt idx="71">
                  <c:v>41575</c:v>
                </c:pt>
                <c:pt idx="72">
                  <c:v>41582</c:v>
                </c:pt>
                <c:pt idx="73">
                  <c:v>41589</c:v>
                </c:pt>
                <c:pt idx="74">
                  <c:v>41596</c:v>
                </c:pt>
                <c:pt idx="75">
                  <c:v>41603</c:v>
                </c:pt>
                <c:pt idx="76">
                  <c:v>41610</c:v>
                </c:pt>
                <c:pt idx="77">
                  <c:v>41617</c:v>
                </c:pt>
                <c:pt idx="78">
                  <c:v>41624</c:v>
                </c:pt>
                <c:pt idx="79">
                  <c:v>41631</c:v>
                </c:pt>
                <c:pt idx="80">
                  <c:v>41638</c:v>
                </c:pt>
                <c:pt idx="81">
                  <c:v>41645</c:v>
                </c:pt>
                <c:pt idx="82">
                  <c:v>41652</c:v>
                </c:pt>
                <c:pt idx="83">
                  <c:v>41659</c:v>
                </c:pt>
                <c:pt idx="84">
                  <c:v>41666</c:v>
                </c:pt>
                <c:pt idx="85">
                  <c:v>41673</c:v>
                </c:pt>
                <c:pt idx="86">
                  <c:v>41680</c:v>
                </c:pt>
                <c:pt idx="87">
                  <c:v>41687</c:v>
                </c:pt>
                <c:pt idx="88">
                  <c:v>41694</c:v>
                </c:pt>
                <c:pt idx="89">
                  <c:v>41701</c:v>
                </c:pt>
                <c:pt idx="90">
                  <c:v>41708</c:v>
                </c:pt>
                <c:pt idx="91">
                  <c:v>41715</c:v>
                </c:pt>
                <c:pt idx="92">
                  <c:v>41722</c:v>
                </c:pt>
                <c:pt idx="93">
                  <c:v>41729</c:v>
                </c:pt>
                <c:pt idx="94">
                  <c:v>41736</c:v>
                </c:pt>
                <c:pt idx="95">
                  <c:v>41743</c:v>
                </c:pt>
                <c:pt idx="96">
                  <c:v>41750</c:v>
                </c:pt>
                <c:pt idx="97">
                  <c:v>41757</c:v>
                </c:pt>
                <c:pt idx="98">
                  <c:v>41764</c:v>
                </c:pt>
                <c:pt idx="99">
                  <c:v>41771</c:v>
                </c:pt>
                <c:pt idx="100">
                  <c:v>41778</c:v>
                </c:pt>
                <c:pt idx="101">
                  <c:v>41785</c:v>
                </c:pt>
                <c:pt idx="102">
                  <c:v>41792</c:v>
                </c:pt>
              </c:numCache>
            </c:numRef>
          </c:cat>
          <c:val>
            <c:numRef>
              <c:f>Sheet2!$F$103:$F$205</c:f>
              <c:numCache>
                <c:formatCode>0.000000</c:formatCode>
                <c:ptCount val="103"/>
                <c:pt idx="0">
                  <c:v>6.4986209964411934</c:v>
                </c:pt>
                <c:pt idx="1">
                  <c:v>6.5643336354111694</c:v>
                </c:pt>
                <c:pt idx="2">
                  <c:v>6.6571935043705235</c:v>
                </c:pt>
                <c:pt idx="3">
                  <c:v>7.4229162086437617</c:v>
                </c:pt>
                <c:pt idx="4">
                  <c:v>8.7229283369145492</c:v>
                </c:pt>
                <c:pt idx="5">
                  <c:v>8.7500726220680427</c:v>
                </c:pt>
                <c:pt idx="6">
                  <c:v>10.192936699767886</c:v>
                </c:pt>
                <c:pt idx="7">
                  <c:v>11.228655077474999</c:v>
                </c:pt>
                <c:pt idx="8">
                  <c:v>11.738663894980018</c:v>
                </c:pt>
                <c:pt idx="9">
                  <c:v>10.23579611833685</c:v>
                </c:pt>
                <c:pt idx="10">
                  <c:v>10.560081541697922</c:v>
                </c:pt>
                <c:pt idx="11">
                  <c:v>10.878659215887406</c:v>
                </c:pt>
                <c:pt idx="12">
                  <c:v>11.507235368411033</c:v>
                </c:pt>
                <c:pt idx="13">
                  <c:v>12.25580864858742</c:v>
                </c:pt>
                <c:pt idx="14">
                  <c:v>12.290099259627958</c:v>
                </c:pt>
                <c:pt idx="15">
                  <c:v>12.567247187366</c:v>
                </c:pt>
                <c:pt idx="16">
                  <c:v>11.917238913115835</c:v>
                </c:pt>
                <c:pt idx="17">
                  <c:v>11.792951234774153</c:v>
                </c:pt>
                <c:pt idx="18">
                  <c:v>11.000084999546379</c:v>
                </c:pt>
                <c:pt idx="19">
                  <c:v>10.738656627295461</c:v>
                </c:pt>
                <c:pt idx="20">
                  <c:v>10.865797371316058</c:v>
                </c:pt>
                <c:pt idx="21">
                  <c:v>11.328662288774471</c:v>
                </c:pt>
                <c:pt idx="22">
                  <c:v>12.135815023936647</c:v>
                </c:pt>
                <c:pt idx="23">
                  <c:v>12.410104254160988</c:v>
                </c:pt>
                <c:pt idx="24">
                  <c:v>13.297260013748014</c:v>
                </c:pt>
                <c:pt idx="25">
                  <c:v>13.540118238781147</c:v>
                </c:pt>
                <c:pt idx="26">
                  <c:v>13.407255290219906</c:v>
                </c:pt>
                <c:pt idx="27">
                  <c:v>13.412967997693839</c:v>
                </c:pt>
                <c:pt idx="28">
                  <c:v>13.411532886897884</c:v>
                </c:pt>
                <c:pt idx="29">
                  <c:v>13.962972437622954</c:v>
                </c:pt>
                <c:pt idx="30">
                  <c:v>15.11298034422658</c:v>
                </c:pt>
                <c:pt idx="31">
                  <c:v>17.365856355320702</c:v>
                </c:pt>
                <c:pt idx="32">
                  <c:v>19.868727236843529</c:v>
                </c:pt>
                <c:pt idx="33">
                  <c:v>22.091612243758679</c:v>
                </c:pt>
                <c:pt idx="34">
                  <c:v>26.053080120486829</c:v>
                </c:pt>
                <c:pt idx="35">
                  <c:v>29.385959727873558</c:v>
                </c:pt>
                <c:pt idx="36">
                  <c:v>32.718838076676718</c:v>
                </c:pt>
                <c:pt idx="37">
                  <c:v>42.361757098182714</c:v>
                </c:pt>
                <c:pt idx="38">
                  <c:v>46.876055435761195</c:v>
                </c:pt>
                <c:pt idx="39">
                  <c:v>64.541924183981962</c:v>
                </c:pt>
                <c:pt idx="40">
                  <c:v>86.132085852598692</c:v>
                </c:pt>
                <c:pt idx="41">
                  <c:v>133.765330530976</c:v>
                </c:pt>
                <c:pt idx="42">
                  <c:v>143.91545369049172</c:v>
                </c:pt>
                <c:pt idx="43">
                  <c:v>102.44796385876496</c:v>
                </c:pt>
                <c:pt idx="44">
                  <c:v>138.01826065635692</c:v>
                </c:pt>
                <c:pt idx="45">
                  <c:v>118.97804734484701</c:v>
                </c:pt>
                <c:pt idx="46">
                  <c:v>113.71655583921662</c:v>
                </c:pt>
                <c:pt idx="47">
                  <c:v>118.71800796408051</c:v>
                </c:pt>
                <c:pt idx="48">
                  <c:v>127.65802386046369</c:v>
                </c:pt>
                <c:pt idx="49">
                  <c:v>128.63513680132851</c:v>
                </c:pt>
                <c:pt idx="50">
                  <c:v>114.62076691081923</c:v>
                </c:pt>
                <c:pt idx="51">
                  <c:v>103.96923104177606</c:v>
                </c:pt>
                <c:pt idx="52">
                  <c:v>107.77783229597227</c:v>
                </c:pt>
                <c:pt idx="53">
                  <c:v>99.762064916521126</c:v>
                </c:pt>
                <c:pt idx="54">
                  <c:v>76.077609738067835</c:v>
                </c:pt>
                <c:pt idx="55">
                  <c:v>84.961991698686376</c:v>
                </c:pt>
                <c:pt idx="56">
                  <c:v>88.396289961361276</c:v>
                </c:pt>
                <c:pt idx="57">
                  <c:v>88.819125139392227</c:v>
                </c:pt>
                <c:pt idx="58">
                  <c:v>96.349191158597819</c:v>
                </c:pt>
                <c:pt idx="59">
                  <c:v>95.221999282354545</c:v>
                </c:pt>
                <c:pt idx="60">
                  <c:v>97.887709471931245</c:v>
                </c:pt>
                <c:pt idx="61">
                  <c:v>108.07344042916203</c:v>
                </c:pt>
                <c:pt idx="62">
                  <c:v>120.8206240718778</c:v>
                </c:pt>
                <c:pt idx="63">
                  <c:v>121.14485762328444</c:v>
                </c:pt>
                <c:pt idx="64">
                  <c:v>123.98058738468885</c:v>
                </c:pt>
                <c:pt idx="65">
                  <c:v>124.24482323448586</c:v>
                </c:pt>
                <c:pt idx="66">
                  <c:v>123.58485436311427</c:v>
                </c:pt>
                <c:pt idx="67">
                  <c:v>118.47630704074821</c:v>
                </c:pt>
                <c:pt idx="68">
                  <c:v>125.93639778206587</c:v>
                </c:pt>
                <c:pt idx="69">
                  <c:v>146.32790089593897</c:v>
                </c:pt>
                <c:pt idx="70">
                  <c:v>183.07520047691321</c:v>
                </c:pt>
                <c:pt idx="71">
                  <c:v>197.97663130162081</c:v>
                </c:pt>
                <c:pt idx="72">
                  <c:v>281.89988776997518</c:v>
                </c:pt>
                <c:pt idx="73">
                  <c:v>400.03738290354966</c:v>
                </c:pt>
                <c:pt idx="74">
                  <c:v>680.04705887255648</c:v>
                </c:pt>
                <c:pt idx="75">
                  <c:v>979.44981426749302</c:v>
                </c:pt>
                <c:pt idx="76">
                  <c:v>945.74691353748494</c:v>
                </c:pt>
                <c:pt idx="77">
                  <c:v>898.88939881403144</c:v>
                </c:pt>
                <c:pt idx="78">
                  <c:v>638.09552637678985</c:v>
                </c:pt>
                <c:pt idx="79">
                  <c:v>716.51988510824663</c:v>
                </c:pt>
                <c:pt idx="80">
                  <c:v>817.12493305058854</c:v>
                </c:pt>
                <c:pt idx="81">
                  <c:v>881.66661762458239</c:v>
                </c:pt>
                <c:pt idx="82">
                  <c:v>854.65083037639999</c:v>
                </c:pt>
                <c:pt idx="83">
                  <c:v>861.54044323285802</c:v>
                </c:pt>
                <c:pt idx="84">
                  <c:v>841.07597939468803</c:v>
                </c:pt>
                <c:pt idx="85">
                  <c:v>765.12024157140502</c:v>
                </c:pt>
                <c:pt idx="86">
                  <c:v>644.09549546836354</c:v>
                </c:pt>
                <c:pt idx="87">
                  <c:v>598.71698061132804</c:v>
                </c:pt>
                <c:pt idx="88">
                  <c:v>557.40105067331899</c:v>
                </c:pt>
                <c:pt idx="89">
                  <c:v>645.64318113740092</c:v>
                </c:pt>
                <c:pt idx="90">
                  <c:v>630.77864457143119</c:v>
                </c:pt>
                <c:pt idx="91">
                  <c:v>589.54555833365839</c:v>
                </c:pt>
                <c:pt idx="92">
                  <c:v>526.18402028206322</c:v>
                </c:pt>
                <c:pt idx="93">
                  <c:v>456.60514404088133</c:v>
                </c:pt>
                <c:pt idx="94">
                  <c:v>421.91505402749675</c:v>
                </c:pt>
                <c:pt idx="95">
                  <c:v>496.91848571539293</c:v>
                </c:pt>
                <c:pt idx="96">
                  <c:v>472.87543364870726</c:v>
                </c:pt>
                <c:pt idx="97">
                  <c:v>443.01516412953708</c:v>
                </c:pt>
                <c:pt idx="98">
                  <c:v>438.07231522419863</c:v>
                </c:pt>
                <c:pt idx="99">
                  <c:v>442.58653294162195</c:v>
                </c:pt>
                <c:pt idx="100">
                  <c:v>508.59092005134545</c:v>
                </c:pt>
                <c:pt idx="101">
                  <c:v>594.31293069862477</c:v>
                </c:pt>
                <c:pt idx="102">
                  <c:v>652.59909669831802</c:v>
                </c:pt>
              </c:numCache>
            </c:numRef>
          </c:val>
        </c:ser>
        <c:marker val="1"/>
        <c:axId val="103565568"/>
        <c:axId val="103604224"/>
      </c:lineChart>
      <c:dateAx>
        <c:axId val="103565568"/>
        <c:scaling>
          <c:orientation val="minMax"/>
        </c:scaling>
        <c:axPos val="b"/>
        <c:numFmt formatCode="d/m/yyyy" sourceLinked="1"/>
        <c:majorTickMark val="none"/>
        <c:tickLblPos val="nextTo"/>
        <c:txPr>
          <a:bodyPr/>
          <a:lstStyle/>
          <a:p>
            <a:pPr>
              <a:defRPr sz="800"/>
            </a:pPr>
            <a:endParaRPr lang="nl-NL"/>
          </a:p>
        </c:txPr>
        <c:crossAx val="103604224"/>
        <c:crosses val="autoZero"/>
        <c:auto val="1"/>
        <c:lblOffset val="100"/>
      </c:dateAx>
      <c:valAx>
        <c:axId val="103604224"/>
        <c:scaling>
          <c:orientation val="minMax"/>
        </c:scaling>
        <c:axPos val="l"/>
        <c:majorGridlines/>
        <c:numFmt formatCode="[$$-409]\ #,##0" sourceLinked="0"/>
        <c:majorTickMark val="none"/>
        <c:tickLblPos val="nextTo"/>
        <c:crossAx val="103565568"/>
        <c:crosses val="autoZero"/>
        <c:crossBetween val="between"/>
      </c:valAx>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lineChart>
        <c:grouping val="standard"/>
        <c:ser>
          <c:idx val="0"/>
          <c:order val="0"/>
          <c:tx>
            <c:strRef>
              <c:f>Dornbusch!$C$2</c:f>
              <c:strCache>
                <c:ptCount val="1"/>
                <c:pt idx="0">
                  <c:v>Forecast</c:v>
                </c:pt>
              </c:strCache>
            </c:strRef>
          </c:tx>
          <c:marker>
            <c:symbol val="none"/>
          </c:marker>
          <c:cat>
            <c:numRef>
              <c:f>Dornbusch!$A$102:$A$196</c:f>
              <c:numCache>
                <c:formatCode>d/m/yyyy</c:formatCode>
                <c:ptCount val="95"/>
                <c:pt idx="0">
                  <c:v>41078</c:v>
                </c:pt>
                <c:pt idx="1">
                  <c:v>41085</c:v>
                </c:pt>
                <c:pt idx="2">
                  <c:v>41092</c:v>
                </c:pt>
                <c:pt idx="3">
                  <c:v>41099</c:v>
                </c:pt>
                <c:pt idx="4">
                  <c:v>41106</c:v>
                </c:pt>
                <c:pt idx="5">
                  <c:v>41113</c:v>
                </c:pt>
                <c:pt idx="6">
                  <c:v>41120</c:v>
                </c:pt>
                <c:pt idx="7">
                  <c:v>41127</c:v>
                </c:pt>
                <c:pt idx="8">
                  <c:v>41134</c:v>
                </c:pt>
                <c:pt idx="9">
                  <c:v>41141</c:v>
                </c:pt>
                <c:pt idx="10">
                  <c:v>41148</c:v>
                </c:pt>
                <c:pt idx="11">
                  <c:v>41155</c:v>
                </c:pt>
                <c:pt idx="12">
                  <c:v>41162</c:v>
                </c:pt>
                <c:pt idx="13">
                  <c:v>41169</c:v>
                </c:pt>
                <c:pt idx="14">
                  <c:v>41176</c:v>
                </c:pt>
                <c:pt idx="15">
                  <c:v>41183</c:v>
                </c:pt>
                <c:pt idx="16">
                  <c:v>41190</c:v>
                </c:pt>
                <c:pt idx="17">
                  <c:v>41197</c:v>
                </c:pt>
                <c:pt idx="18">
                  <c:v>41204</c:v>
                </c:pt>
                <c:pt idx="19">
                  <c:v>41211</c:v>
                </c:pt>
                <c:pt idx="20">
                  <c:v>41218</c:v>
                </c:pt>
                <c:pt idx="21">
                  <c:v>41225</c:v>
                </c:pt>
                <c:pt idx="22">
                  <c:v>41232</c:v>
                </c:pt>
                <c:pt idx="23">
                  <c:v>41239</c:v>
                </c:pt>
                <c:pt idx="24">
                  <c:v>41246</c:v>
                </c:pt>
                <c:pt idx="25">
                  <c:v>41253</c:v>
                </c:pt>
                <c:pt idx="26">
                  <c:v>41260</c:v>
                </c:pt>
                <c:pt idx="27">
                  <c:v>41267</c:v>
                </c:pt>
                <c:pt idx="28">
                  <c:v>41274</c:v>
                </c:pt>
                <c:pt idx="29">
                  <c:v>41281</c:v>
                </c:pt>
                <c:pt idx="30">
                  <c:v>41288</c:v>
                </c:pt>
                <c:pt idx="31">
                  <c:v>41295</c:v>
                </c:pt>
                <c:pt idx="32">
                  <c:v>41302</c:v>
                </c:pt>
                <c:pt idx="33">
                  <c:v>41309</c:v>
                </c:pt>
                <c:pt idx="34">
                  <c:v>41316</c:v>
                </c:pt>
                <c:pt idx="35">
                  <c:v>41323</c:v>
                </c:pt>
                <c:pt idx="36">
                  <c:v>41330</c:v>
                </c:pt>
                <c:pt idx="37">
                  <c:v>41337</c:v>
                </c:pt>
                <c:pt idx="38">
                  <c:v>41344</c:v>
                </c:pt>
                <c:pt idx="39">
                  <c:v>41351</c:v>
                </c:pt>
                <c:pt idx="40">
                  <c:v>41358</c:v>
                </c:pt>
                <c:pt idx="41">
                  <c:v>41365</c:v>
                </c:pt>
                <c:pt idx="42">
                  <c:v>41372</c:v>
                </c:pt>
                <c:pt idx="43">
                  <c:v>41379</c:v>
                </c:pt>
                <c:pt idx="44">
                  <c:v>41386</c:v>
                </c:pt>
                <c:pt idx="45">
                  <c:v>41393</c:v>
                </c:pt>
                <c:pt idx="46">
                  <c:v>41400</c:v>
                </c:pt>
                <c:pt idx="47">
                  <c:v>41407</c:v>
                </c:pt>
                <c:pt idx="48">
                  <c:v>41414</c:v>
                </c:pt>
                <c:pt idx="49">
                  <c:v>41421</c:v>
                </c:pt>
                <c:pt idx="50">
                  <c:v>41428</c:v>
                </c:pt>
                <c:pt idx="51">
                  <c:v>41435</c:v>
                </c:pt>
                <c:pt idx="52">
                  <c:v>41442</c:v>
                </c:pt>
                <c:pt idx="53">
                  <c:v>41449</c:v>
                </c:pt>
                <c:pt idx="54">
                  <c:v>41456</c:v>
                </c:pt>
                <c:pt idx="55">
                  <c:v>41463</c:v>
                </c:pt>
                <c:pt idx="56">
                  <c:v>41470</c:v>
                </c:pt>
                <c:pt idx="57">
                  <c:v>41477</c:v>
                </c:pt>
                <c:pt idx="58">
                  <c:v>41484</c:v>
                </c:pt>
                <c:pt idx="59">
                  <c:v>41491</c:v>
                </c:pt>
                <c:pt idx="60">
                  <c:v>41498</c:v>
                </c:pt>
                <c:pt idx="61">
                  <c:v>41505</c:v>
                </c:pt>
                <c:pt idx="62">
                  <c:v>41512</c:v>
                </c:pt>
                <c:pt idx="63">
                  <c:v>41519</c:v>
                </c:pt>
                <c:pt idx="64">
                  <c:v>41526</c:v>
                </c:pt>
                <c:pt idx="65">
                  <c:v>41533</c:v>
                </c:pt>
                <c:pt idx="66">
                  <c:v>41540</c:v>
                </c:pt>
                <c:pt idx="67">
                  <c:v>41547</c:v>
                </c:pt>
                <c:pt idx="68">
                  <c:v>41554</c:v>
                </c:pt>
                <c:pt idx="69">
                  <c:v>41561</c:v>
                </c:pt>
                <c:pt idx="70">
                  <c:v>41568</c:v>
                </c:pt>
                <c:pt idx="71">
                  <c:v>41575</c:v>
                </c:pt>
                <c:pt idx="72">
                  <c:v>41582</c:v>
                </c:pt>
                <c:pt idx="73">
                  <c:v>41589</c:v>
                </c:pt>
                <c:pt idx="74">
                  <c:v>41596</c:v>
                </c:pt>
                <c:pt idx="75">
                  <c:v>41603</c:v>
                </c:pt>
                <c:pt idx="76">
                  <c:v>41610</c:v>
                </c:pt>
                <c:pt idx="77">
                  <c:v>41617</c:v>
                </c:pt>
                <c:pt idx="78">
                  <c:v>41624</c:v>
                </c:pt>
                <c:pt idx="79">
                  <c:v>41631</c:v>
                </c:pt>
                <c:pt idx="80">
                  <c:v>41638</c:v>
                </c:pt>
                <c:pt idx="81">
                  <c:v>41645</c:v>
                </c:pt>
                <c:pt idx="82">
                  <c:v>41652</c:v>
                </c:pt>
                <c:pt idx="83">
                  <c:v>41659</c:v>
                </c:pt>
                <c:pt idx="84">
                  <c:v>41666</c:v>
                </c:pt>
                <c:pt idx="85">
                  <c:v>41673</c:v>
                </c:pt>
                <c:pt idx="86">
                  <c:v>41680</c:v>
                </c:pt>
                <c:pt idx="87">
                  <c:v>41687</c:v>
                </c:pt>
                <c:pt idx="88">
                  <c:v>41694</c:v>
                </c:pt>
                <c:pt idx="89">
                  <c:v>41701</c:v>
                </c:pt>
                <c:pt idx="90">
                  <c:v>41708</c:v>
                </c:pt>
                <c:pt idx="91">
                  <c:v>41715</c:v>
                </c:pt>
                <c:pt idx="92">
                  <c:v>41722</c:v>
                </c:pt>
                <c:pt idx="93">
                  <c:v>41729</c:v>
                </c:pt>
                <c:pt idx="94">
                  <c:v>41736</c:v>
                </c:pt>
              </c:numCache>
            </c:numRef>
          </c:cat>
          <c:val>
            <c:numRef>
              <c:f>Dornbusch!$C$102:$C$196</c:f>
              <c:numCache>
                <c:formatCode>General</c:formatCode>
                <c:ptCount val="95"/>
                <c:pt idx="27" formatCode="0.00">
                  <c:v>-4.2600000000000033E-4</c:v>
                </c:pt>
                <c:pt idx="28" formatCode="0.00">
                  <c:v>-3.031300000000001E-2</c:v>
                </c:pt>
                <c:pt idx="29" formatCode="0.00">
                  <c:v>-3.8912000000000002E-2</c:v>
                </c:pt>
                <c:pt idx="30" formatCode="0.00">
                  <c:v>1.1351999999999999E-2</c:v>
                </c:pt>
                <c:pt idx="31" formatCode="0.00">
                  <c:v>-6.7496000000000167E-2</c:v>
                </c:pt>
                <c:pt idx="32" formatCode="0.00">
                  <c:v>-4.6323000000000003E-2</c:v>
                </c:pt>
                <c:pt idx="33" formatCode="0.00">
                  <c:v>-2.1858000000000002E-2</c:v>
                </c:pt>
                <c:pt idx="34" formatCode="0.00">
                  <c:v>-3.3581E-2</c:v>
                </c:pt>
                <c:pt idx="35" formatCode="0.00">
                  <c:v>-1.8832000000000005E-2</c:v>
                </c:pt>
                <c:pt idx="36" formatCode="0.00">
                  <c:v>-3.8121000000000002E-2</c:v>
                </c:pt>
                <c:pt idx="37" formatCode="0.00">
                  <c:v>-5.918600000000012E-2</c:v>
                </c:pt>
                <c:pt idx="38" formatCode="0.00">
                  <c:v>-3.2565999999999998E-2</c:v>
                </c:pt>
                <c:pt idx="39" formatCode="0.00">
                  <c:v>-4.1600999999999985E-2</c:v>
                </c:pt>
                <c:pt idx="40" formatCode="0.00">
                  <c:v>-4.1466000000000024E-2</c:v>
                </c:pt>
                <c:pt idx="41" formatCode="0.00">
                  <c:v>-4.2538000000000013E-2</c:v>
                </c:pt>
                <c:pt idx="42" formatCode="0.00">
                  <c:v>-6.1583000000000013E-2</c:v>
                </c:pt>
                <c:pt idx="43" formatCode="0.00">
                  <c:v>-5.6930000000000001E-2</c:v>
                </c:pt>
                <c:pt idx="44" formatCode="0.00">
                  <c:v>-3.5817000000000002E-2</c:v>
                </c:pt>
                <c:pt idx="45" formatCode="0.00">
                  <c:v>-5.3471999999999999E-2</c:v>
                </c:pt>
                <c:pt idx="46" formatCode="0.00">
                  <c:v>-2.8271000000000053E-2</c:v>
                </c:pt>
                <c:pt idx="47" formatCode="0.00">
                  <c:v>-8.6592000000000044E-2</c:v>
                </c:pt>
                <c:pt idx="48" formatCode="0.00">
                  <c:v>-0.115312</c:v>
                </c:pt>
                <c:pt idx="49" formatCode="0.00">
                  <c:v>-0.12022200000000023</c:v>
                </c:pt>
                <c:pt idx="50" formatCode="0.00">
                  <c:v>-9.8778000000000046E-2</c:v>
                </c:pt>
                <c:pt idx="51" formatCode="0.00">
                  <c:v>1.6750000000000031E-3</c:v>
                </c:pt>
                <c:pt idx="52" formatCode="0.00">
                  <c:v>2.1100000000000012E-3</c:v>
                </c:pt>
                <c:pt idx="53" formatCode="0.00">
                  <c:v>-1.1700000000000049E-4</c:v>
                </c:pt>
                <c:pt idx="54" formatCode="0.00">
                  <c:v>-6.6410000000000106E-3</c:v>
                </c:pt>
                <c:pt idx="55" formatCode="0.00">
                  <c:v>-6.2813000000000133E-2</c:v>
                </c:pt>
                <c:pt idx="56" formatCode="0.00">
                  <c:v>-6.5754000000000021E-2</c:v>
                </c:pt>
                <c:pt idx="57" formatCode="0.00">
                  <c:v>-4.2447000000000012E-2</c:v>
                </c:pt>
                <c:pt idx="58" formatCode="0.00">
                  <c:v>-3.8258E-2</c:v>
                </c:pt>
                <c:pt idx="59" formatCode="0.00">
                  <c:v>-3.4696000000000005E-2</c:v>
                </c:pt>
                <c:pt idx="60" formatCode="0.00">
                  <c:v>1.2700000000000035E-4</c:v>
                </c:pt>
                <c:pt idx="61" formatCode="0.00">
                  <c:v>-3.9273000000000079E-2</c:v>
                </c:pt>
                <c:pt idx="62" formatCode="0.00">
                  <c:v>-5.5918000000000023E-2</c:v>
                </c:pt>
                <c:pt idx="63" formatCode="0.00">
                  <c:v>-3.1364999999999997E-2</c:v>
                </c:pt>
                <c:pt idx="64" formatCode="0.00">
                  <c:v>-6.4375000000000002E-2</c:v>
                </c:pt>
                <c:pt idx="65" formatCode="0.00">
                  <c:v>-3.2799000000000002E-2</c:v>
                </c:pt>
                <c:pt idx="66" formatCode="0.00">
                  <c:v>-3.85E-2</c:v>
                </c:pt>
                <c:pt idx="67" formatCode="0.00">
                  <c:v>-2.8198999999999978E-2</c:v>
                </c:pt>
                <c:pt idx="68" formatCode="0.00">
                  <c:v>-8.7470000000000013E-3</c:v>
                </c:pt>
                <c:pt idx="69" formatCode="0.00">
                  <c:v>-3.8873000000000074E-2</c:v>
                </c:pt>
                <c:pt idx="70" formatCode="0.00">
                  <c:v>-8.1312000000000009E-2</c:v>
                </c:pt>
                <c:pt idx="71" formatCode="0.00">
                  <c:v>-4.8325E-2</c:v>
                </c:pt>
                <c:pt idx="72" formatCode="0.00">
                  <c:v>-5.7750000000000107E-2</c:v>
                </c:pt>
                <c:pt idx="73" formatCode="0.00">
                  <c:v>-5.9432000000000165E-2</c:v>
                </c:pt>
                <c:pt idx="74" formatCode="0.00">
                  <c:v>-8.9148000000000005E-2</c:v>
                </c:pt>
                <c:pt idx="75" formatCode="0.00">
                  <c:v>-6.0354000000000033E-2</c:v>
                </c:pt>
                <c:pt idx="76" formatCode="0.00">
                  <c:v>-4.2218000000000012E-2</c:v>
                </c:pt>
                <c:pt idx="77" formatCode="0.00">
                  <c:v>-7.4092000000000199E-2</c:v>
                </c:pt>
                <c:pt idx="78" formatCode="0.00">
                  <c:v>-3.5238000000000005E-2</c:v>
                </c:pt>
                <c:pt idx="79" formatCode="0.00">
                  <c:v>-4.0181000000000001E-2</c:v>
                </c:pt>
                <c:pt idx="80" formatCode="0.00">
                  <c:v>-2.3065999999999993E-2</c:v>
                </c:pt>
                <c:pt idx="81" formatCode="0.00">
                  <c:v>-6.5135999999999999E-2</c:v>
                </c:pt>
                <c:pt idx="82" formatCode="0.00">
                  <c:v>3.4777000000000002E-2</c:v>
                </c:pt>
                <c:pt idx="83" formatCode="0.00">
                  <c:v>-7.0200000000000113E-4</c:v>
                </c:pt>
                <c:pt idx="84" formatCode="0.00">
                  <c:v>5.1239999999999975E-3</c:v>
                </c:pt>
                <c:pt idx="85" formatCode="0.00">
                  <c:v>9.3850000000000339E-3</c:v>
                </c:pt>
                <c:pt idx="86" formatCode="0.00">
                  <c:v>-4.2459999999999998E-2</c:v>
                </c:pt>
                <c:pt idx="87" formatCode="0.00">
                  <c:v>-3.1696000000000002E-2</c:v>
                </c:pt>
                <c:pt idx="88" formatCode="0.00">
                  <c:v>-1.9750000000000042E-2</c:v>
                </c:pt>
                <c:pt idx="89" formatCode="0.00">
                  <c:v>-3.2152E-2</c:v>
                </c:pt>
                <c:pt idx="90" formatCode="0.00">
                  <c:v>-9.101200000000001E-2</c:v>
                </c:pt>
                <c:pt idx="91" formatCode="0.00">
                  <c:v>-3.1678000000000012E-2</c:v>
                </c:pt>
                <c:pt idx="92" formatCode="0.00">
                  <c:v>-3.7131000000000081E-2</c:v>
                </c:pt>
                <c:pt idx="93" formatCode="0.00">
                  <c:v>-1.7343000000000001E-2</c:v>
                </c:pt>
                <c:pt idx="94" formatCode="0.00">
                  <c:v>-5.9202000000000109E-2</c:v>
                </c:pt>
              </c:numCache>
            </c:numRef>
          </c:val>
        </c:ser>
        <c:ser>
          <c:idx val="1"/>
          <c:order val="1"/>
          <c:tx>
            <c:strRef>
              <c:f>Dornbusch!$B$2</c:f>
              <c:strCache>
                <c:ptCount val="1"/>
                <c:pt idx="0">
                  <c:v>Actual</c:v>
                </c:pt>
              </c:strCache>
            </c:strRef>
          </c:tx>
          <c:marker>
            <c:symbol val="none"/>
          </c:marker>
          <c:cat>
            <c:numRef>
              <c:f>Dornbusch!$A$102:$A$196</c:f>
              <c:numCache>
                <c:formatCode>d/m/yyyy</c:formatCode>
                <c:ptCount val="95"/>
                <c:pt idx="0">
                  <c:v>41078</c:v>
                </c:pt>
                <c:pt idx="1">
                  <c:v>41085</c:v>
                </c:pt>
                <c:pt idx="2">
                  <c:v>41092</c:v>
                </c:pt>
                <c:pt idx="3">
                  <c:v>41099</c:v>
                </c:pt>
                <c:pt idx="4">
                  <c:v>41106</c:v>
                </c:pt>
                <c:pt idx="5">
                  <c:v>41113</c:v>
                </c:pt>
                <c:pt idx="6">
                  <c:v>41120</c:v>
                </c:pt>
                <c:pt idx="7">
                  <c:v>41127</c:v>
                </c:pt>
                <c:pt idx="8">
                  <c:v>41134</c:v>
                </c:pt>
                <c:pt idx="9">
                  <c:v>41141</c:v>
                </c:pt>
                <c:pt idx="10">
                  <c:v>41148</c:v>
                </c:pt>
                <c:pt idx="11">
                  <c:v>41155</c:v>
                </c:pt>
                <c:pt idx="12">
                  <c:v>41162</c:v>
                </c:pt>
                <c:pt idx="13">
                  <c:v>41169</c:v>
                </c:pt>
                <c:pt idx="14">
                  <c:v>41176</c:v>
                </c:pt>
                <c:pt idx="15">
                  <c:v>41183</c:v>
                </c:pt>
                <c:pt idx="16">
                  <c:v>41190</c:v>
                </c:pt>
                <c:pt idx="17">
                  <c:v>41197</c:v>
                </c:pt>
                <c:pt idx="18">
                  <c:v>41204</c:v>
                </c:pt>
                <c:pt idx="19">
                  <c:v>41211</c:v>
                </c:pt>
                <c:pt idx="20">
                  <c:v>41218</c:v>
                </c:pt>
                <c:pt idx="21">
                  <c:v>41225</c:v>
                </c:pt>
                <c:pt idx="22">
                  <c:v>41232</c:v>
                </c:pt>
                <c:pt idx="23">
                  <c:v>41239</c:v>
                </c:pt>
                <c:pt idx="24">
                  <c:v>41246</c:v>
                </c:pt>
                <c:pt idx="25">
                  <c:v>41253</c:v>
                </c:pt>
                <c:pt idx="26">
                  <c:v>41260</c:v>
                </c:pt>
                <c:pt idx="27">
                  <c:v>41267</c:v>
                </c:pt>
                <c:pt idx="28">
                  <c:v>41274</c:v>
                </c:pt>
                <c:pt idx="29">
                  <c:v>41281</c:v>
                </c:pt>
                <c:pt idx="30">
                  <c:v>41288</c:v>
                </c:pt>
                <c:pt idx="31">
                  <c:v>41295</c:v>
                </c:pt>
                <c:pt idx="32">
                  <c:v>41302</c:v>
                </c:pt>
                <c:pt idx="33">
                  <c:v>41309</c:v>
                </c:pt>
                <c:pt idx="34">
                  <c:v>41316</c:v>
                </c:pt>
                <c:pt idx="35">
                  <c:v>41323</c:v>
                </c:pt>
                <c:pt idx="36">
                  <c:v>41330</c:v>
                </c:pt>
                <c:pt idx="37">
                  <c:v>41337</c:v>
                </c:pt>
                <c:pt idx="38">
                  <c:v>41344</c:v>
                </c:pt>
                <c:pt idx="39">
                  <c:v>41351</c:v>
                </c:pt>
                <c:pt idx="40">
                  <c:v>41358</c:v>
                </c:pt>
                <c:pt idx="41">
                  <c:v>41365</c:v>
                </c:pt>
                <c:pt idx="42">
                  <c:v>41372</c:v>
                </c:pt>
                <c:pt idx="43">
                  <c:v>41379</c:v>
                </c:pt>
                <c:pt idx="44">
                  <c:v>41386</c:v>
                </c:pt>
                <c:pt idx="45">
                  <c:v>41393</c:v>
                </c:pt>
                <c:pt idx="46">
                  <c:v>41400</c:v>
                </c:pt>
                <c:pt idx="47">
                  <c:v>41407</c:v>
                </c:pt>
                <c:pt idx="48">
                  <c:v>41414</c:v>
                </c:pt>
                <c:pt idx="49">
                  <c:v>41421</c:v>
                </c:pt>
                <c:pt idx="50">
                  <c:v>41428</c:v>
                </c:pt>
                <c:pt idx="51">
                  <c:v>41435</c:v>
                </c:pt>
                <c:pt idx="52">
                  <c:v>41442</c:v>
                </c:pt>
                <c:pt idx="53">
                  <c:v>41449</c:v>
                </c:pt>
                <c:pt idx="54">
                  <c:v>41456</c:v>
                </c:pt>
                <c:pt idx="55">
                  <c:v>41463</c:v>
                </c:pt>
                <c:pt idx="56">
                  <c:v>41470</c:v>
                </c:pt>
                <c:pt idx="57">
                  <c:v>41477</c:v>
                </c:pt>
                <c:pt idx="58">
                  <c:v>41484</c:v>
                </c:pt>
                <c:pt idx="59">
                  <c:v>41491</c:v>
                </c:pt>
                <c:pt idx="60">
                  <c:v>41498</c:v>
                </c:pt>
                <c:pt idx="61">
                  <c:v>41505</c:v>
                </c:pt>
                <c:pt idx="62">
                  <c:v>41512</c:v>
                </c:pt>
                <c:pt idx="63">
                  <c:v>41519</c:v>
                </c:pt>
                <c:pt idx="64">
                  <c:v>41526</c:v>
                </c:pt>
                <c:pt idx="65">
                  <c:v>41533</c:v>
                </c:pt>
                <c:pt idx="66">
                  <c:v>41540</c:v>
                </c:pt>
                <c:pt idx="67">
                  <c:v>41547</c:v>
                </c:pt>
                <c:pt idx="68">
                  <c:v>41554</c:v>
                </c:pt>
                <c:pt idx="69">
                  <c:v>41561</c:v>
                </c:pt>
                <c:pt idx="70">
                  <c:v>41568</c:v>
                </c:pt>
                <c:pt idx="71">
                  <c:v>41575</c:v>
                </c:pt>
                <c:pt idx="72">
                  <c:v>41582</c:v>
                </c:pt>
                <c:pt idx="73">
                  <c:v>41589</c:v>
                </c:pt>
                <c:pt idx="74">
                  <c:v>41596</c:v>
                </c:pt>
                <c:pt idx="75">
                  <c:v>41603</c:v>
                </c:pt>
                <c:pt idx="76">
                  <c:v>41610</c:v>
                </c:pt>
                <c:pt idx="77">
                  <c:v>41617</c:v>
                </c:pt>
                <c:pt idx="78">
                  <c:v>41624</c:v>
                </c:pt>
                <c:pt idx="79">
                  <c:v>41631</c:v>
                </c:pt>
                <c:pt idx="80">
                  <c:v>41638</c:v>
                </c:pt>
                <c:pt idx="81">
                  <c:v>41645</c:v>
                </c:pt>
                <c:pt idx="82">
                  <c:v>41652</c:v>
                </c:pt>
                <c:pt idx="83">
                  <c:v>41659</c:v>
                </c:pt>
                <c:pt idx="84">
                  <c:v>41666</c:v>
                </c:pt>
                <c:pt idx="85">
                  <c:v>41673</c:v>
                </c:pt>
                <c:pt idx="86">
                  <c:v>41680</c:v>
                </c:pt>
                <c:pt idx="87">
                  <c:v>41687</c:v>
                </c:pt>
                <c:pt idx="88">
                  <c:v>41694</c:v>
                </c:pt>
                <c:pt idx="89">
                  <c:v>41701</c:v>
                </c:pt>
                <c:pt idx="90">
                  <c:v>41708</c:v>
                </c:pt>
                <c:pt idx="91">
                  <c:v>41715</c:v>
                </c:pt>
                <c:pt idx="92">
                  <c:v>41722</c:v>
                </c:pt>
                <c:pt idx="93">
                  <c:v>41729</c:v>
                </c:pt>
                <c:pt idx="94">
                  <c:v>41736</c:v>
                </c:pt>
              </c:numCache>
            </c:numRef>
          </c:cat>
          <c:val>
            <c:numRef>
              <c:f>Dornbusch!$B$102:$B$196</c:f>
              <c:numCache>
                <c:formatCode>0.00</c:formatCode>
                <c:ptCount val="95"/>
                <c:pt idx="0">
                  <c:v>-7.4835000000000124E-2</c:v>
                </c:pt>
                <c:pt idx="1">
                  <c:v>-1.0061E-2</c:v>
                </c:pt>
                <c:pt idx="2">
                  <c:v>-1.4047E-2</c:v>
                </c:pt>
                <c:pt idx="3">
                  <c:v>-0.10887400000000012</c:v>
                </c:pt>
                <c:pt idx="4">
                  <c:v>-0.161383</c:v>
                </c:pt>
                <c:pt idx="5">
                  <c:v>-3.1070000000000086E-3</c:v>
                </c:pt>
                <c:pt idx="6">
                  <c:v>-0.15263299999999999</c:v>
                </c:pt>
                <c:pt idx="7">
                  <c:v>-9.6774000000000027E-2</c:v>
                </c:pt>
                <c:pt idx="8">
                  <c:v>-4.4419000000000104E-2</c:v>
                </c:pt>
                <c:pt idx="9">
                  <c:v>0.13699700000000037</c:v>
                </c:pt>
                <c:pt idx="10">
                  <c:v>-3.1190000000000002E-2</c:v>
                </c:pt>
                <c:pt idx="11">
                  <c:v>-2.9721999999999998E-2</c:v>
                </c:pt>
                <c:pt idx="12">
                  <c:v>-5.6173000000000001E-2</c:v>
                </c:pt>
                <c:pt idx="13">
                  <c:v>-6.3023999999999997E-2</c:v>
                </c:pt>
                <c:pt idx="14">
                  <c:v>-2.7940000000000048E-3</c:v>
                </c:pt>
                <c:pt idx="15">
                  <c:v>-2.2300000000000011E-2</c:v>
                </c:pt>
                <c:pt idx="16">
                  <c:v>5.3108000000000002E-2</c:v>
                </c:pt>
                <c:pt idx="17">
                  <c:v>1.0484000000000005E-2</c:v>
                </c:pt>
                <c:pt idx="18">
                  <c:v>6.9598999999999994E-2</c:v>
                </c:pt>
                <c:pt idx="19">
                  <c:v>2.4053000000000001E-2</c:v>
                </c:pt>
                <c:pt idx="20">
                  <c:v>-1.1769999999999999E-2</c:v>
                </c:pt>
                <c:pt idx="21">
                  <c:v>-4.1716000000000121E-2</c:v>
                </c:pt>
                <c:pt idx="22">
                  <c:v>-6.8824999999999997E-2</c:v>
                </c:pt>
                <c:pt idx="23">
                  <c:v>-2.2350000000000002E-2</c:v>
                </c:pt>
                <c:pt idx="24">
                  <c:v>-6.9047000000000011E-2</c:v>
                </c:pt>
                <c:pt idx="25">
                  <c:v>-1.8099000000000001E-2</c:v>
                </c:pt>
                <c:pt idx="26">
                  <c:v>9.8610000000000243E-3</c:v>
                </c:pt>
                <c:pt idx="27">
                  <c:v>-4.2600000000000033E-4</c:v>
                </c:pt>
                <c:pt idx="28">
                  <c:v>1.0700000000000039E-4</c:v>
                </c:pt>
                <c:pt idx="29">
                  <c:v>-4.0294000000000003E-2</c:v>
                </c:pt>
                <c:pt idx="30">
                  <c:v>-7.9144999999999993E-2</c:v>
                </c:pt>
                <c:pt idx="31">
                  <c:v>-0.13895199999999999</c:v>
                </c:pt>
                <c:pt idx="32">
                  <c:v>-0.13464100000000001</c:v>
                </c:pt>
                <c:pt idx="33">
                  <c:v>-0.10605100000000002</c:v>
                </c:pt>
                <c:pt idx="34">
                  <c:v>-0.16493800000000033</c:v>
                </c:pt>
                <c:pt idx="35">
                  <c:v>-0.120381</c:v>
                </c:pt>
                <c:pt idx="36">
                  <c:v>-0.10743400000000015</c:v>
                </c:pt>
                <c:pt idx="37">
                  <c:v>-0.25829499999999994</c:v>
                </c:pt>
                <c:pt idx="38">
                  <c:v>-0.10126100000000017</c:v>
                </c:pt>
                <c:pt idx="39">
                  <c:v>-0.31980800000000098</c:v>
                </c:pt>
                <c:pt idx="40">
                  <c:v>-0.28856700000000002</c:v>
                </c:pt>
                <c:pt idx="41">
                  <c:v>-0.44020499999999996</c:v>
                </c:pt>
                <c:pt idx="42">
                  <c:v>-7.3138999999999996E-2</c:v>
                </c:pt>
                <c:pt idx="43">
                  <c:v>0.33987100000000098</c:v>
                </c:pt>
                <c:pt idx="44">
                  <c:v>-0.2980310000000001</c:v>
                </c:pt>
                <c:pt idx="45">
                  <c:v>0.14844700000000058</c:v>
                </c:pt>
                <c:pt idx="46">
                  <c:v>4.5229999999999985E-2</c:v>
                </c:pt>
                <c:pt idx="47">
                  <c:v>-4.3041999999999997E-2</c:v>
                </c:pt>
                <c:pt idx="48">
                  <c:v>-7.2604000000000002E-2</c:v>
                </c:pt>
                <c:pt idx="49">
                  <c:v>-7.6249999999999998E-3</c:v>
                </c:pt>
                <c:pt idx="50">
                  <c:v>0.115351</c:v>
                </c:pt>
                <c:pt idx="51">
                  <c:v>9.7534000000000218E-2</c:v>
                </c:pt>
                <c:pt idx="52">
                  <c:v>-3.5977000000000002E-2</c:v>
                </c:pt>
                <c:pt idx="53">
                  <c:v>7.7284000000000019E-2</c:v>
                </c:pt>
                <c:pt idx="54">
                  <c:v>0.271034</c:v>
                </c:pt>
                <c:pt idx="55">
                  <c:v>-0.11045000000000001</c:v>
                </c:pt>
                <c:pt idx="56">
                  <c:v>-3.9626000000000001E-2</c:v>
                </c:pt>
                <c:pt idx="57">
                  <c:v>-4.7720000000000106E-3</c:v>
                </c:pt>
                <c:pt idx="58">
                  <c:v>-8.1377000000000033E-2</c:v>
                </c:pt>
                <c:pt idx="59">
                  <c:v>1.1768000000000021E-2</c:v>
                </c:pt>
                <c:pt idx="60">
                  <c:v>-2.7610000000000016E-2</c:v>
                </c:pt>
                <c:pt idx="61">
                  <c:v>-9.8990000000000217E-2</c:v>
                </c:pt>
                <c:pt idx="62">
                  <c:v>-0.11149600000000012</c:v>
                </c:pt>
                <c:pt idx="63">
                  <c:v>-2.6800000000000053E-3</c:v>
                </c:pt>
                <c:pt idx="64">
                  <c:v>-2.3137999999999999E-2</c:v>
                </c:pt>
                <c:pt idx="65">
                  <c:v>-2.1290000000000002E-3</c:v>
                </c:pt>
                <c:pt idx="66">
                  <c:v>5.3260000000000095E-3</c:v>
                </c:pt>
                <c:pt idx="67">
                  <c:v>4.2215000000000003E-2</c:v>
                </c:pt>
                <c:pt idx="68">
                  <c:v>-6.1064000000000014E-2</c:v>
                </c:pt>
                <c:pt idx="69">
                  <c:v>-0.15007300000000001</c:v>
                </c:pt>
                <c:pt idx="70">
                  <c:v>-0.2240470000000003</c:v>
                </c:pt>
                <c:pt idx="71">
                  <c:v>-7.8252000000000002E-2</c:v>
                </c:pt>
                <c:pt idx="72">
                  <c:v>-0.35340300000000002</c:v>
                </c:pt>
                <c:pt idx="73">
                  <c:v>-0.35000600000000032</c:v>
                </c:pt>
                <c:pt idx="74">
                  <c:v>-0.53060399999999996</c:v>
                </c:pt>
                <c:pt idx="75">
                  <c:v>-0.36482900000000085</c:v>
                </c:pt>
                <c:pt idx="76">
                  <c:v>3.5016000000000005E-2</c:v>
                </c:pt>
                <c:pt idx="77">
                  <c:v>5.0815000000000013E-2</c:v>
                </c:pt>
                <c:pt idx="78">
                  <c:v>0.34267200000000031</c:v>
                </c:pt>
                <c:pt idx="79">
                  <c:v>-0.11591799999999981</c:v>
                </c:pt>
                <c:pt idx="80">
                  <c:v>-0.131386</c:v>
                </c:pt>
                <c:pt idx="81">
                  <c:v>-7.602200000000002E-2</c:v>
                </c:pt>
                <c:pt idx="82">
                  <c:v>3.1120999999999999E-2</c:v>
                </c:pt>
                <c:pt idx="83">
                  <c:v>-8.0290000000000066E-3</c:v>
                </c:pt>
                <c:pt idx="84">
                  <c:v>2.4040000000000002E-2</c:v>
                </c:pt>
                <c:pt idx="85">
                  <c:v>9.4649000000000025E-2</c:v>
                </c:pt>
                <c:pt idx="86">
                  <c:v>0.17218600000000001</c:v>
                </c:pt>
                <c:pt idx="87">
                  <c:v>7.3057999999999998E-2</c:v>
                </c:pt>
                <c:pt idx="88">
                  <c:v>7.1503999999999998E-2</c:v>
                </c:pt>
                <c:pt idx="89">
                  <c:v>-0.14696200000000037</c:v>
                </c:pt>
                <c:pt idx="90">
                  <c:v>2.3292E-2</c:v>
                </c:pt>
                <c:pt idx="91">
                  <c:v>6.760300000000001E-2</c:v>
                </c:pt>
                <c:pt idx="92">
                  <c:v>0.11370100000000002</c:v>
                </c:pt>
                <c:pt idx="93">
                  <c:v>0.14183200000000001</c:v>
                </c:pt>
                <c:pt idx="94">
                  <c:v>7.9015000000000113E-2</c:v>
                </c:pt>
              </c:numCache>
            </c:numRef>
          </c:val>
        </c:ser>
        <c:marker val="1"/>
        <c:axId val="100322304"/>
        <c:axId val="100606720"/>
      </c:lineChart>
      <c:dateAx>
        <c:axId val="100322304"/>
        <c:scaling>
          <c:orientation val="minMax"/>
        </c:scaling>
        <c:axPos val="b"/>
        <c:numFmt formatCode="d/m/yyyy" sourceLinked="1"/>
        <c:majorTickMark val="none"/>
        <c:tickLblPos val="low"/>
        <c:crossAx val="100606720"/>
        <c:crosses val="autoZero"/>
        <c:auto val="1"/>
        <c:lblOffset val="100"/>
      </c:dateAx>
      <c:valAx>
        <c:axId val="100606720"/>
        <c:scaling>
          <c:orientation val="minMax"/>
        </c:scaling>
        <c:axPos val="l"/>
        <c:majorGridlines/>
        <c:numFmt formatCode="0.0" sourceLinked="0"/>
        <c:majorTickMark val="none"/>
        <c:tickLblPos val="nextTo"/>
        <c:crossAx val="100322304"/>
        <c:crosses val="autoZero"/>
        <c:crossBetween val="between"/>
      </c:valAx>
    </c:plotArea>
    <c:legend>
      <c:legendPos val="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nl-NL"/>
  <c:chart>
    <c:autoTitleDeleted val="1"/>
    <c:plotArea>
      <c:layout/>
      <c:lineChart>
        <c:grouping val="standard"/>
        <c:ser>
          <c:idx val="0"/>
          <c:order val="0"/>
          <c:tx>
            <c:strRef>
              <c:f>Dornbusch!$E$2</c:f>
              <c:strCache>
                <c:ptCount val="1"/>
                <c:pt idx="0">
                  <c:v>Forecast</c:v>
                </c:pt>
              </c:strCache>
            </c:strRef>
          </c:tx>
          <c:marker>
            <c:symbol val="none"/>
          </c:marker>
          <c:cat>
            <c:numRef>
              <c:f>Dornbusch!$A$102:$A$196</c:f>
              <c:numCache>
                <c:formatCode>d/m/yyyy</c:formatCode>
                <c:ptCount val="95"/>
                <c:pt idx="0">
                  <c:v>41078</c:v>
                </c:pt>
                <c:pt idx="1">
                  <c:v>41085</c:v>
                </c:pt>
                <c:pt idx="2">
                  <c:v>41092</c:v>
                </c:pt>
                <c:pt idx="3">
                  <c:v>41099</c:v>
                </c:pt>
                <c:pt idx="4">
                  <c:v>41106</c:v>
                </c:pt>
                <c:pt idx="5">
                  <c:v>41113</c:v>
                </c:pt>
                <c:pt idx="6">
                  <c:v>41120</c:v>
                </c:pt>
                <c:pt idx="7">
                  <c:v>41127</c:v>
                </c:pt>
                <c:pt idx="8">
                  <c:v>41134</c:v>
                </c:pt>
                <c:pt idx="9">
                  <c:v>41141</c:v>
                </c:pt>
                <c:pt idx="10">
                  <c:v>41148</c:v>
                </c:pt>
                <c:pt idx="11">
                  <c:v>41155</c:v>
                </c:pt>
                <c:pt idx="12">
                  <c:v>41162</c:v>
                </c:pt>
                <c:pt idx="13">
                  <c:v>41169</c:v>
                </c:pt>
                <c:pt idx="14">
                  <c:v>41176</c:v>
                </c:pt>
                <c:pt idx="15">
                  <c:v>41183</c:v>
                </c:pt>
                <c:pt idx="16">
                  <c:v>41190</c:v>
                </c:pt>
                <c:pt idx="17">
                  <c:v>41197</c:v>
                </c:pt>
                <c:pt idx="18">
                  <c:v>41204</c:v>
                </c:pt>
                <c:pt idx="19">
                  <c:v>41211</c:v>
                </c:pt>
                <c:pt idx="20">
                  <c:v>41218</c:v>
                </c:pt>
                <c:pt idx="21">
                  <c:v>41225</c:v>
                </c:pt>
                <c:pt idx="22">
                  <c:v>41232</c:v>
                </c:pt>
                <c:pt idx="23">
                  <c:v>41239</c:v>
                </c:pt>
                <c:pt idx="24">
                  <c:v>41246</c:v>
                </c:pt>
                <c:pt idx="25">
                  <c:v>41253</c:v>
                </c:pt>
                <c:pt idx="26">
                  <c:v>41260</c:v>
                </c:pt>
                <c:pt idx="27">
                  <c:v>41267</c:v>
                </c:pt>
                <c:pt idx="28">
                  <c:v>41274</c:v>
                </c:pt>
                <c:pt idx="29">
                  <c:v>41281</c:v>
                </c:pt>
                <c:pt idx="30">
                  <c:v>41288</c:v>
                </c:pt>
                <c:pt idx="31">
                  <c:v>41295</c:v>
                </c:pt>
                <c:pt idx="32">
                  <c:v>41302</c:v>
                </c:pt>
                <c:pt idx="33">
                  <c:v>41309</c:v>
                </c:pt>
                <c:pt idx="34">
                  <c:v>41316</c:v>
                </c:pt>
                <c:pt idx="35">
                  <c:v>41323</c:v>
                </c:pt>
                <c:pt idx="36">
                  <c:v>41330</c:v>
                </c:pt>
                <c:pt idx="37">
                  <c:v>41337</c:v>
                </c:pt>
                <c:pt idx="38">
                  <c:v>41344</c:v>
                </c:pt>
                <c:pt idx="39">
                  <c:v>41351</c:v>
                </c:pt>
                <c:pt idx="40">
                  <c:v>41358</c:v>
                </c:pt>
                <c:pt idx="41">
                  <c:v>41365</c:v>
                </c:pt>
                <c:pt idx="42">
                  <c:v>41372</c:v>
                </c:pt>
                <c:pt idx="43">
                  <c:v>41379</c:v>
                </c:pt>
                <c:pt idx="44">
                  <c:v>41386</c:v>
                </c:pt>
                <c:pt idx="45">
                  <c:v>41393</c:v>
                </c:pt>
                <c:pt idx="46">
                  <c:v>41400</c:v>
                </c:pt>
                <c:pt idx="47">
                  <c:v>41407</c:v>
                </c:pt>
                <c:pt idx="48">
                  <c:v>41414</c:v>
                </c:pt>
                <c:pt idx="49">
                  <c:v>41421</c:v>
                </c:pt>
                <c:pt idx="50">
                  <c:v>41428</c:v>
                </c:pt>
                <c:pt idx="51">
                  <c:v>41435</c:v>
                </c:pt>
                <c:pt idx="52">
                  <c:v>41442</c:v>
                </c:pt>
                <c:pt idx="53">
                  <c:v>41449</c:v>
                </c:pt>
                <c:pt idx="54">
                  <c:v>41456</c:v>
                </c:pt>
                <c:pt idx="55">
                  <c:v>41463</c:v>
                </c:pt>
                <c:pt idx="56">
                  <c:v>41470</c:v>
                </c:pt>
                <c:pt idx="57">
                  <c:v>41477</c:v>
                </c:pt>
                <c:pt idx="58">
                  <c:v>41484</c:v>
                </c:pt>
                <c:pt idx="59">
                  <c:v>41491</c:v>
                </c:pt>
                <c:pt idx="60">
                  <c:v>41498</c:v>
                </c:pt>
                <c:pt idx="61">
                  <c:v>41505</c:v>
                </c:pt>
                <c:pt idx="62">
                  <c:v>41512</c:v>
                </c:pt>
                <c:pt idx="63">
                  <c:v>41519</c:v>
                </c:pt>
                <c:pt idx="64">
                  <c:v>41526</c:v>
                </c:pt>
                <c:pt idx="65">
                  <c:v>41533</c:v>
                </c:pt>
                <c:pt idx="66">
                  <c:v>41540</c:v>
                </c:pt>
                <c:pt idx="67">
                  <c:v>41547</c:v>
                </c:pt>
                <c:pt idx="68">
                  <c:v>41554</c:v>
                </c:pt>
                <c:pt idx="69">
                  <c:v>41561</c:v>
                </c:pt>
                <c:pt idx="70">
                  <c:v>41568</c:v>
                </c:pt>
                <c:pt idx="71">
                  <c:v>41575</c:v>
                </c:pt>
                <c:pt idx="72">
                  <c:v>41582</c:v>
                </c:pt>
                <c:pt idx="73">
                  <c:v>41589</c:v>
                </c:pt>
                <c:pt idx="74">
                  <c:v>41596</c:v>
                </c:pt>
                <c:pt idx="75">
                  <c:v>41603</c:v>
                </c:pt>
                <c:pt idx="76">
                  <c:v>41610</c:v>
                </c:pt>
                <c:pt idx="77">
                  <c:v>41617</c:v>
                </c:pt>
                <c:pt idx="78">
                  <c:v>41624</c:v>
                </c:pt>
                <c:pt idx="79">
                  <c:v>41631</c:v>
                </c:pt>
                <c:pt idx="80">
                  <c:v>41638</c:v>
                </c:pt>
                <c:pt idx="81">
                  <c:v>41645</c:v>
                </c:pt>
                <c:pt idx="82">
                  <c:v>41652</c:v>
                </c:pt>
                <c:pt idx="83">
                  <c:v>41659</c:v>
                </c:pt>
                <c:pt idx="84">
                  <c:v>41666</c:v>
                </c:pt>
                <c:pt idx="85">
                  <c:v>41673</c:v>
                </c:pt>
                <c:pt idx="86">
                  <c:v>41680</c:v>
                </c:pt>
                <c:pt idx="87">
                  <c:v>41687</c:v>
                </c:pt>
                <c:pt idx="88">
                  <c:v>41694</c:v>
                </c:pt>
                <c:pt idx="89">
                  <c:v>41701</c:v>
                </c:pt>
                <c:pt idx="90">
                  <c:v>41708</c:v>
                </c:pt>
                <c:pt idx="91">
                  <c:v>41715</c:v>
                </c:pt>
                <c:pt idx="92">
                  <c:v>41722</c:v>
                </c:pt>
                <c:pt idx="93">
                  <c:v>41729</c:v>
                </c:pt>
                <c:pt idx="94">
                  <c:v>41736</c:v>
                </c:pt>
              </c:numCache>
            </c:numRef>
          </c:cat>
          <c:val>
            <c:numRef>
              <c:f>Dornbusch!$E$103:$E$196</c:f>
              <c:numCache>
                <c:formatCode>General</c:formatCode>
                <c:ptCount val="94"/>
                <c:pt idx="26" formatCode="0.00">
                  <c:v>13.407148032606624</c:v>
                </c:pt>
                <c:pt idx="27" formatCode="0.00">
                  <c:v>13.412860694379075</c:v>
                </c:pt>
                <c:pt idx="28" formatCode="0.00">
                  <c:v>13.825669873307346</c:v>
                </c:pt>
                <c:pt idx="29" formatCode="0.00">
                  <c:v>14.374258460552836</c:v>
                </c:pt>
                <c:pt idx="30" formatCode="0.00">
                  <c:v>14.212004574008164</c:v>
                </c:pt>
                <c:pt idx="31" formatCode="0.00">
                  <c:v>15.204371725209135</c:v>
                </c:pt>
                <c:pt idx="32" formatCode="0.00">
                  <c:v>15.925251593765136</c:v>
                </c:pt>
                <c:pt idx="33" formatCode="0.00">
                  <c:v>16.277177934473379</c:v>
                </c:pt>
                <c:pt idx="34" formatCode="0.00">
                  <c:v>16.833063200678591</c:v>
                </c:pt>
                <c:pt idx="35" formatCode="0.00">
                  <c:v>17.153067146790331</c:v>
                </c:pt>
                <c:pt idx="36" formatCode="0.00">
                  <c:v>17.819582624087655</c:v>
                </c:pt>
                <c:pt idx="37" formatCode="0.00">
                  <c:v>18.906088253353619</c:v>
                </c:pt>
                <c:pt idx="38" formatCode="0.00">
                  <c:v>19.531919016600934</c:v>
                </c:pt>
                <c:pt idx="39" formatCode="0.00">
                  <c:v>20.361604600574989</c:v>
                </c:pt>
                <c:pt idx="40" formatCode="0.00">
                  <c:v>21.223668550872752</c:v>
                </c:pt>
                <c:pt idx="41" formatCode="0.00">
                  <c:v>22.145958071551242</c:v>
                </c:pt>
                <c:pt idx="42" formatCode="0.00">
                  <c:v>23.552641976294922</c:v>
                </c:pt>
                <c:pt idx="43" formatCode="0.00">
                  <c:v>24.932395949567251</c:v>
                </c:pt>
                <c:pt idx="44" formatCode="0.00">
                  <c:v>25.841584585435626</c:v>
                </c:pt>
                <c:pt idx="45" formatCode="0.00">
                  <c:v>27.260997018156033</c:v>
                </c:pt>
                <c:pt idx="46" formatCode="0.00">
                  <c:v>28.042690225899623</c:v>
                </c:pt>
                <c:pt idx="47" formatCode="0.00">
                  <c:v>30.579198799177977</c:v>
                </c:pt>
                <c:pt idx="48" formatCode="0.00">
                  <c:v>34.316696014097218</c:v>
                </c:pt>
                <c:pt idx="49" formatCode="0.00">
                  <c:v>38.700557282629461</c:v>
                </c:pt>
                <c:pt idx="50" formatCode="0.00">
                  <c:v>42.718496510926713</c:v>
                </c:pt>
                <c:pt idx="51" formatCode="0.00">
                  <c:v>42.647002921867092</c:v>
                </c:pt>
                <c:pt idx="52" formatCode="0.00">
                  <c:v>42.557112613327504</c:v>
                </c:pt>
                <c:pt idx="53" formatCode="0.00">
                  <c:v>42.562092086796781</c:v>
                </c:pt>
                <c:pt idx="54" formatCode="0.00">
                  <c:v>42.845687576889198</c:v>
                </c:pt>
                <c:pt idx="55" formatCode="0.00">
                  <c:v>45.623274864556883</c:v>
                </c:pt>
                <c:pt idx="56" formatCode="0.00">
                  <c:v>48.724013553181187</c:v>
                </c:pt>
                <c:pt idx="57" formatCode="0.00">
                  <c:v>50.836723654602757</c:v>
                </c:pt>
                <c:pt idx="58" formatCode="0.00">
                  <c:v>52.819318263579824</c:v>
                </c:pt>
                <c:pt idx="59" formatCode="0.00">
                  <c:v>54.684100505470404</c:v>
                </c:pt>
                <c:pt idx="60" formatCode="0.00">
                  <c:v>54.677156065687385</c:v>
                </c:pt>
                <c:pt idx="61" formatCode="0.00">
                  <c:v>56.867215637968641</c:v>
                </c:pt>
                <c:pt idx="62" formatCode="0.00">
                  <c:v>60.137704045345835</c:v>
                </c:pt>
                <c:pt idx="63" formatCode="0.00">
                  <c:v>62.053815469381441</c:v>
                </c:pt>
                <c:pt idx="64" formatCode="0.00">
                  <c:v>66.17991380103858</c:v>
                </c:pt>
                <c:pt idx="65" formatCode="0.00">
                  <c:v>68.386538520228854</c:v>
                </c:pt>
                <c:pt idx="66" formatCode="0.00">
                  <c:v>71.070759967029389</c:v>
                </c:pt>
                <c:pt idx="67" formatCode="0.00">
                  <c:v>73.103408969640981</c:v>
                </c:pt>
                <c:pt idx="68" formatCode="0.00">
                  <c:v>73.745649230868764</c:v>
                </c:pt>
                <c:pt idx="69" formatCode="0.00">
                  <c:v>76.668811810453121</c:v>
                </c:pt>
                <c:pt idx="70" formatCode="0.00">
                  <c:v>83.163371126093949</c:v>
                </c:pt>
                <c:pt idx="71" formatCode="0.00">
                  <c:v>87.280930276671484</c:v>
                </c:pt>
                <c:pt idx="72" formatCode="0.00">
                  <c:v>92.469790316232249</c:v>
                </c:pt>
                <c:pt idx="73" formatCode="0.00">
                  <c:v>98.132047973038254</c:v>
                </c:pt>
                <c:pt idx="74" formatCode="0.00">
                  <c:v>107.28211998387785</c:v>
                </c:pt>
                <c:pt idx="75" formatCode="0.00">
                  <c:v>113.95640921917089</c:v>
                </c:pt>
                <c:pt idx="76" formatCode="0.00">
                  <c:v>118.87042092030283</c:v>
                </c:pt>
                <c:pt idx="77" formatCode="0.00">
                  <c:v>128.01225480489316</c:v>
                </c:pt>
                <c:pt idx="78" formatCode="0.00">
                  <c:v>132.60356993817103</c:v>
                </c:pt>
                <c:pt idx="79" formatCode="0.00">
                  <c:v>138.04020730451361</c:v>
                </c:pt>
                <c:pt idx="80" formatCode="0.00">
                  <c:v>141.26124818159025</c:v>
                </c:pt>
                <c:pt idx="81" formatCode="0.00">
                  <c:v>150.76871894428947</c:v>
                </c:pt>
                <c:pt idx="82" formatCode="0.00">
                  <c:v>145.61556026436972</c:v>
                </c:pt>
                <c:pt idx="83" formatCode="0.00">
                  <c:v>145.71781827603851</c:v>
                </c:pt>
                <c:pt idx="84" formatCode="0.00">
                  <c:v>144.97306985012966</c:v>
                </c:pt>
                <c:pt idx="85" formatCode="0.00">
                  <c:v>143.61886214889378</c:v>
                </c:pt>
                <c:pt idx="86" formatCode="0.00">
                  <c:v>149.84823271508537</c:v>
                </c:pt>
                <c:pt idx="87" formatCode="0.00">
                  <c:v>154.67389540526125</c:v>
                </c:pt>
                <c:pt idx="88" formatCode="0.00">
                  <c:v>157.75907066155813</c:v>
                </c:pt>
                <c:pt idx="89" formatCode="0.00">
                  <c:v>162.91376308883139</c:v>
                </c:pt>
                <c:pt idx="90" formatCode="0.00">
                  <c:v>178.43653646680818</c:v>
                </c:pt>
                <c:pt idx="91" formatCode="0.00">
                  <c:v>184.17953212938812</c:v>
                </c:pt>
                <c:pt idx="92" formatCode="0.00">
                  <c:v>191.14685366967015</c:v>
                </c:pt>
                <c:pt idx="93" formatCode="0.00">
                  <c:v>194.49082700143694</c:v>
                </c:pt>
              </c:numCache>
            </c:numRef>
          </c:val>
        </c:ser>
        <c:ser>
          <c:idx val="1"/>
          <c:order val="1"/>
          <c:tx>
            <c:strRef>
              <c:f>Dornbusch!$D$2</c:f>
              <c:strCache>
                <c:ptCount val="1"/>
                <c:pt idx="0">
                  <c:v>Actual</c:v>
                </c:pt>
              </c:strCache>
            </c:strRef>
          </c:tx>
          <c:marker>
            <c:symbol val="none"/>
          </c:marker>
          <c:cat>
            <c:numRef>
              <c:f>Dornbusch!$A$102:$A$196</c:f>
              <c:numCache>
                <c:formatCode>d/m/yyyy</c:formatCode>
                <c:ptCount val="95"/>
                <c:pt idx="0">
                  <c:v>41078</c:v>
                </c:pt>
                <c:pt idx="1">
                  <c:v>41085</c:v>
                </c:pt>
                <c:pt idx="2">
                  <c:v>41092</c:v>
                </c:pt>
                <c:pt idx="3">
                  <c:v>41099</c:v>
                </c:pt>
                <c:pt idx="4">
                  <c:v>41106</c:v>
                </c:pt>
                <c:pt idx="5">
                  <c:v>41113</c:v>
                </c:pt>
                <c:pt idx="6">
                  <c:v>41120</c:v>
                </c:pt>
                <c:pt idx="7">
                  <c:v>41127</c:v>
                </c:pt>
                <c:pt idx="8">
                  <c:v>41134</c:v>
                </c:pt>
                <c:pt idx="9">
                  <c:v>41141</c:v>
                </c:pt>
                <c:pt idx="10">
                  <c:v>41148</c:v>
                </c:pt>
                <c:pt idx="11">
                  <c:v>41155</c:v>
                </c:pt>
                <c:pt idx="12">
                  <c:v>41162</c:v>
                </c:pt>
                <c:pt idx="13">
                  <c:v>41169</c:v>
                </c:pt>
                <c:pt idx="14">
                  <c:v>41176</c:v>
                </c:pt>
                <c:pt idx="15">
                  <c:v>41183</c:v>
                </c:pt>
                <c:pt idx="16">
                  <c:v>41190</c:v>
                </c:pt>
                <c:pt idx="17">
                  <c:v>41197</c:v>
                </c:pt>
                <c:pt idx="18">
                  <c:v>41204</c:v>
                </c:pt>
                <c:pt idx="19">
                  <c:v>41211</c:v>
                </c:pt>
                <c:pt idx="20">
                  <c:v>41218</c:v>
                </c:pt>
                <c:pt idx="21">
                  <c:v>41225</c:v>
                </c:pt>
                <c:pt idx="22">
                  <c:v>41232</c:v>
                </c:pt>
                <c:pt idx="23">
                  <c:v>41239</c:v>
                </c:pt>
                <c:pt idx="24">
                  <c:v>41246</c:v>
                </c:pt>
                <c:pt idx="25">
                  <c:v>41253</c:v>
                </c:pt>
                <c:pt idx="26">
                  <c:v>41260</c:v>
                </c:pt>
                <c:pt idx="27">
                  <c:v>41267</c:v>
                </c:pt>
                <c:pt idx="28">
                  <c:v>41274</c:v>
                </c:pt>
                <c:pt idx="29">
                  <c:v>41281</c:v>
                </c:pt>
                <c:pt idx="30">
                  <c:v>41288</c:v>
                </c:pt>
                <c:pt idx="31">
                  <c:v>41295</c:v>
                </c:pt>
                <c:pt idx="32">
                  <c:v>41302</c:v>
                </c:pt>
                <c:pt idx="33">
                  <c:v>41309</c:v>
                </c:pt>
                <c:pt idx="34">
                  <c:v>41316</c:v>
                </c:pt>
                <c:pt idx="35">
                  <c:v>41323</c:v>
                </c:pt>
                <c:pt idx="36">
                  <c:v>41330</c:v>
                </c:pt>
                <c:pt idx="37">
                  <c:v>41337</c:v>
                </c:pt>
                <c:pt idx="38">
                  <c:v>41344</c:v>
                </c:pt>
                <c:pt idx="39">
                  <c:v>41351</c:v>
                </c:pt>
                <c:pt idx="40">
                  <c:v>41358</c:v>
                </c:pt>
                <c:pt idx="41">
                  <c:v>41365</c:v>
                </c:pt>
                <c:pt idx="42">
                  <c:v>41372</c:v>
                </c:pt>
                <c:pt idx="43">
                  <c:v>41379</c:v>
                </c:pt>
                <c:pt idx="44">
                  <c:v>41386</c:v>
                </c:pt>
                <c:pt idx="45">
                  <c:v>41393</c:v>
                </c:pt>
                <c:pt idx="46">
                  <c:v>41400</c:v>
                </c:pt>
                <c:pt idx="47">
                  <c:v>41407</c:v>
                </c:pt>
                <c:pt idx="48">
                  <c:v>41414</c:v>
                </c:pt>
                <c:pt idx="49">
                  <c:v>41421</c:v>
                </c:pt>
                <c:pt idx="50">
                  <c:v>41428</c:v>
                </c:pt>
                <c:pt idx="51">
                  <c:v>41435</c:v>
                </c:pt>
                <c:pt idx="52">
                  <c:v>41442</c:v>
                </c:pt>
                <c:pt idx="53">
                  <c:v>41449</c:v>
                </c:pt>
                <c:pt idx="54">
                  <c:v>41456</c:v>
                </c:pt>
                <c:pt idx="55">
                  <c:v>41463</c:v>
                </c:pt>
                <c:pt idx="56">
                  <c:v>41470</c:v>
                </c:pt>
                <c:pt idx="57">
                  <c:v>41477</c:v>
                </c:pt>
                <c:pt idx="58">
                  <c:v>41484</c:v>
                </c:pt>
                <c:pt idx="59">
                  <c:v>41491</c:v>
                </c:pt>
                <c:pt idx="60">
                  <c:v>41498</c:v>
                </c:pt>
                <c:pt idx="61">
                  <c:v>41505</c:v>
                </c:pt>
                <c:pt idx="62">
                  <c:v>41512</c:v>
                </c:pt>
                <c:pt idx="63">
                  <c:v>41519</c:v>
                </c:pt>
                <c:pt idx="64">
                  <c:v>41526</c:v>
                </c:pt>
                <c:pt idx="65">
                  <c:v>41533</c:v>
                </c:pt>
                <c:pt idx="66">
                  <c:v>41540</c:v>
                </c:pt>
                <c:pt idx="67">
                  <c:v>41547</c:v>
                </c:pt>
                <c:pt idx="68">
                  <c:v>41554</c:v>
                </c:pt>
                <c:pt idx="69">
                  <c:v>41561</c:v>
                </c:pt>
                <c:pt idx="70">
                  <c:v>41568</c:v>
                </c:pt>
                <c:pt idx="71">
                  <c:v>41575</c:v>
                </c:pt>
                <c:pt idx="72">
                  <c:v>41582</c:v>
                </c:pt>
                <c:pt idx="73">
                  <c:v>41589</c:v>
                </c:pt>
                <c:pt idx="74">
                  <c:v>41596</c:v>
                </c:pt>
                <c:pt idx="75">
                  <c:v>41603</c:v>
                </c:pt>
                <c:pt idx="76">
                  <c:v>41610</c:v>
                </c:pt>
                <c:pt idx="77">
                  <c:v>41617</c:v>
                </c:pt>
                <c:pt idx="78">
                  <c:v>41624</c:v>
                </c:pt>
                <c:pt idx="79">
                  <c:v>41631</c:v>
                </c:pt>
                <c:pt idx="80">
                  <c:v>41638</c:v>
                </c:pt>
                <c:pt idx="81">
                  <c:v>41645</c:v>
                </c:pt>
                <c:pt idx="82">
                  <c:v>41652</c:v>
                </c:pt>
                <c:pt idx="83">
                  <c:v>41659</c:v>
                </c:pt>
                <c:pt idx="84">
                  <c:v>41666</c:v>
                </c:pt>
                <c:pt idx="85">
                  <c:v>41673</c:v>
                </c:pt>
                <c:pt idx="86">
                  <c:v>41680</c:v>
                </c:pt>
                <c:pt idx="87">
                  <c:v>41687</c:v>
                </c:pt>
                <c:pt idx="88">
                  <c:v>41694</c:v>
                </c:pt>
                <c:pt idx="89">
                  <c:v>41701</c:v>
                </c:pt>
                <c:pt idx="90">
                  <c:v>41708</c:v>
                </c:pt>
                <c:pt idx="91">
                  <c:v>41715</c:v>
                </c:pt>
                <c:pt idx="92">
                  <c:v>41722</c:v>
                </c:pt>
                <c:pt idx="93">
                  <c:v>41729</c:v>
                </c:pt>
                <c:pt idx="94">
                  <c:v>41736</c:v>
                </c:pt>
              </c:numCache>
            </c:numRef>
          </c:cat>
          <c:val>
            <c:numRef>
              <c:f>Dornbusch!$D$103:$D$196</c:f>
              <c:numCache>
                <c:formatCode>0.00</c:formatCode>
                <c:ptCount val="94"/>
                <c:pt idx="0">
                  <c:v>6.5642857142857016</c:v>
                </c:pt>
                <c:pt idx="1">
                  <c:v>6.6571428571428442</c:v>
                </c:pt>
                <c:pt idx="2">
                  <c:v>7.4228571428571417</c:v>
                </c:pt>
                <c:pt idx="3">
                  <c:v>8.7228571428571389</c:v>
                </c:pt>
                <c:pt idx="4">
                  <c:v>8.75</c:v>
                </c:pt>
                <c:pt idx="5">
                  <c:v>10.192857142857145</c:v>
                </c:pt>
                <c:pt idx="6">
                  <c:v>11.228571428571389</c:v>
                </c:pt>
                <c:pt idx="7">
                  <c:v>11.738571428571385</c:v>
                </c:pt>
                <c:pt idx="8">
                  <c:v>10.235714285714286</c:v>
                </c:pt>
                <c:pt idx="9">
                  <c:v>10.56</c:v>
                </c:pt>
                <c:pt idx="10">
                  <c:v>10.878571428571407</c:v>
                </c:pt>
                <c:pt idx="11">
                  <c:v>11.50714285714287</c:v>
                </c:pt>
                <c:pt idx="12">
                  <c:v>12.255714285714308</c:v>
                </c:pt>
                <c:pt idx="13">
                  <c:v>12.290000000000001</c:v>
                </c:pt>
                <c:pt idx="14">
                  <c:v>12.567142857142874</c:v>
                </c:pt>
                <c:pt idx="15">
                  <c:v>11.917142857142872</c:v>
                </c:pt>
                <c:pt idx="16">
                  <c:v>11.792857142857143</c:v>
                </c:pt>
                <c:pt idx="17">
                  <c:v>11</c:v>
                </c:pt>
                <c:pt idx="18">
                  <c:v>10.738571428571385</c:v>
                </c:pt>
                <c:pt idx="19">
                  <c:v>10.865714285714322</c:v>
                </c:pt>
                <c:pt idx="20">
                  <c:v>11.328571428571406</c:v>
                </c:pt>
                <c:pt idx="21">
                  <c:v>12.135714285714286</c:v>
                </c:pt>
                <c:pt idx="22">
                  <c:v>12.41</c:v>
                </c:pt>
                <c:pt idx="23">
                  <c:v>13.297142857142857</c:v>
                </c:pt>
                <c:pt idx="24">
                  <c:v>13.54</c:v>
                </c:pt>
                <c:pt idx="25">
                  <c:v>13.407142857142874</c:v>
                </c:pt>
                <c:pt idx="26">
                  <c:v>13.412857142857145</c:v>
                </c:pt>
                <c:pt idx="27">
                  <c:v>13.411428571428573</c:v>
                </c:pt>
                <c:pt idx="28">
                  <c:v>13.962857142857144</c:v>
                </c:pt>
                <c:pt idx="29">
                  <c:v>15.112857142857143</c:v>
                </c:pt>
                <c:pt idx="30">
                  <c:v>17.36571428571423</c:v>
                </c:pt>
                <c:pt idx="31">
                  <c:v>19.868571428571425</c:v>
                </c:pt>
                <c:pt idx="32">
                  <c:v>22.091428571428569</c:v>
                </c:pt>
                <c:pt idx="33">
                  <c:v>26.052857142857182</c:v>
                </c:pt>
                <c:pt idx="34">
                  <c:v>29.385714285714219</c:v>
                </c:pt>
                <c:pt idx="35">
                  <c:v>32.718571428571522</c:v>
                </c:pt>
                <c:pt idx="36">
                  <c:v>42.361428571428455</c:v>
                </c:pt>
                <c:pt idx="37">
                  <c:v>46.875714285714274</c:v>
                </c:pt>
                <c:pt idx="38">
                  <c:v>64.541428571428568</c:v>
                </c:pt>
                <c:pt idx="39">
                  <c:v>86.131428571428458</c:v>
                </c:pt>
                <c:pt idx="40">
                  <c:v>133.76428571428542</c:v>
                </c:pt>
                <c:pt idx="41">
                  <c:v>143.9142857142854</c:v>
                </c:pt>
                <c:pt idx="42">
                  <c:v>102.44714285714289</c:v>
                </c:pt>
                <c:pt idx="43">
                  <c:v>138.01714285714283</c:v>
                </c:pt>
                <c:pt idx="44">
                  <c:v>118.97714285714287</c:v>
                </c:pt>
                <c:pt idx="45">
                  <c:v>113.71571428571444</c:v>
                </c:pt>
                <c:pt idx="46">
                  <c:v>118.71714285714286</c:v>
                </c:pt>
                <c:pt idx="47">
                  <c:v>127.6571428571427</c:v>
                </c:pt>
                <c:pt idx="48">
                  <c:v>128.63428571428537</c:v>
                </c:pt>
                <c:pt idx="49">
                  <c:v>114.61999999999999</c:v>
                </c:pt>
                <c:pt idx="50">
                  <c:v>103.96857142857141</c:v>
                </c:pt>
                <c:pt idx="51">
                  <c:v>107.77714285714285</c:v>
                </c:pt>
                <c:pt idx="52">
                  <c:v>99.761428571428581</c:v>
                </c:pt>
                <c:pt idx="53">
                  <c:v>76.077142857142789</c:v>
                </c:pt>
                <c:pt idx="54">
                  <c:v>84.96142857142857</c:v>
                </c:pt>
                <c:pt idx="55">
                  <c:v>88.395714285714277</c:v>
                </c:pt>
                <c:pt idx="56">
                  <c:v>88.818571428571389</c:v>
                </c:pt>
                <c:pt idx="57">
                  <c:v>96.348571428571418</c:v>
                </c:pt>
                <c:pt idx="58">
                  <c:v>95.221428571428518</c:v>
                </c:pt>
                <c:pt idx="59">
                  <c:v>97.887142857142848</c:v>
                </c:pt>
                <c:pt idx="60">
                  <c:v>108.07285714285685</c:v>
                </c:pt>
                <c:pt idx="61">
                  <c:v>120.82000000000001</c:v>
                </c:pt>
                <c:pt idx="62">
                  <c:v>121.1442857142857</c:v>
                </c:pt>
                <c:pt idx="63">
                  <c:v>123.98000000000002</c:v>
                </c:pt>
                <c:pt idx="64">
                  <c:v>124.24428571428572</c:v>
                </c:pt>
                <c:pt idx="65">
                  <c:v>123.58428571428574</c:v>
                </c:pt>
                <c:pt idx="66">
                  <c:v>118.47571428571429</c:v>
                </c:pt>
                <c:pt idx="67">
                  <c:v>125.93571428571444</c:v>
                </c:pt>
                <c:pt idx="68">
                  <c:v>146.32714285714343</c:v>
                </c:pt>
                <c:pt idx="69">
                  <c:v>183.07428571428542</c:v>
                </c:pt>
                <c:pt idx="70">
                  <c:v>197.97571428571428</c:v>
                </c:pt>
                <c:pt idx="71">
                  <c:v>281.89857142857028</c:v>
                </c:pt>
                <c:pt idx="72">
                  <c:v>400.03571428571399</c:v>
                </c:pt>
                <c:pt idx="73">
                  <c:v>680.04428571428548</c:v>
                </c:pt>
                <c:pt idx="74">
                  <c:v>979.44571428571282</c:v>
                </c:pt>
                <c:pt idx="75">
                  <c:v>945.74285714285713</c:v>
                </c:pt>
                <c:pt idx="76">
                  <c:v>898.88571428571299</c:v>
                </c:pt>
                <c:pt idx="77">
                  <c:v>638.09285714285704</c:v>
                </c:pt>
                <c:pt idx="78">
                  <c:v>716.51714285714309</c:v>
                </c:pt>
                <c:pt idx="79">
                  <c:v>817.1214285714284</c:v>
                </c:pt>
                <c:pt idx="80">
                  <c:v>881.66285714285709</c:v>
                </c:pt>
                <c:pt idx="81">
                  <c:v>854.64714285714308</c:v>
                </c:pt>
                <c:pt idx="82">
                  <c:v>861.53714285714284</c:v>
                </c:pt>
                <c:pt idx="83">
                  <c:v>841.07285714285752</c:v>
                </c:pt>
                <c:pt idx="84">
                  <c:v>765.11714285714311</c:v>
                </c:pt>
                <c:pt idx="85">
                  <c:v>644.09285714285704</c:v>
                </c:pt>
                <c:pt idx="86">
                  <c:v>598.71428571428567</c:v>
                </c:pt>
                <c:pt idx="87">
                  <c:v>557.39857142857295</c:v>
                </c:pt>
                <c:pt idx="88">
                  <c:v>645.6400000000001</c:v>
                </c:pt>
                <c:pt idx="89">
                  <c:v>630.77571428571434</c:v>
                </c:pt>
                <c:pt idx="90">
                  <c:v>589.5428571428572</c:v>
                </c:pt>
                <c:pt idx="91">
                  <c:v>526.18142857142857</c:v>
                </c:pt>
                <c:pt idx="92">
                  <c:v>456.60285714285732</c:v>
                </c:pt>
                <c:pt idx="93">
                  <c:v>421.91285714285698</c:v>
                </c:pt>
              </c:numCache>
            </c:numRef>
          </c:val>
        </c:ser>
        <c:marker val="1"/>
        <c:axId val="100665600"/>
        <c:axId val="101195776"/>
      </c:lineChart>
      <c:dateAx>
        <c:axId val="100665600"/>
        <c:scaling>
          <c:orientation val="minMax"/>
        </c:scaling>
        <c:axPos val="b"/>
        <c:numFmt formatCode="d/m/yyyy" sourceLinked="1"/>
        <c:majorTickMark val="none"/>
        <c:tickLblPos val="low"/>
        <c:crossAx val="101195776"/>
        <c:crosses val="autoZero"/>
        <c:auto val="1"/>
        <c:lblOffset val="100"/>
      </c:dateAx>
      <c:valAx>
        <c:axId val="101195776"/>
        <c:scaling>
          <c:orientation val="minMax"/>
        </c:scaling>
        <c:axPos val="l"/>
        <c:majorGridlines/>
        <c:numFmt formatCode="[$$-409]\ #,##0" sourceLinked="0"/>
        <c:majorTickMark val="none"/>
        <c:tickLblPos val="nextTo"/>
        <c:crossAx val="100665600"/>
        <c:crosses val="autoZero"/>
        <c:crossBetween val="between"/>
      </c:valAx>
    </c:plotArea>
    <c:legend>
      <c:legendPos val="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lineChart>
        <c:grouping val="standard"/>
        <c:ser>
          <c:idx val="0"/>
          <c:order val="0"/>
          <c:tx>
            <c:strRef>
              <c:f>Combined!$C$2</c:f>
              <c:strCache>
                <c:ptCount val="1"/>
                <c:pt idx="0">
                  <c:v>Forecast</c:v>
                </c:pt>
              </c:strCache>
            </c:strRef>
          </c:tx>
          <c:marker>
            <c:symbol val="none"/>
          </c:marker>
          <c:cat>
            <c:numRef>
              <c:f>Combined!$A$102:$A$196</c:f>
              <c:numCache>
                <c:formatCode>d/m/yyyy</c:formatCode>
                <c:ptCount val="95"/>
                <c:pt idx="0">
                  <c:v>41078</c:v>
                </c:pt>
                <c:pt idx="1">
                  <c:v>41085</c:v>
                </c:pt>
                <c:pt idx="2">
                  <c:v>41092</c:v>
                </c:pt>
                <c:pt idx="3">
                  <c:v>41099</c:v>
                </c:pt>
                <c:pt idx="4">
                  <c:v>41106</c:v>
                </c:pt>
                <c:pt idx="5">
                  <c:v>41113</c:v>
                </c:pt>
                <c:pt idx="6">
                  <c:v>41120</c:v>
                </c:pt>
                <c:pt idx="7">
                  <c:v>41127</c:v>
                </c:pt>
                <c:pt idx="8">
                  <c:v>41134</c:v>
                </c:pt>
                <c:pt idx="9">
                  <c:v>41141</c:v>
                </c:pt>
                <c:pt idx="10">
                  <c:v>41148</c:v>
                </c:pt>
                <c:pt idx="11">
                  <c:v>41155</c:v>
                </c:pt>
                <c:pt idx="12">
                  <c:v>41162</c:v>
                </c:pt>
                <c:pt idx="13">
                  <c:v>41169</c:v>
                </c:pt>
                <c:pt idx="14">
                  <c:v>41176</c:v>
                </c:pt>
                <c:pt idx="15">
                  <c:v>41183</c:v>
                </c:pt>
                <c:pt idx="16">
                  <c:v>41190</c:v>
                </c:pt>
                <c:pt idx="17">
                  <c:v>41197</c:v>
                </c:pt>
                <c:pt idx="18">
                  <c:v>41204</c:v>
                </c:pt>
                <c:pt idx="19">
                  <c:v>41211</c:v>
                </c:pt>
                <c:pt idx="20">
                  <c:v>41218</c:v>
                </c:pt>
                <c:pt idx="21">
                  <c:v>41225</c:v>
                </c:pt>
                <c:pt idx="22">
                  <c:v>41232</c:v>
                </c:pt>
                <c:pt idx="23">
                  <c:v>41239</c:v>
                </c:pt>
                <c:pt idx="24">
                  <c:v>41246</c:v>
                </c:pt>
                <c:pt idx="25">
                  <c:v>41253</c:v>
                </c:pt>
                <c:pt idx="26">
                  <c:v>41260</c:v>
                </c:pt>
                <c:pt idx="27">
                  <c:v>41267</c:v>
                </c:pt>
                <c:pt idx="28">
                  <c:v>41274</c:v>
                </c:pt>
                <c:pt idx="29">
                  <c:v>41281</c:v>
                </c:pt>
                <c:pt idx="30">
                  <c:v>41288</c:v>
                </c:pt>
                <c:pt idx="31">
                  <c:v>41295</c:v>
                </c:pt>
                <c:pt idx="32">
                  <c:v>41302</c:v>
                </c:pt>
                <c:pt idx="33">
                  <c:v>41309</c:v>
                </c:pt>
                <c:pt idx="34">
                  <c:v>41316</c:v>
                </c:pt>
                <c:pt idx="35">
                  <c:v>41323</c:v>
                </c:pt>
                <c:pt idx="36">
                  <c:v>41330</c:v>
                </c:pt>
                <c:pt idx="37">
                  <c:v>41337</c:v>
                </c:pt>
                <c:pt idx="38">
                  <c:v>41344</c:v>
                </c:pt>
                <c:pt idx="39">
                  <c:v>41351</c:v>
                </c:pt>
                <c:pt idx="40">
                  <c:v>41358</c:v>
                </c:pt>
                <c:pt idx="41">
                  <c:v>41365</c:v>
                </c:pt>
                <c:pt idx="42">
                  <c:v>41372</c:v>
                </c:pt>
                <c:pt idx="43">
                  <c:v>41379</c:v>
                </c:pt>
                <c:pt idx="44">
                  <c:v>41386</c:v>
                </c:pt>
                <c:pt idx="45">
                  <c:v>41393</c:v>
                </c:pt>
                <c:pt idx="46">
                  <c:v>41400</c:v>
                </c:pt>
                <c:pt idx="47">
                  <c:v>41407</c:v>
                </c:pt>
                <c:pt idx="48">
                  <c:v>41414</c:v>
                </c:pt>
                <c:pt idx="49">
                  <c:v>41421</c:v>
                </c:pt>
                <c:pt idx="50">
                  <c:v>41428</c:v>
                </c:pt>
                <c:pt idx="51">
                  <c:v>41435</c:v>
                </c:pt>
                <c:pt idx="52">
                  <c:v>41442</c:v>
                </c:pt>
                <c:pt idx="53">
                  <c:v>41449</c:v>
                </c:pt>
                <c:pt idx="54">
                  <c:v>41456</c:v>
                </c:pt>
                <c:pt idx="55">
                  <c:v>41463</c:v>
                </c:pt>
                <c:pt idx="56">
                  <c:v>41470</c:v>
                </c:pt>
                <c:pt idx="57">
                  <c:v>41477</c:v>
                </c:pt>
                <c:pt idx="58">
                  <c:v>41484</c:v>
                </c:pt>
                <c:pt idx="59">
                  <c:v>41491</c:v>
                </c:pt>
                <c:pt idx="60">
                  <c:v>41498</c:v>
                </c:pt>
                <c:pt idx="61">
                  <c:v>41505</c:v>
                </c:pt>
                <c:pt idx="62">
                  <c:v>41512</c:v>
                </c:pt>
                <c:pt idx="63">
                  <c:v>41519</c:v>
                </c:pt>
                <c:pt idx="64">
                  <c:v>41526</c:v>
                </c:pt>
                <c:pt idx="65">
                  <c:v>41533</c:v>
                </c:pt>
                <c:pt idx="66">
                  <c:v>41540</c:v>
                </c:pt>
                <c:pt idx="67">
                  <c:v>41547</c:v>
                </c:pt>
                <c:pt idx="68">
                  <c:v>41554</c:v>
                </c:pt>
                <c:pt idx="69">
                  <c:v>41561</c:v>
                </c:pt>
                <c:pt idx="70">
                  <c:v>41568</c:v>
                </c:pt>
                <c:pt idx="71">
                  <c:v>41575</c:v>
                </c:pt>
                <c:pt idx="72">
                  <c:v>41582</c:v>
                </c:pt>
                <c:pt idx="73">
                  <c:v>41589</c:v>
                </c:pt>
                <c:pt idx="74">
                  <c:v>41596</c:v>
                </c:pt>
                <c:pt idx="75">
                  <c:v>41603</c:v>
                </c:pt>
                <c:pt idx="76">
                  <c:v>41610</c:v>
                </c:pt>
                <c:pt idx="77">
                  <c:v>41617</c:v>
                </c:pt>
                <c:pt idx="78">
                  <c:v>41624</c:v>
                </c:pt>
                <c:pt idx="79">
                  <c:v>41631</c:v>
                </c:pt>
                <c:pt idx="80">
                  <c:v>41638</c:v>
                </c:pt>
                <c:pt idx="81">
                  <c:v>41645</c:v>
                </c:pt>
                <c:pt idx="82">
                  <c:v>41652</c:v>
                </c:pt>
                <c:pt idx="83">
                  <c:v>41659</c:v>
                </c:pt>
                <c:pt idx="84">
                  <c:v>41666</c:v>
                </c:pt>
                <c:pt idx="85">
                  <c:v>41673</c:v>
                </c:pt>
                <c:pt idx="86">
                  <c:v>41680</c:v>
                </c:pt>
                <c:pt idx="87">
                  <c:v>41687</c:v>
                </c:pt>
                <c:pt idx="88">
                  <c:v>41694</c:v>
                </c:pt>
                <c:pt idx="89">
                  <c:v>41701</c:v>
                </c:pt>
                <c:pt idx="90">
                  <c:v>41708</c:v>
                </c:pt>
                <c:pt idx="91">
                  <c:v>41715</c:v>
                </c:pt>
                <c:pt idx="92">
                  <c:v>41722</c:v>
                </c:pt>
                <c:pt idx="93">
                  <c:v>41729</c:v>
                </c:pt>
                <c:pt idx="94">
                  <c:v>41736</c:v>
                </c:pt>
              </c:numCache>
            </c:numRef>
          </c:cat>
          <c:val>
            <c:numRef>
              <c:f>Combined!$C$102:$C$196</c:f>
              <c:numCache>
                <c:formatCode>General</c:formatCode>
                <c:ptCount val="95"/>
                <c:pt idx="27" formatCode="0.00000">
                  <c:v>-4.2600000000000033E-4</c:v>
                </c:pt>
                <c:pt idx="28" formatCode="0.00000">
                  <c:v>-2.1479000000000061E-2</c:v>
                </c:pt>
                <c:pt idx="29" formatCode="0.00000">
                  <c:v>-1.0392999999999998E-2</c:v>
                </c:pt>
                <c:pt idx="30" formatCode="0.00000">
                  <c:v>-1.4180000000000024E-3</c:v>
                </c:pt>
                <c:pt idx="31" formatCode="0.00000">
                  <c:v>-9.6485000000000001E-2</c:v>
                </c:pt>
                <c:pt idx="32" formatCode="0.00000">
                  <c:v>-8.6807000000000023E-2</c:v>
                </c:pt>
                <c:pt idx="33" formatCode="0.00000">
                  <c:v>-5.5647000000000002E-2</c:v>
                </c:pt>
                <c:pt idx="34" formatCode="0.00000">
                  <c:v>-7.7943000000000012E-2</c:v>
                </c:pt>
                <c:pt idx="35" formatCode="0.00000">
                  <c:v>-7.5107999999999994E-2</c:v>
                </c:pt>
                <c:pt idx="36" formatCode="0.00000">
                  <c:v>-8.9914000000000063E-2</c:v>
                </c:pt>
                <c:pt idx="37" formatCode="0.00000">
                  <c:v>-7.969900000000002E-2</c:v>
                </c:pt>
                <c:pt idx="38" formatCode="0.00000">
                  <c:v>-0.12144400000000002</c:v>
                </c:pt>
                <c:pt idx="39" formatCode="0.00000">
                  <c:v>-7.4157000000000084E-2</c:v>
                </c:pt>
                <c:pt idx="40" formatCode="0.00000">
                  <c:v>-0.164157</c:v>
                </c:pt>
                <c:pt idx="41" formatCode="0.00000">
                  <c:v>-0.15202299999999999</c:v>
                </c:pt>
                <c:pt idx="42" formatCode="0.00000">
                  <c:v>-0.22189900000000001</c:v>
                </c:pt>
                <c:pt idx="43" formatCode="0.00000">
                  <c:v>-7.2442999999999994E-2</c:v>
                </c:pt>
                <c:pt idx="44" formatCode="0.00000">
                  <c:v>0.14149500000000043</c:v>
                </c:pt>
                <c:pt idx="45" formatCode="0.00000">
                  <c:v>-0.1727880000000003</c:v>
                </c:pt>
                <c:pt idx="46" formatCode="0.00000">
                  <c:v>6.5923000000000009E-2</c:v>
                </c:pt>
                <c:pt idx="47" formatCode="0.00000">
                  <c:v>-3.1573000000000052E-2</c:v>
                </c:pt>
                <c:pt idx="48" formatCode="0.00000">
                  <c:v>-7.8773000000000024E-2</c:v>
                </c:pt>
                <c:pt idx="49" formatCode="0.00000">
                  <c:v>-9.194200000000001E-2</c:v>
                </c:pt>
                <c:pt idx="50" formatCode="0.00000">
                  <c:v>-3.4118999999999997E-2</c:v>
                </c:pt>
                <c:pt idx="51" formatCode="0.00000">
                  <c:v>7.0519999999999999E-2</c:v>
                </c:pt>
                <c:pt idx="52" formatCode="0.00000">
                  <c:v>3.5367000000000003E-2</c:v>
                </c:pt>
                <c:pt idx="53" formatCode="0.00000">
                  <c:v>-2.6818000000000002E-2</c:v>
                </c:pt>
                <c:pt idx="54" formatCode="0.00000">
                  <c:v>1.4512000000000001E-2</c:v>
                </c:pt>
                <c:pt idx="55" formatCode="0.00000">
                  <c:v>8.0110000000000001E-2</c:v>
                </c:pt>
                <c:pt idx="56" formatCode="0.00000">
                  <c:v>-9.8628000000000327E-2</c:v>
                </c:pt>
                <c:pt idx="57" formatCode="0.00000">
                  <c:v>-2.6981000000000012E-2</c:v>
                </c:pt>
                <c:pt idx="58" formatCode="0.00000">
                  <c:v>-1.9751000000000039E-2</c:v>
                </c:pt>
                <c:pt idx="59" formatCode="0.00000">
                  <c:v>-5.0915000000000002E-2</c:v>
                </c:pt>
                <c:pt idx="60" formatCode="0.00000">
                  <c:v>1.5077E-2</c:v>
                </c:pt>
                <c:pt idx="61" formatCode="0.00000">
                  <c:v>-4.8244999999999975E-2</c:v>
                </c:pt>
                <c:pt idx="62" formatCode="0.00000">
                  <c:v>-8.6659000000000028E-2</c:v>
                </c:pt>
                <c:pt idx="63" formatCode="0.00000">
                  <c:v>-4.9808000000000033E-2</c:v>
                </c:pt>
                <c:pt idx="64" formatCode="0.00000">
                  <c:v>-5.2689E-2</c:v>
                </c:pt>
                <c:pt idx="65" formatCode="0.00000">
                  <c:v>-2.2006000000000012E-2</c:v>
                </c:pt>
                <c:pt idx="66" formatCode="0.00000">
                  <c:v>-3.0888000000000002E-2</c:v>
                </c:pt>
                <c:pt idx="67" formatCode="0.00000">
                  <c:v>-1.0657999999999996E-2</c:v>
                </c:pt>
                <c:pt idx="68" formatCode="0.00000">
                  <c:v>2.5302000000000002E-2</c:v>
                </c:pt>
                <c:pt idx="69" formatCode="0.00000">
                  <c:v>-5.8148999999999985E-2</c:v>
                </c:pt>
                <c:pt idx="70" formatCode="0.00000">
                  <c:v>-0.12460900000000009</c:v>
                </c:pt>
                <c:pt idx="71" formatCode="0.00000">
                  <c:v>-9.6686000000000022E-2</c:v>
                </c:pt>
                <c:pt idx="72" formatCode="0.00000">
                  <c:v>-6.5152000000000002E-2</c:v>
                </c:pt>
                <c:pt idx="73" formatCode="0.00000">
                  <c:v>-0.19358800000000001</c:v>
                </c:pt>
                <c:pt idx="74" formatCode="0.00000">
                  <c:v>-0.2034270000000003</c:v>
                </c:pt>
                <c:pt idx="75" formatCode="0.00000">
                  <c:v>-0.25869000000000003</c:v>
                </c:pt>
                <c:pt idx="76" formatCode="0.00000">
                  <c:v>-0.16929900000000037</c:v>
                </c:pt>
                <c:pt idx="77" formatCode="0.00000">
                  <c:v>-4.1199E-2</c:v>
                </c:pt>
                <c:pt idx="78" formatCode="0.00000">
                  <c:v>1.5428000000000001E-2</c:v>
                </c:pt>
                <c:pt idx="79" formatCode="0.00000">
                  <c:v>0.12143300000000012</c:v>
                </c:pt>
                <c:pt idx="80" formatCode="0.00000">
                  <c:v>-5.3165999999999998E-2</c:v>
                </c:pt>
                <c:pt idx="81" formatCode="0.00000">
                  <c:v>-0.10279300000000023</c:v>
                </c:pt>
                <c:pt idx="82" formatCode="0.00000">
                  <c:v>5.2930000000000034E-3</c:v>
                </c:pt>
                <c:pt idx="83" formatCode="0.00000">
                  <c:v>-8.975000000000035E-3</c:v>
                </c:pt>
                <c:pt idx="84" formatCode="0.00000">
                  <c:v>-6.0490000000000127E-3</c:v>
                </c:pt>
                <c:pt idx="85" formatCode="0.00000">
                  <c:v>9.496000000000027E-3</c:v>
                </c:pt>
                <c:pt idx="86" formatCode="0.00000">
                  <c:v>-4.0870000000000004E-3</c:v>
                </c:pt>
                <c:pt idx="87" formatCode="0.00000">
                  <c:v>6.2632999999999994E-2</c:v>
                </c:pt>
                <c:pt idx="88" formatCode="0.00000">
                  <c:v>2.8985E-2</c:v>
                </c:pt>
                <c:pt idx="89" formatCode="0.00000">
                  <c:v>4.8690000000000096E-3</c:v>
                </c:pt>
                <c:pt idx="90" formatCode="0.00000">
                  <c:v>-0.14331099999999999</c:v>
                </c:pt>
                <c:pt idx="91" formatCode="0.00000">
                  <c:v>1.8889000000000003E-2</c:v>
                </c:pt>
                <c:pt idx="92" formatCode="0.00000">
                  <c:v>4.0569999999999998E-3</c:v>
                </c:pt>
                <c:pt idx="93" formatCode="0.00000">
                  <c:v>5.3673999999999999E-2</c:v>
                </c:pt>
                <c:pt idx="94" formatCode="0.00000">
                  <c:v>-1.2179999999999975E-3</c:v>
                </c:pt>
              </c:numCache>
            </c:numRef>
          </c:val>
        </c:ser>
        <c:ser>
          <c:idx val="1"/>
          <c:order val="1"/>
          <c:tx>
            <c:strRef>
              <c:f>Combined!$B$2</c:f>
              <c:strCache>
                <c:ptCount val="1"/>
                <c:pt idx="0">
                  <c:v>Actual</c:v>
                </c:pt>
              </c:strCache>
            </c:strRef>
          </c:tx>
          <c:marker>
            <c:symbol val="none"/>
          </c:marker>
          <c:cat>
            <c:numRef>
              <c:f>Combined!$A$102:$A$196</c:f>
              <c:numCache>
                <c:formatCode>d/m/yyyy</c:formatCode>
                <c:ptCount val="95"/>
                <c:pt idx="0">
                  <c:v>41078</c:v>
                </c:pt>
                <c:pt idx="1">
                  <c:v>41085</c:v>
                </c:pt>
                <c:pt idx="2">
                  <c:v>41092</c:v>
                </c:pt>
                <c:pt idx="3">
                  <c:v>41099</c:v>
                </c:pt>
                <c:pt idx="4">
                  <c:v>41106</c:v>
                </c:pt>
                <c:pt idx="5">
                  <c:v>41113</c:v>
                </c:pt>
                <c:pt idx="6">
                  <c:v>41120</c:v>
                </c:pt>
                <c:pt idx="7">
                  <c:v>41127</c:v>
                </c:pt>
                <c:pt idx="8">
                  <c:v>41134</c:v>
                </c:pt>
                <c:pt idx="9">
                  <c:v>41141</c:v>
                </c:pt>
                <c:pt idx="10">
                  <c:v>41148</c:v>
                </c:pt>
                <c:pt idx="11">
                  <c:v>41155</c:v>
                </c:pt>
                <c:pt idx="12">
                  <c:v>41162</c:v>
                </c:pt>
                <c:pt idx="13">
                  <c:v>41169</c:v>
                </c:pt>
                <c:pt idx="14">
                  <c:v>41176</c:v>
                </c:pt>
                <c:pt idx="15">
                  <c:v>41183</c:v>
                </c:pt>
                <c:pt idx="16">
                  <c:v>41190</c:v>
                </c:pt>
                <c:pt idx="17">
                  <c:v>41197</c:v>
                </c:pt>
                <c:pt idx="18">
                  <c:v>41204</c:v>
                </c:pt>
                <c:pt idx="19">
                  <c:v>41211</c:v>
                </c:pt>
                <c:pt idx="20">
                  <c:v>41218</c:v>
                </c:pt>
                <c:pt idx="21">
                  <c:v>41225</c:v>
                </c:pt>
                <c:pt idx="22">
                  <c:v>41232</c:v>
                </c:pt>
                <c:pt idx="23">
                  <c:v>41239</c:v>
                </c:pt>
                <c:pt idx="24">
                  <c:v>41246</c:v>
                </c:pt>
                <c:pt idx="25">
                  <c:v>41253</c:v>
                </c:pt>
                <c:pt idx="26">
                  <c:v>41260</c:v>
                </c:pt>
                <c:pt idx="27">
                  <c:v>41267</c:v>
                </c:pt>
                <c:pt idx="28">
                  <c:v>41274</c:v>
                </c:pt>
                <c:pt idx="29">
                  <c:v>41281</c:v>
                </c:pt>
                <c:pt idx="30">
                  <c:v>41288</c:v>
                </c:pt>
                <c:pt idx="31">
                  <c:v>41295</c:v>
                </c:pt>
                <c:pt idx="32">
                  <c:v>41302</c:v>
                </c:pt>
                <c:pt idx="33">
                  <c:v>41309</c:v>
                </c:pt>
                <c:pt idx="34">
                  <c:v>41316</c:v>
                </c:pt>
                <c:pt idx="35">
                  <c:v>41323</c:v>
                </c:pt>
                <c:pt idx="36">
                  <c:v>41330</c:v>
                </c:pt>
                <c:pt idx="37">
                  <c:v>41337</c:v>
                </c:pt>
                <c:pt idx="38">
                  <c:v>41344</c:v>
                </c:pt>
                <c:pt idx="39">
                  <c:v>41351</c:v>
                </c:pt>
                <c:pt idx="40">
                  <c:v>41358</c:v>
                </c:pt>
                <c:pt idx="41">
                  <c:v>41365</c:v>
                </c:pt>
                <c:pt idx="42">
                  <c:v>41372</c:v>
                </c:pt>
                <c:pt idx="43">
                  <c:v>41379</c:v>
                </c:pt>
                <c:pt idx="44">
                  <c:v>41386</c:v>
                </c:pt>
                <c:pt idx="45">
                  <c:v>41393</c:v>
                </c:pt>
                <c:pt idx="46">
                  <c:v>41400</c:v>
                </c:pt>
                <c:pt idx="47">
                  <c:v>41407</c:v>
                </c:pt>
                <c:pt idx="48">
                  <c:v>41414</c:v>
                </c:pt>
                <c:pt idx="49">
                  <c:v>41421</c:v>
                </c:pt>
                <c:pt idx="50">
                  <c:v>41428</c:v>
                </c:pt>
                <c:pt idx="51">
                  <c:v>41435</c:v>
                </c:pt>
                <c:pt idx="52">
                  <c:v>41442</c:v>
                </c:pt>
                <c:pt idx="53">
                  <c:v>41449</c:v>
                </c:pt>
                <c:pt idx="54">
                  <c:v>41456</c:v>
                </c:pt>
                <c:pt idx="55">
                  <c:v>41463</c:v>
                </c:pt>
                <c:pt idx="56">
                  <c:v>41470</c:v>
                </c:pt>
                <c:pt idx="57">
                  <c:v>41477</c:v>
                </c:pt>
                <c:pt idx="58">
                  <c:v>41484</c:v>
                </c:pt>
                <c:pt idx="59">
                  <c:v>41491</c:v>
                </c:pt>
                <c:pt idx="60">
                  <c:v>41498</c:v>
                </c:pt>
                <c:pt idx="61">
                  <c:v>41505</c:v>
                </c:pt>
                <c:pt idx="62">
                  <c:v>41512</c:v>
                </c:pt>
                <c:pt idx="63">
                  <c:v>41519</c:v>
                </c:pt>
                <c:pt idx="64">
                  <c:v>41526</c:v>
                </c:pt>
                <c:pt idx="65">
                  <c:v>41533</c:v>
                </c:pt>
                <c:pt idx="66">
                  <c:v>41540</c:v>
                </c:pt>
                <c:pt idx="67">
                  <c:v>41547</c:v>
                </c:pt>
                <c:pt idx="68">
                  <c:v>41554</c:v>
                </c:pt>
                <c:pt idx="69">
                  <c:v>41561</c:v>
                </c:pt>
                <c:pt idx="70">
                  <c:v>41568</c:v>
                </c:pt>
                <c:pt idx="71">
                  <c:v>41575</c:v>
                </c:pt>
                <c:pt idx="72">
                  <c:v>41582</c:v>
                </c:pt>
                <c:pt idx="73">
                  <c:v>41589</c:v>
                </c:pt>
                <c:pt idx="74">
                  <c:v>41596</c:v>
                </c:pt>
                <c:pt idx="75">
                  <c:v>41603</c:v>
                </c:pt>
                <c:pt idx="76">
                  <c:v>41610</c:v>
                </c:pt>
                <c:pt idx="77">
                  <c:v>41617</c:v>
                </c:pt>
                <c:pt idx="78">
                  <c:v>41624</c:v>
                </c:pt>
                <c:pt idx="79">
                  <c:v>41631</c:v>
                </c:pt>
                <c:pt idx="80">
                  <c:v>41638</c:v>
                </c:pt>
                <c:pt idx="81">
                  <c:v>41645</c:v>
                </c:pt>
                <c:pt idx="82">
                  <c:v>41652</c:v>
                </c:pt>
                <c:pt idx="83">
                  <c:v>41659</c:v>
                </c:pt>
                <c:pt idx="84">
                  <c:v>41666</c:v>
                </c:pt>
                <c:pt idx="85">
                  <c:v>41673</c:v>
                </c:pt>
                <c:pt idx="86">
                  <c:v>41680</c:v>
                </c:pt>
                <c:pt idx="87">
                  <c:v>41687</c:v>
                </c:pt>
                <c:pt idx="88">
                  <c:v>41694</c:v>
                </c:pt>
                <c:pt idx="89">
                  <c:v>41701</c:v>
                </c:pt>
                <c:pt idx="90">
                  <c:v>41708</c:v>
                </c:pt>
                <c:pt idx="91">
                  <c:v>41715</c:v>
                </c:pt>
                <c:pt idx="92">
                  <c:v>41722</c:v>
                </c:pt>
                <c:pt idx="93">
                  <c:v>41729</c:v>
                </c:pt>
                <c:pt idx="94">
                  <c:v>41736</c:v>
                </c:pt>
              </c:numCache>
            </c:numRef>
          </c:cat>
          <c:val>
            <c:numRef>
              <c:f>Combined!$B$102:$B$196</c:f>
              <c:numCache>
                <c:formatCode>0.00000</c:formatCode>
                <c:ptCount val="95"/>
                <c:pt idx="0">
                  <c:v>-7.4835000000000124E-2</c:v>
                </c:pt>
                <c:pt idx="1">
                  <c:v>-1.0061E-2</c:v>
                </c:pt>
                <c:pt idx="2">
                  <c:v>-1.4047E-2</c:v>
                </c:pt>
                <c:pt idx="3">
                  <c:v>-0.10887400000000012</c:v>
                </c:pt>
                <c:pt idx="4">
                  <c:v>-0.161383</c:v>
                </c:pt>
                <c:pt idx="5">
                  <c:v>-3.1070000000000086E-3</c:v>
                </c:pt>
                <c:pt idx="6">
                  <c:v>-0.15263299999999999</c:v>
                </c:pt>
                <c:pt idx="7">
                  <c:v>-9.6774000000000027E-2</c:v>
                </c:pt>
                <c:pt idx="8">
                  <c:v>-4.4419000000000104E-2</c:v>
                </c:pt>
                <c:pt idx="9">
                  <c:v>0.13699700000000037</c:v>
                </c:pt>
                <c:pt idx="10">
                  <c:v>-3.1190000000000002E-2</c:v>
                </c:pt>
                <c:pt idx="11">
                  <c:v>-2.9721999999999998E-2</c:v>
                </c:pt>
                <c:pt idx="12">
                  <c:v>-5.6173000000000001E-2</c:v>
                </c:pt>
                <c:pt idx="13">
                  <c:v>-6.3023999999999997E-2</c:v>
                </c:pt>
                <c:pt idx="14">
                  <c:v>-2.7940000000000048E-3</c:v>
                </c:pt>
                <c:pt idx="15">
                  <c:v>-2.2300000000000011E-2</c:v>
                </c:pt>
                <c:pt idx="16">
                  <c:v>5.3108000000000002E-2</c:v>
                </c:pt>
                <c:pt idx="17">
                  <c:v>1.0484000000000005E-2</c:v>
                </c:pt>
                <c:pt idx="18">
                  <c:v>6.9598999999999994E-2</c:v>
                </c:pt>
                <c:pt idx="19">
                  <c:v>2.4053000000000001E-2</c:v>
                </c:pt>
                <c:pt idx="20">
                  <c:v>-1.1769999999999999E-2</c:v>
                </c:pt>
                <c:pt idx="21">
                  <c:v>-4.1716000000000121E-2</c:v>
                </c:pt>
                <c:pt idx="22">
                  <c:v>-6.8824999999999997E-2</c:v>
                </c:pt>
                <c:pt idx="23">
                  <c:v>-2.2350000000000002E-2</c:v>
                </c:pt>
                <c:pt idx="24">
                  <c:v>-6.9047000000000011E-2</c:v>
                </c:pt>
                <c:pt idx="25">
                  <c:v>-1.8099000000000001E-2</c:v>
                </c:pt>
                <c:pt idx="26">
                  <c:v>9.8610000000000243E-3</c:v>
                </c:pt>
                <c:pt idx="27">
                  <c:v>-4.2612123793829006E-4</c:v>
                </c:pt>
                <c:pt idx="28">
                  <c:v>1.0651328763327743E-4</c:v>
                </c:pt>
                <c:pt idx="29">
                  <c:v>-4.0293520859185875E-2</c:v>
                </c:pt>
                <c:pt idx="30">
                  <c:v>-7.9145105156674306E-2</c:v>
                </c:pt>
                <c:pt idx="31">
                  <c:v>-0.138951971049909</c:v>
                </c:pt>
                <c:pt idx="32">
                  <c:v>-0.13464133909106846</c:v>
                </c:pt>
                <c:pt idx="33">
                  <c:v>-0.10605052776041415</c:v>
                </c:pt>
                <c:pt idx="34">
                  <c:v>-0.16493775552866499</c:v>
                </c:pt>
                <c:pt idx="35">
                  <c:v>-0.12038120623017012</c:v>
                </c:pt>
                <c:pt idx="36">
                  <c:v>-0.10743420268181728</c:v>
                </c:pt>
                <c:pt idx="37">
                  <c:v>-0.25829539441710314</c:v>
                </c:pt>
                <c:pt idx="38">
                  <c:v>-0.10126147756719416</c:v>
                </c:pt>
                <c:pt idx="39">
                  <c:v>-0.31980759877645004</c:v>
                </c:pt>
                <c:pt idx="40">
                  <c:v>-0.28856704784085185</c:v>
                </c:pt>
                <c:pt idx="41">
                  <c:v>-0.440204820264189</c:v>
                </c:pt>
                <c:pt idx="42">
                  <c:v>-7.3138695105032722E-2</c:v>
                </c:pt>
                <c:pt idx="43">
                  <c:v>0.33987089812865584</c:v>
                </c:pt>
                <c:pt idx="44">
                  <c:v>-0.29803091491699302</c:v>
                </c:pt>
                <c:pt idx="45">
                  <c:v>0.14844650321289543</c:v>
                </c:pt>
                <c:pt idx="46">
                  <c:v>4.5229798307451698E-2</c:v>
                </c:pt>
                <c:pt idx="47">
                  <c:v>-4.3042113374979686E-2</c:v>
                </c:pt>
                <c:pt idx="48">
                  <c:v>-7.2604385800469198E-2</c:v>
                </c:pt>
                <c:pt idx="49">
                  <c:v>-7.6252849909714997E-3</c:v>
                </c:pt>
                <c:pt idx="50">
                  <c:v>0.115351074567057</c:v>
                </c:pt>
                <c:pt idx="51">
                  <c:v>9.7533653455373751E-2</c:v>
                </c:pt>
                <c:pt idx="52">
                  <c:v>-3.5976947459439225E-2</c:v>
                </c:pt>
                <c:pt idx="53">
                  <c:v>7.7283981775923424E-2</c:v>
                </c:pt>
                <c:pt idx="54">
                  <c:v>0.27103375827374299</c:v>
                </c:pt>
                <c:pt idx="55">
                  <c:v>-0.11044950890973185</c:v>
                </c:pt>
                <c:pt idx="56">
                  <c:v>-3.9626115549802499E-2</c:v>
                </c:pt>
                <c:pt idx="57">
                  <c:v>-4.7722783034946509E-3</c:v>
                </c:pt>
                <c:pt idx="58">
                  <c:v>-8.1376802013446548E-2</c:v>
                </c:pt>
                <c:pt idx="59">
                  <c:v>1.1767561350094101E-2</c:v>
                </c:pt>
                <c:pt idx="60">
                  <c:v>-2.7610205062826298E-2</c:v>
                </c:pt>
                <c:pt idx="61">
                  <c:v>-9.8990391289185728E-2</c:v>
                </c:pt>
                <c:pt idx="62">
                  <c:v>-0.11149623185421023</c:v>
                </c:pt>
                <c:pt idx="63">
                  <c:v>-2.6804444092943212E-3</c:v>
                </c:pt>
                <c:pt idx="64">
                  <c:v>-2.3137983153883906E-2</c:v>
                </c:pt>
                <c:pt idx="65">
                  <c:v>-2.1294114183051053E-3</c:v>
                </c:pt>
                <c:pt idx="66">
                  <c:v>5.3262749851726195E-3</c:v>
                </c:pt>
                <c:pt idx="67">
                  <c:v>4.2215401871940922E-2</c:v>
                </c:pt>
                <c:pt idx="68">
                  <c:v>-6.1063575836490906E-2</c:v>
                </c:pt>
                <c:pt idx="69">
                  <c:v>-0.150073246903248</c:v>
                </c:pt>
                <c:pt idx="70">
                  <c:v>-0.22404718376321037</c:v>
                </c:pt>
                <c:pt idx="71">
                  <c:v>-7.8252364711210595E-2</c:v>
                </c:pt>
                <c:pt idx="72">
                  <c:v>-0.35340296240493185</c:v>
                </c:pt>
                <c:pt idx="73">
                  <c:v>-0.35000649838248016</c:v>
                </c:pt>
                <c:pt idx="74">
                  <c:v>-0.53060409326342983</c:v>
                </c:pt>
                <c:pt idx="75">
                  <c:v>-0.3648288918863184</c:v>
                </c:pt>
                <c:pt idx="76">
                  <c:v>3.5016103086535542E-2</c:v>
                </c:pt>
                <c:pt idx="77">
                  <c:v>5.0814809886644503E-2</c:v>
                </c:pt>
                <c:pt idx="78">
                  <c:v>0.34267208414776668</c:v>
                </c:pt>
                <c:pt idx="79">
                  <c:v>-0.11591835594660102</c:v>
                </c:pt>
                <c:pt idx="80">
                  <c:v>-0.13138553838652101</c:v>
                </c:pt>
                <c:pt idx="81">
                  <c:v>-7.6022023595541929E-2</c:v>
                </c:pt>
                <c:pt idx="82">
                  <c:v>3.1121049453364653E-2</c:v>
                </c:pt>
                <c:pt idx="83">
                  <c:v>-8.0294838675983738E-3</c:v>
                </c:pt>
                <c:pt idx="84">
                  <c:v>2.4039881426515277E-2</c:v>
                </c:pt>
                <c:pt idx="85">
                  <c:v>9.4649337760231045E-2</c:v>
                </c:pt>
                <c:pt idx="86">
                  <c:v>0.172186046201213</c:v>
                </c:pt>
                <c:pt idx="87">
                  <c:v>7.3058404950515674E-2</c:v>
                </c:pt>
                <c:pt idx="88">
                  <c:v>7.1503946744872399E-2</c:v>
                </c:pt>
                <c:pt idx="89">
                  <c:v>-0.14696152078019337</c:v>
                </c:pt>
                <c:pt idx="90">
                  <c:v>2.329171842145266E-2</c:v>
                </c:pt>
                <c:pt idx="91">
                  <c:v>6.7602936312719034E-2</c:v>
                </c:pt>
                <c:pt idx="92">
                  <c:v>0.113701343666396</c:v>
                </c:pt>
                <c:pt idx="93">
                  <c:v>0.14183208299769537</c:v>
                </c:pt>
                <c:pt idx="94">
                  <c:v>7.9015198456271432E-2</c:v>
                </c:pt>
              </c:numCache>
            </c:numRef>
          </c:val>
        </c:ser>
        <c:marker val="1"/>
        <c:axId val="101230080"/>
        <c:axId val="101231616"/>
      </c:lineChart>
      <c:dateAx>
        <c:axId val="101230080"/>
        <c:scaling>
          <c:orientation val="minMax"/>
        </c:scaling>
        <c:axPos val="b"/>
        <c:numFmt formatCode="d/m/yyyy" sourceLinked="1"/>
        <c:majorTickMark val="none"/>
        <c:tickLblPos val="low"/>
        <c:crossAx val="101231616"/>
        <c:crosses val="autoZero"/>
        <c:auto val="1"/>
        <c:lblOffset val="100"/>
      </c:dateAx>
      <c:valAx>
        <c:axId val="101231616"/>
        <c:scaling>
          <c:orientation val="minMax"/>
        </c:scaling>
        <c:axPos val="l"/>
        <c:majorGridlines/>
        <c:numFmt formatCode="General" sourceLinked="1"/>
        <c:majorTickMark val="none"/>
        <c:tickLblPos val="nextTo"/>
        <c:crossAx val="101230080"/>
        <c:crosses val="autoZero"/>
        <c:crossBetween val="between"/>
      </c:valAx>
    </c:plotArea>
    <c:legend>
      <c:legendPos val="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nl-NL"/>
  <c:chart>
    <c:autoTitleDeleted val="1"/>
    <c:plotArea>
      <c:layout/>
      <c:lineChart>
        <c:grouping val="standard"/>
        <c:ser>
          <c:idx val="0"/>
          <c:order val="0"/>
          <c:tx>
            <c:strRef>
              <c:f>Combined!$E$2</c:f>
              <c:strCache>
                <c:ptCount val="1"/>
                <c:pt idx="0">
                  <c:v>Forecast</c:v>
                </c:pt>
              </c:strCache>
            </c:strRef>
          </c:tx>
          <c:marker>
            <c:symbol val="none"/>
          </c:marker>
          <c:cat>
            <c:numRef>
              <c:f>Dornbusch!$A$102:$A$196</c:f>
              <c:numCache>
                <c:formatCode>d/m/yyyy</c:formatCode>
                <c:ptCount val="95"/>
                <c:pt idx="0">
                  <c:v>41078</c:v>
                </c:pt>
                <c:pt idx="1">
                  <c:v>41085</c:v>
                </c:pt>
                <c:pt idx="2">
                  <c:v>41092</c:v>
                </c:pt>
                <c:pt idx="3">
                  <c:v>41099</c:v>
                </c:pt>
                <c:pt idx="4">
                  <c:v>41106</c:v>
                </c:pt>
                <c:pt idx="5">
                  <c:v>41113</c:v>
                </c:pt>
                <c:pt idx="6">
                  <c:v>41120</c:v>
                </c:pt>
                <c:pt idx="7">
                  <c:v>41127</c:v>
                </c:pt>
                <c:pt idx="8">
                  <c:v>41134</c:v>
                </c:pt>
                <c:pt idx="9">
                  <c:v>41141</c:v>
                </c:pt>
                <c:pt idx="10">
                  <c:v>41148</c:v>
                </c:pt>
                <c:pt idx="11">
                  <c:v>41155</c:v>
                </c:pt>
                <c:pt idx="12">
                  <c:v>41162</c:v>
                </c:pt>
                <c:pt idx="13">
                  <c:v>41169</c:v>
                </c:pt>
                <c:pt idx="14">
                  <c:v>41176</c:v>
                </c:pt>
                <c:pt idx="15">
                  <c:v>41183</c:v>
                </c:pt>
                <c:pt idx="16">
                  <c:v>41190</c:v>
                </c:pt>
                <c:pt idx="17">
                  <c:v>41197</c:v>
                </c:pt>
                <c:pt idx="18">
                  <c:v>41204</c:v>
                </c:pt>
                <c:pt idx="19">
                  <c:v>41211</c:v>
                </c:pt>
                <c:pt idx="20">
                  <c:v>41218</c:v>
                </c:pt>
                <c:pt idx="21">
                  <c:v>41225</c:v>
                </c:pt>
                <c:pt idx="22">
                  <c:v>41232</c:v>
                </c:pt>
                <c:pt idx="23">
                  <c:v>41239</c:v>
                </c:pt>
                <c:pt idx="24">
                  <c:v>41246</c:v>
                </c:pt>
                <c:pt idx="25">
                  <c:v>41253</c:v>
                </c:pt>
                <c:pt idx="26">
                  <c:v>41260</c:v>
                </c:pt>
                <c:pt idx="27">
                  <c:v>41267</c:v>
                </c:pt>
                <c:pt idx="28">
                  <c:v>41274</c:v>
                </c:pt>
                <c:pt idx="29">
                  <c:v>41281</c:v>
                </c:pt>
                <c:pt idx="30">
                  <c:v>41288</c:v>
                </c:pt>
                <c:pt idx="31">
                  <c:v>41295</c:v>
                </c:pt>
                <c:pt idx="32">
                  <c:v>41302</c:v>
                </c:pt>
                <c:pt idx="33">
                  <c:v>41309</c:v>
                </c:pt>
                <c:pt idx="34">
                  <c:v>41316</c:v>
                </c:pt>
                <c:pt idx="35">
                  <c:v>41323</c:v>
                </c:pt>
                <c:pt idx="36">
                  <c:v>41330</c:v>
                </c:pt>
                <c:pt idx="37">
                  <c:v>41337</c:v>
                </c:pt>
                <c:pt idx="38">
                  <c:v>41344</c:v>
                </c:pt>
                <c:pt idx="39">
                  <c:v>41351</c:v>
                </c:pt>
                <c:pt idx="40">
                  <c:v>41358</c:v>
                </c:pt>
                <c:pt idx="41">
                  <c:v>41365</c:v>
                </c:pt>
                <c:pt idx="42">
                  <c:v>41372</c:v>
                </c:pt>
                <c:pt idx="43">
                  <c:v>41379</c:v>
                </c:pt>
                <c:pt idx="44">
                  <c:v>41386</c:v>
                </c:pt>
                <c:pt idx="45">
                  <c:v>41393</c:v>
                </c:pt>
                <c:pt idx="46">
                  <c:v>41400</c:v>
                </c:pt>
                <c:pt idx="47">
                  <c:v>41407</c:v>
                </c:pt>
                <c:pt idx="48">
                  <c:v>41414</c:v>
                </c:pt>
                <c:pt idx="49">
                  <c:v>41421</c:v>
                </c:pt>
                <c:pt idx="50">
                  <c:v>41428</c:v>
                </c:pt>
                <c:pt idx="51">
                  <c:v>41435</c:v>
                </c:pt>
                <c:pt idx="52">
                  <c:v>41442</c:v>
                </c:pt>
                <c:pt idx="53">
                  <c:v>41449</c:v>
                </c:pt>
                <c:pt idx="54">
                  <c:v>41456</c:v>
                </c:pt>
                <c:pt idx="55">
                  <c:v>41463</c:v>
                </c:pt>
                <c:pt idx="56">
                  <c:v>41470</c:v>
                </c:pt>
                <c:pt idx="57">
                  <c:v>41477</c:v>
                </c:pt>
                <c:pt idx="58">
                  <c:v>41484</c:v>
                </c:pt>
                <c:pt idx="59">
                  <c:v>41491</c:v>
                </c:pt>
                <c:pt idx="60">
                  <c:v>41498</c:v>
                </c:pt>
                <c:pt idx="61">
                  <c:v>41505</c:v>
                </c:pt>
                <c:pt idx="62">
                  <c:v>41512</c:v>
                </c:pt>
                <c:pt idx="63">
                  <c:v>41519</c:v>
                </c:pt>
                <c:pt idx="64">
                  <c:v>41526</c:v>
                </c:pt>
                <c:pt idx="65">
                  <c:v>41533</c:v>
                </c:pt>
                <c:pt idx="66">
                  <c:v>41540</c:v>
                </c:pt>
                <c:pt idx="67">
                  <c:v>41547</c:v>
                </c:pt>
                <c:pt idx="68">
                  <c:v>41554</c:v>
                </c:pt>
                <c:pt idx="69">
                  <c:v>41561</c:v>
                </c:pt>
                <c:pt idx="70">
                  <c:v>41568</c:v>
                </c:pt>
                <c:pt idx="71">
                  <c:v>41575</c:v>
                </c:pt>
                <c:pt idx="72">
                  <c:v>41582</c:v>
                </c:pt>
                <c:pt idx="73">
                  <c:v>41589</c:v>
                </c:pt>
                <c:pt idx="74">
                  <c:v>41596</c:v>
                </c:pt>
                <c:pt idx="75">
                  <c:v>41603</c:v>
                </c:pt>
                <c:pt idx="76">
                  <c:v>41610</c:v>
                </c:pt>
                <c:pt idx="77">
                  <c:v>41617</c:v>
                </c:pt>
                <c:pt idx="78">
                  <c:v>41624</c:v>
                </c:pt>
                <c:pt idx="79">
                  <c:v>41631</c:v>
                </c:pt>
                <c:pt idx="80">
                  <c:v>41638</c:v>
                </c:pt>
                <c:pt idx="81">
                  <c:v>41645</c:v>
                </c:pt>
                <c:pt idx="82">
                  <c:v>41652</c:v>
                </c:pt>
                <c:pt idx="83">
                  <c:v>41659</c:v>
                </c:pt>
                <c:pt idx="84">
                  <c:v>41666</c:v>
                </c:pt>
                <c:pt idx="85">
                  <c:v>41673</c:v>
                </c:pt>
                <c:pt idx="86">
                  <c:v>41680</c:v>
                </c:pt>
                <c:pt idx="87">
                  <c:v>41687</c:v>
                </c:pt>
                <c:pt idx="88">
                  <c:v>41694</c:v>
                </c:pt>
                <c:pt idx="89">
                  <c:v>41701</c:v>
                </c:pt>
                <c:pt idx="90">
                  <c:v>41708</c:v>
                </c:pt>
                <c:pt idx="91">
                  <c:v>41715</c:v>
                </c:pt>
                <c:pt idx="92">
                  <c:v>41722</c:v>
                </c:pt>
                <c:pt idx="93">
                  <c:v>41729</c:v>
                </c:pt>
                <c:pt idx="94">
                  <c:v>41736</c:v>
                </c:pt>
              </c:numCache>
            </c:numRef>
          </c:cat>
          <c:val>
            <c:numRef>
              <c:f>Combined!$E$103:$E$196</c:f>
              <c:numCache>
                <c:formatCode>General</c:formatCode>
                <c:ptCount val="94"/>
                <c:pt idx="25">
                  <c:v>13.407148032606624</c:v>
                </c:pt>
                <c:pt idx="26">
                  <c:v>13.412860694379079</c:v>
                </c:pt>
                <c:pt idx="27">
                  <c:v>13.70407179514504</c:v>
                </c:pt>
                <c:pt idx="28">
                  <c:v>13.847240902888355</c:v>
                </c:pt>
                <c:pt idx="29">
                  <c:v>13.866890218561066</c:v>
                </c:pt>
                <c:pt idx="30">
                  <c:v>15.271509984002602</c:v>
                </c:pt>
                <c:pt idx="31">
                  <c:v>16.656424535660026</c:v>
                </c:pt>
                <c:pt idx="32">
                  <c:v>17.609578729671082</c:v>
                </c:pt>
                <c:pt idx="33">
                  <c:v>19.037029432678196</c:v>
                </c:pt>
                <c:pt idx="34">
                  <c:v>20.52192855401233</c:v>
                </c:pt>
                <c:pt idx="35">
                  <c:v>22.452635466153627</c:v>
                </c:pt>
                <c:pt idx="36">
                  <c:v>24.315329619881627</c:v>
                </c:pt>
                <c:pt idx="37">
                  <c:v>27.455074108534916</c:v>
                </c:pt>
                <c:pt idx="38">
                  <c:v>29.568452528122982</c:v>
                </c:pt>
                <c:pt idx="39">
                  <c:v>34.843444035081994</c:v>
                </c:pt>
                <c:pt idx="40">
                  <c:v>40.564285013816288</c:v>
                </c:pt>
                <c:pt idx="41">
                  <c:v>50.642290102170335</c:v>
                </c:pt>
                <c:pt idx="42">
                  <c:v>54.447122427354721</c:v>
                </c:pt>
                <c:pt idx="43">
                  <c:v>47.263342734892412</c:v>
                </c:pt>
                <c:pt idx="44">
                  <c:v>56.177875218418478</c:v>
                </c:pt>
                <c:pt idx="45">
                  <c:v>52.593892456093243</c:v>
                </c:pt>
                <c:pt idx="46">
                  <c:v>54.280931726005868</c:v>
                </c:pt>
                <c:pt idx="47">
                  <c:v>58.729725758883333</c:v>
                </c:pt>
                <c:pt idx="48">
                  <c:v>64.385470866884191</c:v>
                </c:pt>
                <c:pt idx="49">
                  <c:v>66.620144381316607</c:v>
                </c:pt>
                <c:pt idx="50">
                  <c:v>62.083918869368546</c:v>
                </c:pt>
                <c:pt idx="51">
                  <c:v>59.926571234895796</c:v>
                </c:pt>
                <c:pt idx="52">
                  <c:v>61.555425709722428</c:v>
                </c:pt>
                <c:pt idx="53">
                  <c:v>60.668583860166073</c:v>
                </c:pt>
                <c:pt idx="54">
                  <c:v>55.998001354498378</c:v>
                </c:pt>
                <c:pt idx="55">
                  <c:v>61.802511327171025</c:v>
                </c:pt>
                <c:pt idx="56">
                  <c:v>63.492703894626807</c:v>
                </c:pt>
                <c:pt idx="57">
                  <c:v>64.759214543064331</c:v>
                </c:pt>
                <c:pt idx="58">
                  <c:v>68.141811714540168</c:v>
                </c:pt>
                <c:pt idx="59">
                  <c:v>67.122143702123338</c:v>
                </c:pt>
                <c:pt idx="60">
                  <c:v>70.439839141426859</c:v>
                </c:pt>
                <c:pt idx="61">
                  <c:v>76.816387784386819</c:v>
                </c:pt>
                <c:pt idx="62">
                  <c:v>80.739344763260732</c:v>
                </c:pt>
                <c:pt idx="63">
                  <c:v>85.107486101449268</c:v>
                </c:pt>
                <c:pt idx="64">
                  <c:v>87.001120684269338</c:v>
                </c:pt>
                <c:pt idx="65">
                  <c:v>89.730344446317915</c:v>
                </c:pt>
                <c:pt idx="66">
                  <c:v>90.691804979361791</c:v>
                </c:pt>
                <c:pt idx="67">
                  <c:v>88.425907679188754</c:v>
                </c:pt>
                <c:pt idx="68">
                  <c:v>93.72022364996424</c:v>
                </c:pt>
                <c:pt idx="69">
                  <c:v>106.15741078663287</c:v>
                </c:pt>
                <c:pt idx="70">
                  <c:v>116.93392129549973</c:v>
                </c:pt>
                <c:pt idx="71">
                  <c:v>124.80605844632078</c:v>
                </c:pt>
                <c:pt idx="72">
                  <c:v>151.46415556117341</c:v>
                </c:pt>
                <c:pt idx="73">
                  <c:v>185.63381562281535</c:v>
                </c:pt>
                <c:pt idx="74">
                  <c:v>240.43889922709405</c:v>
                </c:pt>
                <c:pt idx="75">
                  <c:v>284.79368333767894</c:v>
                </c:pt>
                <c:pt idx="76">
                  <c:v>296.77195037369393</c:v>
                </c:pt>
                <c:pt idx="77">
                  <c:v>292.22849108861669</c:v>
                </c:pt>
                <c:pt idx="78">
                  <c:v>258.81227708339208</c:v>
                </c:pt>
                <c:pt idx="79">
                  <c:v>272.94464252781063</c:v>
                </c:pt>
                <c:pt idx="80">
                  <c:v>302.49416862126111</c:v>
                </c:pt>
                <c:pt idx="81">
                  <c:v>300.89729683606976</c:v>
                </c:pt>
                <c:pt idx="82">
                  <c:v>303.61000514453701</c:v>
                </c:pt>
                <c:pt idx="83">
                  <c:v>305.45210788846833</c:v>
                </c:pt>
                <c:pt idx="84">
                  <c:v>302.56526310416245</c:v>
                </c:pt>
                <c:pt idx="85">
                  <c:v>303.80437774042463</c:v>
                </c:pt>
                <c:pt idx="86">
                  <c:v>285.35984560583347</c:v>
                </c:pt>
                <c:pt idx="87">
                  <c:v>277.20741039912417</c:v>
                </c:pt>
                <c:pt idx="88">
                  <c:v>275.86096809171431</c:v>
                </c:pt>
                <c:pt idx="89">
                  <c:v>318.36801706231216</c:v>
                </c:pt>
                <c:pt idx="90">
                  <c:v>312.41080361437258</c:v>
                </c:pt>
                <c:pt idx="91">
                  <c:v>311.14592053435649</c:v>
                </c:pt>
                <c:pt idx="92">
                  <c:v>294.88575200852324</c:v>
                </c:pt>
                <c:pt idx="93">
                  <c:v>295.24514167834838</c:v>
                </c:pt>
              </c:numCache>
            </c:numRef>
          </c:val>
        </c:ser>
        <c:ser>
          <c:idx val="1"/>
          <c:order val="1"/>
          <c:tx>
            <c:strRef>
              <c:f>Combined!$D$2</c:f>
              <c:strCache>
                <c:ptCount val="1"/>
                <c:pt idx="0">
                  <c:v>Actual</c:v>
                </c:pt>
              </c:strCache>
            </c:strRef>
          </c:tx>
          <c:marker>
            <c:symbol val="none"/>
          </c:marker>
          <c:cat>
            <c:numRef>
              <c:f>Dornbusch!$A$102:$A$196</c:f>
              <c:numCache>
                <c:formatCode>d/m/yyyy</c:formatCode>
                <c:ptCount val="95"/>
                <c:pt idx="0">
                  <c:v>41078</c:v>
                </c:pt>
                <c:pt idx="1">
                  <c:v>41085</c:v>
                </c:pt>
                <c:pt idx="2">
                  <c:v>41092</c:v>
                </c:pt>
                <c:pt idx="3">
                  <c:v>41099</c:v>
                </c:pt>
                <c:pt idx="4">
                  <c:v>41106</c:v>
                </c:pt>
                <c:pt idx="5">
                  <c:v>41113</c:v>
                </c:pt>
                <c:pt idx="6">
                  <c:v>41120</c:v>
                </c:pt>
                <c:pt idx="7">
                  <c:v>41127</c:v>
                </c:pt>
                <c:pt idx="8">
                  <c:v>41134</c:v>
                </c:pt>
                <c:pt idx="9">
                  <c:v>41141</c:v>
                </c:pt>
                <c:pt idx="10">
                  <c:v>41148</c:v>
                </c:pt>
                <c:pt idx="11">
                  <c:v>41155</c:v>
                </c:pt>
                <c:pt idx="12">
                  <c:v>41162</c:v>
                </c:pt>
                <c:pt idx="13">
                  <c:v>41169</c:v>
                </c:pt>
                <c:pt idx="14">
                  <c:v>41176</c:v>
                </c:pt>
                <c:pt idx="15">
                  <c:v>41183</c:v>
                </c:pt>
                <c:pt idx="16">
                  <c:v>41190</c:v>
                </c:pt>
                <c:pt idx="17">
                  <c:v>41197</c:v>
                </c:pt>
                <c:pt idx="18">
                  <c:v>41204</c:v>
                </c:pt>
                <c:pt idx="19">
                  <c:v>41211</c:v>
                </c:pt>
                <c:pt idx="20">
                  <c:v>41218</c:v>
                </c:pt>
                <c:pt idx="21">
                  <c:v>41225</c:v>
                </c:pt>
                <c:pt idx="22">
                  <c:v>41232</c:v>
                </c:pt>
                <c:pt idx="23">
                  <c:v>41239</c:v>
                </c:pt>
                <c:pt idx="24">
                  <c:v>41246</c:v>
                </c:pt>
                <c:pt idx="25">
                  <c:v>41253</c:v>
                </c:pt>
                <c:pt idx="26">
                  <c:v>41260</c:v>
                </c:pt>
                <c:pt idx="27">
                  <c:v>41267</c:v>
                </c:pt>
                <c:pt idx="28">
                  <c:v>41274</c:v>
                </c:pt>
                <c:pt idx="29">
                  <c:v>41281</c:v>
                </c:pt>
                <c:pt idx="30">
                  <c:v>41288</c:v>
                </c:pt>
                <c:pt idx="31">
                  <c:v>41295</c:v>
                </c:pt>
                <c:pt idx="32">
                  <c:v>41302</c:v>
                </c:pt>
                <c:pt idx="33">
                  <c:v>41309</c:v>
                </c:pt>
                <c:pt idx="34">
                  <c:v>41316</c:v>
                </c:pt>
                <c:pt idx="35">
                  <c:v>41323</c:v>
                </c:pt>
                <c:pt idx="36">
                  <c:v>41330</c:v>
                </c:pt>
                <c:pt idx="37">
                  <c:v>41337</c:v>
                </c:pt>
                <c:pt idx="38">
                  <c:v>41344</c:v>
                </c:pt>
                <c:pt idx="39">
                  <c:v>41351</c:v>
                </c:pt>
                <c:pt idx="40">
                  <c:v>41358</c:v>
                </c:pt>
                <c:pt idx="41">
                  <c:v>41365</c:v>
                </c:pt>
                <c:pt idx="42">
                  <c:v>41372</c:v>
                </c:pt>
                <c:pt idx="43">
                  <c:v>41379</c:v>
                </c:pt>
                <c:pt idx="44">
                  <c:v>41386</c:v>
                </c:pt>
                <c:pt idx="45">
                  <c:v>41393</c:v>
                </c:pt>
                <c:pt idx="46">
                  <c:v>41400</c:v>
                </c:pt>
                <c:pt idx="47">
                  <c:v>41407</c:v>
                </c:pt>
                <c:pt idx="48">
                  <c:v>41414</c:v>
                </c:pt>
                <c:pt idx="49">
                  <c:v>41421</c:v>
                </c:pt>
                <c:pt idx="50">
                  <c:v>41428</c:v>
                </c:pt>
                <c:pt idx="51">
                  <c:v>41435</c:v>
                </c:pt>
                <c:pt idx="52">
                  <c:v>41442</c:v>
                </c:pt>
                <c:pt idx="53">
                  <c:v>41449</c:v>
                </c:pt>
                <c:pt idx="54">
                  <c:v>41456</c:v>
                </c:pt>
                <c:pt idx="55">
                  <c:v>41463</c:v>
                </c:pt>
                <c:pt idx="56">
                  <c:v>41470</c:v>
                </c:pt>
                <c:pt idx="57">
                  <c:v>41477</c:v>
                </c:pt>
                <c:pt idx="58">
                  <c:v>41484</c:v>
                </c:pt>
                <c:pt idx="59">
                  <c:v>41491</c:v>
                </c:pt>
                <c:pt idx="60">
                  <c:v>41498</c:v>
                </c:pt>
                <c:pt idx="61">
                  <c:v>41505</c:v>
                </c:pt>
                <c:pt idx="62">
                  <c:v>41512</c:v>
                </c:pt>
                <c:pt idx="63">
                  <c:v>41519</c:v>
                </c:pt>
                <c:pt idx="64">
                  <c:v>41526</c:v>
                </c:pt>
                <c:pt idx="65">
                  <c:v>41533</c:v>
                </c:pt>
                <c:pt idx="66">
                  <c:v>41540</c:v>
                </c:pt>
                <c:pt idx="67">
                  <c:v>41547</c:v>
                </c:pt>
                <c:pt idx="68">
                  <c:v>41554</c:v>
                </c:pt>
                <c:pt idx="69">
                  <c:v>41561</c:v>
                </c:pt>
                <c:pt idx="70">
                  <c:v>41568</c:v>
                </c:pt>
                <c:pt idx="71">
                  <c:v>41575</c:v>
                </c:pt>
                <c:pt idx="72">
                  <c:v>41582</c:v>
                </c:pt>
                <c:pt idx="73">
                  <c:v>41589</c:v>
                </c:pt>
                <c:pt idx="74">
                  <c:v>41596</c:v>
                </c:pt>
                <c:pt idx="75">
                  <c:v>41603</c:v>
                </c:pt>
                <c:pt idx="76">
                  <c:v>41610</c:v>
                </c:pt>
                <c:pt idx="77">
                  <c:v>41617</c:v>
                </c:pt>
                <c:pt idx="78">
                  <c:v>41624</c:v>
                </c:pt>
                <c:pt idx="79">
                  <c:v>41631</c:v>
                </c:pt>
                <c:pt idx="80">
                  <c:v>41638</c:v>
                </c:pt>
                <c:pt idx="81">
                  <c:v>41645</c:v>
                </c:pt>
                <c:pt idx="82">
                  <c:v>41652</c:v>
                </c:pt>
                <c:pt idx="83">
                  <c:v>41659</c:v>
                </c:pt>
                <c:pt idx="84">
                  <c:v>41666</c:v>
                </c:pt>
                <c:pt idx="85">
                  <c:v>41673</c:v>
                </c:pt>
                <c:pt idx="86">
                  <c:v>41680</c:v>
                </c:pt>
                <c:pt idx="87">
                  <c:v>41687</c:v>
                </c:pt>
                <c:pt idx="88">
                  <c:v>41694</c:v>
                </c:pt>
                <c:pt idx="89">
                  <c:v>41701</c:v>
                </c:pt>
                <c:pt idx="90">
                  <c:v>41708</c:v>
                </c:pt>
                <c:pt idx="91">
                  <c:v>41715</c:v>
                </c:pt>
                <c:pt idx="92">
                  <c:v>41722</c:v>
                </c:pt>
                <c:pt idx="93">
                  <c:v>41729</c:v>
                </c:pt>
                <c:pt idx="94">
                  <c:v>41736</c:v>
                </c:pt>
              </c:numCache>
            </c:numRef>
          </c:cat>
          <c:val>
            <c:numRef>
              <c:f>Combined!$D$103:$D$196</c:f>
              <c:numCache>
                <c:formatCode>0.00</c:formatCode>
                <c:ptCount val="94"/>
                <c:pt idx="0">
                  <c:v>6.5642857142857016</c:v>
                </c:pt>
                <c:pt idx="1">
                  <c:v>6.6571428571428442</c:v>
                </c:pt>
                <c:pt idx="2">
                  <c:v>7.4228571428571417</c:v>
                </c:pt>
                <c:pt idx="3">
                  <c:v>8.7228571428571389</c:v>
                </c:pt>
                <c:pt idx="4">
                  <c:v>8.75</c:v>
                </c:pt>
                <c:pt idx="5">
                  <c:v>10.192857142857145</c:v>
                </c:pt>
                <c:pt idx="6">
                  <c:v>11.228571428571389</c:v>
                </c:pt>
                <c:pt idx="7">
                  <c:v>11.738571428571385</c:v>
                </c:pt>
                <c:pt idx="8">
                  <c:v>10.235714285714286</c:v>
                </c:pt>
                <c:pt idx="9">
                  <c:v>10.56</c:v>
                </c:pt>
                <c:pt idx="10">
                  <c:v>10.878571428571407</c:v>
                </c:pt>
                <c:pt idx="11">
                  <c:v>11.50714285714287</c:v>
                </c:pt>
                <c:pt idx="12">
                  <c:v>12.255714285714308</c:v>
                </c:pt>
                <c:pt idx="13">
                  <c:v>12.290000000000001</c:v>
                </c:pt>
                <c:pt idx="14">
                  <c:v>12.567142857142874</c:v>
                </c:pt>
                <c:pt idx="15">
                  <c:v>11.917142857142872</c:v>
                </c:pt>
                <c:pt idx="16">
                  <c:v>11.792857142857143</c:v>
                </c:pt>
                <c:pt idx="17">
                  <c:v>11</c:v>
                </c:pt>
                <c:pt idx="18">
                  <c:v>10.738571428571385</c:v>
                </c:pt>
                <c:pt idx="19">
                  <c:v>10.865714285714322</c:v>
                </c:pt>
                <c:pt idx="20">
                  <c:v>11.328571428571406</c:v>
                </c:pt>
                <c:pt idx="21">
                  <c:v>12.135714285714286</c:v>
                </c:pt>
                <c:pt idx="22">
                  <c:v>12.41</c:v>
                </c:pt>
                <c:pt idx="23">
                  <c:v>13.297142857142857</c:v>
                </c:pt>
                <c:pt idx="24">
                  <c:v>13.54</c:v>
                </c:pt>
                <c:pt idx="25">
                  <c:v>13.407142857142874</c:v>
                </c:pt>
                <c:pt idx="26">
                  <c:v>13.412857142857145</c:v>
                </c:pt>
                <c:pt idx="27">
                  <c:v>13.411428571428573</c:v>
                </c:pt>
                <c:pt idx="28">
                  <c:v>13.962857142857144</c:v>
                </c:pt>
                <c:pt idx="29">
                  <c:v>15.112857142857143</c:v>
                </c:pt>
                <c:pt idx="30">
                  <c:v>17.36571428571423</c:v>
                </c:pt>
                <c:pt idx="31">
                  <c:v>19.868571428571425</c:v>
                </c:pt>
                <c:pt idx="32">
                  <c:v>22.091428571428569</c:v>
                </c:pt>
                <c:pt idx="33">
                  <c:v>26.052857142857182</c:v>
                </c:pt>
                <c:pt idx="34">
                  <c:v>29.385714285714219</c:v>
                </c:pt>
                <c:pt idx="35">
                  <c:v>32.718571428571522</c:v>
                </c:pt>
                <c:pt idx="36">
                  <c:v>42.361428571428455</c:v>
                </c:pt>
                <c:pt idx="37">
                  <c:v>46.875714285714274</c:v>
                </c:pt>
                <c:pt idx="38">
                  <c:v>64.541428571428568</c:v>
                </c:pt>
                <c:pt idx="39">
                  <c:v>86.131428571428458</c:v>
                </c:pt>
                <c:pt idx="40">
                  <c:v>133.76428571428542</c:v>
                </c:pt>
                <c:pt idx="41">
                  <c:v>143.9142857142854</c:v>
                </c:pt>
                <c:pt idx="42">
                  <c:v>102.44714285714289</c:v>
                </c:pt>
                <c:pt idx="43">
                  <c:v>138.01714285714283</c:v>
                </c:pt>
                <c:pt idx="44">
                  <c:v>118.97714285714287</c:v>
                </c:pt>
                <c:pt idx="45">
                  <c:v>113.71571428571444</c:v>
                </c:pt>
                <c:pt idx="46">
                  <c:v>118.71714285714286</c:v>
                </c:pt>
                <c:pt idx="47">
                  <c:v>127.6571428571427</c:v>
                </c:pt>
                <c:pt idx="48">
                  <c:v>128.63428571428537</c:v>
                </c:pt>
                <c:pt idx="49">
                  <c:v>114.61999999999999</c:v>
                </c:pt>
                <c:pt idx="50">
                  <c:v>103.96857142857141</c:v>
                </c:pt>
                <c:pt idx="51">
                  <c:v>107.77714285714285</c:v>
                </c:pt>
                <c:pt idx="52">
                  <c:v>99.761428571428581</c:v>
                </c:pt>
                <c:pt idx="53">
                  <c:v>76.077142857142789</c:v>
                </c:pt>
                <c:pt idx="54">
                  <c:v>84.96142857142857</c:v>
                </c:pt>
                <c:pt idx="55">
                  <c:v>88.395714285714277</c:v>
                </c:pt>
                <c:pt idx="56">
                  <c:v>88.818571428571389</c:v>
                </c:pt>
                <c:pt idx="57">
                  <c:v>96.348571428571418</c:v>
                </c:pt>
                <c:pt idx="58">
                  <c:v>95.221428571428518</c:v>
                </c:pt>
                <c:pt idx="59">
                  <c:v>97.887142857142848</c:v>
                </c:pt>
                <c:pt idx="60">
                  <c:v>108.07285714285685</c:v>
                </c:pt>
                <c:pt idx="61">
                  <c:v>120.82000000000001</c:v>
                </c:pt>
                <c:pt idx="62">
                  <c:v>121.1442857142857</c:v>
                </c:pt>
                <c:pt idx="63">
                  <c:v>123.98000000000002</c:v>
                </c:pt>
                <c:pt idx="64">
                  <c:v>124.24428571428572</c:v>
                </c:pt>
                <c:pt idx="65">
                  <c:v>123.58428571428574</c:v>
                </c:pt>
                <c:pt idx="66">
                  <c:v>118.47571428571429</c:v>
                </c:pt>
                <c:pt idx="67">
                  <c:v>125.93571428571444</c:v>
                </c:pt>
                <c:pt idx="68">
                  <c:v>146.32714285714343</c:v>
                </c:pt>
                <c:pt idx="69">
                  <c:v>183.07428571428542</c:v>
                </c:pt>
                <c:pt idx="70">
                  <c:v>197.97571428571428</c:v>
                </c:pt>
                <c:pt idx="71">
                  <c:v>281.89857142857028</c:v>
                </c:pt>
                <c:pt idx="72">
                  <c:v>400.03571428571399</c:v>
                </c:pt>
                <c:pt idx="73">
                  <c:v>680.04428571428548</c:v>
                </c:pt>
                <c:pt idx="74">
                  <c:v>979.44571428571282</c:v>
                </c:pt>
                <c:pt idx="75">
                  <c:v>945.74285714285713</c:v>
                </c:pt>
                <c:pt idx="76">
                  <c:v>898.88571428571299</c:v>
                </c:pt>
                <c:pt idx="77">
                  <c:v>638.09285714285704</c:v>
                </c:pt>
                <c:pt idx="78">
                  <c:v>716.51714285714309</c:v>
                </c:pt>
                <c:pt idx="79">
                  <c:v>817.1214285714284</c:v>
                </c:pt>
                <c:pt idx="80">
                  <c:v>881.66285714285709</c:v>
                </c:pt>
                <c:pt idx="81">
                  <c:v>854.64714285714308</c:v>
                </c:pt>
                <c:pt idx="82">
                  <c:v>861.53714285714284</c:v>
                </c:pt>
                <c:pt idx="83">
                  <c:v>841.07285714285752</c:v>
                </c:pt>
                <c:pt idx="84">
                  <c:v>765.11714285714311</c:v>
                </c:pt>
                <c:pt idx="85">
                  <c:v>644.09285714285704</c:v>
                </c:pt>
                <c:pt idx="86">
                  <c:v>598.71428571428567</c:v>
                </c:pt>
                <c:pt idx="87">
                  <c:v>557.39857142857295</c:v>
                </c:pt>
                <c:pt idx="88">
                  <c:v>645.6400000000001</c:v>
                </c:pt>
                <c:pt idx="89">
                  <c:v>630.77571428571434</c:v>
                </c:pt>
                <c:pt idx="90">
                  <c:v>589.5428571428572</c:v>
                </c:pt>
                <c:pt idx="91">
                  <c:v>526.18142857142857</c:v>
                </c:pt>
                <c:pt idx="92">
                  <c:v>456.60285714285732</c:v>
                </c:pt>
                <c:pt idx="93">
                  <c:v>421.91285714285698</c:v>
                </c:pt>
              </c:numCache>
            </c:numRef>
          </c:val>
        </c:ser>
        <c:marker val="1"/>
        <c:axId val="103088896"/>
        <c:axId val="103090432"/>
      </c:lineChart>
      <c:dateAx>
        <c:axId val="103088896"/>
        <c:scaling>
          <c:orientation val="minMax"/>
        </c:scaling>
        <c:axPos val="b"/>
        <c:numFmt formatCode="d/m/yyyy" sourceLinked="1"/>
        <c:majorTickMark val="none"/>
        <c:tickLblPos val="low"/>
        <c:crossAx val="103090432"/>
        <c:crosses val="autoZero"/>
        <c:auto val="1"/>
        <c:lblOffset val="100"/>
      </c:dateAx>
      <c:valAx>
        <c:axId val="103090432"/>
        <c:scaling>
          <c:orientation val="minMax"/>
        </c:scaling>
        <c:axPos val="l"/>
        <c:majorGridlines/>
        <c:numFmt formatCode="[$$-409]\ #,##0" sourceLinked="0"/>
        <c:majorTickMark val="none"/>
        <c:tickLblPos val="nextTo"/>
        <c:crossAx val="103088896"/>
        <c:crosses val="autoZero"/>
        <c:crossBetween val="between"/>
      </c:valAx>
    </c:plotArea>
    <c:legend>
      <c:legendPos val="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nl-NL"/>
  <c:chart>
    <c:plotArea>
      <c:layout>
        <c:manualLayout>
          <c:layoutTarget val="inner"/>
          <c:xMode val="edge"/>
          <c:yMode val="edge"/>
          <c:x val="0.10121443152939215"/>
          <c:y val="5.3853918924648005E-2"/>
          <c:w val="0.64489265230735093"/>
          <c:h val="0.82463044704611654"/>
        </c:manualLayout>
      </c:layout>
      <c:lineChart>
        <c:grouping val="standard"/>
        <c:ser>
          <c:idx val="0"/>
          <c:order val="0"/>
          <c:tx>
            <c:v>Bitcoin price in US Dollars</c:v>
          </c:tx>
          <c:marker>
            <c:symbol val="none"/>
          </c:marker>
          <c:cat>
            <c:numRef>
              <c:f>'Google Trends'!$E$45:$E$207</c:f>
              <c:numCache>
                <c:formatCode>d/m/yyyy</c:formatCode>
                <c:ptCount val="163"/>
                <c:pt idx="0">
                  <c:v>40658</c:v>
                </c:pt>
                <c:pt idx="1">
                  <c:v>40665</c:v>
                </c:pt>
                <c:pt idx="2">
                  <c:v>40672</c:v>
                </c:pt>
                <c:pt idx="3">
                  <c:v>40679</c:v>
                </c:pt>
                <c:pt idx="4">
                  <c:v>40686</c:v>
                </c:pt>
                <c:pt idx="5">
                  <c:v>40693</c:v>
                </c:pt>
                <c:pt idx="6">
                  <c:v>40700</c:v>
                </c:pt>
                <c:pt idx="7">
                  <c:v>40707</c:v>
                </c:pt>
                <c:pt idx="8">
                  <c:v>40714</c:v>
                </c:pt>
                <c:pt idx="9">
                  <c:v>40721</c:v>
                </c:pt>
                <c:pt idx="10">
                  <c:v>40728</c:v>
                </c:pt>
                <c:pt idx="11">
                  <c:v>40735</c:v>
                </c:pt>
                <c:pt idx="12">
                  <c:v>40742</c:v>
                </c:pt>
                <c:pt idx="13">
                  <c:v>40749</c:v>
                </c:pt>
                <c:pt idx="14">
                  <c:v>40756</c:v>
                </c:pt>
                <c:pt idx="15">
                  <c:v>40763</c:v>
                </c:pt>
                <c:pt idx="16">
                  <c:v>40770</c:v>
                </c:pt>
                <c:pt idx="17">
                  <c:v>40777</c:v>
                </c:pt>
                <c:pt idx="18">
                  <c:v>40784</c:v>
                </c:pt>
                <c:pt idx="19">
                  <c:v>40791</c:v>
                </c:pt>
                <c:pt idx="20">
                  <c:v>40798</c:v>
                </c:pt>
                <c:pt idx="21">
                  <c:v>40805</c:v>
                </c:pt>
                <c:pt idx="22">
                  <c:v>40812</c:v>
                </c:pt>
                <c:pt idx="23">
                  <c:v>40819</c:v>
                </c:pt>
                <c:pt idx="24">
                  <c:v>40826</c:v>
                </c:pt>
                <c:pt idx="25">
                  <c:v>40833</c:v>
                </c:pt>
                <c:pt idx="26">
                  <c:v>40840</c:v>
                </c:pt>
                <c:pt idx="27">
                  <c:v>40847</c:v>
                </c:pt>
                <c:pt idx="28">
                  <c:v>40854</c:v>
                </c:pt>
                <c:pt idx="29">
                  <c:v>40861</c:v>
                </c:pt>
                <c:pt idx="30">
                  <c:v>40868</c:v>
                </c:pt>
                <c:pt idx="31">
                  <c:v>40875</c:v>
                </c:pt>
                <c:pt idx="32">
                  <c:v>40882</c:v>
                </c:pt>
                <c:pt idx="33">
                  <c:v>40889</c:v>
                </c:pt>
                <c:pt idx="34">
                  <c:v>40896</c:v>
                </c:pt>
                <c:pt idx="35">
                  <c:v>40903</c:v>
                </c:pt>
                <c:pt idx="36">
                  <c:v>40910</c:v>
                </c:pt>
                <c:pt idx="37">
                  <c:v>40917</c:v>
                </c:pt>
                <c:pt idx="38">
                  <c:v>40924</c:v>
                </c:pt>
                <c:pt idx="39">
                  <c:v>40931</c:v>
                </c:pt>
                <c:pt idx="40">
                  <c:v>40938</c:v>
                </c:pt>
                <c:pt idx="41">
                  <c:v>40945</c:v>
                </c:pt>
                <c:pt idx="42">
                  <c:v>40952</c:v>
                </c:pt>
                <c:pt idx="43">
                  <c:v>40959</c:v>
                </c:pt>
                <c:pt idx="44">
                  <c:v>40966</c:v>
                </c:pt>
                <c:pt idx="45">
                  <c:v>40973</c:v>
                </c:pt>
                <c:pt idx="46">
                  <c:v>40980</c:v>
                </c:pt>
                <c:pt idx="47">
                  <c:v>40987</c:v>
                </c:pt>
                <c:pt idx="48">
                  <c:v>40994</c:v>
                </c:pt>
                <c:pt idx="49">
                  <c:v>41001</c:v>
                </c:pt>
                <c:pt idx="50">
                  <c:v>41008</c:v>
                </c:pt>
                <c:pt idx="51">
                  <c:v>41015</c:v>
                </c:pt>
                <c:pt idx="52">
                  <c:v>41022</c:v>
                </c:pt>
                <c:pt idx="53">
                  <c:v>41029</c:v>
                </c:pt>
                <c:pt idx="54">
                  <c:v>41036</c:v>
                </c:pt>
                <c:pt idx="55">
                  <c:v>41043</c:v>
                </c:pt>
                <c:pt idx="56">
                  <c:v>41050</c:v>
                </c:pt>
                <c:pt idx="57">
                  <c:v>41057</c:v>
                </c:pt>
                <c:pt idx="58">
                  <c:v>41064</c:v>
                </c:pt>
                <c:pt idx="59">
                  <c:v>41071</c:v>
                </c:pt>
                <c:pt idx="60">
                  <c:v>41078</c:v>
                </c:pt>
                <c:pt idx="61">
                  <c:v>41085</c:v>
                </c:pt>
                <c:pt idx="62">
                  <c:v>41092</c:v>
                </c:pt>
                <c:pt idx="63">
                  <c:v>41099</c:v>
                </c:pt>
                <c:pt idx="64">
                  <c:v>41106</c:v>
                </c:pt>
                <c:pt idx="65">
                  <c:v>41113</c:v>
                </c:pt>
                <c:pt idx="66">
                  <c:v>41120</c:v>
                </c:pt>
                <c:pt idx="67">
                  <c:v>41127</c:v>
                </c:pt>
                <c:pt idx="68">
                  <c:v>41134</c:v>
                </c:pt>
                <c:pt idx="69">
                  <c:v>41141</c:v>
                </c:pt>
                <c:pt idx="70">
                  <c:v>41148</c:v>
                </c:pt>
                <c:pt idx="71">
                  <c:v>41155</c:v>
                </c:pt>
                <c:pt idx="72">
                  <c:v>41162</c:v>
                </c:pt>
                <c:pt idx="73">
                  <c:v>41169</c:v>
                </c:pt>
                <c:pt idx="74">
                  <c:v>41176</c:v>
                </c:pt>
                <c:pt idx="75">
                  <c:v>41183</c:v>
                </c:pt>
                <c:pt idx="76">
                  <c:v>41190</c:v>
                </c:pt>
                <c:pt idx="77">
                  <c:v>41197</c:v>
                </c:pt>
                <c:pt idx="78">
                  <c:v>41204</c:v>
                </c:pt>
                <c:pt idx="79">
                  <c:v>41211</c:v>
                </c:pt>
                <c:pt idx="80">
                  <c:v>41218</c:v>
                </c:pt>
                <c:pt idx="81">
                  <c:v>41225</c:v>
                </c:pt>
                <c:pt idx="82">
                  <c:v>41232</c:v>
                </c:pt>
                <c:pt idx="83">
                  <c:v>41239</c:v>
                </c:pt>
                <c:pt idx="84">
                  <c:v>41246</c:v>
                </c:pt>
                <c:pt idx="85">
                  <c:v>41253</c:v>
                </c:pt>
                <c:pt idx="86">
                  <c:v>41260</c:v>
                </c:pt>
                <c:pt idx="87">
                  <c:v>41267</c:v>
                </c:pt>
                <c:pt idx="88">
                  <c:v>41274</c:v>
                </c:pt>
                <c:pt idx="89">
                  <c:v>41281</c:v>
                </c:pt>
                <c:pt idx="90">
                  <c:v>41288</c:v>
                </c:pt>
                <c:pt idx="91">
                  <c:v>41295</c:v>
                </c:pt>
                <c:pt idx="92">
                  <c:v>41302</c:v>
                </c:pt>
                <c:pt idx="93">
                  <c:v>41309</c:v>
                </c:pt>
                <c:pt idx="94">
                  <c:v>41316</c:v>
                </c:pt>
                <c:pt idx="95">
                  <c:v>41323</c:v>
                </c:pt>
                <c:pt idx="96">
                  <c:v>41330</c:v>
                </c:pt>
                <c:pt idx="97">
                  <c:v>41337</c:v>
                </c:pt>
                <c:pt idx="98">
                  <c:v>41344</c:v>
                </c:pt>
                <c:pt idx="99">
                  <c:v>41351</c:v>
                </c:pt>
                <c:pt idx="100">
                  <c:v>41358</c:v>
                </c:pt>
                <c:pt idx="101">
                  <c:v>41365</c:v>
                </c:pt>
                <c:pt idx="102">
                  <c:v>41372</c:v>
                </c:pt>
                <c:pt idx="103">
                  <c:v>41379</c:v>
                </c:pt>
                <c:pt idx="104">
                  <c:v>41386</c:v>
                </c:pt>
                <c:pt idx="105">
                  <c:v>41393</c:v>
                </c:pt>
                <c:pt idx="106">
                  <c:v>41400</c:v>
                </c:pt>
                <c:pt idx="107">
                  <c:v>41407</c:v>
                </c:pt>
                <c:pt idx="108">
                  <c:v>41414</c:v>
                </c:pt>
                <c:pt idx="109">
                  <c:v>41421</c:v>
                </c:pt>
                <c:pt idx="110">
                  <c:v>41428</c:v>
                </c:pt>
                <c:pt idx="111">
                  <c:v>41435</c:v>
                </c:pt>
                <c:pt idx="112">
                  <c:v>41442</c:v>
                </c:pt>
                <c:pt idx="113">
                  <c:v>41449</c:v>
                </c:pt>
                <c:pt idx="114">
                  <c:v>41456</c:v>
                </c:pt>
                <c:pt idx="115">
                  <c:v>41463</c:v>
                </c:pt>
                <c:pt idx="116">
                  <c:v>41470</c:v>
                </c:pt>
                <c:pt idx="117">
                  <c:v>41477</c:v>
                </c:pt>
                <c:pt idx="118">
                  <c:v>41484</c:v>
                </c:pt>
                <c:pt idx="119">
                  <c:v>41491</c:v>
                </c:pt>
                <c:pt idx="120">
                  <c:v>41498</c:v>
                </c:pt>
                <c:pt idx="121">
                  <c:v>41505</c:v>
                </c:pt>
                <c:pt idx="122">
                  <c:v>41512</c:v>
                </c:pt>
                <c:pt idx="123">
                  <c:v>41519</c:v>
                </c:pt>
                <c:pt idx="124">
                  <c:v>41526</c:v>
                </c:pt>
                <c:pt idx="125">
                  <c:v>41533</c:v>
                </c:pt>
                <c:pt idx="126">
                  <c:v>41540</c:v>
                </c:pt>
                <c:pt idx="127">
                  <c:v>41547</c:v>
                </c:pt>
                <c:pt idx="128">
                  <c:v>41554</c:v>
                </c:pt>
                <c:pt idx="129">
                  <c:v>41561</c:v>
                </c:pt>
                <c:pt idx="130">
                  <c:v>41568</c:v>
                </c:pt>
                <c:pt idx="131">
                  <c:v>41575</c:v>
                </c:pt>
                <c:pt idx="132">
                  <c:v>41582</c:v>
                </c:pt>
                <c:pt idx="133">
                  <c:v>41589</c:v>
                </c:pt>
                <c:pt idx="134">
                  <c:v>41596</c:v>
                </c:pt>
                <c:pt idx="135">
                  <c:v>41603</c:v>
                </c:pt>
                <c:pt idx="136">
                  <c:v>41610</c:v>
                </c:pt>
                <c:pt idx="137">
                  <c:v>41617</c:v>
                </c:pt>
                <c:pt idx="138">
                  <c:v>41624</c:v>
                </c:pt>
                <c:pt idx="139">
                  <c:v>41631</c:v>
                </c:pt>
                <c:pt idx="140">
                  <c:v>41638</c:v>
                </c:pt>
                <c:pt idx="141">
                  <c:v>41645</c:v>
                </c:pt>
                <c:pt idx="142">
                  <c:v>41652</c:v>
                </c:pt>
                <c:pt idx="143">
                  <c:v>41659</c:v>
                </c:pt>
                <c:pt idx="144">
                  <c:v>41666</c:v>
                </c:pt>
                <c:pt idx="145">
                  <c:v>41673</c:v>
                </c:pt>
                <c:pt idx="146">
                  <c:v>41680</c:v>
                </c:pt>
                <c:pt idx="147">
                  <c:v>41687</c:v>
                </c:pt>
                <c:pt idx="148">
                  <c:v>41694</c:v>
                </c:pt>
                <c:pt idx="149">
                  <c:v>41701</c:v>
                </c:pt>
                <c:pt idx="150">
                  <c:v>41708</c:v>
                </c:pt>
                <c:pt idx="151">
                  <c:v>41715</c:v>
                </c:pt>
                <c:pt idx="152">
                  <c:v>41722</c:v>
                </c:pt>
                <c:pt idx="153">
                  <c:v>41729</c:v>
                </c:pt>
                <c:pt idx="154">
                  <c:v>41736</c:v>
                </c:pt>
                <c:pt idx="155">
                  <c:v>41743</c:v>
                </c:pt>
                <c:pt idx="156">
                  <c:v>41750</c:v>
                </c:pt>
                <c:pt idx="157">
                  <c:v>41757</c:v>
                </c:pt>
                <c:pt idx="158">
                  <c:v>41764</c:v>
                </c:pt>
                <c:pt idx="159">
                  <c:v>41771</c:v>
                </c:pt>
                <c:pt idx="160">
                  <c:v>41778</c:v>
                </c:pt>
                <c:pt idx="161">
                  <c:v>41785</c:v>
                </c:pt>
                <c:pt idx="162">
                  <c:v>41792</c:v>
                </c:pt>
              </c:numCache>
            </c:numRef>
          </c:cat>
          <c:val>
            <c:numRef>
              <c:f>'Google Trends'!$F$45:$F$207</c:f>
              <c:numCache>
                <c:formatCode>0.00</c:formatCode>
                <c:ptCount val="163"/>
                <c:pt idx="0">
                  <c:v>2.4099999999999997</c:v>
                </c:pt>
                <c:pt idx="1">
                  <c:v>3.4728571428571433</c:v>
                </c:pt>
                <c:pt idx="2">
                  <c:v>6.2571428571428553</c:v>
                </c:pt>
                <c:pt idx="3">
                  <c:v>6.7571428571428545</c:v>
                </c:pt>
                <c:pt idx="4">
                  <c:v>8.142857142857137</c:v>
                </c:pt>
                <c:pt idx="5">
                  <c:v>12.512857142857143</c:v>
                </c:pt>
                <c:pt idx="6">
                  <c:v>22.591428571428573</c:v>
                </c:pt>
                <c:pt idx="7">
                  <c:v>17.955714285714276</c:v>
                </c:pt>
                <c:pt idx="8">
                  <c:v>17.35857142857143</c:v>
                </c:pt>
                <c:pt idx="9">
                  <c:v>16.125714285714277</c:v>
                </c:pt>
                <c:pt idx="10">
                  <c:v>14.274285714285714</c:v>
                </c:pt>
                <c:pt idx="11">
                  <c:v>13.835714285714291</c:v>
                </c:pt>
                <c:pt idx="12">
                  <c:v>13.712857142857143</c:v>
                </c:pt>
                <c:pt idx="13">
                  <c:v>13.677142857142856</c:v>
                </c:pt>
                <c:pt idx="14">
                  <c:v>9.9142857142857146</c:v>
                </c:pt>
                <c:pt idx="15">
                  <c:v>9.66</c:v>
                </c:pt>
                <c:pt idx="16">
                  <c:v>11.18571428571429</c:v>
                </c:pt>
                <c:pt idx="17">
                  <c:v>9.7399999999999984</c:v>
                </c:pt>
                <c:pt idx="18">
                  <c:v>8.4957142857142944</c:v>
                </c:pt>
                <c:pt idx="19">
                  <c:v>6.2642857142857098</c:v>
                </c:pt>
                <c:pt idx="20">
                  <c:v>5.3042857142857107</c:v>
                </c:pt>
                <c:pt idx="21">
                  <c:v>5.5657142857142858</c:v>
                </c:pt>
                <c:pt idx="22">
                  <c:v>4.9342857142857142</c:v>
                </c:pt>
                <c:pt idx="23">
                  <c:v>4.5657142857142858</c:v>
                </c:pt>
                <c:pt idx="24">
                  <c:v>3.9457142857142853</c:v>
                </c:pt>
                <c:pt idx="25">
                  <c:v>2.6428571428571432</c:v>
                </c:pt>
                <c:pt idx="26">
                  <c:v>3.0228571428571431</c:v>
                </c:pt>
                <c:pt idx="27">
                  <c:v>3.12</c:v>
                </c:pt>
                <c:pt idx="28">
                  <c:v>2.9914285714285707</c:v>
                </c:pt>
                <c:pt idx="29">
                  <c:v>2.2585714285714298</c:v>
                </c:pt>
                <c:pt idx="30">
                  <c:v>2.4057142857142857</c:v>
                </c:pt>
                <c:pt idx="31">
                  <c:v>2.8671428571428583</c:v>
                </c:pt>
                <c:pt idx="32">
                  <c:v>3.0214285714285718</c:v>
                </c:pt>
                <c:pt idx="33">
                  <c:v>3.1885714285714299</c:v>
                </c:pt>
                <c:pt idx="34">
                  <c:v>3.9085714285714301</c:v>
                </c:pt>
                <c:pt idx="35">
                  <c:v>4.3842857142857117</c:v>
                </c:pt>
                <c:pt idx="36">
                  <c:v>6.1771428571428544</c:v>
                </c:pt>
                <c:pt idx="37">
                  <c:v>6.6499999999999995</c:v>
                </c:pt>
                <c:pt idx="38">
                  <c:v>6.22</c:v>
                </c:pt>
                <c:pt idx="39">
                  <c:v>5.72</c:v>
                </c:pt>
                <c:pt idx="40">
                  <c:v>5.81</c:v>
                </c:pt>
                <c:pt idx="41">
                  <c:v>5.6557142857142848</c:v>
                </c:pt>
                <c:pt idx="42">
                  <c:v>4.4771428571428569</c:v>
                </c:pt>
                <c:pt idx="43">
                  <c:v>4.6828571428571415</c:v>
                </c:pt>
                <c:pt idx="44">
                  <c:v>4.8199999999999985</c:v>
                </c:pt>
                <c:pt idx="45">
                  <c:v>4.92</c:v>
                </c:pt>
                <c:pt idx="46">
                  <c:v>5.2442857142857111</c:v>
                </c:pt>
                <c:pt idx="47">
                  <c:v>4.7085714285714291</c:v>
                </c:pt>
                <c:pt idx="48">
                  <c:v>4.8042857142857098</c:v>
                </c:pt>
                <c:pt idx="49">
                  <c:v>4.8828571428571426</c:v>
                </c:pt>
                <c:pt idx="50">
                  <c:v>4.9185714285714299</c:v>
                </c:pt>
                <c:pt idx="51">
                  <c:v>5.1400000000000006</c:v>
                </c:pt>
                <c:pt idx="52">
                  <c:v>5.04</c:v>
                </c:pt>
                <c:pt idx="53">
                  <c:v>5.0499999999999989</c:v>
                </c:pt>
                <c:pt idx="54">
                  <c:v>4.9771428571428578</c:v>
                </c:pt>
                <c:pt idx="55">
                  <c:v>5.0771428571428556</c:v>
                </c:pt>
                <c:pt idx="56">
                  <c:v>5.1214285714285692</c:v>
                </c:pt>
                <c:pt idx="57">
                  <c:v>5.1899999999999995</c:v>
                </c:pt>
                <c:pt idx="58">
                  <c:v>5.4885714285714284</c:v>
                </c:pt>
                <c:pt idx="59">
                  <c:v>6.0299999999999985</c:v>
                </c:pt>
                <c:pt idx="60">
                  <c:v>6.4985714285714282</c:v>
                </c:pt>
                <c:pt idx="61">
                  <c:v>6.5642857142857096</c:v>
                </c:pt>
                <c:pt idx="62">
                  <c:v>6.6571428571428539</c:v>
                </c:pt>
                <c:pt idx="63">
                  <c:v>7.4228571428571417</c:v>
                </c:pt>
                <c:pt idx="64">
                  <c:v>8.7228571428571389</c:v>
                </c:pt>
                <c:pt idx="65">
                  <c:v>8.75</c:v>
                </c:pt>
                <c:pt idx="66">
                  <c:v>10.192857142857145</c:v>
                </c:pt>
                <c:pt idx="67">
                  <c:v>11.228571428571417</c:v>
                </c:pt>
                <c:pt idx="68">
                  <c:v>11.738571428571415</c:v>
                </c:pt>
                <c:pt idx="69">
                  <c:v>10.235714285714286</c:v>
                </c:pt>
                <c:pt idx="70">
                  <c:v>10.56</c:v>
                </c:pt>
                <c:pt idx="71">
                  <c:v>10.878571428571421</c:v>
                </c:pt>
                <c:pt idx="72">
                  <c:v>11.507142857142863</c:v>
                </c:pt>
                <c:pt idx="73">
                  <c:v>12.255714285714291</c:v>
                </c:pt>
                <c:pt idx="74">
                  <c:v>12.290000000000001</c:v>
                </c:pt>
                <c:pt idx="75">
                  <c:v>12.567142857142862</c:v>
                </c:pt>
                <c:pt idx="76">
                  <c:v>11.917142857142863</c:v>
                </c:pt>
                <c:pt idx="77">
                  <c:v>11.792857142857143</c:v>
                </c:pt>
                <c:pt idx="78">
                  <c:v>11</c:v>
                </c:pt>
                <c:pt idx="79">
                  <c:v>10.738571428571415</c:v>
                </c:pt>
                <c:pt idx="80">
                  <c:v>10.865714285714297</c:v>
                </c:pt>
                <c:pt idx="81">
                  <c:v>11.328571428571422</c:v>
                </c:pt>
                <c:pt idx="82">
                  <c:v>12.135714285714286</c:v>
                </c:pt>
                <c:pt idx="83">
                  <c:v>12.41</c:v>
                </c:pt>
                <c:pt idx="84">
                  <c:v>13.297142857142857</c:v>
                </c:pt>
                <c:pt idx="85">
                  <c:v>13.54</c:v>
                </c:pt>
                <c:pt idx="86">
                  <c:v>13.407142857142864</c:v>
                </c:pt>
                <c:pt idx="87">
                  <c:v>13.412857142857145</c:v>
                </c:pt>
                <c:pt idx="88">
                  <c:v>13.411428571428573</c:v>
                </c:pt>
                <c:pt idx="89">
                  <c:v>13.962857142857144</c:v>
                </c:pt>
                <c:pt idx="90">
                  <c:v>15.112857142857143</c:v>
                </c:pt>
                <c:pt idx="91">
                  <c:v>17.365714285714276</c:v>
                </c:pt>
                <c:pt idx="92">
                  <c:v>19.868571428571425</c:v>
                </c:pt>
                <c:pt idx="93">
                  <c:v>22.091428571428569</c:v>
                </c:pt>
                <c:pt idx="94">
                  <c:v>26.052857142857153</c:v>
                </c:pt>
                <c:pt idx="95">
                  <c:v>29.385714285714268</c:v>
                </c:pt>
                <c:pt idx="96">
                  <c:v>32.718571428571458</c:v>
                </c:pt>
                <c:pt idx="97">
                  <c:v>42.36142857142854</c:v>
                </c:pt>
                <c:pt idx="98">
                  <c:v>46.875714285714274</c:v>
                </c:pt>
                <c:pt idx="99">
                  <c:v>64.541428571428568</c:v>
                </c:pt>
                <c:pt idx="100">
                  <c:v>86.131428571428529</c:v>
                </c:pt>
                <c:pt idx="101">
                  <c:v>133.76428571428565</c:v>
                </c:pt>
                <c:pt idx="102">
                  <c:v>143.91428571428563</c:v>
                </c:pt>
                <c:pt idx="103">
                  <c:v>102.44714285714289</c:v>
                </c:pt>
                <c:pt idx="104">
                  <c:v>138.01714285714283</c:v>
                </c:pt>
                <c:pt idx="105">
                  <c:v>118.97714285714287</c:v>
                </c:pt>
                <c:pt idx="106">
                  <c:v>113.71571428571433</c:v>
                </c:pt>
                <c:pt idx="107">
                  <c:v>118.71714285714286</c:v>
                </c:pt>
                <c:pt idx="108">
                  <c:v>127.65714285714282</c:v>
                </c:pt>
                <c:pt idx="109">
                  <c:v>128.6342857142856</c:v>
                </c:pt>
                <c:pt idx="110">
                  <c:v>114.61999999999999</c:v>
                </c:pt>
                <c:pt idx="111">
                  <c:v>103.96857142857141</c:v>
                </c:pt>
                <c:pt idx="112">
                  <c:v>107.77714285714285</c:v>
                </c:pt>
                <c:pt idx="113">
                  <c:v>99.761428571428581</c:v>
                </c:pt>
                <c:pt idx="114">
                  <c:v>76.077142857142803</c:v>
                </c:pt>
                <c:pt idx="115">
                  <c:v>84.96142857142857</c:v>
                </c:pt>
                <c:pt idx="116">
                  <c:v>88.395714285714277</c:v>
                </c:pt>
                <c:pt idx="117">
                  <c:v>88.818571428571389</c:v>
                </c:pt>
                <c:pt idx="118">
                  <c:v>96.348571428571418</c:v>
                </c:pt>
                <c:pt idx="119">
                  <c:v>95.221428571428518</c:v>
                </c:pt>
                <c:pt idx="120">
                  <c:v>97.887142857142848</c:v>
                </c:pt>
                <c:pt idx="121">
                  <c:v>108.07285714285707</c:v>
                </c:pt>
                <c:pt idx="122">
                  <c:v>120.82000000000001</c:v>
                </c:pt>
                <c:pt idx="123">
                  <c:v>121.1442857142857</c:v>
                </c:pt>
                <c:pt idx="124">
                  <c:v>123.98000000000002</c:v>
                </c:pt>
                <c:pt idx="125">
                  <c:v>124.24428571428572</c:v>
                </c:pt>
                <c:pt idx="126">
                  <c:v>123.58428571428574</c:v>
                </c:pt>
                <c:pt idx="127">
                  <c:v>118.47571428571429</c:v>
                </c:pt>
                <c:pt idx="128">
                  <c:v>125.93571428571433</c:v>
                </c:pt>
                <c:pt idx="129">
                  <c:v>146.32714285714297</c:v>
                </c:pt>
                <c:pt idx="130">
                  <c:v>183.07428571428565</c:v>
                </c:pt>
                <c:pt idx="131">
                  <c:v>197.97571428571428</c:v>
                </c:pt>
                <c:pt idx="132">
                  <c:v>281.89857142857113</c:v>
                </c:pt>
                <c:pt idx="133">
                  <c:v>400.03571428571411</c:v>
                </c:pt>
                <c:pt idx="134">
                  <c:v>680.04428571428548</c:v>
                </c:pt>
                <c:pt idx="135">
                  <c:v>979.44571428571408</c:v>
                </c:pt>
                <c:pt idx="136">
                  <c:v>945.74285714285713</c:v>
                </c:pt>
                <c:pt idx="137">
                  <c:v>898.8857142857139</c:v>
                </c:pt>
                <c:pt idx="138">
                  <c:v>638.09285714285704</c:v>
                </c:pt>
                <c:pt idx="139">
                  <c:v>716.51714285714309</c:v>
                </c:pt>
                <c:pt idx="140">
                  <c:v>817.1214285714284</c:v>
                </c:pt>
                <c:pt idx="141">
                  <c:v>881.66285714285709</c:v>
                </c:pt>
                <c:pt idx="142">
                  <c:v>854.64714285714308</c:v>
                </c:pt>
                <c:pt idx="143">
                  <c:v>861.53714285714284</c:v>
                </c:pt>
                <c:pt idx="144">
                  <c:v>841.0728571428574</c:v>
                </c:pt>
                <c:pt idx="145">
                  <c:v>765.11714285714311</c:v>
                </c:pt>
                <c:pt idx="146">
                  <c:v>644.09285714285704</c:v>
                </c:pt>
                <c:pt idx="147">
                  <c:v>598.71428571428567</c:v>
                </c:pt>
                <c:pt idx="148">
                  <c:v>557.39857142857193</c:v>
                </c:pt>
                <c:pt idx="149">
                  <c:v>645.6400000000001</c:v>
                </c:pt>
                <c:pt idx="150">
                  <c:v>630.77571428571434</c:v>
                </c:pt>
                <c:pt idx="151">
                  <c:v>589.5428571428572</c:v>
                </c:pt>
                <c:pt idx="152">
                  <c:v>526.18142857142857</c:v>
                </c:pt>
                <c:pt idx="153">
                  <c:v>456.60285714285726</c:v>
                </c:pt>
                <c:pt idx="154">
                  <c:v>421.91285714285715</c:v>
                </c:pt>
                <c:pt idx="155">
                  <c:v>496.91571428571416</c:v>
                </c:pt>
                <c:pt idx="156">
                  <c:v>472.8728571428573</c:v>
                </c:pt>
                <c:pt idx="157">
                  <c:v>443.01285714285711</c:v>
                </c:pt>
                <c:pt idx="158">
                  <c:v>438.07</c:v>
                </c:pt>
                <c:pt idx="159">
                  <c:v>442.58428571428573</c:v>
                </c:pt>
                <c:pt idx="160">
                  <c:v>508.58857142857113</c:v>
                </c:pt>
                <c:pt idx="161">
                  <c:v>594.31000000000006</c:v>
                </c:pt>
                <c:pt idx="162">
                  <c:v>652.59571428571428</c:v>
                </c:pt>
              </c:numCache>
            </c:numRef>
          </c:val>
        </c:ser>
        <c:marker val="1"/>
        <c:axId val="103165312"/>
        <c:axId val="103216256"/>
      </c:lineChart>
      <c:lineChart>
        <c:grouping val="standard"/>
        <c:ser>
          <c:idx val="1"/>
          <c:order val="1"/>
          <c:tx>
            <c:v>Google Trends on Bitcoin</c:v>
          </c:tx>
          <c:marker>
            <c:symbol val="none"/>
          </c:marker>
          <c:cat>
            <c:numRef>
              <c:f>'Google Trends'!$E$45:$E$207</c:f>
              <c:numCache>
                <c:formatCode>d/m/yyyy</c:formatCode>
                <c:ptCount val="163"/>
                <c:pt idx="0">
                  <c:v>40658</c:v>
                </c:pt>
                <c:pt idx="1">
                  <c:v>40665</c:v>
                </c:pt>
                <c:pt idx="2">
                  <c:v>40672</c:v>
                </c:pt>
                <c:pt idx="3">
                  <c:v>40679</c:v>
                </c:pt>
                <c:pt idx="4">
                  <c:v>40686</c:v>
                </c:pt>
                <c:pt idx="5">
                  <c:v>40693</c:v>
                </c:pt>
                <c:pt idx="6">
                  <c:v>40700</c:v>
                </c:pt>
                <c:pt idx="7">
                  <c:v>40707</c:v>
                </c:pt>
                <c:pt idx="8">
                  <c:v>40714</c:v>
                </c:pt>
                <c:pt idx="9">
                  <c:v>40721</c:v>
                </c:pt>
                <c:pt idx="10">
                  <c:v>40728</c:v>
                </c:pt>
                <c:pt idx="11">
                  <c:v>40735</c:v>
                </c:pt>
                <c:pt idx="12">
                  <c:v>40742</c:v>
                </c:pt>
                <c:pt idx="13">
                  <c:v>40749</c:v>
                </c:pt>
                <c:pt idx="14">
                  <c:v>40756</c:v>
                </c:pt>
                <c:pt idx="15">
                  <c:v>40763</c:v>
                </c:pt>
                <c:pt idx="16">
                  <c:v>40770</c:v>
                </c:pt>
                <c:pt idx="17">
                  <c:v>40777</c:v>
                </c:pt>
                <c:pt idx="18">
                  <c:v>40784</c:v>
                </c:pt>
                <c:pt idx="19">
                  <c:v>40791</c:v>
                </c:pt>
                <c:pt idx="20">
                  <c:v>40798</c:v>
                </c:pt>
                <c:pt idx="21">
                  <c:v>40805</c:v>
                </c:pt>
                <c:pt idx="22">
                  <c:v>40812</c:v>
                </c:pt>
                <c:pt idx="23">
                  <c:v>40819</c:v>
                </c:pt>
                <c:pt idx="24">
                  <c:v>40826</c:v>
                </c:pt>
                <c:pt idx="25">
                  <c:v>40833</c:v>
                </c:pt>
                <c:pt idx="26">
                  <c:v>40840</c:v>
                </c:pt>
                <c:pt idx="27">
                  <c:v>40847</c:v>
                </c:pt>
                <c:pt idx="28">
                  <c:v>40854</c:v>
                </c:pt>
                <c:pt idx="29">
                  <c:v>40861</c:v>
                </c:pt>
                <c:pt idx="30">
                  <c:v>40868</c:v>
                </c:pt>
                <c:pt idx="31">
                  <c:v>40875</c:v>
                </c:pt>
                <c:pt idx="32">
                  <c:v>40882</c:v>
                </c:pt>
                <c:pt idx="33">
                  <c:v>40889</c:v>
                </c:pt>
                <c:pt idx="34">
                  <c:v>40896</c:v>
                </c:pt>
                <c:pt idx="35">
                  <c:v>40903</c:v>
                </c:pt>
                <c:pt idx="36">
                  <c:v>40910</c:v>
                </c:pt>
                <c:pt idx="37">
                  <c:v>40917</c:v>
                </c:pt>
                <c:pt idx="38">
                  <c:v>40924</c:v>
                </c:pt>
                <c:pt idx="39">
                  <c:v>40931</c:v>
                </c:pt>
                <c:pt idx="40">
                  <c:v>40938</c:v>
                </c:pt>
                <c:pt idx="41">
                  <c:v>40945</c:v>
                </c:pt>
                <c:pt idx="42">
                  <c:v>40952</c:v>
                </c:pt>
                <c:pt idx="43">
                  <c:v>40959</c:v>
                </c:pt>
                <c:pt idx="44">
                  <c:v>40966</c:v>
                </c:pt>
                <c:pt idx="45">
                  <c:v>40973</c:v>
                </c:pt>
                <c:pt idx="46">
                  <c:v>40980</c:v>
                </c:pt>
                <c:pt idx="47">
                  <c:v>40987</c:v>
                </c:pt>
                <c:pt idx="48">
                  <c:v>40994</c:v>
                </c:pt>
                <c:pt idx="49">
                  <c:v>41001</c:v>
                </c:pt>
                <c:pt idx="50">
                  <c:v>41008</c:v>
                </c:pt>
                <c:pt idx="51">
                  <c:v>41015</c:v>
                </c:pt>
                <c:pt idx="52">
                  <c:v>41022</c:v>
                </c:pt>
                <c:pt idx="53">
                  <c:v>41029</c:v>
                </c:pt>
                <c:pt idx="54">
                  <c:v>41036</c:v>
                </c:pt>
                <c:pt idx="55">
                  <c:v>41043</c:v>
                </c:pt>
                <c:pt idx="56">
                  <c:v>41050</c:v>
                </c:pt>
                <c:pt idx="57">
                  <c:v>41057</c:v>
                </c:pt>
                <c:pt idx="58">
                  <c:v>41064</c:v>
                </c:pt>
                <c:pt idx="59">
                  <c:v>41071</c:v>
                </c:pt>
                <c:pt idx="60">
                  <c:v>41078</c:v>
                </c:pt>
                <c:pt idx="61">
                  <c:v>41085</c:v>
                </c:pt>
                <c:pt idx="62">
                  <c:v>41092</c:v>
                </c:pt>
                <c:pt idx="63">
                  <c:v>41099</c:v>
                </c:pt>
                <c:pt idx="64">
                  <c:v>41106</c:v>
                </c:pt>
                <c:pt idx="65">
                  <c:v>41113</c:v>
                </c:pt>
                <c:pt idx="66">
                  <c:v>41120</c:v>
                </c:pt>
                <c:pt idx="67">
                  <c:v>41127</c:v>
                </c:pt>
                <c:pt idx="68">
                  <c:v>41134</c:v>
                </c:pt>
                <c:pt idx="69">
                  <c:v>41141</c:v>
                </c:pt>
                <c:pt idx="70">
                  <c:v>41148</c:v>
                </c:pt>
                <c:pt idx="71">
                  <c:v>41155</c:v>
                </c:pt>
                <c:pt idx="72">
                  <c:v>41162</c:v>
                </c:pt>
                <c:pt idx="73">
                  <c:v>41169</c:v>
                </c:pt>
                <c:pt idx="74">
                  <c:v>41176</c:v>
                </c:pt>
                <c:pt idx="75">
                  <c:v>41183</c:v>
                </c:pt>
                <c:pt idx="76">
                  <c:v>41190</c:v>
                </c:pt>
                <c:pt idx="77">
                  <c:v>41197</c:v>
                </c:pt>
                <c:pt idx="78">
                  <c:v>41204</c:v>
                </c:pt>
                <c:pt idx="79">
                  <c:v>41211</c:v>
                </c:pt>
                <c:pt idx="80">
                  <c:v>41218</c:v>
                </c:pt>
                <c:pt idx="81">
                  <c:v>41225</c:v>
                </c:pt>
                <c:pt idx="82">
                  <c:v>41232</c:v>
                </c:pt>
                <c:pt idx="83">
                  <c:v>41239</c:v>
                </c:pt>
                <c:pt idx="84">
                  <c:v>41246</c:v>
                </c:pt>
                <c:pt idx="85">
                  <c:v>41253</c:v>
                </c:pt>
                <c:pt idx="86">
                  <c:v>41260</c:v>
                </c:pt>
                <c:pt idx="87">
                  <c:v>41267</c:v>
                </c:pt>
                <c:pt idx="88">
                  <c:v>41274</c:v>
                </c:pt>
                <c:pt idx="89">
                  <c:v>41281</c:v>
                </c:pt>
                <c:pt idx="90">
                  <c:v>41288</c:v>
                </c:pt>
                <c:pt idx="91">
                  <c:v>41295</c:v>
                </c:pt>
                <c:pt idx="92">
                  <c:v>41302</c:v>
                </c:pt>
                <c:pt idx="93">
                  <c:v>41309</c:v>
                </c:pt>
                <c:pt idx="94">
                  <c:v>41316</c:v>
                </c:pt>
                <c:pt idx="95">
                  <c:v>41323</c:v>
                </c:pt>
                <c:pt idx="96">
                  <c:v>41330</c:v>
                </c:pt>
                <c:pt idx="97">
                  <c:v>41337</c:v>
                </c:pt>
                <c:pt idx="98">
                  <c:v>41344</c:v>
                </c:pt>
                <c:pt idx="99">
                  <c:v>41351</c:v>
                </c:pt>
                <c:pt idx="100">
                  <c:v>41358</c:v>
                </c:pt>
                <c:pt idx="101">
                  <c:v>41365</c:v>
                </c:pt>
                <c:pt idx="102">
                  <c:v>41372</c:v>
                </c:pt>
                <c:pt idx="103">
                  <c:v>41379</c:v>
                </c:pt>
                <c:pt idx="104">
                  <c:v>41386</c:v>
                </c:pt>
                <c:pt idx="105">
                  <c:v>41393</c:v>
                </c:pt>
                <c:pt idx="106">
                  <c:v>41400</c:v>
                </c:pt>
                <c:pt idx="107">
                  <c:v>41407</c:v>
                </c:pt>
                <c:pt idx="108">
                  <c:v>41414</c:v>
                </c:pt>
                <c:pt idx="109">
                  <c:v>41421</c:v>
                </c:pt>
                <c:pt idx="110">
                  <c:v>41428</c:v>
                </c:pt>
                <c:pt idx="111">
                  <c:v>41435</c:v>
                </c:pt>
                <c:pt idx="112">
                  <c:v>41442</c:v>
                </c:pt>
                <c:pt idx="113">
                  <c:v>41449</c:v>
                </c:pt>
                <c:pt idx="114">
                  <c:v>41456</c:v>
                </c:pt>
                <c:pt idx="115">
                  <c:v>41463</c:v>
                </c:pt>
                <c:pt idx="116">
                  <c:v>41470</c:v>
                </c:pt>
                <c:pt idx="117">
                  <c:v>41477</c:v>
                </c:pt>
                <c:pt idx="118">
                  <c:v>41484</c:v>
                </c:pt>
                <c:pt idx="119">
                  <c:v>41491</c:v>
                </c:pt>
                <c:pt idx="120">
                  <c:v>41498</c:v>
                </c:pt>
                <c:pt idx="121">
                  <c:v>41505</c:v>
                </c:pt>
                <c:pt idx="122">
                  <c:v>41512</c:v>
                </c:pt>
                <c:pt idx="123">
                  <c:v>41519</c:v>
                </c:pt>
                <c:pt idx="124">
                  <c:v>41526</c:v>
                </c:pt>
                <c:pt idx="125">
                  <c:v>41533</c:v>
                </c:pt>
                <c:pt idx="126">
                  <c:v>41540</c:v>
                </c:pt>
                <c:pt idx="127">
                  <c:v>41547</c:v>
                </c:pt>
                <c:pt idx="128">
                  <c:v>41554</c:v>
                </c:pt>
                <c:pt idx="129">
                  <c:v>41561</c:v>
                </c:pt>
                <c:pt idx="130">
                  <c:v>41568</c:v>
                </c:pt>
                <c:pt idx="131">
                  <c:v>41575</c:v>
                </c:pt>
                <c:pt idx="132">
                  <c:v>41582</c:v>
                </c:pt>
                <c:pt idx="133">
                  <c:v>41589</c:v>
                </c:pt>
                <c:pt idx="134">
                  <c:v>41596</c:v>
                </c:pt>
                <c:pt idx="135">
                  <c:v>41603</c:v>
                </c:pt>
                <c:pt idx="136">
                  <c:v>41610</c:v>
                </c:pt>
                <c:pt idx="137">
                  <c:v>41617</c:v>
                </c:pt>
                <c:pt idx="138">
                  <c:v>41624</c:v>
                </c:pt>
                <c:pt idx="139">
                  <c:v>41631</c:v>
                </c:pt>
                <c:pt idx="140">
                  <c:v>41638</c:v>
                </c:pt>
                <c:pt idx="141">
                  <c:v>41645</c:v>
                </c:pt>
                <c:pt idx="142">
                  <c:v>41652</c:v>
                </c:pt>
                <c:pt idx="143">
                  <c:v>41659</c:v>
                </c:pt>
                <c:pt idx="144">
                  <c:v>41666</c:v>
                </c:pt>
                <c:pt idx="145">
                  <c:v>41673</c:v>
                </c:pt>
                <c:pt idx="146">
                  <c:v>41680</c:v>
                </c:pt>
                <c:pt idx="147">
                  <c:v>41687</c:v>
                </c:pt>
                <c:pt idx="148">
                  <c:v>41694</c:v>
                </c:pt>
                <c:pt idx="149">
                  <c:v>41701</c:v>
                </c:pt>
                <c:pt idx="150">
                  <c:v>41708</c:v>
                </c:pt>
                <c:pt idx="151">
                  <c:v>41715</c:v>
                </c:pt>
                <c:pt idx="152">
                  <c:v>41722</c:v>
                </c:pt>
                <c:pt idx="153">
                  <c:v>41729</c:v>
                </c:pt>
                <c:pt idx="154">
                  <c:v>41736</c:v>
                </c:pt>
                <c:pt idx="155">
                  <c:v>41743</c:v>
                </c:pt>
                <c:pt idx="156">
                  <c:v>41750</c:v>
                </c:pt>
                <c:pt idx="157">
                  <c:v>41757</c:v>
                </c:pt>
                <c:pt idx="158">
                  <c:v>41764</c:v>
                </c:pt>
                <c:pt idx="159">
                  <c:v>41771</c:v>
                </c:pt>
                <c:pt idx="160">
                  <c:v>41778</c:v>
                </c:pt>
                <c:pt idx="161">
                  <c:v>41785</c:v>
                </c:pt>
                <c:pt idx="162">
                  <c:v>41792</c:v>
                </c:pt>
              </c:numCache>
            </c:numRef>
          </c:cat>
          <c:val>
            <c:numRef>
              <c:f>'Google Trends'!$G$45:$G$207</c:f>
              <c:numCache>
                <c:formatCode>General</c:formatCode>
                <c:ptCount val="163"/>
                <c:pt idx="0">
                  <c:v>1</c:v>
                </c:pt>
                <c:pt idx="1">
                  <c:v>1</c:v>
                </c:pt>
                <c:pt idx="2">
                  <c:v>2</c:v>
                </c:pt>
                <c:pt idx="3">
                  <c:v>7</c:v>
                </c:pt>
                <c:pt idx="4">
                  <c:v>6</c:v>
                </c:pt>
                <c:pt idx="5">
                  <c:v>10</c:v>
                </c:pt>
                <c:pt idx="6">
                  <c:v>13</c:v>
                </c:pt>
                <c:pt idx="7">
                  <c:v>16</c:v>
                </c:pt>
                <c:pt idx="8">
                  <c:v>13</c:v>
                </c:pt>
                <c:pt idx="9">
                  <c:v>8</c:v>
                </c:pt>
                <c:pt idx="10">
                  <c:v>7</c:v>
                </c:pt>
                <c:pt idx="11">
                  <c:v>6</c:v>
                </c:pt>
                <c:pt idx="12">
                  <c:v>6</c:v>
                </c:pt>
                <c:pt idx="13">
                  <c:v>5</c:v>
                </c:pt>
                <c:pt idx="14">
                  <c:v>6</c:v>
                </c:pt>
                <c:pt idx="15">
                  <c:v>5</c:v>
                </c:pt>
                <c:pt idx="16">
                  <c:v>5</c:v>
                </c:pt>
                <c:pt idx="17">
                  <c:v>5</c:v>
                </c:pt>
                <c:pt idx="18">
                  <c:v>4</c:v>
                </c:pt>
                <c:pt idx="19">
                  <c:v>4</c:v>
                </c:pt>
                <c:pt idx="20">
                  <c:v>4</c:v>
                </c:pt>
                <c:pt idx="21">
                  <c:v>3</c:v>
                </c:pt>
                <c:pt idx="22">
                  <c:v>3</c:v>
                </c:pt>
                <c:pt idx="23">
                  <c:v>3</c:v>
                </c:pt>
                <c:pt idx="24">
                  <c:v>3</c:v>
                </c:pt>
                <c:pt idx="25">
                  <c:v>3</c:v>
                </c:pt>
                <c:pt idx="26">
                  <c:v>2</c:v>
                </c:pt>
                <c:pt idx="27">
                  <c:v>2</c:v>
                </c:pt>
                <c:pt idx="28">
                  <c:v>2</c:v>
                </c:pt>
                <c:pt idx="29">
                  <c:v>2</c:v>
                </c:pt>
                <c:pt idx="30">
                  <c:v>2</c:v>
                </c:pt>
                <c:pt idx="31">
                  <c:v>2</c:v>
                </c:pt>
                <c:pt idx="32">
                  <c:v>2</c:v>
                </c:pt>
                <c:pt idx="33">
                  <c:v>2</c:v>
                </c:pt>
                <c:pt idx="34">
                  <c:v>2</c:v>
                </c:pt>
                <c:pt idx="35">
                  <c:v>2</c:v>
                </c:pt>
                <c:pt idx="36">
                  <c:v>2</c:v>
                </c:pt>
                <c:pt idx="37">
                  <c:v>2</c:v>
                </c:pt>
                <c:pt idx="38">
                  <c:v>4</c:v>
                </c:pt>
                <c:pt idx="39">
                  <c:v>3</c:v>
                </c:pt>
                <c:pt idx="40">
                  <c:v>3</c:v>
                </c:pt>
                <c:pt idx="41">
                  <c:v>2</c:v>
                </c:pt>
                <c:pt idx="42">
                  <c:v>2</c:v>
                </c:pt>
                <c:pt idx="43">
                  <c:v>2</c:v>
                </c:pt>
                <c:pt idx="44">
                  <c:v>2</c:v>
                </c:pt>
                <c:pt idx="45">
                  <c:v>2</c:v>
                </c:pt>
                <c:pt idx="46">
                  <c:v>2</c:v>
                </c:pt>
                <c:pt idx="47">
                  <c:v>2</c:v>
                </c:pt>
                <c:pt idx="48">
                  <c:v>2</c:v>
                </c:pt>
                <c:pt idx="49">
                  <c:v>2</c:v>
                </c:pt>
                <c:pt idx="50">
                  <c:v>2</c:v>
                </c:pt>
                <c:pt idx="51">
                  <c:v>2</c:v>
                </c:pt>
                <c:pt idx="52">
                  <c:v>3</c:v>
                </c:pt>
                <c:pt idx="53">
                  <c:v>2</c:v>
                </c:pt>
                <c:pt idx="54">
                  <c:v>3</c:v>
                </c:pt>
                <c:pt idx="55">
                  <c:v>2</c:v>
                </c:pt>
                <c:pt idx="56">
                  <c:v>2</c:v>
                </c:pt>
                <c:pt idx="57">
                  <c:v>2</c:v>
                </c:pt>
                <c:pt idx="58">
                  <c:v>2</c:v>
                </c:pt>
                <c:pt idx="59">
                  <c:v>2</c:v>
                </c:pt>
                <c:pt idx="60">
                  <c:v>2</c:v>
                </c:pt>
                <c:pt idx="61">
                  <c:v>2</c:v>
                </c:pt>
                <c:pt idx="62">
                  <c:v>2</c:v>
                </c:pt>
                <c:pt idx="63">
                  <c:v>3</c:v>
                </c:pt>
                <c:pt idx="64">
                  <c:v>3</c:v>
                </c:pt>
                <c:pt idx="65">
                  <c:v>2</c:v>
                </c:pt>
                <c:pt idx="66">
                  <c:v>3</c:v>
                </c:pt>
                <c:pt idx="67">
                  <c:v>3</c:v>
                </c:pt>
                <c:pt idx="68">
                  <c:v>3</c:v>
                </c:pt>
                <c:pt idx="69">
                  <c:v>4</c:v>
                </c:pt>
                <c:pt idx="70">
                  <c:v>3</c:v>
                </c:pt>
                <c:pt idx="71">
                  <c:v>5</c:v>
                </c:pt>
                <c:pt idx="72">
                  <c:v>3</c:v>
                </c:pt>
                <c:pt idx="73">
                  <c:v>3</c:v>
                </c:pt>
                <c:pt idx="74">
                  <c:v>3</c:v>
                </c:pt>
                <c:pt idx="75">
                  <c:v>3</c:v>
                </c:pt>
                <c:pt idx="76">
                  <c:v>3</c:v>
                </c:pt>
                <c:pt idx="77">
                  <c:v>3</c:v>
                </c:pt>
                <c:pt idx="78">
                  <c:v>3</c:v>
                </c:pt>
                <c:pt idx="79">
                  <c:v>2</c:v>
                </c:pt>
                <c:pt idx="80">
                  <c:v>2</c:v>
                </c:pt>
                <c:pt idx="81">
                  <c:v>3</c:v>
                </c:pt>
                <c:pt idx="82">
                  <c:v>3</c:v>
                </c:pt>
                <c:pt idx="83">
                  <c:v>4</c:v>
                </c:pt>
                <c:pt idx="84">
                  <c:v>4</c:v>
                </c:pt>
                <c:pt idx="85">
                  <c:v>4</c:v>
                </c:pt>
                <c:pt idx="86">
                  <c:v>3</c:v>
                </c:pt>
                <c:pt idx="87">
                  <c:v>3</c:v>
                </c:pt>
                <c:pt idx="88">
                  <c:v>3</c:v>
                </c:pt>
                <c:pt idx="89">
                  <c:v>4</c:v>
                </c:pt>
                <c:pt idx="90">
                  <c:v>4</c:v>
                </c:pt>
                <c:pt idx="91">
                  <c:v>4</c:v>
                </c:pt>
                <c:pt idx="92">
                  <c:v>5</c:v>
                </c:pt>
                <c:pt idx="93">
                  <c:v>5</c:v>
                </c:pt>
                <c:pt idx="94">
                  <c:v>5</c:v>
                </c:pt>
                <c:pt idx="95">
                  <c:v>6</c:v>
                </c:pt>
                <c:pt idx="96">
                  <c:v>7</c:v>
                </c:pt>
                <c:pt idx="97">
                  <c:v>8</c:v>
                </c:pt>
                <c:pt idx="98">
                  <c:v>9</c:v>
                </c:pt>
                <c:pt idx="99">
                  <c:v>15</c:v>
                </c:pt>
                <c:pt idx="100">
                  <c:v>22</c:v>
                </c:pt>
                <c:pt idx="101">
                  <c:v>37</c:v>
                </c:pt>
                <c:pt idx="102">
                  <c:v>71</c:v>
                </c:pt>
                <c:pt idx="103">
                  <c:v>37</c:v>
                </c:pt>
                <c:pt idx="104">
                  <c:v>23</c:v>
                </c:pt>
                <c:pt idx="105">
                  <c:v>21</c:v>
                </c:pt>
                <c:pt idx="106">
                  <c:v>17</c:v>
                </c:pt>
                <c:pt idx="107">
                  <c:v>16</c:v>
                </c:pt>
                <c:pt idx="108">
                  <c:v>14</c:v>
                </c:pt>
                <c:pt idx="109">
                  <c:v>14</c:v>
                </c:pt>
                <c:pt idx="110">
                  <c:v>11</c:v>
                </c:pt>
                <c:pt idx="111">
                  <c:v>12</c:v>
                </c:pt>
                <c:pt idx="112">
                  <c:v>10</c:v>
                </c:pt>
                <c:pt idx="113">
                  <c:v>10</c:v>
                </c:pt>
                <c:pt idx="114">
                  <c:v>14</c:v>
                </c:pt>
                <c:pt idx="115">
                  <c:v>10</c:v>
                </c:pt>
                <c:pt idx="116">
                  <c:v>9</c:v>
                </c:pt>
                <c:pt idx="117">
                  <c:v>9</c:v>
                </c:pt>
                <c:pt idx="118">
                  <c:v>10</c:v>
                </c:pt>
                <c:pt idx="119">
                  <c:v>10</c:v>
                </c:pt>
                <c:pt idx="120">
                  <c:v>12</c:v>
                </c:pt>
                <c:pt idx="121">
                  <c:v>12</c:v>
                </c:pt>
                <c:pt idx="122">
                  <c:v>11</c:v>
                </c:pt>
                <c:pt idx="123">
                  <c:v>9</c:v>
                </c:pt>
                <c:pt idx="124">
                  <c:v>9</c:v>
                </c:pt>
                <c:pt idx="125">
                  <c:v>9</c:v>
                </c:pt>
                <c:pt idx="126">
                  <c:v>9</c:v>
                </c:pt>
                <c:pt idx="127">
                  <c:v>16</c:v>
                </c:pt>
                <c:pt idx="128">
                  <c:v>12</c:v>
                </c:pt>
                <c:pt idx="129">
                  <c:v>11</c:v>
                </c:pt>
                <c:pt idx="130">
                  <c:v>13</c:v>
                </c:pt>
                <c:pt idx="131">
                  <c:v>33</c:v>
                </c:pt>
                <c:pt idx="132">
                  <c:v>30</c:v>
                </c:pt>
                <c:pt idx="133">
                  <c:v>34</c:v>
                </c:pt>
                <c:pt idx="134">
                  <c:v>78</c:v>
                </c:pt>
                <c:pt idx="135">
                  <c:v>100</c:v>
                </c:pt>
                <c:pt idx="136">
                  <c:v>94</c:v>
                </c:pt>
                <c:pt idx="137">
                  <c:v>65</c:v>
                </c:pt>
                <c:pt idx="138">
                  <c:v>67</c:v>
                </c:pt>
                <c:pt idx="139">
                  <c:v>43</c:v>
                </c:pt>
                <c:pt idx="140">
                  <c:v>36</c:v>
                </c:pt>
                <c:pt idx="141">
                  <c:v>44</c:v>
                </c:pt>
                <c:pt idx="142">
                  <c:v>40</c:v>
                </c:pt>
                <c:pt idx="143">
                  <c:v>42</c:v>
                </c:pt>
                <c:pt idx="144">
                  <c:v>41</c:v>
                </c:pt>
                <c:pt idx="145">
                  <c:v>36</c:v>
                </c:pt>
                <c:pt idx="146">
                  <c:v>44</c:v>
                </c:pt>
                <c:pt idx="147">
                  <c:v>37</c:v>
                </c:pt>
                <c:pt idx="148">
                  <c:v>68</c:v>
                </c:pt>
                <c:pt idx="149">
                  <c:v>54</c:v>
                </c:pt>
                <c:pt idx="150">
                  <c:v>30</c:v>
                </c:pt>
                <c:pt idx="151">
                  <c:v>26</c:v>
                </c:pt>
                <c:pt idx="152">
                  <c:v>26</c:v>
                </c:pt>
                <c:pt idx="153">
                  <c:v>22</c:v>
                </c:pt>
                <c:pt idx="154">
                  <c:v>21</c:v>
                </c:pt>
                <c:pt idx="155">
                  <c:v>20</c:v>
                </c:pt>
                <c:pt idx="156">
                  <c:v>17</c:v>
                </c:pt>
                <c:pt idx="157">
                  <c:v>16</c:v>
                </c:pt>
                <c:pt idx="158">
                  <c:v>16</c:v>
                </c:pt>
                <c:pt idx="159">
                  <c:v>15</c:v>
                </c:pt>
                <c:pt idx="160">
                  <c:v>16</c:v>
                </c:pt>
                <c:pt idx="161">
                  <c:v>18</c:v>
                </c:pt>
                <c:pt idx="162">
                  <c:v>17</c:v>
                </c:pt>
              </c:numCache>
            </c:numRef>
          </c:val>
        </c:ser>
        <c:marker val="1"/>
        <c:axId val="103223680"/>
        <c:axId val="103217792"/>
      </c:lineChart>
      <c:dateAx>
        <c:axId val="103165312"/>
        <c:scaling>
          <c:orientation val="minMax"/>
        </c:scaling>
        <c:axPos val="b"/>
        <c:numFmt formatCode="d/m/yyyy" sourceLinked="1"/>
        <c:tickLblPos val="nextTo"/>
        <c:crossAx val="103216256"/>
        <c:crosses val="autoZero"/>
        <c:auto val="1"/>
        <c:lblOffset val="100"/>
      </c:dateAx>
      <c:valAx>
        <c:axId val="103216256"/>
        <c:scaling>
          <c:orientation val="minMax"/>
          <c:max val="1000"/>
        </c:scaling>
        <c:axPos val="l"/>
        <c:majorGridlines/>
        <c:numFmt formatCode="[$$-409]\ #,##0" sourceLinked="0"/>
        <c:tickLblPos val="nextTo"/>
        <c:crossAx val="103165312"/>
        <c:crosses val="autoZero"/>
        <c:crossBetween val="between"/>
      </c:valAx>
      <c:valAx>
        <c:axId val="103217792"/>
        <c:scaling>
          <c:orientation val="minMax"/>
          <c:max val="105"/>
        </c:scaling>
        <c:axPos val="r"/>
        <c:numFmt formatCode="#,##0" sourceLinked="0"/>
        <c:tickLblPos val="nextTo"/>
        <c:crossAx val="103223680"/>
        <c:crosses val="max"/>
        <c:crossBetween val="between"/>
      </c:valAx>
      <c:dateAx>
        <c:axId val="103223680"/>
        <c:scaling>
          <c:orientation val="minMax"/>
        </c:scaling>
        <c:delete val="1"/>
        <c:axPos val="b"/>
        <c:numFmt formatCode="d/m/yyyy" sourceLinked="1"/>
        <c:tickLblPos val="none"/>
        <c:crossAx val="103217792"/>
        <c:crosses val="autoZero"/>
        <c:auto val="1"/>
        <c:lblOffset val="100"/>
      </c:dateAx>
    </c:plotArea>
    <c:legend>
      <c:legendPos val="r"/>
      <c:layout>
        <c:manualLayout>
          <c:xMode val="edge"/>
          <c:yMode val="edge"/>
          <c:x val="0.81662257495590829"/>
          <c:y val="0.324975909306704"/>
          <c:w val="0.17676366843033522"/>
          <c:h val="0.4373586593390732"/>
        </c:manualLayout>
      </c:layout>
    </c:legend>
    <c:plotVisOnly val="1"/>
  </c:chart>
  <c:spPr>
    <a:ln>
      <a:noFill/>
    </a:ln>
  </c:sp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2BA8D2621F4418EB0E7C056E5FE7237"/>
        <w:category>
          <w:name w:val="General"/>
          <w:gallery w:val="placeholder"/>
        </w:category>
        <w:types>
          <w:type w:val="bbPlcHdr"/>
        </w:types>
        <w:behaviors>
          <w:behavior w:val="content"/>
        </w:behaviors>
        <w:guid w:val="{1930B170-086B-4631-85E3-CA85278E25CE}"/>
      </w:docPartPr>
      <w:docPartBody>
        <w:p w:rsidR="00D91C97" w:rsidRDefault="00D91C97" w:rsidP="00D91C97">
          <w:pPr>
            <w:pStyle w:val="C2BA8D2621F4418EB0E7C056E5FE7237"/>
          </w:pPr>
          <w:r>
            <w:rPr>
              <w:rFonts w:asciiTheme="majorHAnsi" w:eastAsiaTheme="majorEastAsia" w:hAnsiTheme="majorHAnsi" w:cstheme="majorBidi"/>
              <w:caps/>
            </w:rPr>
            <w:t>[Type the company name]</w:t>
          </w:r>
        </w:p>
      </w:docPartBody>
    </w:docPart>
    <w:docPart>
      <w:docPartPr>
        <w:name w:val="004FD1ADA8A344E6A869B8182F2F79D7"/>
        <w:category>
          <w:name w:val="General"/>
          <w:gallery w:val="placeholder"/>
        </w:category>
        <w:types>
          <w:type w:val="bbPlcHdr"/>
        </w:types>
        <w:behaviors>
          <w:behavior w:val="content"/>
        </w:behaviors>
        <w:guid w:val="{96B4DFBC-7405-4D2D-9817-4D34794D40B7}"/>
      </w:docPartPr>
      <w:docPartBody>
        <w:p w:rsidR="00D91C97" w:rsidRDefault="00D91C97" w:rsidP="00D91C97">
          <w:pPr>
            <w:pStyle w:val="004FD1ADA8A344E6A869B8182F2F79D7"/>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91C97"/>
    <w:rsid w:val="002155BA"/>
    <w:rsid w:val="00B17332"/>
    <w:rsid w:val="00C60974"/>
    <w:rsid w:val="00D264A7"/>
    <w:rsid w:val="00D91C97"/>
    <w:rsid w:val="00F5126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4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BA8D2621F4418EB0E7C056E5FE7237">
    <w:name w:val="C2BA8D2621F4418EB0E7C056E5FE7237"/>
    <w:rsid w:val="00D91C97"/>
  </w:style>
  <w:style w:type="paragraph" w:customStyle="1" w:styleId="004FD1ADA8A344E6A869B8182F2F79D7">
    <w:name w:val="004FD1ADA8A344E6A869B8182F2F79D7"/>
    <w:rsid w:val="00D91C97"/>
  </w:style>
  <w:style w:type="paragraph" w:customStyle="1" w:styleId="1071206056C64EAF995390FCA4C54C44">
    <w:name w:val="1071206056C64EAF995390FCA4C54C44"/>
    <w:rsid w:val="00D91C97"/>
  </w:style>
  <w:style w:type="paragraph" w:customStyle="1" w:styleId="6F9EF59611274E34B3AB731B371A6D11">
    <w:name w:val="6F9EF59611274E34B3AB731B371A6D11"/>
    <w:rsid w:val="00D91C97"/>
  </w:style>
  <w:style w:type="paragraph" w:customStyle="1" w:styleId="CE84B96E318C487BA1CA763A77471611">
    <w:name w:val="CE84B96E318C487BA1CA763A77471611"/>
    <w:rsid w:val="00D91C97"/>
  </w:style>
  <w:style w:type="paragraph" w:customStyle="1" w:styleId="EE8550EDDF934861967C2939770293D1">
    <w:name w:val="EE8550EDDF934861967C2939770293D1"/>
    <w:rsid w:val="00D91C97"/>
  </w:style>
  <w:style w:type="paragraph" w:customStyle="1" w:styleId="C39EF6B5AC63413D86EDDA991FC709B1">
    <w:name w:val="C39EF6B5AC63413D86EDDA991FC709B1"/>
    <w:rsid w:val="00C60974"/>
  </w:style>
  <w:style w:type="paragraph" w:customStyle="1" w:styleId="15A36ACCA9134613B3DE496ADA43BB47">
    <w:name w:val="15A36ACCA9134613B3DE496ADA43BB47"/>
    <w:rsid w:val="00C60974"/>
  </w:style>
  <w:style w:type="paragraph" w:customStyle="1" w:styleId="E20521B2A1D6402089703A4A9F9C4048">
    <w:name w:val="E20521B2A1D6402089703A4A9F9C4048"/>
    <w:rsid w:val="00C60974"/>
  </w:style>
  <w:style w:type="character" w:styleId="PlaceholderText">
    <w:name w:val="Placeholder Text"/>
    <w:basedOn w:val="DefaultParagraphFont"/>
    <w:uiPriority w:val="99"/>
    <w:semiHidden/>
    <w:rsid w:val="00B17332"/>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2014-07-05T00:00:00</PublishDate>
  <Abstract>The purpose of this paper is to modify the Dornbusch model to make it a suitable tool for analyzing the behavior of the Bitcoin and to attempt to outperform a random walk model in forecasting the Bitcoin/US Dollar exchange rate on the basis of the Root Mean Squared Error and the Theil Inequality Coefficient. It is found  that the Dornbusch model in itself is unable to outperform the random walk model in forecasting the Bitcoin/US Dollar exchange rate on the basis of the Root Mean Squared Error and the Theil Inequality Coefficient. However, when the Dornbusch model and the random walk model are combined, the best forecasting performance is obtained. Thus, the Dornbusch model does contain meaningful information which helps to improve the random walk model's forecasting performance.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Sat08</b:Tag>
    <b:SourceType>JournalArticle</b:SourceType>
    <b:Guid>{BBD9FA19-4E4D-4C36-BA3B-EA83BE74FF88}</b:Guid>
    <b:LCID>1033</b:LCID>
    <b:Author>
      <b:Author>
        <b:NameList>
          <b:Person>
            <b:Last>Nakamoto</b:Last>
            <b:First>Satoshi</b:First>
          </b:Person>
        </b:NameList>
      </b:Author>
    </b:Author>
    <b:Title>Bitcoin: A Peer-to-Peer Electronic Cash System</b:Title>
    <b:Year>2008</b:Year>
    <b:RefOrder>7</b:RefOrder>
  </b:Source>
  <b:Source>
    <b:Tag>Eur121</b:Tag>
    <b:SourceType>JournalArticle</b:SourceType>
    <b:Guid>{399FCD77-2C82-419E-A859-978F72C8BBCA}</b:Guid>
    <b:LCID>1033</b:LCID>
    <b:Author>
      <b:Author>
        <b:Corporate>European Central Bank</b:Corporate>
      </b:Author>
    </b:Author>
    <b:Title>Virtual Currency Schemes</b:Title>
    <b:Year>2012</b:Year>
    <b:JournalName>Eurosystem</b:JournalName>
    <b:RefOrder>8</b:RefOrder>
  </b:Source>
  <b:Source>
    <b:Tag>Lut01</b:Tag>
    <b:SourceType>JournalArticle</b:SourceType>
    <b:Guid>{C2972516-CBFD-4791-8450-5D7CC00033A5}</b:Guid>
    <b:LCID>1033</b:LCID>
    <b:Author>
      <b:Author>
        <b:NameList>
          <b:Person>
            <b:Last>Lutz Kilian</b:Last>
            <b:First>Mark</b:First>
            <b:Middle>P. Taylor</b:Middle>
          </b:Person>
        </b:NameList>
      </b:Author>
    </b:Author>
    <b:Title>Why is it so difficult to beat the Random Walk Forecast of Exchange Rates?</b:Title>
    <b:JournalName>Tinbergen Institute Discussion Paper</b:JournalName>
    <b:Year>2001</b:Year>
    <b:RefOrder>12</b:RefOrder>
  </b:Source>
  <b:Source>
    <b:Tag>Coi14</b:Tag>
    <b:SourceType>InternetSite</b:SourceType>
    <b:Guid>{03742FE6-C88E-4CC9-A1F4-6D8C03AF17FD}</b:Guid>
    <b:LCID>1033</b:LCID>
    <b:Author>
      <b:Author>
        <b:Corporate>CoinDesk</b:Corporate>
      </b:Author>
    </b:Author>
    <b:Title>About the Bitcoin Price Index</b:Title>
    <b:Year>2014</b:Year>
    <b:InternetSiteTitle>CoinDesk - The Voice of Digital Currency</b:InternetSiteTitle>
    <b:YearAccessed>2041</b:YearAccessed>
    <b:MonthAccessed>June</b:MonthAccessed>
    <b:DayAccessed>6</b:DayAccessed>
    <b:URL>http://www.coindesk.com/price/bitcoin-price-index/</b:URL>
    <b:RefOrder>5</b:RefOrder>
  </b:Source>
  <b:Source>
    <b:Tag>Bit141</b:Tag>
    <b:SourceType>InternetSite</b:SourceType>
    <b:Guid>{31F0B4DA-5E86-45EF-A2F9-B8F84DFD8B73}</b:Guid>
    <b:LCID>1033</b:LCID>
    <b:Author>
      <b:Author>
        <b:Corporate>Bitcoin.it</b:Corporate>
      </b:Author>
    </b:Author>
    <b:Title>Controlled Supply</b:Title>
    <b:Year>2014</b:Year>
    <b:InternetSiteTitle>Bitcoin wiki</b:InternetSiteTitle>
    <b:Month>March</b:Month>
    <b:Day>3</b:Day>
    <b:YearAccessed>2014</b:YearAccessed>
    <b:MonthAccessed>June</b:MonthAccessed>
    <b:DayAccessed>28</b:DayAccessed>
    <b:URL>https://en.bitcoin.it/wiki/Controlled_supply</b:URL>
    <b:RefOrder>19</b:RefOrder>
  </b:Source>
  <b:Source>
    <b:Tag>Blo14</b:Tag>
    <b:SourceType>InternetSite</b:SourceType>
    <b:Guid>{6D5E1C43-63FC-4F5D-9590-AAFFA604C4B1}</b:Guid>
    <b:LCID>1033</b:LCID>
    <b:Author>
      <b:Author>
        <b:Corporate>Blockchain.info</b:Corporate>
      </b:Author>
    </b:Author>
    <b:Title>Total Bitcoins In Circulation</b:Title>
    <b:InternetSiteTitle>Blockchain.info</b:InternetSiteTitle>
    <b:Year>2014</b:Year>
    <b:Month>June</b:Month>
    <b:Day>28</b:Day>
    <b:YearAccessed>2014</b:YearAccessed>
    <b:MonthAccessed>June</b:MonthAccessed>
    <b:DayAccessed>28</b:DayAccessed>
    <b:URL>http://blockchain.info/en/charts/total-bitcoins?timespan=all&amp;showDataPoints=false&amp;daysAverageString=1&amp;show_header=true&amp;scale=0&amp;address=</b:URL>
    <b:RefOrder>22</b:RefOrder>
  </b:Source>
  <b:Source>
    <b:Tag>Boa14</b:Tag>
    <b:SourceType>InternetSite</b:SourceType>
    <b:Guid>{E7100B3F-F507-4B6A-AE92-9551C44B957C}</b:Guid>
    <b:LCID>1033</b:LCID>
    <b:Author>
      <b:Author>
        <b:Corporate>Board of Governors of the Federal Reserve System</b:Corporate>
      </b:Author>
    </b:Author>
    <b:Title>Money Stock Measures - H.6</b:Title>
    <b:InternetSiteTitle>Board of Governors of the Federal Reserve System</b:InternetSiteTitle>
    <b:Year>2014</b:Year>
    <b:Month>June</b:Month>
    <b:YearAccessed>2014</b:YearAccessed>
    <b:MonthAccessed>June</b:MonthAccessed>
    <b:DayAccessed>28</b:DayAccessed>
    <b:URL>http://www.federalreserve.gov/releases/h6/current/default.htm</b:URL>
    <b:RefOrder>23</b:RefOrder>
  </b:Source>
  <b:Source>
    <b:Tag>Uni14</b:Tag>
    <b:SourceType>InternetSite</b:SourceType>
    <b:Guid>{5B35F436-6435-4763-829A-82F529F0ECB4}</b:Guid>
    <b:LCID>1033</b:LCID>
    <b:Author>
      <b:Author>
        <b:Corporate>United States Department of Labor</b:Corporate>
      </b:Author>
    </b:Author>
    <b:Title>Consumer Price Index</b:Title>
    <b:InternetSiteTitle>Bureau of Labor Statistics</b:InternetSiteTitle>
    <b:Year>2014</b:Year>
    <b:Month>June</b:Month>
    <b:YearAccessed>2014</b:YearAccessed>
    <b:MonthAccessed>June</b:MonthAccessed>
    <b:DayAccessed>28</b:DayAccessed>
    <b:URL>http://www.bls.gov/cpi/</b:URL>
    <b:RefOrder>24</b:RefOrder>
  </b:Source>
  <b:Source>
    <b:Tag>OEC14</b:Tag>
    <b:SourceType>InternetSite</b:SourceType>
    <b:Guid>{73E55D42-C0E9-414E-80A4-737CB34CC86D}</b:Guid>
    <b:LCID>1033</b:LCID>
    <b:Author>
      <b:Author>
        <b:Corporate>OECD.StatExtracts</b:Corporate>
      </b:Author>
    </b:Author>
    <b:Title>Population</b:Title>
    <b:InternetSiteTitle>OECD.StatExtracts</b:InternetSiteTitle>
    <b:Year>2014</b:Year>
    <b:Month>June</b:Month>
    <b:YearAccessed>2014</b:YearAccessed>
    <b:MonthAccessed>June</b:MonthAccessed>
    <b:DayAccessed>28</b:DayAccessed>
    <b:URL>http://stats.oecd.org/index.aspx?queryid=26665#</b:URL>
    <b:RefOrder>25</b:RefOrder>
  </b:Source>
  <b:Source>
    <b:Tag>OEC141</b:Tag>
    <b:SourceType>InternetSite</b:SourceType>
    <b:Guid>{0C8C5D82-4DB0-4E2E-9345-D5A7C6AD2D91}</b:Guid>
    <b:LCID>1033</b:LCID>
    <b:Author>
      <b:Author>
        <b:Corporate>OECD.StatExtracts</b:Corporate>
      </b:Author>
    </b:Author>
    <b:Title>Gross domestic product (GDP)</b:Title>
    <b:InternetSiteTitle>OECD.StatExtracts</b:InternetSiteTitle>
    <b:Year>2014</b:Year>
    <b:Month>June</b:Month>
    <b:YearAccessed>2014</b:YearAccessed>
    <b:MonthAccessed>June</b:MonthAccessed>
    <b:DayAccessed>28</b:DayAccessed>
    <b:URL>http://stats.oecd.org/index.aspx?queryid=26665#</b:URL>
    <b:RefOrder>26</b:RefOrder>
  </b:Source>
  <b:Source>
    <b:Tag>OEC142</b:Tag>
    <b:SourceType>InternetSite</b:SourceType>
    <b:Guid>{72EB6D96-9B18-4BE4-879D-C0E4089FBFD7}</b:Guid>
    <b:LCID>1033</b:LCID>
    <b:Author>
      <b:Author>
        <b:Corporate>OECD.StatExtracts</b:Corporate>
      </b:Author>
    </b:Author>
    <b:Title>Monthly Monetary and Financial Statistics: Short-term interest rates</b:Title>
    <b:InternetSiteTitle>OECD.StatExtracts</b:InternetSiteTitle>
    <b:Year>2014</b:Year>
    <b:Month>June</b:Month>
    <b:YearAccessed>2014</b:YearAccessed>
    <b:MonthAccessed>June</b:MonthAccessed>
    <b:DayAccessed>28</b:DayAccessed>
    <b:URL>http://stats.oecd.org/index.aspx?queryid=26665#</b:URL>
    <b:RefOrder>27</b:RefOrder>
  </b:Source>
  <b:Source>
    <b:Tag>Boa141</b:Tag>
    <b:SourceType>InternetSite</b:SourceType>
    <b:Guid>{5F1ED612-90A2-433B-B767-301DFAD36D1A}</b:Guid>
    <b:LCID>1033</b:LCID>
    <b:Author>
      <b:Author>
        <b:Corporate>Board of Governors of the Federal Reserve System</b:Corporate>
      </b:Author>
    </b:Author>
    <b:Title>Selected Interest Rates (Weekly) - H.15</b:Title>
    <b:InternetSiteTitle>Board of Governors of the Federal Reserve System</b:InternetSiteTitle>
    <b:Year>2014</b:Year>
    <b:Month>June</b:Month>
    <b:YearAccessed>2014</b:YearAccessed>
    <b:MonthAccessed>June</b:MonthAccessed>
    <b:DayAccessed>28</b:DayAccessed>
    <b:URL>http://www.federalreserve.gov/releases/h15/current/</b:URL>
    <b:RefOrder>28</b:RefOrder>
  </b:Source>
  <b:Source>
    <b:Tag>Lud12</b:Tag>
    <b:SourceType>Book</b:SourceType>
    <b:Guid>{37D338E9-F5F6-4EC7-9879-6BA600EF72DD}</b:Guid>
    <b:LCID>1033</b:LCID>
    <b:Author>
      <b:Author>
        <b:NameList>
          <b:Person>
            <b:Last>Mises</b:Last>
            <b:First>Ludwig</b:First>
            <b:Middle>von</b:Middle>
          </b:Person>
        </b:NameList>
      </b:Author>
    </b:Author>
    <b:Title>The Theory of Money and Credit</b:Title>
    <b:Year>1912</b:Year>
    <b:City>Vienna</b:City>
    <b:RefOrder>31</b:RefOrder>
  </b:Source>
  <b:Source>
    <b:Tag>Lau081</b:Tag>
    <b:SourceType>Book</b:SourceType>
    <b:Guid>{DF91A660-778A-4F87-8238-360DBBA4E706}</b:Guid>
    <b:LCID>1033</b:LCID>
    <b:Author>
      <b:Author>
        <b:NameList>
          <b:Person>
            <b:Last>Copeland</b:Last>
            <b:First>Laurence</b:First>
            <b:Middle>S.</b:Middle>
          </b:Person>
        </b:NameList>
      </b:Author>
    </b:Author>
    <b:Title>Exchange Rates and International Finance</b:Title>
    <b:Year>2008</b:Year>
    <b:City>Essex</b:City>
    <b:Publisher>Pearson Education Limited</b:Publisher>
    <b:RefOrder>20</b:RefOrder>
  </b:Source>
  <b:Source>
    <b:Tag>RCa12</b:Tag>
    <b:SourceType>Book</b:SourceType>
    <b:Guid>{8AFC32D2-E7D7-481F-B786-46A5AE7065B0}</b:Guid>
    <b:LCID>1033</b:LCID>
    <b:Author>
      <b:Author>
        <b:NameList>
          <b:Person>
            <b:Last>Hill</b:Last>
            <b:First>R.</b:First>
            <b:Middle>Carter</b:Middle>
          </b:Person>
          <b:Person>
            <b:Last>Griffiths</b:Last>
            <b:First>William</b:First>
            <b:Middle>E.</b:Middle>
          </b:Person>
          <b:Person>
            <b:Last>Lim</b:Last>
            <b:First>Guay</b:First>
            <b:Middle>C.</b:Middle>
          </b:Person>
        </b:NameList>
      </b:Author>
    </b:Author>
    <b:Title>Principles of Econometrics</b:Title>
    <b:Year>2012</b:Year>
    <b:Publisher>John Wiley &amp; Sons, Inc.</b:Publisher>
    <b:RefOrder>29</b:RefOrder>
  </b:Source>
  <b:Source>
    <b:Tag>Goo14</b:Tag>
    <b:SourceType>InternetSite</b:SourceType>
    <b:Guid>{968DC040-A447-4FC1-BD49-B7E5F1C9A893}</b:Guid>
    <b:LCID>1033</b:LCID>
    <b:Author>
      <b:Author>
        <b:Corporate>Google Trends</b:Corporate>
      </b:Author>
    </b:Author>
    <b:Title>Topics: Bitcoin</b:Title>
    <b:Year>2014</b:Year>
    <b:InternetSiteTitle>Google Trends</b:InternetSiteTitle>
    <b:Month>June</b:Month>
    <b:YearAccessed>2014</b:YearAccessed>
    <b:MonthAccessed>June</b:MonthAccessed>
    <b:DayAccessed>30</b:DayAccessed>
    <b:URL>https://www.google.com/trends/explore?hl=en-US#q=/m/05p0rrx&amp;date=1/2009%2066m&amp;cmpt=q</b:URL>
    <b:RefOrder>1</b:RefOrder>
  </b:Source>
  <b:Source>
    <b:Tag>Blo141</b:Tag>
    <b:SourceType>InternetSite</b:SourceType>
    <b:Guid>{1C666860-959B-404F-ADE8-B7574672CBC4}</b:Guid>
    <b:LCID>1033</b:LCID>
    <b:Author>
      <b:Author>
        <b:Corporate>Blockchain.info</b:Corporate>
      </b:Author>
    </b:Author>
    <b:Title>Market Capitalization</b:Title>
    <b:InternetSiteTitle>Blockchain.info</b:InternetSiteTitle>
    <b:Year>2014</b:Year>
    <b:Month>June</b:Month>
    <b:YearAccessed>2014</b:YearAccessed>
    <b:MonthAccessed>June</b:MonthAccessed>
    <b:DayAccessed>30</b:DayAccessed>
    <b:URL>http://blockchain.info/nl/charts/market-cap</b:URL>
    <b:RefOrder>2</b:RefOrder>
  </b:Source>
  <b:Source>
    <b:Tag>Blo142</b:Tag>
    <b:SourceType>InternetSite</b:SourceType>
    <b:Guid>{4C1D9A71-D7E9-4CDA-814C-01486892D932}</b:Guid>
    <b:LCID>1033</b:LCID>
    <b:Author>
      <b:Author>
        <b:Corporate>Blockchain.info</b:Corporate>
      </b:Author>
    </b:Author>
    <b:Title>Number of Daily Transactions</b:Title>
    <b:InternetSiteTitle>Blockchain.info</b:InternetSiteTitle>
    <b:Year>2014</b:Year>
    <b:Month>June</b:Month>
    <b:YearAccessed>2014</b:YearAccessed>
    <b:MonthAccessed>June</b:MonthAccessed>
    <b:DayAccessed>30</b:DayAccessed>
    <b:URL>http://blockchain.info/nl/charts/n-transactions</b:URL>
    <b:RefOrder>4</b:RefOrder>
  </b:Source>
  <b:Source>
    <b:Tag>Bit142</b:Tag>
    <b:SourceType>InternetSite</b:SourceType>
    <b:Guid>{A632A279-71EA-439F-9890-8B86F904709A}</b:Guid>
    <b:LCID>1033</b:LCID>
    <b:Author>
      <b:Author>
        <b:Corporate>BitcoinRichList</b:Corporate>
      </b:Author>
    </b:Author>
    <b:Title>Bitcoin Distribution by Address at Block 305,000</b:Title>
    <b:InternetSiteTitle>BitcoinRichList</b:InternetSiteTitle>
    <b:Year>2014</b:Year>
    <b:Month>June</b:Month>
    <b:YearAccessed>2014</b:YearAccessed>
    <b:MonthAccessed>June</b:MonthAccessed>
    <b:DayAccessed>30</b:DayAccessed>
    <b:URL>http://bitcoinrichlist.com/charts/bitcoin-distribution-by-address</b:URL>
    <b:RefOrder>3</b:RefOrder>
  </b:Source>
  <b:Source>
    <b:Tag>Hil09</b:Tag>
    <b:SourceType>JournalArticle</b:SourceType>
    <b:Guid>{4E3A7DBA-0DFC-48A4-B857-DC8C08DF708C}</b:Guid>
    <b:LCID>1033</b:LCID>
    <b:Author>
      <b:Author>
        <b:NameList>
          <b:Person>
            <b:Last>Bjørnland</b:Last>
            <b:First>Hilde</b:First>
            <b:Middle>C.</b:Middle>
          </b:Person>
        </b:NameList>
      </b:Author>
    </b:Author>
    <b:Title>Monetary policy and exchange rate overshooting: Dornbusch was right after all</b:Title>
    <b:JournalName>Journal of International Economics</b:JournalName>
    <b:Year>2009</b:Year>
    <b:Pages>64-77</b:Pages>
    <b:Volume>79</b:Volume>
    <b:RefOrder>15</b:RefOrder>
  </b:Source>
  <b:Source>
    <b:Tag>Bon98</b:Tag>
    <b:SourceType>JournalArticle</b:SourceType>
    <b:Guid>{649DAD03-A7A9-4381-84C2-1C49C1B4105E}</b:Guid>
    <b:LCID>1033</b:LCID>
    <b:Author>
      <b:Author>
        <b:NameList>
          <b:Person>
            <b:Last>Bonser-Neal</b:Last>
            <b:First>C.</b:First>
          </b:Person>
          <b:Person>
            <b:Last>Roley</b:Last>
            <b:First>V.V.</b:First>
          </b:Person>
          <b:Person>
            <b:Last>Sellon Jr.</b:Last>
            <b:First>G.H.</b:First>
          </b:Person>
        </b:NameList>
      </b:Author>
    </b:Author>
    <b:Title>Monetary policy actions, intervention, and exchange rates: a re-examination of the empirical relationships using federal funds rate target data</b:Title>
    <b:JournalName>Journal of Business</b:JournalName>
    <b:Year>1998</b:Year>
    <b:Pages>147-177</b:Pages>
    <b:Volume>71</b:Volume>
    <b:RefOrder>16</b:RefOrder>
  </b:Source>
  <b:Source>
    <b:Tag>Che99</b:Tag>
    <b:SourceType>JournalArticle</b:SourceType>
    <b:Guid>{16781A45-9801-498B-83E1-8B0AB8391D42}</b:Guid>
    <b:LCID>1033</b:LCID>
    <b:Author>
      <b:Author>
        <b:NameList>
          <b:Person>
            <b:Last>Cheung</b:Last>
            <b:First>Y.</b:First>
            <b:Middle>W.</b:Middle>
          </b:Person>
          <b:Person>
            <b:Last>Chinn</b:Last>
            <b:First>M.</b:First>
            <b:Middle>D.</b:Middle>
          </b:Person>
        </b:NameList>
      </b:Author>
    </b:Author>
    <b:Title>Macroeconomic Implications of the Beliefs and Behavior of Foreign Exchange Traders</b:Title>
    <b:JournalName>NBER Working Papers</b:JournalName>
    <b:Year>1999</b:Year>
    <b:Issue>7417</b:Issue>
    <b:RefOrder>11</b:RefOrder>
  </b:Source>
  <b:Source>
    <b:Tag>Rud76</b:Tag>
    <b:SourceType>JournalArticle</b:SourceType>
    <b:Guid>{939FB5DD-4A61-4CA7-A411-FE429C9D6B74}</b:Guid>
    <b:LCID>1033</b:LCID>
    <b:Author>
      <b:Author>
        <b:NameList>
          <b:Person>
            <b:Last>Dornbusch</b:Last>
            <b:First>Rudiger</b:First>
          </b:Person>
        </b:NameList>
      </b:Author>
    </b:Author>
    <b:Title>Expectations and Exchange Rate Dynamics</b:Title>
    <b:JournalName>Journal of Political Economy</b:JournalName>
    <b:Year>1976</b:Year>
    <b:Pages>1161-1176</b:Pages>
    <b:Volume>84</b:Volume>
    <b:Issue>6</b:Issue>
    <b:RefOrder>6</b:RefOrder>
  </b:Source>
  <b:Source>
    <b:Tag>Jef79</b:Tag>
    <b:SourceType>JournalArticle</b:SourceType>
    <b:Guid>{1D166247-BFD8-4D32-8E4C-CC5803D5A484}</b:Guid>
    <b:LCID>1033</b:LCID>
    <b:Author>
      <b:Author>
        <b:NameList>
          <b:Person>
            <b:Last>Frankel</b:Last>
            <b:First>Jeffrey</b:First>
            <b:Middle>A.</b:Middle>
          </b:Person>
        </b:NameList>
      </b:Author>
    </b:Author>
    <b:Title>On the Mark: A Theory of Floating Exchange Rates Based on Real Interest Differentials</b:Title>
    <b:Year>1979</b:Year>
    <b:Volume>69</b:Volume>
    <b:Issue>4</b:Issue>
    <b:RefOrder>21</b:RefOrder>
  </b:Source>
  <b:Source>
    <b:Tag>Jae03</b:Tag>
    <b:SourceType>JournalArticle</b:SourceType>
    <b:Guid>{82765F82-687E-4D30-8DE2-06F549846F69}</b:Guid>
    <b:LCID>1033</b:LCID>
    <b:Author>
      <b:Author>
        <b:NameList>
          <b:Person>
            <b:Last>Hwang</b:Last>
            <b:First>Jae-Kwang</b:First>
          </b:Person>
        </b:NameList>
      </b:Author>
    </b:Author>
    <b:Title>Dynamic forecasting of sticky-price monetary exchange rate model</b:Title>
    <b:JournalName>Atlantic Economic Journal</b:JournalName>
    <b:Year>2003</b:Year>
    <b:Pages>103-114</b:Pages>
    <b:Volume>31</b:Volume>
    <b:Issue>1</b:Issue>
    <b:RefOrder>14</b:RefOrder>
  </b:Source>
  <b:Source>
    <b:Tag>Kea06</b:Tag>
    <b:SourceType>JournalArticle</b:SourceType>
    <b:Guid>{68BE3D26-EACA-4C66-95C8-FC4ED5F19A93}</b:Guid>
    <b:LCID>1033</b:LCID>
    <b:Author>
      <b:Author>
        <b:NameList>
          <b:Person>
            <b:Last>Kearns</b:Last>
            <b:First>J.</b:First>
          </b:Person>
          <b:Person>
            <b:Last>Manners</b:Last>
            <b:First>P.</b:First>
          </b:Person>
        </b:NameList>
      </b:Author>
    </b:Author>
    <b:Title>The impact of monetary policy on the exchange rate: a study using intraday data</b:Title>
    <b:JournalName>International Journal of Central Banking</b:JournalName>
    <b:Year>2006</b:Year>
    <b:Pages>157-183</b:Pages>
    <b:Volume>2</b:Volume>
    <b:Issue>4</b:Issue>
    <b:RefOrder>18</b:RefOrder>
  </b:Source>
  <b:Source>
    <b:Tag>Mee83</b:Tag>
    <b:SourceType>JournalArticle</b:SourceType>
    <b:Guid>{CB366662-CCF5-423F-93E7-117B9C31C661}</b:Guid>
    <b:LCID>1033</b:LCID>
    <b:Author>
      <b:Author>
        <b:NameList>
          <b:Person>
            <b:Last>Meese</b:Last>
            <b:First>Richard</b:First>
            <b:Middle>A.</b:Middle>
          </b:Person>
          <b:Person>
            <b:Last>Rogoff</b:Last>
            <b:First>Kenneth</b:First>
          </b:Person>
        </b:NameList>
      </b:Author>
    </b:Author>
    <b:Title>Empirical Exchange Rate Models of the Seventies: Do They Fit out of Sample?</b:Title>
    <b:JournalName>Journal of International Economics</b:JournalName>
    <b:Year>1983</b:Year>
    <b:Pages>3-74</b:Pages>
    <b:Volume>14</b:Volume>
    <b:RefOrder>10</b:RefOrder>
  </b:Source>
  <b:Source>
    <b:Tag>Win85</b:Tag>
    <b:SourceType>JournalArticle</b:SourceType>
    <b:Guid>{549E476B-6303-4BAA-9D3E-5EC4E199DA53}</b:Guid>
    <b:LCID>1033</b:LCID>
    <b:Author>
      <b:Author>
        <b:NameList>
          <b:Person>
            <b:Last>Woo</b:Last>
            <b:First>Wing</b:First>
            <b:Middle>T.</b:Middle>
          </b:Person>
        </b:NameList>
      </b:Author>
    </b:Author>
    <b:Title>The monetary approach to exchange rate determination under rational expectations</b:Title>
    <b:JournalName>Journal of International Economics</b:JournalName>
    <b:Year>1985</b:Year>
    <b:Pages>1-16</b:Pages>
    <b:Volume>18</b:Volume>
    <b:Issue>1-2</b:Issue>
    <b:RefOrder>13</b:RefOrder>
  </b:Source>
  <b:Source>
    <b:Tag>Dav14</b:Tag>
    <b:SourceType>JournalArticle</b:SourceType>
    <b:Guid>{68075B96-59D6-45A7-ABCB-4EF56195900B}</b:Guid>
    <b:LCID>1033</b:LCID>
    <b:Author>
      <b:Author>
        <b:NameList>
          <b:Person>
            <b:Last>Yermack</b:Last>
            <b:First>David</b:First>
          </b:Person>
        </b:NameList>
      </b:Author>
    </b:Author>
    <b:Title>Is Bitcoin a Real Currency? An economic appraisal</b:Title>
    <b:JournalName>NBER Working Papers</b:JournalName>
    <b:Year>2014</b:Year>
    <b:Issue>19747</b:Issue>
    <b:RefOrder>9</b:RefOrder>
  </b:Source>
  <b:Source>
    <b:Tag>Zet04</b:Tag>
    <b:SourceType>JournalArticle</b:SourceType>
    <b:Guid>{6B6E10DE-0E05-4F7E-BC54-42C5EDBA7D93}</b:Guid>
    <b:LCID>1033</b:LCID>
    <b:Author>
      <b:Author>
        <b:NameList>
          <b:Person>
            <b:Last>Zettelmeyer</b:Last>
            <b:First>J.</b:First>
          </b:Person>
        </b:NameList>
      </b:Author>
    </b:Author>
    <b:Title>The impact of monetary policy on the exchange rate: evidence from three small open economies</b:Title>
    <b:JournalName>Journal of Monetary Economics</b:JournalName>
    <b:Year>2004</b:Year>
    <b:Pages>635-652</b:Pages>
    <b:Volume>51</b:Volume>
    <b:Issue>3</b:Issue>
    <b:RefOrder>17</b:RefOrder>
  </b:Source>
  <b:Source>
    <b:Tag>Aka74</b:Tag>
    <b:SourceType>JournalArticle</b:SourceType>
    <b:Guid>{161EAEDD-ECBE-41CE-8ACF-901D4D548095}</b:Guid>
    <b:LCID>1033</b:LCID>
    <b:Author>
      <b:Author>
        <b:NameList>
          <b:Person>
            <b:Last>Akaike</b:Last>
            <b:First>H</b:First>
          </b:Person>
        </b:NameList>
      </b:Author>
    </b:Author>
    <b:Title>A new look at the statistical model identification</b:Title>
    <b:Year>1974</b:Year>
    <b:JournalName>IEEE Transactions on Automatic Control</b:JournalName>
    <b:Pages>716-723</b:Pages>
    <b:Volume>19</b:Volume>
    <b:Issue>6</b:Issue>
    <b:RefOrder>30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36BCDE-62C1-4A83-B62C-03B92F47C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9376</Words>
  <Characters>51573</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Dornbusch and the Bitcoin</vt:lpstr>
    </vt:vector>
  </TitlesOfParts>
  <Company>erasmus school of economics</Company>
  <LinksUpToDate>false</LinksUpToDate>
  <CharactersWithSpaces>60828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Dornbusch and the Bitcoin</dc:title>
  <dc:subject>Forecasting the Bitcoin/US Dollar exchange rate using the overshooting model</dc:subject>
  <dc:creator>Joop Korteweg</dc:creator>
  <cp:lastModifiedBy>Joop Korteweg</cp:lastModifiedBy>
  <cp:revision>2</cp:revision>
  <dcterms:created xsi:type="dcterms:W3CDTF">2014-07-14T19:05:00Z</dcterms:created>
  <dcterms:modified xsi:type="dcterms:W3CDTF">2014-07-14T19:05:00Z</dcterms:modified>
</cp:coreProperties>
</file>