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C3D69" w14:textId="2212395D" w:rsidR="00F20370" w:rsidRPr="009477BE" w:rsidRDefault="00F20370" w:rsidP="00F20370">
      <w:pPr>
        <w:pStyle w:val="Geenafstand"/>
        <w:spacing w:line="360" w:lineRule="auto"/>
        <w:rPr>
          <w:sz w:val="32"/>
          <w:szCs w:val="32"/>
          <w:lang w:val="en-GB"/>
        </w:rPr>
      </w:pPr>
      <w:r w:rsidRPr="009477BE">
        <w:rPr>
          <w:sz w:val="32"/>
          <w:szCs w:val="32"/>
          <w:lang w:val="en-GB"/>
        </w:rPr>
        <w:t>Erasmus School of Economics</w:t>
      </w:r>
    </w:p>
    <w:p w14:paraId="5A845734" w14:textId="25597CFE" w:rsidR="00F20370" w:rsidRPr="009477BE" w:rsidRDefault="00F20370" w:rsidP="00F20370">
      <w:pPr>
        <w:pStyle w:val="Geenafstand"/>
        <w:spacing w:line="360" w:lineRule="auto"/>
        <w:rPr>
          <w:sz w:val="32"/>
          <w:szCs w:val="32"/>
          <w:lang w:val="en-GB"/>
        </w:rPr>
      </w:pPr>
      <w:r w:rsidRPr="009477BE">
        <w:rPr>
          <w:sz w:val="32"/>
          <w:szCs w:val="32"/>
          <w:lang w:val="en-GB"/>
        </w:rPr>
        <w:t>Msc. Accounting &amp; Control</w:t>
      </w:r>
    </w:p>
    <w:p w14:paraId="495CC008" w14:textId="77777777" w:rsidR="00F20370" w:rsidRPr="009477BE" w:rsidRDefault="00F20370" w:rsidP="00C6718A">
      <w:pPr>
        <w:pStyle w:val="Geenafstand"/>
        <w:spacing w:line="360" w:lineRule="auto"/>
        <w:jc w:val="center"/>
        <w:rPr>
          <w:sz w:val="32"/>
          <w:szCs w:val="32"/>
          <w:lang w:val="en-GB"/>
        </w:rPr>
      </w:pPr>
    </w:p>
    <w:p w14:paraId="063FD969" w14:textId="77777777" w:rsidR="00F20370" w:rsidRDefault="00F20370" w:rsidP="00C6718A">
      <w:pPr>
        <w:pStyle w:val="Geenafstand"/>
        <w:spacing w:line="360" w:lineRule="auto"/>
        <w:jc w:val="center"/>
        <w:rPr>
          <w:sz w:val="32"/>
          <w:szCs w:val="32"/>
          <w:lang w:val="en-GB"/>
        </w:rPr>
      </w:pPr>
    </w:p>
    <w:p w14:paraId="68B2A5DA" w14:textId="77777777" w:rsidR="009477BE" w:rsidRDefault="009477BE" w:rsidP="00C6718A">
      <w:pPr>
        <w:pStyle w:val="Geenafstand"/>
        <w:spacing w:line="360" w:lineRule="auto"/>
        <w:jc w:val="center"/>
        <w:rPr>
          <w:sz w:val="32"/>
          <w:szCs w:val="32"/>
          <w:lang w:val="en-GB"/>
        </w:rPr>
      </w:pPr>
    </w:p>
    <w:p w14:paraId="28918732" w14:textId="77777777" w:rsidR="009477BE" w:rsidRPr="009477BE" w:rsidRDefault="009477BE" w:rsidP="00C6718A">
      <w:pPr>
        <w:pStyle w:val="Geenafstand"/>
        <w:spacing w:line="360" w:lineRule="auto"/>
        <w:jc w:val="center"/>
        <w:rPr>
          <w:sz w:val="32"/>
          <w:szCs w:val="32"/>
          <w:lang w:val="en-GB"/>
        </w:rPr>
      </w:pPr>
    </w:p>
    <w:p w14:paraId="1077D177" w14:textId="073F3537" w:rsidR="008F5924" w:rsidRDefault="0067306C" w:rsidP="00C6718A">
      <w:pPr>
        <w:pStyle w:val="Geenafstand"/>
        <w:spacing w:line="360" w:lineRule="auto"/>
        <w:jc w:val="center"/>
        <w:rPr>
          <w:sz w:val="32"/>
          <w:szCs w:val="32"/>
          <w:lang w:val="en-GB"/>
        </w:rPr>
      </w:pPr>
      <w:r w:rsidRPr="009477BE">
        <w:rPr>
          <w:sz w:val="32"/>
          <w:szCs w:val="32"/>
          <w:lang w:val="en-GB"/>
        </w:rPr>
        <w:t xml:space="preserve">Master </w:t>
      </w:r>
      <w:r w:rsidR="00F91583" w:rsidRPr="009477BE">
        <w:rPr>
          <w:sz w:val="32"/>
          <w:szCs w:val="32"/>
          <w:lang w:val="en-GB"/>
        </w:rPr>
        <w:t xml:space="preserve">Thesis </w:t>
      </w:r>
    </w:p>
    <w:p w14:paraId="25CDF166" w14:textId="77777777" w:rsidR="009477BE" w:rsidRPr="009477BE" w:rsidRDefault="009477BE" w:rsidP="00C6718A">
      <w:pPr>
        <w:pStyle w:val="Geenafstand"/>
        <w:spacing w:line="360" w:lineRule="auto"/>
        <w:jc w:val="center"/>
        <w:rPr>
          <w:sz w:val="32"/>
          <w:szCs w:val="32"/>
          <w:lang w:val="en-GB"/>
        </w:rPr>
      </w:pPr>
    </w:p>
    <w:p w14:paraId="753E24B2" w14:textId="413E77A9" w:rsidR="0062303C" w:rsidRPr="005C07BB" w:rsidRDefault="00F72F96" w:rsidP="005C07BB">
      <w:pPr>
        <w:pStyle w:val="Geenafstand"/>
        <w:spacing w:line="360" w:lineRule="auto"/>
        <w:jc w:val="center"/>
        <w:rPr>
          <w:sz w:val="56"/>
          <w:szCs w:val="56"/>
          <w:lang w:val="en-GB"/>
        </w:rPr>
      </w:pPr>
      <w:r w:rsidRPr="005C07BB">
        <w:rPr>
          <w:sz w:val="56"/>
          <w:szCs w:val="56"/>
          <w:lang w:val="en-GB"/>
        </w:rPr>
        <w:t>Equity</w:t>
      </w:r>
      <w:r w:rsidR="001253F4" w:rsidRPr="005C07BB">
        <w:rPr>
          <w:sz w:val="56"/>
          <w:szCs w:val="56"/>
          <w:lang w:val="en-GB"/>
        </w:rPr>
        <w:t>-based</w:t>
      </w:r>
      <w:r w:rsidRPr="005C07BB">
        <w:rPr>
          <w:sz w:val="56"/>
          <w:szCs w:val="56"/>
          <w:lang w:val="en-GB"/>
        </w:rPr>
        <w:t xml:space="preserve"> </w:t>
      </w:r>
      <w:r w:rsidR="00617148" w:rsidRPr="005C07BB">
        <w:rPr>
          <w:sz w:val="56"/>
          <w:szCs w:val="56"/>
          <w:lang w:val="en-GB"/>
        </w:rPr>
        <w:t xml:space="preserve">compensation </w:t>
      </w:r>
      <w:r w:rsidRPr="005C07BB">
        <w:rPr>
          <w:sz w:val="56"/>
          <w:szCs w:val="56"/>
          <w:lang w:val="en-GB"/>
        </w:rPr>
        <w:t xml:space="preserve">as </w:t>
      </w:r>
      <w:r w:rsidR="00C67EF2" w:rsidRPr="005C07BB">
        <w:rPr>
          <w:sz w:val="56"/>
          <w:szCs w:val="56"/>
          <w:lang w:val="en-GB"/>
        </w:rPr>
        <w:t>incentive</w:t>
      </w:r>
      <w:r w:rsidRPr="005C07BB">
        <w:rPr>
          <w:sz w:val="56"/>
          <w:szCs w:val="56"/>
          <w:lang w:val="en-GB"/>
        </w:rPr>
        <w:t xml:space="preserve"> for CFO’s fiduciary </w:t>
      </w:r>
      <w:r w:rsidR="00942C16" w:rsidRPr="005C07BB">
        <w:rPr>
          <w:sz w:val="56"/>
          <w:szCs w:val="56"/>
          <w:lang w:val="en-GB"/>
        </w:rPr>
        <w:t xml:space="preserve">and managerial </w:t>
      </w:r>
      <w:r w:rsidR="00C67EF2" w:rsidRPr="005C07BB">
        <w:rPr>
          <w:sz w:val="56"/>
          <w:szCs w:val="56"/>
          <w:lang w:val="en-GB"/>
        </w:rPr>
        <w:t>performance</w:t>
      </w:r>
    </w:p>
    <w:p w14:paraId="58185AFC" w14:textId="77777777" w:rsidR="00C8551C" w:rsidRPr="009477BE" w:rsidRDefault="00C8551C" w:rsidP="00C8551C">
      <w:pPr>
        <w:rPr>
          <w:sz w:val="32"/>
          <w:szCs w:val="32"/>
          <w:lang w:val="en-GB"/>
        </w:rPr>
      </w:pPr>
    </w:p>
    <w:p w14:paraId="4A440BBF" w14:textId="61DC64A3" w:rsidR="009477BE" w:rsidRPr="00DD495C" w:rsidRDefault="009477BE" w:rsidP="009477BE">
      <w:pPr>
        <w:jc w:val="center"/>
        <w:rPr>
          <w:sz w:val="32"/>
          <w:szCs w:val="32"/>
        </w:rPr>
      </w:pPr>
      <w:r w:rsidRPr="00DD495C">
        <w:rPr>
          <w:sz w:val="32"/>
          <w:szCs w:val="32"/>
        </w:rPr>
        <w:t>Jaap Pieter van Stam</w:t>
      </w:r>
    </w:p>
    <w:p w14:paraId="5F0DACA9" w14:textId="3311D52C" w:rsidR="009477BE" w:rsidRPr="00DD495C" w:rsidRDefault="009477BE" w:rsidP="009477BE">
      <w:pPr>
        <w:jc w:val="center"/>
        <w:rPr>
          <w:sz w:val="32"/>
          <w:szCs w:val="32"/>
        </w:rPr>
      </w:pPr>
      <w:r w:rsidRPr="00DD495C">
        <w:rPr>
          <w:sz w:val="32"/>
          <w:szCs w:val="32"/>
        </w:rPr>
        <w:t>333455</w:t>
      </w:r>
    </w:p>
    <w:p w14:paraId="6A07D8D5" w14:textId="73E63788" w:rsidR="007C3430" w:rsidRPr="00DD495C" w:rsidRDefault="009477BE" w:rsidP="007C3430">
      <w:pPr>
        <w:jc w:val="center"/>
        <w:rPr>
          <w:sz w:val="32"/>
          <w:szCs w:val="32"/>
        </w:rPr>
      </w:pPr>
      <w:r w:rsidRPr="00DD495C">
        <w:rPr>
          <w:sz w:val="32"/>
          <w:szCs w:val="32"/>
        </w:rPr>
        <w:t>Date: 31 December 2015</w:t>
      </w:r>
    </w:p>
    <w:p w14:paraId="41FD10DA" w14:textId="77777777" w:rsidR="007C3430" w:rsidRPr="00DD495C" w:rsidRDefault="007C3430" w:rsidP="007C3430">
      <w:pPr>
        <w:rPr>
          <w:sz w:val="32"/>
          <w:szCs w:val="32"/>
        </w:rPr>
      </w:pPr>
    </w:p>
    <w:p w14:paraId="2E95F1F1" w14:textId="77777777" w:rsidR="00A726AB" w:rsidRPr="00A726AB" w:rsidRDefault="00A726AB" w:rsidP="00A726AB">
      <w:pPr>
        <w:spacing w:line="240" w:lineRule="auto"/>
        <w:rPr>
          <w:sz w:val="24"/>
          <w:szCs w:val="24"/>
          <w:u w:val="single"/>
        </w:rPr>
      </w:pPr>
    </w:p>
    <w:p w14:paraId="539EDFF8" w14:textId="7FAFCF55" w:rsidR="009477BE" w:rsidRPr="007C3430" w:rsidRDefault="009477BE" w:rsidP="00A726AB">
      <w:pPr>
        <w:spacing w:line="240" w:lineRule="auto"/>
        <w:rPr>
          <w:sz w:val="24"/>
          <w:szCs w:val="24"/>
          <w:lang w:val="en-GB"/>
        </w:rPr>
      </w:pPr>
      <w:r w:rsidRPr="007C3430">
        <w:rPr>
          <w:sz w:val="24"/>
          <w:szCs w:val="24"/>
          <w:u w:val="single"/>
          <w:lang w:val="en-GB"/>
        </w:rPr>
        <w:t>Supervisor</w:t>
      </w:r>
      <w:r w:rsidRPr="007C3430">
        <w:rPr>
          <w:sz w:val="24"/>
          <w:szCs w:val="24"/>
          <w:lang w:val="en-GB"/>
        </w:rPr>
        <w:tab/>
      </w:r>
      <w:r w:rsidRPr="007C3430">
        <w:rPr>
          <w:sz w:val="24"/>
          <w:szCs w:val="24"/>
          <w:lang w:val="en-GB"/>
        </w:rPr>
        <w:tab/>
      </w:r>
      <w:r w:rsidR="007C3430">
        <w:rPr>
          <w:sz w:val="24"/>
          <w:szCs w:val="24"/>
          <w:lang w:val="en-GB"/>
        </w:rPr>
        <w:tab/>
      </w:r>
      <w:r w:rsidR="007C3430">
        <w:rPr>
          <w:sz w:val="24"/>
          <w:szCs w:val="24"/>
          <w:lang w:val="en-GB"/>
        </w:rPr>
        <w:tab/>
      </w:r>
      <w:r w:rsidR="007C3430">
        <w:rPr>
          <w:sz w:val="24"/>
          <w:szCs w:val="24"/>
          <w:lang w:val="en-GB"/>
        </w:rPr>
        <w:tab/>
      </w:r>
      <w:r w:rsidR="007C3430">
        <w:rPr>
          <w:sz w:val="24"/>
          <w:szCs w:val="24"/>
          <w:lang w:val="en-GB"/>
        </w:rPr>
        <w:tab/>
      </w:r>
      <w:r w:rsidRPr="007C3430">
        <w:rPr>
          <w:sz w:val="24"/>
          <w:szCs w:val="24"/>
          <w:u w:val="single"/>
          <w:lang w:val="en-GB"/>
        </w:rPr>
        <w:t>Co-reader</w:t>
      </w:r>
    </w:p>
    <w:p w14:paraId="7B461236" w14:textId="16B1FCD2" w:rsidR="009477BE" w:rsidRPr="007C3430" w:rsidRDefault="009477BE" w:rsidP="00A726AB">
      <w:pPr>
        <w:spacing w:line="240" w:lineRule="auto"/>
        <w:rPr>
          <w:sz w:val="24"/>
          <w:szCs w:val="24"/>
          <w:lang w:val="en-GB"/>
        </w:rPr>
      </w:pPr>
      <w:r w:rsidRPr="007C3430">
        <w:rPr>
          <w:sz w:val="24"/>
          <w:szCs w:val="24"/>
          <w:lang w:val="en-GB"/>
        </w:rPr>
        <w:t>drs. R.H.R.M. Aernoudts</w:t>
      </w:r>
      <w:r w:rsidR="007C3430" w:rsidRPr="007C3430">
        <w:rPr>
          <w:sz w:val="24"/>
          <w:szCs w:val="24"/>
          <w:lang w:val="en-GB"/>
        </w:rPr>
        <w:tab/>
      </w:r>
      <w:r w:rsidR="007C3430" w:rsidRPr="007C3430">
        <w:rPr>
          <w:sz w:val="24"/>
          <w:szCs w:val="24"/>
          <w:lang w:val="en-GB"/>
        </w:rPr>
        <w:tab/>
      </w:r>
      <w:r w:rsidR="007C3430" w:rsidRPr="007C3430">
        <w:rPr>
          <w:sz w:val="24"/>
          <w:szCs w:val="24"/>
          <w:lang w:val="en-GB"/>
        </w:rPr>
        <w:tab/>
      </w:r>
      <w:r w:rsidR="007C3430" w:rsidRPr="007C3430">
        <w:rPr>
          <w:sz w:val="24"/>
          <w:szCs w:val="24"/>
          <w:lang w:val="en-GB"/>
        </w:rPr>
        <w:tab/>
      </w:r>
      <w:r w:rsidRPr="007C3430">
        <w:rPr>
          <w:sz w:val="24"/>
          <w:szCs w:val="24"/>
          <w:lang w:val="en-GB"/>
        </w:rPr>
        <w:t>dr. C.D. Knoops</w:t>
      </w:r>
    </w:p>
    <w:p w14:paraId="477CCE57" w14:textId="023CDC90" w:rsidR="007C3430" w:rsidRPr="007C3430" w:rsidRDefault="007C3430" w:rsidP="00A726AB">
      <w:pPr>
        <w:spacing w:line="240" w:lineRule="auto"/>
        <w:rPr>
          <w:sz w:val="24"/>
          <w:szCs w:val="24"/>
          <w:lang w:val="en-GB"/>
        </w:rPr>
      </w:pPr>
      <w:r>
        <w:rPr>
          <w:sz w:val="24"/>
          <w:szCs w:val="24"/>
          <w:lang w:val="en-GB"/>
        </w:rPr>
        <w:t>Department of Business Economics</w:t>
      </w:r>
      <w:r>
        <w:rPr>
          <w:sz w:val="24"/>
          <w:szCs w:val="24"/>
          <w:lang w:val="en-GB"/>
        </w:rPr>
        <w:tab/>
      </w:r>
      <w:r>
        <w:rPr>
          <w:sz w:val="24"/>
          <w:szCs w:val="24"/>
          <w:lang w:val="en-GB"/>
        </w:rPr>
        <w:tab/>
      </w:r>
      <w:r>
        <w:rPr>
          <w:sz w:val="24"/>
          <w:szCs w:val="24"/>
          <w:lang w:val="en-GB"/>
        </w:rPr>
        <w:tab/>
      </w:r>
      <w:r w:rsidRPr="007C3430">
        <w:rPr>
          <w:sz w:val="24"/>
          <w:szCs w:val="24"/>
          <w:lang w:val="en-GB"/>
        </w:rPr>
        <w:t>Department of Business Economics</w:t>
      </w:r>
    </w:p>
    <w:p w14:paraId="13AACCC4" w14:textId="3724B509" w:rsidR="00353787" w:rsidRDefault="00353787" w:rsidP="00A726AB">
      <w:pPr>
        <w:spacing w:line="240" w:lineRule="auto"/>
        <w:rPr>
          <w:sz w:val="24"/>
          <w:szCs w:val="24"/>
          <w:lang w:val="en-GB"/>
        </w:rPr>
      </w:pPr>
      <w:r>
        <w:rPr>
          <w:sz w:val="24"/>
          <w:szCs w:val="24"/>
          <w:lang w:val="en-GB"/>
        </w:rPr>
        <w:t>E</w:t>
      </w:r>
      <w:r w:rsidR="006C2974">
        <w:rPr>
          <w:sz w:val="24"/>
          <w:szCs w:val="24"/>
          <w:lang w:val="en-GB"/>
        </w:rPr>
        <w:t>rasmus School of Economics</w:t>
      </w:r>
      <w:r w:rsidR="007C3430">
        <w:rPr>
          <w:sz w:val="24"/>
          <w:szCs w:val="24"/>
          <w:lang w:val="en-GB"/>
        </w:rPr>
        <w:tab/>
      </w:r>
      <w:r w:rsidR="007C3430">
        <w:rPr>
          <w:sz w:val="24"/>
          <w:szCs w:val="24"/>
          <w:lang w:val="en-GB"/>
        </w:rPr>
        <w:tab/>
      </w:r>
      <w:r w:rsidR="007C3430">
        <w:rPr>
          <w:sz w:val="24"/>
          <w:szCs w:val="24"/>
          <w:lang w:val="en-GB"/>
        </w:rPr>
        <w:tab/>
      </w:r>
      <w:r w:rsidR="006C2974">
        <w:rPr>
          <w:sz w:val="24"/>
          <w:szCs w:val="24"/>
          <w:lang w:val="en-GB"/>
        </w:rPr>
        <w:t>Erasmus School of Economics</w:t>
      </w:r>
    </w:p>
    <w:p w14:paraId="1346B66D" w14:textId="413B3FED" w:rsidR="007C3430" w:rsidRPr="007C3430" w:rsidRDefault="00353787" w:rsidP="00A726AB">
      <w:pPr>
        <w:spacing w:line="240" w:lineRule="auto"/>
        <w:rPr>
          <w:sz w:val="24"/>
          <w:szCs w:val="24"/>
          <w:lang w:val="en-GB"/>
        </w:rPr>
      </w:pPr>
      <w:r>
        <w:rPr>
          <w:sz w:val="24"/>
          <w:szCs w:val="24"/>
          <w:lang w:val="en-GB"/>
        </w:rPr>
        <w:t>Erasmus University Rotterdam</w:t>
      </w:r>
      <w:r>
        <w:rPr>
          <w:sz w:val="24"/>
          <w:szCs w:val="24"/>
          <w:lang w:val="en-GB"/>
        </w:rPr>
        <w:tab/>
      </w:r>
      <w:r w:rsidR="006C2974">
        <w:rPr>
          <w:sz w:val="24"/>
          <w:szCs w:val="24"/>
          <w:lang w:val="en-GB"/>
        </w:rPr>
        <w:tab/>
      </w:r>
      <w:r w:rsidR="006C2974">
        <w:rPr>
          <w:sz w:val="24"/>
          <w:szCs w:val="24"/>
          <w:lang w:val="en-GB"/>
        </w:rPr>
        <w:tab/>
        <w:t>Erasmus University Rotterdam</w:t>
      </w:r>
    </w:p>
    <w:p w14:paraId="63731FCE" w14:textId="5298178C" w:rsidR="00F20370" w:rsidRDefault="00F20370" w:rsidP="00F20370">
      <w:pPr>
        <w:pStyle w:val="Kop1"/>
      </w:pPr>
      <w:bookmarkStart w:id="0" w:name="_Toc439346607"/>
      <w:r>
        <w:lastRenderedPageBreak/>
        <w:t>Abstract</w:t>
      </w:r>
      <w:bookmarkEnd w:id="0"/>
    </w:p>
    <w:p w14:paraId="2152432B" w14:textId="6C9F8924" w:rsidR="00C8551C" w:rsidRPr="00C8551C" w:rsidRDefault="00C8551C" w:rsidP="00E771AB">
      <w:pPr>
        <w:pStyle w:val="Geenafstand"/>
        <w:spacing w:line="360" w:lineRule="auto"/>
        <w:jc w:val="both"/>
        <w:rPr>
          <w:lang w:val="en-GB"/>
        </w:rPr>
      </w:pPr>
      <w:r w:rsidRPr="00C8551C">
        <w:rPr>
          <w:lang w:val="en-GB"/>
        </w:rPr>
        <w:t xml:space="preserve">This study </w:t>
      </w:r>
      <w:r>
        <w:rPr>
          <w:lang w:val="en-GB"/>
        </w:rPr>
        <w:t>links CFO</w:t>
      </w:r>
      <w:r w:rsidR="00F32861">
        <w:rPr>
          <w:lang w:val="en-GB"/>
        </w:rPr>
        <w:t>’s</w:t>
      </w:r>
      <w:r>
        <w:rPr>
          <w:lang w:val="en-GB"/>
        </w:rPr>
        <w:t xml:space="preserve"> performance to equity based compensation and investigates the </w:t>
      </w:r>
      <w:r w:rsidR="00F32861">
        <w:rPr>
          <w:lang w:val="en-GB"/>
        </w:rPr>
        <w:t xml:space="preserve">effectiveness of equity as an incentive for a CFO. Besides, this study distinguishes managerial duty and fiduciary duty as the two elements of the total duty of a CFO. </w:t>
      </w:r>
      <w:r w:rsidR="00E771AB">
        <w:rPr>
          <w:lang w:val="en-GB"/>
        </w:rPr>
        <w:t xml:space="preserve">The analysis is based on two databases of </w:t>
      </w:r>
      <w:r w:rsidR="0064494E">
        <w:rPr>
          <w:lang w:val="en-GB"/>
        </w:rPr>
        <w:t>“</w:t>
      </w:r>
      <w:r w:rsidR="00E771AB">
        <w:rPr>
          <w:lang w:val="en-GB"/>
        </w:rPr>
        <w:t>S&amp;P 1500</w:t>
      </w:r>
      <w:r w:rsidR="0064494E">
        <w:rPr>
          <w:lang w:val="en-GB"/>
        </w:rPr>
        <w:t>”</w:t>
      </w:r>
      <w:r w:rsidR="00E771AB">
        <w:rPr>
          <w:lang w:val="en-GB"/>
        </w:rPr>
        <w:t xml:space="preserve"> firms with CFO performance measures and CFO compensation data</w:t>
      </w:r>
      <w:r w:rsidR="0064494E" w:rsidRPr="0064494E">
        <w:rPr>
          <w:lang w:val="en-GB"/>
        </w:rPr>
        <w:t xml:space="preserve"> </w:t>
      </w:r>
      <w:r w:rsidR="0064494E">
        <w:rPr>
          <w:lang w:val="en-GB"/>
        </w:rPr>
        <w:t>for the years 2006 to 2014</w:t>
      </w:r>
      <w:r w:rsidR="00E771AB">
        <w:rPr>
          <w:lang w:val="en-GB"/>
        </w:rPr>
        <w:t xml:space="preserve">. The results indicate a </w:t>
      </w:r>
      <w:r w:rsidR="00CC4494">
        <w:rPr>
          <w:lang w:val="en-GB"/>
        </w:rPr>
        <w:t xml:space="preserve">significant </w:t>
      </w:r>
      <w:r w:rsidR="00E771AB">
        <w:rPr>
          <w:lang w:val="en-GB"/>
        </w:rPr>
        <w:t xml:space="preserve">positive </w:t>
      </w:r>
      <w:r w:rsidR="00CC4494">
        <w:rPr>
          <w:lang w:val="en-GB"/>
        </w:rPr>
        <w:t>relation</w:t>
      </w:r>
      <w:r w:rsidR="00E771AB">
        <w:rPr>
          <w:lang w:val="en-GB"/>
        </w:rPr>
        <w:t xml:space="preserve"> between equity compensation and CFO’s managerial performance, but shows no relation between equity compensation and CFO’s fiduciary performance. </w:t>
      </w:r>
      <w:r w:rsidR="00CC4494">
        <w:rPr>
          <w:lang w:val="en-GB"/>
        </w:rPr>
        <w:t xml:space="preserve">A regression indicates that </w:t>
      </w:r>
      <w:r w:rsidR="00F20370">
        <w:rPr>
          <w:lang w:val="en-GB"/>
        </w:rPr>
        <w:t xml:space="preserve">CFO’s </w:t>
      </w:r>
      <w:r w:rsidR="00CC4494">
        <w:rPr>
          <w:lang w:val="en-GB"/>
        </w:rPr>
        <w:t xml:space="preserve">fiduciary and </w:t>
      </w:r>
      <w:r w:rsidR="00F20370">
        <w:rPr>
          <w:lang w:val="en-GB"/>
        </w:rPr>
        <w:t>managerial</w:t>
      </w:r>
      <w:r w:rsidR="00CC4494">
        <w:rPr>
          <w:lang w:val="en-GB"/>
        </w:rPr>
        <w:t xml:space="preserve"> performance are not </w:t>
      </w:r>
      <w:r w:rsidR="00F20370">
        <w:rPr>
          <w:lang w:val="en-GB"/>
        </w:rPr>
        <w:t>associated with</w:t>
      </w:r>
      <w:r w:rsidR="00CC4494">
        <w:rPr>
          <w:lang w:val="en-GB"/>
        </w:rPr>
        <w:t xml:space="preserve"> CFO’s total performance.</w:t>
      </w:r>
    </w:p>
    <w:p w14:paraId="6BE7860F" w14:textId="77777777" w:rsidR="00C8551C" w:rsidRPr="00C8551C" w:rsidRDefault="00C8551C" w:rsidP="00C6718A">
      <w:pPr>
        <w:pStyle w:val="Geenafstand"/>
        <w:spacing w:line="360" w:lineRule="auto"/>
        <w:rPr>
          <w:lang w:val="en-GB"/>
        </w:rPr>
      </w:pPr>
    </w:p>
    <w:p w14:paraId="2C0EEB8E" w14:textId="77777777" w:rsidR="00C8551C" w:rsidRPr="00C8551C" w:rsidRDefault="00C8551C" w:rsidP="00C6718A">
      <w:pPr>
        <w:pStyle w:val="Geenafstand"/>
        <w:spacing w:line="360" w:lineRule="auto"/>
        <w:rPr>
          <w:lang w:val="en-GB"/>
        </w:rPr>
      </w:pPr>
    </w:p>
    <w:p w14:paraId="536F7509" w14:textId="77777777" w:rsidR="00C8551C" w:rsidRPr="00C8551C" w:rsidRDefault="00C8551C" w:rsidP="00C6718A">
      <w:pPr>
        <w:pStyle w:val="Geenafstand"/>
        <w:spacing w:line="360" w:lineRule="auto"/>
        <w:rPr>
          <w:lang w:val="en-GB"/>
        </w:rPr>
      </w:pPr>
    </w:p>
    <w:p w14:paraId="26621398" w14:textId="0F8B68CC" w:rsidR="00C8551C" w:rsidRPr="00CC4494" w:rsidRDefault="00C8551C" w:rsidP="00CC4494">
      <w:pPr>
        <w:pStyle w:val="Kop1"/>
      </w:pPr>
      <w:r w:rsidRPr="00CC4494">
        <w:br w:type="page"/>
      </w:r>
    </w:p>
    <w:p w14:paraId="1BBB60A5" w14:textId="3FC93E26" w:rsidR="00F95BD0" w:rsidRPr="00400D25" w:rsidRDefault="00F95BD0" w:rsidP="00F95BD0">
      <w:pPr>
        <w:pStyle w:val="Kop1"/>
      </w:pPr>
      <w:bookmarkStart w:id="1" w:name="_Toc439346608"/>
      <w:r w:rsidRPr="00400D25">
        <w:lastRenderedPageBreak/>
        <w:t>Executive Summary</w:t>
      </w:r>
      <w:bookmarkEnd w:id="1"/>
      <w:r w:rsidR="003A0992" w:rsidRPr="00400D25">
        <w:t xml:space="preserve"> </w:t>
      </w:r>
    </w:p>
    <w:p w14:paraId="4E5D6FF1" w14:textId="5323AF3D" w:rsidR="00BB24B9" w:rsidRDefault="00136B97" w:rsidP="0046406E">
      <w:pPr>
        <w:spacing w:line="360" w:lineRule="auto"/>
        <w:jc w:val="both"/>
        <w:rPr>
          <w:lang w:val="en-GB"/>
        </w:rPr>
      </w:pPr>
      <w:r>
        <w:rPr>
          <w:lang w:val="en-GB"/>
        </w:rPr>
        <w:t>Several corporate failures heated up the debate</w:t>
      </w:r>
      <w:r w:rsidR="00346AC1">
        <w:rPr>
          <w:lang w:val="en-GB"/>
        </w:rPr>
        <w:t xml:space="preserve"> concerning executive compensation and financial reporting quality.</w:t>
      </w:r>
      <w:r w:rsidR="00A428FD">
        <w:rPr>
          <w:lang w:val="en-GB"/>
        </w:rPr>
        <w:t xml:space="preserve"> The provision of proper incentives is crucial in order to stimulate the </w:t>
      </w:r>
      <w:r w:rsidR="00AA7A24">
        <w:rPr>
          <w:lang w:val="en-GB"/>
        </w:rPr>
        <w:t xml:space="preserve">concerned executives </w:t>
      </w:r>
      <w:r w:rsidR="00DC0B11">
        <w:rPr>
          <w:lang w:val="en-GB"/>
        </w:rPr>
        <w:t xml:space="preserve">such as the CEO and CFO </w:t>
      </w:r>
      <w:r w:rsidR="00AA7A24">
        <w:rPr>
          <w:lang w:val="en-GB"/>
        </w:rPr>
        <w:t>and align them with the goals of the shareholders.</w:t>
      </w:r>
      <w:r w:rsidR="00DC0B11">
        <w:rPr>
          <w:lang w:val="en-GB"/>
        </w:rPr>
        <w:t xml:space="preserve"> Equity based compensation is widely used as </w:t>
      </w:r>
      <w:r w:rsidR="0064494E">
        <w:rPr>
          <w:lang w:val="en-GB"/>
        </w:rPr>
        <w:t xml:space="preserve">an </w:t>
      </w:r>
      <w:r w:rsidR="00DC0B11">
        <w:rPr>
          <w:lang w:val="en-GB"/>
        </w:rPr>
        <w:t xml:space="preserve">incentive for CFOs in order to maximize their performance in the line of the organisation. </w:t>
      </w:r>
      <w:r w:rsidR="00E96454">
        <w:rPr>
          <w:lang w:val="en-GB"/>
        </w:rPr>
        <w:t>In t</w:t>
      </w:r>
      <w:r w:rsidR="00AA7A24">
        <w:rPr>
          <w:lang w:val="en-GB"/>
        </w:rPr>
        <w:t xml:space="preserve">his </w:t>
      </w:r>
      <w:r w:rsidR="00E96454">
        <w:rPr>
          <w:lang w:val="en-GB"/>
        </w:rPr>
        <w:t>typical principal-agent setting, performance measu</w:t>
      </w:r>
      <w:r w:rsidR="00FE6428">
        <w:rPr>
          <w:lang w:val="en-GB"/>
        </w:rPr>
        <w:t>rement plays an important role.</w:t>
      </w:r>
      <w:r w:rsidR="00DC0B11" w:rsidRPr="00DC0B11">
        <w:rPr>
          <w:lang w:val="en-GB"/>
        </w:rPr>
        <w:t xml:space="preserve"> </w:t>
      </w:r>
      <w:r w:rsidR="00DC0B11">
        <w:rPr>
          <w:lang w:val="en-GB"/>
        </w:rPr>
        <w:t>However, previous research on CFO perform</w:t>
      </w:r>
      <w:r w:rsidR="00977D0C">
        <w:rPr>
          <w:lang w:val="en-GB"/>
        </w:rPr>
        <w:t>ance</w:t>
      </w:r>
      <w:r w:rsidR="00761F0D">
        <w:rPr>
          <w:lang w:val="en-GB"/>
        </w:rPr>
        <w:t xml:space="preserve"> measurement is scarce. Hoitash, Hoitash, &amp;</w:t>
      </w:r>
      <w:r w:rsidR="00977D0C">
        <w:rPr>
          <w:lang w:val="en-GB"/>
        </w:rPr>
        <w:t xml:space="preserve"> </w:t>
      </w:r>
      <w:r w:rsidR="00761F0D">
        <w:rPr>
          <w:lang w:val="en-GB"/>
        </w:rPr>
        <w:t xml:space="preserve">Johnstone </w:t>
      </w:r>
      <w:r w:rsidR="00977D0C">
        <w:rPr>
          <w:lang w:val="en-GB"/>
        </w:rPr>
        <w:t xml:space="preserve">(2012) and Indjejikian &amp; Matêjka </w:t>
      </w:r>
      <w:r w:rsidR="00761F0D">
        <w:rPr>
          <w:lang w:val="en-GB"/>
        </w:rPr>
        <w:t xml:space="preserve">(2009) </w:t>
      </w:r>
      <w:r w:rsidR="00977D0C">
        <w:rPr>
          <w:lang w:val="en-GB"/>
        </w:rPr>
        <w:t xml:space="preserve">analyse the CFO performance and divide </w:t>
      </w:r>
      <w:r w:rsidR="00264ADA">
        <w:rPr>
          <w:lang w:val="en-GB"/>
        </w:rPr>
        <w:t>this into the managerial and fiduciary performance.</w:t>
      </w:r>
      <w:r w:rsidR="00977D0C">
        <w:rPr>
          <w:lang w:val="en-GB"/>
        </w:rPr>
        <w:t xml:space="preserve"> </w:t>
      </w:r>
      <w:r w:rsidR="001A40DA">
        <w:rPr>
          <w:lang w:val="en-GB"/>
        </w:rPr>
        <w:t xml:space="preserve">Prior studies of proponents </w:t>
      </w:r>
      <w:r w:rsidR="00334846">
        <w:rPr>
          <w:lang w:val="en-GB"/>
        </w:rPr>
        <w:fldChar w:fldCharType="begin"/>
      </w:r>
      <w:r w:rsidR="00334846">
        <w:rPr>
          <w:lang w:val="en-GB"/>
        </w:rPr>
        <w:instrText>ADDIN RW.CITE{{56 Grossman,SanfordJ 1986 /pe.g. ; 57 Jensen,MichaelC 1990; 54 Hölmstrom,Bengt 1979}}</w:instrText>
      </w:r>
      <w:r w:rsidR="00334846">
        <w:rPr>
          <w:lang w:val="en-GB"/>
        </w:rPr>
        <w:fldChar w:fldCharType="separate"/>
      </w:r>
      <w:r w:rsidR="00254F5A" w:rsidRPr="00254F5A">
        <w:rPr>
          <w:rFonts w:ascii="Calibri" w:hAnsi="Calibri"/>
          <w:lang w:val="en-GB"/>
        </w:rPr>
        <w:t>(e.g. Grossman &amp; Hart, 1986; Hölmstrom, 1979; Jensen &amp; Murphy, 1990)</w:t>
      </w:r>
      <w:r w:rsidR="00334846">
        <w:rPr>
          <w:lang w:val="en-GB"/>
        </w:rPr>
        <w:fldChar w:fldCharType="end"/>
      </w:r>
      <w:r w:rsidR="00334846">
        <w:rPr>
          <w:lang w:val="en-GB"/>
        </w:rPr>
        <w:t xml:space="preserve"> </w:t>
      </w:r>
      <w:r w:rsidR="001A40DA">
        <w:rPr>
          <w:lang w:val="en-GB"/>
        </w:rPr>
        <w:t xml:space="preserve">and opponents </w:t>
      </w:r>
      <w:r w:rsidR="00334846">
        <w:rPr>
          <w:lang w:val="en-GB"/>
        </w:rPr>
        <w:fldChar w:fldCharType="begin"/>
      </w:r>
      <w:r w:rsidR="00BB24B9">
        <w:rPr>
          <w:lang w:val="en-GB"/>
        </w:rPr>
        <w:instrText>ADDIN RW.CITE{{64 Cheng,Qiang 2005; 65 Bergstresser,Daniel 2006; 68 Cheng,Qiang 2008; 60 Armstrong,ChristopherS. 2013 /pe.g. }}</w:instrText>
      </w:r>
      <w:r w:rsidR="00334846">
        <w:rPr>
          <w:lang w:val="en-GB"/>
        </w:rPr>
        <w:fldChar w:fldCharType="separate"/>
      </w:r>
      <w:r w:rsidR="00254F5A" w:rsidRPr="00254F5A">
        <w:rPr>
          <w:rFonts w:ascii="Calibri" w:hAnsi="Calibri"/>
          <w:lang w:val="en-GB"/>
        </w:rPr>
        <w:t>(e.g. Armstrong, Larcker, Ormazabal, &amp; Taylor, 2013; Bergstresser &amp; Philippon, 2006; Cheng &amp; Warfield, 2005; Cheng &amp; Farber, 2008)</w:t>
      </w:r>
      <w:r w:rsidR="00334846">
        <w:rPr>
          <w:lang w:val="en-GB"/>
        </w:rPr>
        <w:fldChar w:fldCharType="end"/>
      </w:r>
      <w:r w:rsidR="00BB24B9">
        <w:rPr>
          <w:lang w:val="en-GB"/>
        </w:rPr>
        <w:t xml:space="preserve"> </w:t>
      </w:r>
      <w:r w:rsidR="001A40DA">
        <w:rPr>
          <w:lang w:val="en-GB"/>
        </w:rPr>
        <w:t>of equity based compensation can be pointed out clearly</w:t>
      </w:r>
      <w:r w:rsidR="00E4465E">
        <w:rPr>
          <w:lang w:val="en-GB"/>
        </w:rPr>
        <w:t>,</w:t>
      </w:r>
      <w:r w:rsidR="00977FEC">
        <w:rPr>
          <w:lang w:val="en-GB"/>
        </w:rPr>
        <w:t xml:space="preserve"> but</w:t>
      </w:r>
      <w:r w:rsidR="001A40DA">
        <w:rPr>
          <w:lang w:val="en-GB"/>
        </w:rPr>
        <w:t xml:space="preserve"> do</w:t>
      </w:r>
      <w:r w:rsidR="00977FEC">
        <w:rPr>
          <w:lang w:val="en-GB"/>
        </w:rPr>
        <w:t xml:space="preserve"> not </w:t>
      </w:r>
      <w:r w:rsidR="00182356">
        <w:rPr>
          <w:lang w:val="en-GB"/>
        </w:rPr>
        <w:t>provide</w:t>
      </w:r>
      <w:r w:rsidR="00977FEC">
        <w:rPr>
          <w:lang w:val="en-GB"/>
        </w:rPr>
        <w:t xml:space="preserve"> </w:t>
      </w:r>
      <w:r w:rsidR="00182356">
        <w:rPr>
          <w:lang w:val="en-GB"/>
        </w:rPr>
        <w:t>consistent</w:t>
      </w:r>
      <w:r w:rsidR="00977FEC">
        <w:rPr>
          <w:lang w:val="en-GB"/>
        </w:rPr>
        <w:t xml:space="preserve"> results</w:t>
      </w:r>
      <w:r w:rsidR="00E4465E">
        <w:rPr>
          <w:lang w:val="en-GB"/>
        </w:rPr>
        <w:t>.</w:t>
      </w:r>
      <w:r w:rsidR="00AD72D3">
        <w:rPr>
          <w:lang w:val="en-GB"/>
        </w:rPr>
        <w:t xml:space="preserve"> This thesis links </w:t>
      </w:r>
      <w:r w:rsidR="00D36C9A">
        <w:rPr>
          <w:lang w:val="en-GB"/>
        </w:rPr>
        <w:t xml:space="preserve">CFO performance to CFO equity based compensation and </w:t>
      </w:r>
      <w:r w:rsidR="0064494E">
        <w:rPr>
          <w:lang w:val="en-GB"/>
        </w:rPr>
        <w:t>aims to answer</w:t>
      </w:r>
      <w:r w:rsidR="00D36C9A">
        <w:rPr>
          <w:lang w:val="en-GB"/>
        </w:rPr>
        <w:t xml:space="preserve"> the question: “What is the influence of equity based compensation on the managerial and fiduciary performance of the CFO?”.</w:t>
      </w:r>
    </w:p>
    <w:p w14:paraId="5FB55F30" w14:textId="55B93CF2" w:rsidR="00687CAB" w:rsidRDefault="00BB24B9" w:rsidP="0046406E">
      <w:pPr>
        <w:spacing w:line="360" w:lineRule="auto"/>
        <w:jc w:val="both"/>
        <w:rPr>
          <w:lang w:val="en-GB"/>
        </w:rPr>
      </w:pPr>
      <w:r>
        <w:rPr>
          <w:lang w:val="en-GB"/>
        </w:rPr>
        <w:t xml:space="preserve">The analysis is based on two databases of </w:t>
      </w:r>
      <w:r w:rsidR="0064494E">
        <w:rPr>
          <w:lang w:val="en-GB"/>
        </w:rPr>
        <w:t>“</w:t>
      </w:r>
      <w:r>
        <w:rPr>
          <w:lang w:val="en-GB"/>
        </w:rPr>
        <w:t>S&amp;P 1500</w:t>
      </w:r>
      <w:r w:rsidR="0064494E">
        <w:rPr>
          <w:lang w:val="en-GB"/>
        </w:rPr>
        <w:t>”</w:t>
      </w:r>
      <w:r>
        <w:rPr>
          <w:lang w:val="en-GB"/>
        </w:rPr>
        <w:t xml:space="preserve"> firms that are fused together into one database with CFO performance measures and CFO compensation data. This results in an initial dataset of 15936 records of 2314 unique firms </w:t>
      </w:r>
      <w:r w:rsidR="004C1C19">
        <w:rPr>
          <w:lang w:val="en-GB"/>
        </w:rPr>
        <w:t>for</w:t>
      </w:r>
      <w:r>
        <w:rPr>
          <w:lang w:val="en-GB"/>
        </w:rPr>
        <w:t xml:space="preserve"> the years 2006 to 2014. The statistical analysis uses </w:t>
      </w:r>
      <w:r w:rsidR="004C1C19">
        <w:rPr>
          <w:lang w:val="en-GB"/>
        </w:rPr>
        <w:t xml:space="preserve">an </w:t>
      </w:r>
      <w:r>
        <w:rPr>
          <w:lang w:val="en-GB"/>
        </w:rPr>
        <w:t>Independent T-test, One-Way ANOVA and Ordinary Least Squares regression</w:t>
      </w:r>
      <w:r w:rsidR="004C1C19">
        <w:rPr>
          <w:lang w:val="en-GB"/>
        </w:rPr>
        <w:t>, which</w:t>
      </w:r>
      <w:r>
        <w:rPr>
          <w:lang w:val="en-GB"/>
        </w:rPr>
        <w:t xml:space="preserve"> can all be found in the Appendix. The results indicate that the presence of equity in a CFO’s compensation package has a positive effect on CFO’s managerial performance, but no effect on CFO’s fiduciary performance. Moreover, an increase in the proportion of equity compensation has a positive association with CFO’s managerial performance</w:t>
      </w:r>
      <w:r w:rsidR="004C1C19">
        <w:rPr>
          <w:lang w:val="en-GB"/>
        </w:rPr>
        <w:t xml:space="preserve"> indicating a linear effect</w:t>
      </w:r>
      <w:r>
        <w:rPr>
          <w:lang w:val="en-GB"/>
        </w:rPr>
        <w:t>, but no association with his fiduciary performance. A regression indicates that the CFO’s managerial and fiduciary performance are not associated with CFO’s total performance. This undermines the assumption that CFO</w:t>
      </w:r>
      <w:r w:rsidR="00B44C65">
        <w:rPr>
          <w:lang w:val="en-GB"/>
        </w:rPr>
        <w:t>’s total duty consist of only a</w:t>
      </w:r>
      <w:r>
        <w:rPr>
          <w:lang w:val="en-GB"/>
        </w:rPr>
        <w:t xml:space="preserve"> managerial and fiduciary duty </w:t>
      </w:r>
      <w:r>
        <w:rPr>
          <w:lang w:val="en-GB"/>
        </w:rPr>
        <w:fldChar w:fldCharType="begin"/>
      </w:r>
      <w:r>
        <w:rPr>
          <w:lang w:val="en-GB"/>
        </w:rPr>
        <w:instrText>ADDIN RW.CITE{{6 Hoitash,Rani 2012; 7 Indjejikian,Raffi 2009}}</w:instrText>
      </w:r>
      <w:r>
        <w:rPr>
          <w:lang w:val="en-GB"/>
        </w:rPr>
        <w:fldChar w:fldCharType="separate"/>
      </w:r>
      <w:r w:rsidR="00254F5A" w:rsidRPr="00254F5A">
        <w:rPr>
          <w:rFonts w:ascii="Calibri" w:hAnsi="Calibri"/>
          <w:lang w:val="en-GB"/>
        </w:rPr>
        <w:t>(Hoitash, Hoitash, &amp; Johnstone, 2012; Indjejikian &amp; Matêjka, 2009)</w:t>
      </w:r>
      <w:r>
        <w:rPr>
          <w:lang w:val="en-GB"/>
        </w:rPr>
        <w:fldChar w:fldCharType="end"/>
      </w:r>
      <w:r>
        <w:rPr>
          <w:lang w:val="en-GB"/>
        </w:rPr>
        <w:t xml:space="preserve">. The association between the proportion of equity compensation and CFO total performance is not significant </w:t>
      </w:r>
      <w:r w:rsidR="00B44C65">
        <w:rPr>
          <w:lang w:val="en-GB"/>
        </w:rPr>
        <w:t>either</w:t>
      </w:r>
      <w:r>
        <w:rPr>
          <w:lang w:val="en-GB"/>
        </w:rPr>
        <w:t>. This means that the influence of equity in a compensation package on CFO performance is only significant for the managerial performance of the CFO, but not for the fiduciary and total CFO p</w:t>
      </w:r>
      <w:r w:rsidR="004C1C19">
        <w:rPr>
          <w:lang w:val="en-GB"/>
        </w:rPr>
        <w:t>erformance. T</w:t>
      </w:r>
      <w:r w:rsidR="00B44C65">
        <w:rPr>
          <w:lang w:val="en-GB"/>
        </w:rPr>
        <w:t>he</w:t>
      </w:r>
      <w:r>
        <w:rPr>
          <w:lang w:val="en-GB"/>
        </w:rPr>
        <w:t>s</w:t>
      </w:r>
      <w:r w:rsidR="00B44C65">
        <w:rPr>
          <w:lang w:val="en-GB"/>
        </w:rPr>
        <w:t>e</w:t>
      </w:r>
      <w:r>
        <w:rPr>
          <w:lang w:val="en-GB"/>
        </w:rPr>
        <w:t xml:space="preserve"> finding</w:t>
      </w:r>
      <w:r w:rsidR="00B44C65">
        <w:rPr>
          <w:lang w:val="en-GB"/>
        </w:rPr>
        <w:t>s contribute</w:t>
      </w:r>
      <w:r>
        <w:rPr>
          <w:lang w:val="en-GB"/>
        </w:rPr>
        <w:t xml:space="preserve"> to the discussion with regar</w:t>
      </w:r>
      <w:r w:rsidR="00B44C65">
        <w:rPr>
          <w:lang w:val="en-GB"/>
        </w:rPr>
        <w:t>d to equity compensati</w:t>
      </w:r>
      <w:r w:rsidR="004C1C19">
        <w:rPr>
          <w:lang w:val="en-GB"/>
        </w:rPr>
        <w:t>on, yet remain inconclusive</w:t>
      </w:r>
      <w:r w:rsidR="00687CAB">
        <w:rPr>
          <w:lang w:val="en-GB"/>
        </w:rPr>
        <w:t xml:space="preserve">. </w:t>
      </w:r>
    </w:p>
    <w:p w14:paraId="67CDEC21" w14:textId="75E3E309" w:rsidR="00DD495C" w:rsidRDefault="002D0739" w:rsidP="0046406E">
      <w:pPr>
        <w:spacing w:line="360" w:lineRule="auto"/>
        <w:jc w:val="both"/>
        <w:rPr>
          <w:lang w:val="en-GB"/>
        </w:rPr>
      </w:pPr>
      <w:r>
        <w:rPr>
          <w:lang w:val="en-GB"/>
        </w:rPr>
        <w:lastRenderedPageBreak/>
        <w:t xml:space="preserve">Regarding the principal-agent setting, </w:t>
      </w:r>
      <w:r w:rsidR="00624B0D">
        <w:rPr>
          <w:lang w:val="en-GB"/>
        </w:rPr>
        <w:t>one could</w:t>
      </w:r>
      <w:r>
        <w:rPr>
          <w:lang w:val="en-GB"/>
        </w:rPr>
        <w:t xml:space="preserve"> conclude from this study that</w:t>
      </w:r>
      <w:r w:rsidR="00F84D59">
        <w:rPr>
          <w:lang w:val="en-GB"/>
        </w:rPr>
        <w:t xml:space="preserve"> </w:t>
      </w:r>
      <w:r w:rsidR="00DD495C">
        <w:rPr>
          <w:lang w:val="en-GB"/>
        </w:rPr>
        <w:t>equity based compensation</w:t>
      </w:r>
      <w:r w:rsidR="00F84D59">
        <w:rPr>
          <w:lang w:val="en-GB"/>
        </w:rPr>
        <w:t xml:space="preserve"> only partially </w:t>
      </w:r>
      <w:r>
        <w:rPr>
          <w:lang w:val="en-GB"/>
        </w:rPr>
        <w:t>stimulates</w:t>
      </w:r>
      <w:r w:rsidR="00F84D59">
        <w:rPr>
          <w:lang w:val="en-GB"/>
        </w:rPr>
        <w:t xml:space="preserve"> executive motivation, namely regarding managerial performance.</w:t>
      </w:r>
      <w:r>
        <w:rPr>
          <w:lang w:val="en-GB"/>
        </w:rPr>
        <w:t xml:space="preserve"> </w:t>
      </w:r>
      <w:r w:rsidR="00DD495C">
        <w:rPr>
          <w:lang w:val="en-GB"/>
        </w:rPr>
        <w:t xml:space="preserve"> </w:t>
      </w:r>
    </w:p>
    <w:p w14:paraId="27EF70B8" w14:textId="6A33C82C" w:rsidR="001F2C19" w:rsidRDefault="002D0739" w:rsidP="0046406E">
      <w:pPr>
        <w:spacing w:line="360" w:lineRule="auto"/>
        <w:jc w:val="both"/>
        <w:rPr>
          <w:lang w:val="en-GB"/>
        </w:rPr>
      </w:pPr>
      <w:r>
        <w:rPr>
          <w:lang w:val="en-GB"/>
        </w:rPr>
        <w:t>F</w:t>
      </w:r>
      <w:r w:rsidR="00782DA9">
        <w:rPr>
          <w:lang w:val="en-GB"/>
        </w:rPr>
        <w:t xml:space="preserve">rom an internal control point of view, </w:t>
      </w:r>
      <w:r>
        <w:rPr>
          <w:lang w:val="en-GB"/>
        </w:rPr>
        <w:t xml:space="preserve">this implies that </w:t>
      </w:r>
      <w:r w:rsidR="00782DA9">
        <w:rPr>
          <w:lang w:val="en-GB"/>
        </w:rPr>
        <w:t xml:space="preserve">equity compensation </w:t>
      </w:r>
      <w:r w:rsidR="00687CAB">
        <w:rPr>
          <w:lang w:val="en-GB"/>
        </w:rPr>
        <w:t>is highly ineffective to stimulate fiduciary performance</w:t>
      </w:r>
      <w:r w:rsidR="001F2C19">
        <w:rPr>
          <w:lang w:val="en-GB"/>
        </w:rPr>
        <w:t xml:space="preserve">. From the perspective of SOx initiators and enforcers, this means that there is still too much </w:t>
      </w:r>
      <w:r>
        <w:rPr>
          <w:lang w:val="en-GB"/>
        </w:rPr>
        <w:t>reliance</w:t>
      </w:r>
      <w:r w:rsidR="001F2C19">
        <w:rPr>
          <w:lang w:val="en-GB"/>
        </w:rPr>
        <w:t xml:space="preserve"> on financial performance and too little on fiduciary performance. </w:t>
      </w:r>
    </w:p>
    <w:p w14:paraId="17889DED" w14:textId="3D8B5CFF" w:rsidR="00C8551C" w:rsidRDefault="00624B0D" w:rsidP="0046406E">
      <w:pPr>
        <w:spacing w:line="360" w:lineRule="auto"/>
        <w:jc w:val="both"/>
        <w:rPr>
          <w:lang w:val="en-GB"/>
        </w:rPr>
      </w:pPr>
      <w:r>
        <w:rPr>
          <w:lang w:val="en-GB"/>
        </w:rPr>
        <w:t xml:space="preserve">These conclusions are less in line with current literature than expected. </w:t>
      </w:r>
      <w:r w:rsidR="0064494E">
        <w:rPr>
          <w:lang w:val="en-GB"/>
        </w:rPr>
        <w:t xml:space="preserve">Possibly due to undermining </w:t>
      </w:r>
      <w:r>
        <w:rPr>
          <w:lang w:val="en-GB"/>
        </w:rPr>
        <w:t xml:space="preserve">a fundamental assumption that CFO’s total performance is the sum of managerial and fiduciary performance </w:t>
      </w:r>
      <w:r>
        <w:rPr>
          <w:lang w:val="en-GB"/>
        </w:rPr>
        <w:fldChar w:fldCharType="begin"/>
      </w:r>
      <w:r>
        <w:rPr>
          <w:lang w:val="en-GB"/>
        </w:rPr>
        <w:instrText>ADDIN RW.CITE{{6 Hoitash,Rani 2012; 7 Indjejikian,Raffi 2009}}</w:instrText>
      </w:r>
      <w:r>
        <w:rPr>
          <w:lang w:val="en-GB"/>
        </w:rPr>
        <w:fldChar w:fldCharType="separate"/>
      </w:r>
      <w:r w:rsidRPr="00254F5A">
        <w:rPr>
          <w:rFonts w:ascii="Calibri" w:hAnsi="Calibri"/>
          <w:lang w:val="en-GB"/>
        </w:rPr>
        <w:t>(Hoitash et al., 2012; Indjejikian &amp; Matêjka, 2009)</w:t>
      </w:r>
      <w:r>
        <w:rPr>
          <w:lang w:val="en-GB"/>
        </w:rPr>
        <w:fldChar w:fldCharType="end"/>
      </w:r>
      <w:r>
        <w:rPr>
          <w:lang w:val="en-GB"/>
        </w:rPr>
        <w:t>. However, t</w:t>
      </w:r>
      <w:r w:rsidR="006D5212">
        <w:rPr>
          <w:lang w:val="en-GB"/>
        </w:rPr>
        <w:t>his study shows that t</w:t>
      </w:r>
      <w:r w:rsidR="001F2C19">
        <w:rPr>
          <w:lang w:val="en-GB"/>
        </w:rPr>
        <w:t xml:space="preserve">he measurement of CFO performance should be more sophisticated than the variables used in this study, since a regression </w:t>
      </w:r>
      <w:r w:rsidR="002D0739">
        <w:rPr>
          <w:lang w:val="en-GB"/>
        </w:rPr>
        <w:t>indicates</w:t>
      </w:r>
      <w:r w:rsidR="001F2C19">
        <w:rPr>
          <w:lang w:val="en-GB"/>
        </w:rPr>
        <w:t xml:space="preserve"> that CFO total performance is not associated with either managerial performance or fiduciary performance. </w:t>
      </w:r>
    </w:p>
    <w:p w14:paraId="396B6456" w14:textId="77777777" w:rsidR="00C8551C" w:rsidRDefault="00C8551C">
      <w:pPr>
        <w:rPr>
          <w:lang w:val="en-GB"/>
        </w:rPr>
      </w:pPr>
      <w:r>
        <w:rPr>
          <w:lang w:val="en-GB"/>
        </w:rPr>
        <w:br w:type="page"/>
      </w:r>
    </w:p>
    <w:p w14:paraId="2F3ECAE2" w14:textId="36AD3B1F" w:rsidR="006C3DF1" w:rsidRPr="00346AC1" w:rsidRDefault="00C8551C" w:rsidP="003F4802">
      <w:pPr>
        <w:rPr>
          <w:lang w:val="en-GB"/>
        </w:rPr>
      </w:pPr>
      <w:r>
        <w:rPr>
          <w:lang w:val="en-GB"/>
        </w:rPr>
        <w:lastRenderedPageBreak/>
        <w:br w:type="page"/>
      </w:r>
    </w:p>
    <w:sdt>
      <w:sdtPr>
        <w:rPr>
          <w:rFonts w:asciiTheme="minorHAnsi" w:eastAsiaTheme="minorHAnsi" w:hAnsiTheme="minorHAnsi" w:cstheme="minorBidi"/>
          <w:b w:val="0"/>
          <w:bCs w:val="0"/>
          <w:sz w:val="22"/>
          <w:szCs w:val="22"/>
          <w:lang w:val="nl-NL" w:eastAsia="en-US"/>
        </w:rPr>
        <w:id w:val="1508181146"/>
        <w:docPartObj>
          <w:docPartGallery w:val="Table of Contents"/>
          <w:docPartUnique/>
        </w:docPartObj>
      </w:sdtPr>
      <w:sdtContent>
        <w:p w14:paraId="3140E405" w14:textId="1A6E0A2C" w:rsidR="00783837" w:rsidRDefault="002050AA">
          <w:pPr>
            <w:pStyle w:val="Kopvaninhoudsopgave"/>
          </w:pPr>
          <w:r>
            <w:t>Content</w:t>
          </w:r>
        </w:p>
        <w:p w14:paraId="0B56500A" w14:textId="77777777" w:rsidR="00F32C04" w:rsidRDefault="00B712B1">
          <w:pPr>
            <w:pStyle w:val="Inhopg1"/>
            <w:tabs>
              <w:tab w:val="right" w:leader="dot" w:pos="9062"/>
            </w:tabs>
            <w:rPr>
              <w:rFonts w:eastAsiaTheme="minorEastAsia"/>
              <w:noProof/>
              <w:lang w:val="en-GB" w:eastAsia="en-GB"/>
            </w:rPr>
          </w:pPr>
          <w:r>
            <w:fldChar w:fldCharType="begin"/>
          </w:r>
          <w:r>
            <w:instrText xml:space="preserve"> TOC \o "1-4" \h \z \u </w:instrText>
          </w:r>
          <w:r>
            <w:fldChar w:fldCharType="separate"/>
          </w:r>
          <w:hyperlink w:anchor="_Toc439346607" w:history="1">
            <w:r w:rsidR="00F32C04" w:rsidRPr="00346EA6">
              <w:rPr>
                <w:rStyle w:val="Hyperlink"/>
                <w:noProof/>
              </w:rPr>
              <w:t>Abstract</w:t>
            </w:r>
            <w:r w:rsidR="00F32C04">
              <w:rPr>
                <w:noProof/>
                <w:webHidden/>
              </w:rPr>
              <w:tab/>
            </w:r>
            <w:r w:rsidR="00F32C04">
              <w:rPr>
                <w:noProof/>
                <w:webHidden/>
              </w:rPr>
              <w:fldChar w:fldCharType="begin"/>
            </w:r>
            <w:r w:rsidR="00F32C04">
              <w:rPr>
                <w:noProof/>
                <w:webHidden/>
              </w:rPr>
              <w:instrText xml:space="preserve"> PAGEREF _Toc439346607 \h </w:instrText>
            </w:r>
            <w:r w:rsidR="00F32C04">
              <w:rPr>
                <w:noProof/>
                <w:webHidden/>
              </w:rPr>
            </w:r>
            <w:r w:rsidR="00F32C04">
              <w:rPr>
                <w:noProof/>
                <w:webHidden/>
              </w:rPr>
              <w:fldChar w:fldCharType="separate"/>
            </w:r>
            <w:r w:rsidR="004043A1">
              <w:rPr>
                <w:noProof/>
                <w:webHidden/>
              </w:rPr>
              <w:t>2</w:t>
            </w:r>
            <w:r w:rsidR="00F32C04">
              <w:rPr>
                <w:noProof/>
                <w:webHidden/>
              </w:rPr>
              <w:fldChar w:fldCharType="end"/>
            </w:r>
          </w:hyperlink>
        </w:p>
        <w:p w14:paraId="0949339B" w14:textId="77777777" w:rsidR="00F32C04" w:rsidRDefault="00F32C04">
          <w:pPr>
            <w:pStyle w:val="Inhopg1"/>
            <w:tabs>
              <w:tab w:val="right" w:leader="dot" w:pos="9062"/>
            </w:tabs>
            <w:rPr>
              <w:rFonts w:eastAsiaTheme="minorEastAsia"/>
              <w:noProof/>
              <w:lang w:val="en-GB" w:eastAsia="en-GB"/>
            </w:rPr>
          </w:pPr>
          <w:hyperlink w:anchor="_Toc439346608" w:history="1">
            <w:r w:rsidRPr="00346EA6">
              <w:rPr>
                <w:rStyle w:val="Hyperlink"/>
                <w:noProof/>
              </w:rPr>
              <w:t>Executive Summary</w:t>
            </w:r>
            <w:r>
              <w:rPr>
                <w:noProof/>
                <w:webHidden/>
              </w:rPr>
              <w:tab/>
            </w:r>
            <w:r>
              <w:rPr>
                <w:noProof/>
                <w:webHidden/>
              </w:rPr>
              <w:fldChar w:fldCharType="begin"/>
            </w:r>
            <w:r>
              <w:rPr>
                <w:noProof/>
                <w:webHidden/>
              </w:rPr>
              <w:instrText xml:space="preserve"> PAGEREF _Toc439346608 \h </w:instrText>
            </w:r>
            <w:r>
              <w:rPr>
                <w:noProof/>
                <w:webHidden/>
              </w:rPr>
            </w:r>
            <w:r>
              <w:rPr>
                <w:noProof/>
                <w:webHidden/>
              </w:rPr>
              <w:fldChar w:fldCharType="separate"/>
            </w:r>
            <w:r w:rsidR="004043A1">
              <w:rPr>
                <w:noProof/>
                <w:webHidden/>
              </w:rPr>
              <w:t>3</w:t>
            </w:r>
            <w:r>
              <w:rPr>
                <w:noProof/>
                <w:webHidden/>
              </w:rPr>
              <w:fldChar w:fldCharType="end"/>
            </w:r>
          </w:hyperlink>
        </w:p>
        <w:p w14:paraId="584D6C9B" w14:textId="77777777" w:rsidR="00F32C04" w:rsidRDefault="00F32C04">
          <w:pPr>
            <w:pStyle w:val="Inhopg1"/>
            <w:tabs>
              <w:tab w:val="right" w:leader="dot" w:pos="9062"/>
            </w:tabs>
            <w:rPr>
              <w:rFonts w:eastAsiaTheme="minorEastAsia"/>
              <w:noProof/>
              <w:lang w:val="en-GB" w:eastAsia="en-GB"/>
            </w:rPr>
          </w:pPr>
          <w:hyperlink w:anchor="_Toc439346609" w:history="1">
            <w:r w:rsidRPr="00346EA6">
              <w:rPr>
                <w:rStyle w:val="Hyperlink"/>
                <w:noProof/>
              </w:rPr>
              <w:t>1 Introduction</w:t>
            </w:r>
            <w:r>
              <w:rPr>
                <w:noProof/>
                <w:webHidden/>
              </w:rPr>
              <w:tab/>
            </w:r>
            <w:r>
              <w:rPr>
                <w:noProof/>
                <w:webHidden/>
              </w:rPr>
              <w:fldChar w:fldCharType="begin"/>
            </w:r>
            <w:r>
              <w:rPr>
                <w:noProof/>
                <w:webHidden/>
              </w:rPr>
              <w:instrText xml:space="preserve"> PAGEREF _Toc439346609 \h </w:instrText>
            </w:r>
            <w:r>
              <w:rPr>
                <w:noProof/>
                <w:webHidden/>
              </w:rPr>
            </w:r>
            <w:r>
              <w:rPr>
                <w:noProof/>
                <w:webHidden/>
              </w:rPr>
              <w:fldChar w:fldCharType="separate"/>
            </w:r>
            <w:r w:rsidR="004043A1">
              <w:rPr>
                <w:noProof/>
                <w:webHidden/>
              </w:rPr>
              <w:t>8</w:t>
            </w:r>
            <w:r>
              <w:rPr>
                <w:noProof/>
                <w:webHidden/>
              </w:rPr>
              <w:fldChar w:fldCharType="end"/>
            </w:r>
          </w:hyperlink>
        </w:p>
        <w:p w14:paraId="2D4C66CE" w14:textId="77777777" w:rsidR="00F32C04" w:rsidRDefault="00F32C04">
          <w:pPr>
            <w:pStyle w:val="Inhopg2"/>
            <w:tabs>
              <w:tab w:val="right" w:leader="dot" w:pos="9062"/>
            </w:tabs>
            <w:rPr>
              <w:rFonts w:eastAsiaTheme="minorEastAsia"/>
              <w:noProof/>
              <w:lang w:val="en-GB" w:eastAsia="en-GB"/>
            </w:rPr>
          </w:pPr>
          <w:hyperlink w:anchor="_Toc439346610" w:history="1">
            <w:r w:rsidRPr="00346EA6">
              <w:rPr>
                <w:rStyle w:val="Hyperlink"/>
                <w:noProof/>
              </w:rPr>
              <w:t>1.1 Research question</w:t>
            </w:r>
            <w:r>
              <w:rPr>
                <w:noProof/>
                <w:webHidden/>
              </w:rPr>
              <w:tab/>
            </w:r>
            <w:r>
              <w:rPr>
                <w:noProof/>
                <w:webHidden/>
              </w:rPr>
              <w:fldChar w:fldCharType="begin"/>
            </w:r>
            <w:r>
              <w:rPr>
                <w:noProof/>
                <w:webHidden/>
              </w:rPr>
              <w:instrText xml:space="preserve"> PAGEREF _Toc439346610 \h </w:instrText>
            </w:r>
            <w:r>
              <w:rPr>
                <w:noProof/>
                <w:webHidden/>
              </w:rPr>
            </w:r>
            <w:r>
              <w:rPr>
                <w:noProof/>
                <w:webHidden/>
              </w:rPr>
              <w:fldChar w:fldCharType="separate"/>
            </w:r>
            <w:r w:rsidR="004043A1">
              <w:rPr>
                <w:noProof/>
                <w:webHidden/>
              </w:rPr>
              <w:t>9</w:t>
            </w:r>
            <w:r>
              <w:rPr>
                <w:noProof/>
                <w:webHidden/>
              </w:rPr>
              <w:fldChar w:fldCharType="end"/>
            </w:r>
          </w:hyperlink>
        </w:p>
        <w:p w14:paraId="6710C061" w14:textId="77777777" w:rsidR="00F32C04" w:rsidRDefault="00F32C04">
          <w:pPr>
            <w:pStyle w:val="Inhopg2"/>
            <w:tabs>
              <w:tab w:val="right" w:leader="dot" w:pos="9062"/>
            </w:tabs>
            <w:rPr>
              <w:rFonts w:eastAsiaTheme="minorEastAsia"/>
              <w:noProof/>
              <w:lang w:val="en-GB" w:eastAsia="en-GB"/>
            </w:rPr>
          </w:pPr>
          <w:hyperlink w:anchor="_Toc439346611" w:history="1">
            <w:r w:rsidRPr="00346EA6">
              <w:rPr>
                <w:rStyle w:val="Hyperlink"/>
                <w:noProof/>
              </w:rPr>
              <w:t>1.2 Managerial relevance</w:t>
            </w:r>
            <w:r>
              <w:rPr>
                <w:noProof/>
                <w:webHidden/>
              </w:rPr>
              <w:tab/>
            </w:r>
            <w:r>
              <w:rPr>
                <w:noProof/>
                <w:webHidden/>
              </w:rPr>
              <w:fldChar w:fldCharType="begin"/>
            </w:r>
            <w:r>
              <w:rPr>
                <w:noProof/>
                <w:webHidden/>
              </w:rPr>
              <w:instrText xml:space="preserve"> PAGEREF _Toc439346611 \h </w:instrText>
            </w:r>
            <w:r>
              <w:rPr>
                <w:noProof/>
                <w:webHidden/>
              </w:rPr>
            </w:r>
            <w:r>
              <w:rPr>
                <w:noProof/>
                <w:webHidden/>
              </w:rPr>
              <w:fldChar w:fldCharType="separate"/>
            </w:r>
            <w:r w:rsidR="004043A1">
              <w:rPr>
                <w:noProof/>
                <w:webHidden/>
              </w:rPr>
              <w:t>9</w:t>
            </w:r>
            <w:r>
              <w:rPr>
                <w:noProof/>
                <w:webHidden/>
              </w:rPr>
              <w:fldChar w:fldCharType="end"/>
            </w:r>
          </w:hyperlink>
        </w:p>
        <w:p w14:paraId="08B13763" w14:textId="77777777" w:rsidR="00F32C04" w:rsidRDefault="00F32C04">
          <w:pPr>
            <w:pStyle w:val="Inhopg2"/>
            <w:tabs>
              <w:tab w:val="right" w:leader="dot" w:pos="9062"/>
            </w:tabs>
            <w:rPr>
              <w:rFonts w:eastAsiaTheme="minorEastAsia"/>
              <w:noProof/>
              <w:lang w:val="en-GB" w:eastAsia="en-GB"/>
            </w:rPr>
          </w:pPr>
          <w:hyperlink w:anchor="_Toc439346612" w:history="1">
            <w:r w:rsidRPr="00346EA6">
              <w:rPr>
                <w:rStyle w:val="Hyperlink"/>
                <w:noProof/>
              </w:rPr>
              <w:t>1.3 Scientific relevance</w:t>
            </w:r>
            <w:r>
              <w:rPr>
                <w:noProof/>
                <w:webHidden/>
              </w:rPr>
              <w:tab/>
            </w:r>
            <w:r>
              <w:rPr>
                <w:noProof/>
                <w:webHidden/>
              </w:rPr>
              <w:fldChar w:fldCharType="begin"/>
            </w:r>
            <w:r>
              <w:rPr>
                <w:noProof/>
                <w:webHidden/>
              </w:rPr>
              <w:instrText xml:space="preserve"> PAGEREF _Toc439346612 \h </w:instrText>
            </w:r>
            <w:r>
              <w:rPr>
                <w:noProof/>
                <w:webHidden/>
              </w:rPr>
            </w:r>
            <w:r>
              <w:rPr>
                <w:noProof/>
                <w:webHidden/>
              </w:rPr>
              <w:fldChar w:fldCharType="separate"/>
            </w:r>
            <w:r w:rsidR="004043A1">
              <w:rPr>
                <w:noProof/>
                <w:webHidden/>
              </w:rPr>
              <w:t>10</w:t>
            </w:r>
            <w:r>
              <w:rPr>
                <w:noProof/>
                <w:webHidden/>
              </w:rPr>
              <w:fldChar w:fldCharType="end"/>
            </w:r>
          </w:hyperlink>
        </w:p>
        <w:p w14:paraId="11A684E5" w14:textId="77777777" w:rsidR="00F32C04" w:rsidRDefault="00F32C04">
          <w:pPr>
            <w:pStyle w:val="Inhopg2"/>
            <w:tabs>
              <w:tab w:val="right" w:leader="dot" w:pos="9062"/>
            </w:tabs>
            <w:rPr>
              <w:rFonts w:eastAsiaTheme="minorEastAsia"/>
              <w:noProof/>
              <w:lang w:val="en-GB" w:eastAsia="en-GB"/>
            </w:rPr>
          </w:pPr>
          <w:hyperlink w:anchor="_Toc439346613" w:history="1">
            <w:r w:rsidRPr="00346EA6">
              <w:rPr>
                <w:rStyle w:val="Hyperlink"/>
                <w:noProof/>
              </w:rPr>
              <w:t>1.4 Outline</w:t>
            </w:r>
            <w:r>
              <w:rPr>
                <w:noProof/>
                <w:webHidden/>
              </w:rPr>
              <w:tab/>
            </w:r>
            <w:r>
              <w:rPr>
                <w:noProof/>
                <w:webHidden/>
              </w:rPr>
              <w:fldChar w:fldCharType="begin"/>
            </w:r>
            <w:r>
              <w:rPr>
                <w:noProof/>
                <w:webHidden/>
              </w:rPr>
              <w:instrText xml:space="preserve"> PAGEREF _Toc439346613 \h </w:instrText>
            </w:r>
            <w:r>
              <w:rPr>
                <w:noProof/>
                <w:webHidden/>
              </w:rPr>
            </w:r>
            <w:r>
              <w:rPr>
                <w:noProof/>
                <w:webHidden/>
              </w:rPr>
              <w:fldChar w:fldCharType="separate"/>
            </w:r>
            <w:r w:rsidR="004043A1">
              <w:rPr>
                <w:noProof/>
                <w:webHidden/>
              </w:rPr>
              <w:t>10</w:t>
            </w:r>
            <w:r>
              <w:rPr>
                <w:noProof/>
                <w:webHidden/>
              </w:rPr>
              <w:fldChar w:fldCharType="end"/>
            </w:r>
          </w:hyperlink>
        </w:p>
        <w:p w14:paraId="3C44F3F2" w14:textId="77777777" w:rsidR="00F32C04" w:rsidRDefault="00F32C04">
          <w:pPr>
            <w:pStyle w:val="Inhopg1"/>
            <w:tabs>
              <w:tab w:val="right" w:leader="dot" w:pos="9062"/>
            </w:tabs>
            <w:rPr>
              <w:rFonts w:eastAsiaTheme="minorEastAsia"/>
              <w:noProof/>
              <w:lang w:val="en-GB" w:eastAsia="en-GB"/>
            </w:rPr>
          </w:pPr>
          <w:hyperlink w:anchor="_Toc439346614" w:history="1">
            <w:r w:rsidRPr="00346EA6">
              <w:rPr>
                <w:rStyle w:val="Hyperlink"/>
                <w:noProof/>
              </w:rPr>
              <w:t>2 Literature review</w:t>
            </w:r>
            <w:r>
              <w:rPr>
                <w:noProof/>
                <w:webHidden/>
              </w:rPr>
              <w:tab/>
            </w:r>
            <w:r>
              <w:rPr>
                <w:noProof/>
                <w:webHidden/>
              </w:rPr>
              <w:fldChar w:fldCharType="begin"/>
            </w:r>
            <w:r>
              <w:rPr>
                <w:noProof/>
                <w:webHidden/>
              </w:rPr>
              <w:instrText xml:space="preserve"> PAGEREF _Toc439346614 \h </w:instrText>
            </w:r>
            <w:r>
              <w:rPr>
                <w:noProof/>
                <w:webHidden/>
              </w:rPr>
            </w:r>
            <w:r>
              <w:rPr>
                <w:noProof/>
                <w:webHidden/>
              </w:rPr>
              <w:fldChar w:fldCharType="separate"/>
            </w:r>
            <w:r w:rsidR="004043A1">
              <w:rPr>
                <w:noProof/>
                <w:webHidden/>
              </w:rPr>
              <w:t>12</w:t>
            </w:r>
            <w:r>
              <w:rPr>
                <w:noProof/>
                <w:webHidden/>
              </w:rPr>
              <w:fldChar w:fldCharType="end"/>
            </w:r>
          </w:hyperlink>
        </w:p>
        <w:p w14:paraId="3C4F71F1" w14:textId="77777777" w:rsidR="00F32C04" w:rsidRDefault="00F32C04">
          <w:pPr>
            <w:pStyle w:val="Inhopg2"/>
            <w:tabs>
              <w:tab w:val="right" w:leader="dot" w:pos="9062"/>
            </w:tabs>
            <w:rPr>
              <w:rFonts w:eastAsiaTheme="minorEastAsia"/>
              <w:noProof/>
              <w:lang w:val="en-GB" w:eastAsia="en-GB"/>
            </w:rPr>
          </w:pPr>
          <w:hyperlink w:anchor="_Toc439346615" w:history="1">
            <w:r w:rsidRPr="00346EA6">
              <w:rPr>
                <w:rStyle w:val="Hyperlink"/>
                <w:noProof/>
              </w:rPr>
              <w:t>2.1 The CFO within the governance structure</w:t>
            </w:r>
            <w:r>
              <w:rPr>
                <w:noProof/>
                <w:webHidden/>
              </w:rPr>
              <w:tab/>
            </w:r>
            <w:r>
              <w:rPr>
                <w:noProof/>
                <w:webHidden/>
              </w:rPr>
              <w:fldChar w:fldCharType="begin"/>
            </w:r>
            <w:r>
              <w:rPr>
                <w:noProof/>
                <w:webHidden/>
              </w:rPr>
              <w:instrText xml:space="preserve"> PAGEREF _Toc439346615 \h </w:instrText>
            </w:r>
            <w:r>
              <w:rPr>
                <w:noProof/>
                <w:webHidden/>
              </w:rPr>
            </w:r>
            <w:r>
              <w:rPr>
                <w:noProof/>
                <w:webHidden/>
              </w:rPr>
              <w:fldChar w:fldCharType="separate"/>
            </w:r>
            <w:r w:rsidR="004043A1">
              <w:rPr>
                <w:noProof/>
                <w:webHidden/>
              </w:rPr>
              <w:t>12</w:t>
            </w:r>
            <w:r>
              <w:rPr>
                <w:noProof/>
                <w:webHidden/>
              </w:rPr>
              <w:fldChar w:fldCharType="end"/>
            </w:r>
          </w:hyperlink>
        </w:p>
        <w:p w14:paraId="4ED2FB06" w14:textId="77777777" w:rsidR="00F32C04" w:rsidRDefault="00F32C04">
          <w:pPr>
            <w:pStyle w:val="Inhopg3"/>
            <w:tabs>
              <w:tab w:val="right" w:leader="dot" w:pos="9062"/>
            </w:tabs>
            <w:rPr>
              <w:rFonts w:eastAsiaTheme="minorEastAsia"/>
              <w:noProof/>
              <w:lang w:val="en-GB" w:eastAsia="en-GB"/>
            </w:rPr>
          </w:pPr>
          <w:hyperlink w:anchor="_Toc439346616" w:history="1">
            <w:r w:rsidRPr="00346EA6">
              <w:rPr>
                <w:rStyle w:val="Hyperlink"/>
                <w:noProof/>
              </w:rPr>
              <w:t>2.1.1 Agency theory</w:t>
            </w:r>
            <w:r>
              <w:rPr>
                <w:noProof/>
                <w:webHidden/>
              </w:rPr>
              <w:tab/>
            </w:r>
            <w:r>
              <w:rPr>
                <w:noProof/>
                <w:webHidden/>
              </w:rPr>
              <w:fldChar w:fldCharType="begin"/>
            </w:r>
            <w:r>
              <w:rPr>
                <w:noProof/>
                <w:webHidden/>
              </w:rPr>
              <w:instrText xml:space="preserve"> PAGEREF _Toc439346616 \h </w:instrText>
            </w:r>
            <w:r>
              <w:rPr>
                <w:noProof/>
                <w:webHidden/>
              </w:rPr>
            </w:r>
            <w:r>
              <w:rPr>
                <w:noProof/>
                <w:webHidden/>
              </w:rPr>
              <w:fldChar w:fldCharType="separate"/>
            </w:r>
            <w:r w:rsidR="004043A1">
              <w:rPr>
                <w:noProof/>
                <w:webHidden/>
              </w:rPr>
              <w:t>12</w:t>
            </w:r>
            <w:r>
              <w:rPr>
                <w:noProof/>
                <w:webHidden/>
              </w:rPr>
              <w:fldChar w:fldCharType="end"/>
            </w:r>
          </w:hyperlink>
        </w:p>
        <w:p w14:paraId="0EF4F22B" w14:textId="77777777" w:rsidR="00F32C04" w:rsidRDefault="00F32C04">
          <w:pPr>
            <w:pStyle w:val="Inhopg2"/>
            <w:tabs>
              <w:tab w:val="right" w:leader="dot" w:pos="9062"/>
            </w:tabs>
            <w:rPr>
              <w:rFonts w:eastAsiaTheme="minorEastAsia"/>
              <w:noProof/>
              <w:lang w:val="en-GB" w:eastAsia="en-GB"/>
            </w:rPr>
          </w:pPr>
          <w:hyperlink w:anchor="_Toc439346617" w:history="1">
            <w:r w:rsidRPr="00346EA6">
              <w:rPr>
                <w:rStyle w:val="Hyperlink"/>
                <w:noProof/>
              </w:rPr>
              <w:t>2.2 Control systems</w:t>
            </w:r>
            <w:r>
              <w:rPr>
                <w:noProof/>
                <w:webHidden/>
              </w:rPr>
              <w:tab/>
            </w:r>
            <w:r>
              <w:rPr>
                <w:noProof/>
                <w:webHidden/>
              </w:rPr>
              <w:fldChar w:fldCharType="begin"/>
            </w:r>
            <w:r>
              <w:rPr>
                <w:noProof/>
                <w:webHidden/>
              </w:rPr>
              <w:instrText xml:space="preserve"> PAGEREF _Toc439346617 \h </w:instrText>
            </w:r>
            <w:r>
              <w:rPr>
                <w:noProof/>
                <w:webHidden/>
              </w:rPr>
            </w:r>
            <w:r>
              <w:rPr>
                <w:noProof/>
                <w:webHidden/>
              </w:rPr>
              <w:fldChar w:fldCharType="separate"/>
            </w:r>
            <w:r w:rsidR="004043A1">
              <w:rPr>
                <w:noProof/>
                <w:webHidden/>
              </w:rPr>
              <w:t>13</w:t>
            </w:r>
            <w:r>
              <w:rPr>
                <w:noProof/>
                <w:webHidden/>
              </w:rPr>
              <w:fldChar w:fldCharType="end"/>
            </w:r>
          </w:hyperlink>
        </w:p>
        <w:p w14:paraId="65FB1F0E" w14:textId="77777777" w:rsidR="00F32C04" w:rsidRDefault="00F32C04">
          <w:pPr>
            <w:pStyle w:val="Inhopg3"/>
            <w:tabs>
              <w:tab w:val="right" w:leader="dot" w:pos="9062"/>
            </w:tabs>
            <w:rPr>
              <w:rFonts w:eastAsiaTheme="minorEastAsia"/>
              <w:noProof/>
              <w:lang w:val="en-GB" w:eastAsia="en-GB"/>
            </w:rPr>
          </w:pPr>
          <w:hyperlink w:anchor="_Toc439346618" w:history="1">
            <w:r w:rsidRPr="00346EA6">
              <w:rPr>
                <w:rStyle w:val="Hyperlink"/>
                <w:noProof/>
              </w:rPr>
              <w:t>2.2.1 Incentives</w:t>
            </w:r>
            <w:r>
              <w:rPr>
                <w:noProof/>
                <w:webHidden/>
              </w:rPr>
              <w:tab/>
            </w:r>
            <w:r>
              <w:rPr>
                <w:noProof/>
                <w:webHidden/>
              </w:rPr>
              <w:fldChar w:fldCharType="begin"/>
            </w:r>
            <w:r>
              <w:rPr>
                <w:noProof/>
                <w:webHidden/>
              </w:rPr>
              <w:instrText xml:space="preserve"> PAGEREF _Toc439346618 \h </w:instrText>
            </w:r>
            <w:r>
              <w:rPr>
                <w:noProof/>
                <w:webHidden/>
              </w:rPr>
            </w:r>
            <w:r>
              <w:rPr>
                <w:noProof/>
                <w:webHidden/>
              </w:rPr>
              <w:fldChar w:fldCharType="separate"/>
            </w:r>
            <w:r w:rsidR="004043A1">
              <w:rPr>
                <w:noProof/>
                <w:webHidden/>
              </w:rPr>
              <w:t>14</w:t>
            </w:r>
            <w:r>
              <w:rPr>
                <w:noProof/>
                <w:webHidden/>
              </w:rPr>
              <w:fldChar w:fldCharType="end"/>
            </w:r>
          </w:hyperlink>
        </w:p>
        <w:p w14:paraId="6DE34834" w14:textId="77777777" w:rsidR="00F32C04" w:rsidRDefault="00F32C04">
          <w:pPr>
            <w:pStyle w:val="Inhopg3"/>
            <w:tabs>
              <w:tab w:val="right" w:leader="dot" w:pos="9062"/>
            </w:tabs>
            <w:rPr>
              <w:rFonts w:eastAsiaTheme="minorEastAsia"/>
              <w:noProof/>
              <w:lang w:val="en-GB" w:eastAsia="en-GB"/>
            </w:rPr>
          </w:pPr>
          <w:hyperlink w:anchor="_Toc439346619" w:history="1">
            <w:r w:rsidRPr="00346EA6">
              <w:rPr>
                <w:rStyle w:val="Hyperlink"/>
                <w:noProof/>
              </w:rPr>
              <w:t>2.2.2 Compensation</w:t>
            </w:r>
            <w:r>
              <w:rPr>
                <w:noProof/>
                <w:webHidden/>
              </w:rPr>
              <w:tab/>
            </w:r>
            <w:r>
              <w:rPr>
                <w:noProof/>
                <w:webHidden/>
              </w:rPr>
              <w:fldChar w:fldCharType="begin"/>
            </w:r>
            <w:r>
              <w:rPr>
                <w:noProof/>
                <w:webHidden/>
              </w:rPr>
              <w:instrText xml:space="preserve"> PAGEREF _Toc439346619 \h </w:instrText>
            </w:r>
            <w:r>
              <w:rPr>
                <w:noProof/>
                <w:webHidden/>
              </w:rPr>
            </w:r>
            <w:r>
              <w:rPr>
                <w:noProof/>
                <w:webHidden/>
              </w:rPr>
              <w:fldChar w:fldCharType="separate"/>
            </w:r>
            <w:r w:rsidR="004043A1">
              <w:rPr>
                <w:noProof/>
                <w:webHidden/>
              </w:rPr>
              <w:t>15</w:t>
            </w:r>
            <w:r>
              <w:rPr>
                <w:noProof/>
                <w:webHidden/>
              </w:rPr>
              <w:fldChar w:fldCharType="end"/>
            </w:r>
          </w:hyperlink>
        </w:p>
        <w:p w14:paraId="4355F737" w14:textId="77777777" w:rsidR="00F32C04" w:rsidRDefault="00F32C04">
          <w:pPr>
            <w:pStyle w:val="Inhopg4"/>
            <w:tabs>
              <w:tab w:val="right" w:leader="dot" w:pos="9062"/>
            </w:tabs>
            <w:rPr>
              <w:rFonts w:eastAsiaTheme="minorEastAsia"/>
              <w:noProof/>
              <w:lang w:val="en-GB" w:eastAsia="en-GB"/>
            </w:rPr>
          </w:pPr>
          <w:hyperlink w:anchor="_Toc439346620" w:history="1">
            <w:r w:rsidRPr="00346EA6">
              <w:rPr>
                <w:rStyle w:val="Hyperlink"/>
                <w:noProof/>
              </w:rPr>
              <w:t>2.2.2.1 Monetary compensation</w:t>
            </w:r>
            <w:r>
              <w:rPr>
                <w:noProof/>
                <w:webHidden/>
              </w:rPr>
              <w:tab/>
            </w:r>
            <w:r>
              <w:rPr>
                <w:noProof/>
                <w:webHidden/>
              </w:rPr>
              <w:fldChar w:fldCharType="begin"/>
            </w:r>
            <w:r>
              <w:rPr>
                <w:noProof/>
                <w:webHidden/>
              </w:rPr>
              <w:instrText xml:space="preserve"> PAGEREF _Toc439346620 \h </w:instrText>
            </w:r>
            <w:r>
              <w:rPr>
                <w:noProof/>
                <w:webHidden/>
              </w:rPr>
            </w:r>
            <w:r>
              <w:rPr>
                <w:noProof/>
                <w:webHidden/>
              </w:rPr>
              <w:fldChar w:fldCharType="separate"/>
            </w:r>
            <w:r w:rsidR="004043A1">
              <w:rPr>
                <w:noProof/>
                <w:webHidden/>
              </w:rPr>
              <w:t>15</w:t>
            </w:r>
            <w:r>
              <w:rPr>
                <w:noProof/>
                <w:webHidden/>
              </w:rPr>
              <w:fldChar w:fldCharType="end"/>
            </w:r>
          </w:hyperlink>
        </w:p>
        <w:p w14:paraId="53F9CA6D" w14:textId="77777777" w:rsidR="00F32C04" w:rsidRDefault="00F32C04">
          <w:pPr>
            <w:pStyle w:val="Inhopg4"/>
            <w:tabs>
              <w:tab w:val="right" w:leader="dot" w:pos="9062"/>
            </w:tabs>
            <w:rPr>
              <w:rFonts w:eastAsiaTheme="minorEastAsia"/>
              <w:noProof/>
              <w:lang w:val="en-GB" w:eastAsia="en-GB"/>
            </w:rPr>
          </w:pPr>
          <w:hyperlink w:anchor="_Toc439346621" w:history="1">
            <w:r w:rsidRPr="00346EA6">
              <w:rPr>
                <w:rStyle w:val="Hyperlink"/>
                <w:noProof/>
              </w:rPr>
              <w:t>2.2.2.2 Empirical evidence on monetary compensation and performance</w:t>
            </w:r>
            <w:r>
              <w:rPr>
                <w:noProof/>
                <w:webHidden/>
              </w:rPr>
              <w:tab/>
            </w:r>
            <w:r>
              <w:rPr>
                <w:noProof/>
                <w:webHidden/>
              </w:rPr>
              <w:fldChar w:fldCharType="begin"/>
            </w:r>
            <w:r>
              <w:rPr>
                <w:noProof/>
                <w:webHidden/>
              </w:rPr>
              <w:instrText xml:space="preserve"> PAGEREF _Toc439346621 \h </w:instrText>
            </w:r>
            <w:r>
              <w:rPr>
                <w:noProof/>
                <w:webHidden/>
              </w:rPr>
            </w:r>
            <w:r>
              <w:rPr>
                <w:noProof/>
                <w:webHidden/>
              </w:rPr>
              <w:fldChar w:fldCharType="separate"/>
            </w:r>
            <w:r w:rsidR="004043A1">
              <w:rPr>
                <w:noProof/>
                <w:webHidden/>
              </w:rPr>
              <w:t>16</w:t>
            </w:r>
            <w:r>
              <w:rPr>
                <w:noProof/>
                <w:webHidden/>
              </w:rPr>
              <w:fldChar w:fldCharType="end"/>
            </w:r>
          </w:hyperlink>
        </w:p>
        <w:p w14:paraId="30D7A272" w14:textId="77777777" w:rsidR="00F32C04" w:rsidRDefault="00F32C04">
          <w:pPr>
            <w:pStyle w:val="Inhopg4"/>
            <w:tabs>
              <w:tab w:val="right" w:leader="dot" w:pos="9062"/>
            </w:tabs>
            <w:rPr>
              <w:rFonts w:eastAsiaTheme="minorEastAsia"/>
              <w:noProof/>
              <w:lang w:val="en-GB" w:eastAsia="en-GB"/>
            </w:rPr>
          </w:pPr>
          <w:hyperlink w:anchor="_Toc439346622" w:history="1">
            <w:r w:rsidRPr="00346EA6">
              <w:rPr>
                <w:rStyle w:val="Hyperlink"/>
                <w:noProof/>
              </w:rPr>
              <w:t>2.2.2.3 Equity compensation</w:t>
            </w:r>
            <w:r>
              <w:rPr>
                <w:noProof/>
                <w:webHidden/>
              </w:rPr>
              <w:tab/>
            </w:r>
            <w:r>
              <w:rPr>
                <w:noProof/>
                <w:webHidden/>
              </w:rPr>
              <w:fldChar w:fldCharType="begin"/>
            </w:r>
            <w:r>
              <w:rPr>
                <w:noProof/>
                <w:webHidden/>
              </w:rPr>
              <w:instrText xml:space="preserve"> PAGEREF _Toc439346622 \h </w:instrText>
            </w:r>
            <w:r>
              <w:rPr>
                <w:noProof/>
                <w:webHidden/>
              </w:rPr>
            </w:r>
            <w:r>
              <w:rPr>
                <w:noProof/>
                <w:webHidden/>
              </w:rPr>
              <w:fldChar w:fldCharType="separate"/>
            </w:r>
            <w:r w:rsidR="004043A1">
              <w:rPr>
                <w:noProof/>
                <w:webHidden/>
              </w:rPr>
              <w:t>16</w:t>
            </w:r>
            <w:r>
              <w:rPr>
                <w:noProof/>
                <w:webHidden/>
              </w:rPr>
              <w:fldChar w:fldCharType="end"/>
            </w:r>
          </w:hyperlink>
        </w:p>
        <w:p w14:paraId="5B7FCA00" w14:textId="77777777" w:rsidR="00F32C04" w:rsidRDefault="00F32C04">
          <w:pPr>
            <w:pStyle w:val="Inhopg4"/>
            <w:tabs>
              <w:tab w:val="right" w:leader="dot" w:pos="9062"/>
            </w:tabs>
            <w:rPr>
              <w:rFonts w:eastAsiaTheme="minorEastAsia"/>
              <w:noProof/>
              <w:lang w:val="en-GB" w:eastAsia="en-GB"/>
            </w:rPr>
          </w:pPr>
          <w:hyperlink w:anchor="_Toc439346623" w:history="1">
            <w:r w:rsidRPr="00346EA6">
              <w:rPr>
                <w:rStyle w:val="Hyperlink"/>
                <w:noProof/>
              </w:rPr>
              <w:t>2.2.2.4 Empirical evidence on equity compensation and performance</w:t>
            </w:r>
            <w:r>
              <w:rPr>
                <w:noProof/>
                <w:webHidden/>
              </w:rPr>
              <w:tab/>
            </w:r>
            <w:r>
              <w:rPr>
                <w:noProof/>
                <w:webHidden/>
              </w:rPr>
              <w:fldChar w:fldCharType="begin"/>
            </w:r>
            <w:r>
              <w:rPr>
                <w:noProof/>
                <w:webHidden/>
              </w:rPr>
              <w:instrText xml:space="preserve"> PAGEREF _Toc439346623 \h </w:instrText>
            </w:r>
            <w:r>
              <w:rPr>
                <w:noProof/>
                <w:webHidden/>
              </w:rPr>
            </w:r>
            <w:r>
              <w:rPr>
                <w:noProof/>
                <w:webHidden/>
              </w:rPr>
              <w:fldChar w:fldCharType="separate"/>
            </w:r>
            <w:r w:rsidR="004043A1">
              <w:rPr>
                <w:noProof/>
                <w:webHidden/>
              </w:rPr>
              <w:t>18</w:t>
            </w:r>
            <w:r>
              <w:rPr>
                <w:noProof/>
                <w:webHidden/>
              </w:rPr>
              <w:fldChar w:fldCharType="end"/>
            </w:r>
          </w:hyperlink>
        </w:p>
        <w:p w14:paraId="507552FE" w14:textId="77777777" w:rsidR="00F32C04" w:rsidRDefault="00F32C04">
          <w:pPr>
            <w:pStyle w:val="Inhopg3"/>
            <w:tabs>
              <w:tab w:val="right" w:leader="dot" w:pos="9062"/>
            </w:tabs>
            <w:rPr>
              <w:rFonts w:eastAsiaTheme="minorEastAsia"/>
              <w:noProof/>
              <w:lang w:val="en-GB" w:eastAsia="en-GB"/>
            </w:rPr>
          </w:pPr>
          <w:hyperlink w:anchor="_Toc439346624" w:history="1">
            <w:r w:rsidRPr="00346EA6">
              <w:rPr>
                <w:rStyle w:val="Hyperlink"/>
                <w:noProof/>
              </w:rPr>
              <w:t>2.2.3 Performance measurement</w:t>
            </w:r>
            <w:r>
              <w:rPr>
                <w:noProof/>
                <w:webHidden/>
              </w:rPr>
              <w:tab/>
            </w:r>
            <w:r>
              <w:rPr>
                <w:noProof/>
                <w:webHidden/>
              </w:rPr>
              <w:fldChar w:fldCharType="begin"/>
            </w:r>
            <w:r>
              <w:rPr>
                <w:noProof/>
                <w:webHidden/>
              </w:rPr>
              <w:instrText xml:space="preserve"> PAGEREF _Toc439346624 \h </w:instrText>
            </w:r>
            <w:r>
              <w:rPr>
                <w:noProof/>
                <w:webHidden/>
              </w:rPr>
            </w:r>
            <w:r>
              <w:rPr>
                <w:noProof/>
                <w:webHidden/>
              </w:rPr>
              <w:fldChar w:fldCharType="separate"/>
            </w:r>
            <w:r w:rsidR="004043A1">
              <w:rPr>
                <w:noProof/>
                <w:webHidden/>
              </w:rPr>
              <w:t>19</w:t>
            </w:r>
            <w:r>
              <w:rPr>
                <w:noProof/>
                <w:webHidden/>
              </w:rPr>
              <w:fldChar w:fldCharType="end"/>
            </w:r>
          </w:hyperlink>
        </w:p>
        <w:p w14:paraId="3FFDB0D1" w14:textId="77777777" w:rsidR="00F32C04" w:rsidRDefault="00F32C04">
          <w:pPr>
            <w:pStyle w:val="Inhopg2"/>
            <w:tabs>
              <w:tab w:val="right" w:leader="dot" w:pos="9062"/>
            </w:tabs>
            <w:rPr>
              <w:rFonts w:eastAsiaTheme="minorEastAsia"/>
              <w:noProof/>
              <w:lang w:val="en-GB" w:eastAsia="en-GB"/>
            </w:rPr>
          </w:pPr>
          <w:hyperlink w:anchor="_Toc439346625" w:history="1">
            <w:r w:rsidRPr="00346EA6">
              <w:rPr>
                <w:rStyle w:val="Hyperlink"/>
                <w:noProof/>
              </w:rPr>
              <w:t>2.3 CFO responsibilities</w:t>
            </w:r>
            <w:r>
              <w:rPr>
                <w:noProof/>
                <w:webHidden/>
              </w:rPr>
              <w:tab/>
            </w:r>
            <w:r>
              <w:rPr>
                <w:noProof/>
                <w:webHidden/>
              </w:rPr>
              <w:fldChar w:fldCharType="begin"/>
            </w:r>
            <w:r>
              <w:rPr>
                <w:noProof/>
                <w:webHidden/>
              </w:rPr>
              <w:instrText xml:space="preserve"> PAGEREF _Toc439346625 \h </w:instrText>
            </w:r>
            <w:r>
              <w:rPr>
                <w:noProof/>
                <w:webHidden/>
              </w:rPr>
            </w:r>
            <w:r>
              <w:rPr>
                <w:noProof/>
                <w:webHidden/>
              </w:rPr>
              <w:fldChar w:fldCharType="separate"/>
            </w:r>
            <w:r w:rsidR="004043A1">
              <w:rPr>
                <w:noProof/>
                <w:webHidden/>
              </w:rPr>
              <w:t>19</w:t>
            </w:r>
            <w:r>
              <w:rPr>
                <w:noProof/>
                <w:webHidden/>
              </w:rPr>
              <w:fldChar w:fldCharType="end"/>
            </w:r>
          </w:hyperlink>
        </w:p>
        <w:p w14:paraId="027513E7" w14:textId="77777777" w:rsidR="00F32C04" w:rsidRDefault="00F32C04">
          <w:pPr>
            <w:pStyle w:val="Inhopg3"/>
            <w:tabs>
              <w:tab w:val="right" w:leader="dot" w:pos="9062"/>
            </w:tabs>
            <w:rPr>
              <w:rFonts w:eastAsiaTheme="minorEastAsia"/>
              <w:noProof/>
              <w:lang w:val="en-GB" w:eastAsia="en-GB"/>
            </w:rPr>
          </w:pPr>
          <w:hyperlink w:anchor="_Toc439346626" w:history="1">
            <w:r w:rsidRPr="00346EA6">
              <w:rPr>
                <w:rStyle w:val="Hyperlink"/>
                <w:noProof/>
              </w:rPr>
              <w:t>2.3.1 The fiduciary responsibility</w:t>
            </w:r>
            <w:r>
              <w:rPr>
                <w:noProof/>
                <w:webHidden/>
              </w:rPr>
              <w:tab/>
            </w:r>
            <w:r>
              <w:rPr>
                <w:noProof/>
                <w:webHidden/>
              </w:rPr>
              <w:fldChar w:fldCharType="begin"/>
            </w:r>
            <w:r>
              <w:rPr>
                <w:noProof/>
                <w:webHidden/>
              </w:rPr>
              <w:instrText xml:space="preserve"> PAGEREF _Toc439346626 \h </w:instrText>
            </w:r>
            <w:r>
              <w:rPr>
                <w:noProof/>
                <w:webHidden/>
              </w:rPr>
            </w:r>
            <w:r>
              <w:rPr>
                <w:noProof/>
                <w:webHidden/>
              </w:rPr>
              <w:fldChar w:fldCharType="separate"/>
            </w:r>
            <w:r w:rsidR="004043A1">
              <w:rPr>
                <w:noProof/>
                <w:webHidden/>
              </w:rPr>
              <w:t>19</w:t>
            </w:r>
            <w:r>
              <w:rPr>
                <w:noProof/>
                <w:webHidden/>
              </w:rPr>
              <w:fldChar w:fldCharType="end"/>
            </w:r>
          </w:hyperlink>
        </w:p>
        <w:p w14:paraId="60892D74" w14:textId="77777777" w:rsidR="00F32C04" w:rsidRDefault="00F32C04">
          <w:pPr>
            <w:pStyle w:val="Inhopg3"/>
            <w:tabs>
              <w:tab w:val="right" w:leader="dot" w:pos="9062"/>
            </w:tabs>
            <w:rPr>
              <w:rFonts w:eastAsiaTheme="minorEastAsia"/>
              <w:noProof/>
              <w:lang w:val="en-GB" w:eastAsia="en-GB"/>
            </w:rPr>
          </w:pPr>
          <w:hyperlink w:anchor="_Toc439346627" w:history="1">
            <w:r w:rsidRPr="00346EA6">
              <w:rPr>
                <w:rStyle w:val="Hyperlink"/>
                <w:noProof/>
              </w:rPr>
              <w:t>2.3.2 Empirical evidence of the fiduciary responsibility</w:t>
            </w:r>
            <w:r>
              <w:rPr>
                <w:noProof/>
                <w:webHidden/>
              </w:rPr>
              <w:tab/>
            </w:r>
            <w:r>
              <w:rPr>
                <w:noProof/>
                <w:webHidden/>
              </w:rPr>
              <w:fldChar w:fldCharType="begin"/>
            </w:r>
            <w:r>
              <w:rPr>
                <w:noProof/>
                <w:webHidden/>
              </w:rPr>
              <w:instrText xml:space="preserve"> PAGEREF _Toc439346627 \h </w:instrText>
            </w:r>
            <w:r>
              <w:rPr>
                <w:noProof/>
                <w:webHidden/>
              </w:rPr>
            </w:r>
            <w:r>
              <w:rPr>
                <w:noProof/>
                <w:webHidden/>
              </w:rPr>
              <w:fldChar w:fldCharType="separate"/>
            </w:r>
            <w:r w:rsidR="004043A1">
              <w:rPr>
                <w:noProof/>
                <w:webHidden/>
              </w:rPr>
              <w:t>20</w:t>
            </w:r>
            <w:r>
              <w:rPr>
                <w:noProof/>
                <w:webHidden/>
              </w:rPr>
              <w:fldChar w:fldCharType="end"/>
            </w:r>
          </w:hyperlink>
        </w:p>
        <w:p w14:paraId="09A19F40" w14:textId="77777777" w:rsidR="00F32C04" w:rsidRDefault="00F32C04">
          <w:pPr>
            <w:pStyle w:val="Inhopg3"/>
            <w:tabs>
              <w:tab w:val="right" w:leader="dot" w:pos="9062"/>
            </w:tabs>
            <w:rPr>
              <w:rFonts w:eastAsiaTheme="minorEastAsia"/>
              <w:noProof/>
              <w:lang w:val="en-GB" w:eastAsia="en-GB"/>
            </w:rPr>
          </w:pPr>
          <w:hyperlink w:anchor="_Toc439346628" w:history="1">
            <w:r w:rsidRPr="00346EA6">
              <w:rPr>
                <w:rStyle w:val="Hyperlink"/>
                <w:noProof/>
              </w:rPr>
              <w:t>2.3.3 The managerial responsibility</w:t>
            </w:r>
            <w:r>
              <w:rPr>
                <w:noProof/>
                <w:webHidden/>
              </w:rPr>
              <w:tab/>
            </w:r>
            <w:r>
              <w:rPr>
                <w:noProof/>
                <w:webHidden/>
              </w:rPr>
              <w:fldChar w:fldCharType="begin"/>
            </w:r>
            <w:r>
              <w:rPr>
                <w:noProof/>
                <w:webHidden/>
              </w:rPr>
              <w:instrText xml:space="preserve"> PAGEREF _Toc439346628 \h </w:instrText>
            </w:r>
            <w:r>
              <w:rPr>
                <w:noProof/>
                <w:webHidden/>
              </w:rPr>
            </w:r>
            <w:r>
              <w:rPr>
                <w:noProof/>
                <w:webHidden/>
              </w:rPr>
              <w:fldChar w:fldCharType="separate"/>
            </w:r>
            <w:r w:rsidR="004043A1">
              <w:rPr>
                <w:noProof/>
                <w:webHidden/>
              </w:rPr>
              <w:t>21</w:t>
            </w:r>
            <w:r>
              <w:rPr>
                <w:noProof/>
                <w:webHidden/>
              </w:rPr>
              <w:fldChar w:fldCharType="end"/>
            </w:r>
          </w:hyperlink>
        </w:p>
        <w:p w14:paraId="18671825" w14:textId="77777777" w:rsidR="00F32C04" w:rsidRDefault="00F32C04">
          <w:pPr>
            <w:pStyle w:val="Inhopg3"/>
            <w:tabs>
              <w:tab w:val="right" w:leader="dot" w:pos="9062"/>
            </w:tabs>
            <w:rPr>
              <w:rFonts w:eastAsiaTheme="minorEastAsia"/>
              <w:noProof/>
              <w:lang w:val="en-GB" w:eastAsia="en-GB"/>
            </w:rPr>
          </w:pPr>
          <w:hyperlink w:anchor="_Toc439346629" w:history="1">
            <w:r w:rsidRPr="00346EA6">
              <w:rPr>
                <w:rStyle w:val="Hyperlink"/>
                <w:noProof/>
              </w:rPr>
              <w:t>2.3.4 CFO total performance</w:t>
            </w:r>
            <w:r>
              <w:rPr>
                <w:noProof/>
                <w:webHidden/>
              </w:rPr>
              <w:tab/>
            </w:r>
            <w:r>
              <w:rPr>
                <w:noProof/>
                <w:webHidden/>
              </w:rPr>
              <w:fldChar w:fldCharType="begin"/>
            </w:r>
            <w:r>
              <w:rPr>
                <w:noProof/>
                <w:webHidden/>
              </w:rPr>
              <w:instrText xml:space="preserve"> PAGEREF _Toc439346629 \h </w:instrText>
            </w:r>
            <w:r>
              <w:rPr>
                <w:noProof/>
                <w:webHidden/>
              </w:rPr>
            </w:r>
            <w:r>
              <w:rPr>
                <w:noProof/>
                <w:webHidden/>
              </w:rPr>
              <w:fldChar w:fldCharType="separate"/>
            </w:r>
            <w:r w:rsidR="004043A1">
              <w:rPr>
                <w:noProof/>
                <w:webHidden/>
              </w:rPr>
              <w:t>22</w:t>
            </w:r>
            <w:r>
              <w:rPr>
                <w:noProof/>
                <w:webHidden/>
              </w:rPr>
              <w:fldChar w:fldCharType="end"/>
            </w:r>
          </w:hyperlink>
        </w:p>
        <w:p w14:paraId="4615F844" w14:textId="77777777" w:rsidR="00F32C04" w:rsidRDefault="00F32C04">
          <w:pPr>
            <w:pStyle w:val="Inhopg4"/>
            <w:tabs>
              <w:tab w:val="right" w:leader="dot" w:pos="9062"/>
            </w:tabs>
            <w:rPr>
              <w:rFonts w:eastAsiaTheme="minorEastAsia"/>
              <w:noProof/>
              <w:lang w:val="en-GB" w:eastAsia="en-GB"/>
            </w:rPr>
          </w:pPr>
          <w:hyperlink w:anchor="_Toc439346630" w:history="1">
            <w:r w:rsidRPr="00346EA6">
              <w:rPr>
                <w:rStyle w:val="Hyperlink"/>
                <w:noProof/>
              </w:rPr>
              <w:t>2.3.4.1 CEO performance</w:t>
            </w:r>
            <w:r>
              <w:rPr>
                <w:noProof/>
                <w:webHidden/>
              </w:rPr>
              <w:tab/>
            </w:r>
            <w:r>
              <w:rPr>
                <w:noProof/>
                <w:webHidden/>
              </w:rPr>
              <w:fldChar w:fldCharType="begin"/>
            </w:r>
            <w:r>
              <w:rPr>
                <w:noProof/>
                <w:webHidden/>
              </w:rPr>
              <w:instrText xml:space="preserve"> PAGEREF _Toc439346630 \h </w:instrText>
            </w:r>
            <w:r>
              <w:rPr>
                <w:noProof/>
                <w:webHidden/>
              </w:rPr>
            </w:r>
            <w:r>
              <w:rPr>
                <w:noProof/>
                <w:webHidden/>
              </w:rPr>
              <w:fldChar w:fldCharType="separate"/>
            </w:r>
            <w:r w:rsidR="004043A1">
              <w:rPr>
                <w:noProof/>
                <w:webHidden/>
              </w:rPr>
              <w:t>22</w:t>
            </w:r>
            <w:r>
              <w:rPr>
                <w:noProof/>
                <w:webHidden/>
              </w:rPr>
              <w:fldChar w:fldCharType="end"/>
            </w:r>
          </w:hyperlink>
        </w:p>
        <w:p w14:paraId="53E224B7" w14:textId="77777777" w:rsidR="00F32C04" w:rsidRDefault="00F32C04">
          <w:pPr>
            <w:pStyle w:val="Inhopg2"/>
            <w:tabs>
              <w:tab w:val="right" w:leader="dot" w:pos="9062"/>
            </w:tabs>
            <w:rPr>
              <w:rFonts w:eastAsiaTheme="minorEastAsia"/>
              <w:noProof/>
              <w:lang w:val="en-GB" w:eastAsia="en-GB"/>
            </w:rPr>
          </w:pPr>
          <w:hyperlink w:anchor="_Toc439346631" w:history="1">
            <w:r w:rsidRPr="00346EA6">
              <w:rPr>
                <w:rStyle w:val="Hyperlink"/>
                <w:noProof/>
              </w:rPr>
              <w:t>2.4 Summary and conclusions</w:t>
            </w:r>
            <w:r>
              <w:rPr>
                <w:noProof/>
                <w:webHidden/>
              </w:rPr>
              <w:tab/>
            </w:r>
            <w:r>
              <w:rPr>
                <w:noProof/>
                <w:webHidden/>
              </w:rPr>
              <w:fldChar w:fldCharType="begin"/>
            </w:r>
            <w:r>
              <w:rPr>
                <w:noProof/>
                <w:webHidden/>
              </w:rPr>
              <w:instrText xml:space="preserve"> PAGEREF _Toc439346631 \h </w:instrText>
            </w:r>
            <w:r>
              <w:rPr>
                <w:noProof/>
                <w:webHidden/>
              </w:rPr>
            </w:r>
            <w:r>
              <w:rPr>
                <w:noProof/>
                <w:webHidden/>
              </w:rPr>
              <w:fldChar w:fldCharType="separate"/>
            </w:r>
            <w:r w:rsidR="004043A1">
              <w:rPr>
                <w:noProof/>
                <w:webHidden/>
              </w:rPr>
              <w:t>24</w:t>
            </w:r>
            <w:r>
              <w:rPr>
                <w:noProof/>
                <w:webHidden/>
              </w:rPr>
              <w:fldChar w:fldCharType="end"/>
            </w:r>
          </w:hyperlink>
        </w:p>
        <w:p w14:paraId="25A75C6B" w14:textId="77777777" w:rsidR="00F32C04" w:rsidRDefault="00F32C04">
          <w:pPr>
            <w:pStyle w:val="Inhopg1"/>
            <w:tabs>
              <w:tab w:val="right" w:leader="dot" w:pos="9062"/>
            </w:tabs>
            <w:rPr>
              <w:rFonts w:eastAsiaTheme="minorEastAsia"/>
              <w:noProof/>
              <w:lang w:val="en-GB" w:eastAsia="en-GB"/>
            </w:rPr>
          </w:pPr>
          <w:hyperlink w:anchor="_Toc439346632" w:history="1">
            <w:r w:rsidRPr="00346EA6">
              <w:rPr>
                <w:rStyle w:val="Hyperlink"/>
                <w:noProof/>
              </w:rPr>
              <w:t>3 Hypotheses</w:t>
            </w:r>
            <w:r>
              <w:rPr>
                <w:noProof/>
                <w:webHidden/>
              </w:rPr>
              <w:tab/>
            </w:r>
            <w:r>
              <w:rPr>
                <w:noProof/>
                <w:webHidden/>
              </w:rPr>
              <w:fldChar w:fldCharType="begin"/>
            </w:r>
            <w:r>
              <w:rPr>
                <w:noProof/>
                <w:webHidden/>
              </w:rPr>
              <w:instrText xml:space="preserve"> PAGEREF _Toc439346632 \h </w:instrText>
            </w:r>
            <w:r>
              <w:rPr>
                <w:noProof/>
                <w:webHidden/>
              </w:rPr>
            </w:r>
            <w:r>
              <w:rPr>
                <w:noProof/>
                <w:webHidden/>
              </w:rPr>
              <w:fldChar w:fldCharType="separate"/>
            </w:r>
            <w:r w:rsidR="004043A1">
              <w:rPr>
                <w:noProof/>
                <w:webHidden/>
              </w:rPr>
              <w:t>25</w:t>
            </w:r>
            <w:r>
              <w:rPr>
                <w:noProof/>
                <w:webHidden/>
              </w:rPr>
              <w:fldChar w:fldCharType="end"/>
            </w:r>
          </w:hyperlink>
        </w:p>
        <w:p w14:paraId="209149D8" w14:textId="77777777" w:rsidR="00F32C04" w:rsidRDefault="00F32C04">
          <w:pPr>
            <w:pStyle w:val="Inhopg2"/>
            <w:tabs>
              <w:tab w:val="right" w:leader="dot" w:pos="9062"/>
            </w:tabs>
            <w:rPr>
              <w:rFonts w:eastAsiaTheme="minorEastAsia"/>
              <w:noProof/>
              <w:lang w:val="en-GB" w:eastAsia="en-GB"/>
            </w:rPr>
          </w:pPr>
          <w:hyperlink w:anchor="_Toc439346633" w:history="1">
            <w:r w:rsidRPr="00346EA6">
              <w:rPr>
                <w:rStyle w:val="Hyperlink"/>
                <w:noProof/>
              </w:rPr>
              <w:t>3.1 Conceptual framework</w:t>
            </w:r>
            <w:r>
              <w:rPr>
                <w:noProof/>
                <w:webHidden/>
              </w:rPr>
              <w:tab/>
            </w:r>
            <w:r>
              <w:rPr>
                <w:noProof/>
                <w:webHidden/>
              </w:rPr>
              <w:fldChar w:fldCharType="begin"/>
            </w:r>
            <w:r>
              <w:rPr>
                <w:noProof/>
                <w:webHidden/>
              </w:rPr>
              <w:instrText xml:space="preserve"> PAGEREF _Toc439346633 \h </w:instrText>
            </w:r>
            <w:r>
              <w:rPr>
                <w:noProof/>
                <w:webHidden/>
              </w:rPr>
            </w:r>
            <w:r>
              <w:rPr>
                <w:noProof/>
                <w:webHidden/>
              </w:rPr>
              <w:fldChar w:fldCharType="separate"/>
            </w:r>
            <w:r w:rsidR="004043A1">
              <w:rPr>
                <w:noProof/>
                <w:webHidden/>
              </w:rPr>
              <w:t>25</w:t>
            </w:r>
            <w:r>
              <w:rPr>
                <w:noProof/>
                <w:webHidden/>
              </w:rPr>
              <w:fldChar w:fldCharType="end"/>
            </w:r>
          </w:hyperlink>
        </w:p>
        <w:p w14:paraId="00CA9633" w14:textId="77777777" w:rsidR="00F32C04" w:rsidRDefault="00F32C04">
          <w:pPr>
            <w:pStyle w:val="Inhopg2"/>
            <w:tabs>
              <w:tab w:val="right" w:leader="dot" w:pos="9062"/>
            </w:tabs>
            <w:rPr>
              <w:rFonts w:eastAsiaTheme="minorEastAsia"/>
              <w:noProof/>
              <w:lang w:val="en-GB" w:eastAsia="en-GB"/>
            </w:rPr>
          </w:pPr>
          <w:hyperlink w:anchor="_Toc439346634" w:history="1">
            <w:r w:rsidRPr="00346EA6">
              <w:rPr>
                <w:rStyle w:val="Hyperlink"/>
                <w:noProof/>
              </w:rPr>
              <w:t>3.2 Hypothesis development</w:t>
            </w:r>
            <w:r>
              <w:rPr>
                <w:noProof/>
                <w:webHidden/>
              </w:rPr>
              <w:tab/>
            </w:r>
            <w:r>
              <w:rPr>
                <w:noProof/>
                <w:webHidden/>
              </w:rPr>
              <w:fldChar w:fldCharType="begin"/>
            </w:r>
            <w:r>
              <w:rPr>
                <w:noProof/>
                <w:webHidden/>
              </w:rPr>
              <w:instrText xml:space="preserve"> PAGEREF _Toc439346634 \h </w:instrText>
            </w:r>
            <w:r>
              <w:rPr>
                <w:noProof/>
                <w:webHidden/>
              </w:rPr>
            </w:r>
            <w:r>
              <w:rPr>
                <w:noProof/>
                <w:webHidden/>
              </w:rPr>
              <w:fldChar w:fldCharType="separate"/>
            </w:r>
            <w:r w:rsidR="004043A1">
              <w:rPr>
                <w:noProof/>
                <w:webHidden/>
              </w:rPr>
              <w:t>26</w:t>
            </w:r>
            <w:r>
              <w:rPr>
                <w:noProof/>
                <w:webHidden/>
              </w:rPr>
              <w:fldChar w:fldCharType="end"/>
            </w:r>
          </w:hyperlink>
        </w:p>
        <w:p w14:paraId="76F0D4E0" w14:textId="77777777" w:rsidR="00F32C04" w:rsidRDefault="00F32C04">
          <w:pPr>
            <w:pStyle w:val="Inhopg3"/>
            <w:tabs>
              <w:tab w:val="right" w:leader="dot" w:pos="9062"/>
            </w:tabs>
            <w:rPr>
              <w:rFonts w:eastAsiaTheme="minorEastAsia"/>
              <w:noProof/>
              <w:lang w:val="en-GB" w:eastAsia="en-GB"/>
            </w:rPr>
          </w:pPr>
          <w:hyperlink w:anchor="_Toc439346635" w:history="1">
            <w:r w:rsidRPr="00346EA6">
              <w:rPr>
                <w:rStyle w:val="Hyperlink"/>
                <w:noProof/>
              </w:rPr>
              <w:t>3.2.1 Hypothesis 1</w:t>
            </w:r>
            <w:r>
              <w:rPr>
                <w:noProof/>
                <w:webHidden/>
              </w:rPr>
              <w:tab/>
            </w:r>
            <w:r>
              <w:rPr>
                <w:noProof/>
                <w:webHidden/>
              </w:rPr>
              <w:fldChar w:fldCharType="begin"/>
            </w:r>
            <w:r>
              <w:rPr>
                <w:noProof/>
                <w:webHidden/>
              </w:rPr>
              <w:instrText xml:space="preserve"> PAGEREF _Toc439346635 \h </w:instrText>
            </w:r>
            <w:r>
              <w:rPr>
                <w:noProof/>
                <w:webHidden/>
              </w:rPr>
            </w:r>
            <w:r>
              <w:rPr>
                <w:noProof/>
                <w:webHidden/>
              </w:rPr>
              <w:fldChar w:fldCharType="separate"/>
            </w:r>
            <w:r w:rsidR="004043A1">
              <w:rPr>
                <w:noProof/>
                <w:webHidden/>
              </w:rPr>
              <w:t>27</w:t>
            </w:r>
            <w:r>
              <w:rPr>
                <w:noProof/>
                <w:webHidden/>
              </w:rPr>
              <w:fldChar w:fldCharType="end"/>
            </w:r>
          </w:hyperlink>
        </w:p>
        <w:p w14:paraId="102397FB" w14:textId="77777777" w:rsidR="00F32C04" w:rsidRDefault="00F32C04">
          <w:pPr>
            <w:pStyle w:val="Inhopg4"/>
            <w:tabs>
              <w:tab w:val="right" w:leader="dot" w:pos="9062"/>
            </w:tabs>
            <w:rPr>
              <w:rFonts w:eastAsiaTheme="minorEastAsia"/>
              <w:noProof/>
              <w:lang w:val="en-GB" w:eastAsia="en-GB"/>
            </w:rPr>
          </w:pPr>
          <w:hyperlink w:anchor="_Toc439346636" w:history="1">
            <w:r w:rsidRPr="00346EA6">
              <w:rPr>
                <w:rStyle w:val="Hyperlink"/>
                <w:noProof/>
              </w:rPr>
              <w:t>3.2.1.1 Libby boxes</w:t>
            </w:r>
            <w:r>
              <w:rPr>
                <w:noProof/>
                <w:webHidden/>
              </w:rPr>
              <w:tab/>
            </w:r>
            <w:r>
              <w:rPr>
                <w:noProof/>
                <w:webHidden/>
              </w:rPr>
              <w:fldChar w:fldCharType="begin"/>
            </w:r>
            <w:r>
              <w:rPr>
                <w:noProof/>
                <w:webHidden/>
              </w:rPr>
              <w:instrText xml:space="preserve"> PAGEREF _Toc439346636 \h </w:instrText>
            </w:r>
            <w:r>
              <w:rPr>
                <w:noProof/>
                <w:webHidden/>
              </w:rPr>
            </w:r>
            <w:r>
              <w:rPr>
                <w:noProof/>
                <w:webHidden/>
              </w:rPr>
              <w:fldChar w:fldCharType="separate"/>
            </w:r>
            <w:r w:rsidR="004043A1">
              <w:rPr>
                <w:noProof/>
                <w:webHidden/>
              </w:rPr>
              <w:t>27</w:t>
            </w:r>
            <w:r>
              <w:rPr>
                <w:noProof/>
                <w:webHidden/>
              </w:rPr>
              <w:fldChar w:fldCharType="end"/>
            </w:r>
          </w:hyperlink>
        </w:p>
        <w:p w14:paraId="408A27EA" w14:textId="77777777" w:rsidR="00F32C04" w:rsidRDefault="00F32C04">
          <w:pPr>
            <w:pStyle w:val="Inhopg3"/>
            <w:tabs>
              <w:tab w:val="right" w:leader="dot" w:pos="9062"/>
            </w:tabs>
            <w:rPr>
              <w:rFonts w:eastAsiaTheme="minorEastAsia"/>
              <w:noProof/>
              <w:lang w:val="en-GB" w:eastAsia="en-GB"/>
            </w:rPr>
          </w:pPr>
          <w:hyperlink w:anchor="_Toc439346637" w:history="1">
            <w:r w:rsidRPr="00346EA6">
              <w:rPr>
                <w:rStyle w:val="Hyperlink"/>
                <w:noProof/>
              </w:rPr>
              <w:t>3.2.2 Hypothesis 2</w:t>
            </w:r>
            <w:r>
              <w:rPr>
                <w:noProof/>
                <w:webHidden/>
              </w:rPr>
              <w:tab/>
            </w:r>
            <w:r>
              <w:rPr>
                <w:noProof/>
                <w:webHidden/>
              </w:rPr>
              <w:fldChar w:fldCharType="begin"/>
            </w:r>
            <w:r>
              <w:rPr>
                <w:noProof/>
                <w:webHidden/>
              </w:rPr>
              <w:instrText xml:space="preserve"> PAGEREF _Toc439346637 \h </w:instrText>
            </w:r>
            <w:r>
              <w:rPr>
                <w:noProof/>
                <w:webHidden/>
              </w:rPr>
            </w:r>
            <w:r>
              <w:rPr>
                <w:noProof/>
                <w:webHidden/>
              </w:rPr>
              <w:fldChar w:fldCharType="separate"/>
            </w:r>
            <w:r w:rsidR="004043A1">
              <w:rPr>
                <w:noProof/>
                <w:webHidden/>
              </w:rPr>
              <w:t>28</w:t>
            </w:r>
            <w:r>
              <w:rPr>
                <w:noProof/>
                <w:webHidden/>
              </w:rPr>
              <w:fldChar w:fldCharType="end"/>
            </w:r>
          </w:hyperlink>
        </w:p>
        <w:p w14:paraId="0F2A0A89" w14:textId="77777777" w:rsidR="00F32C04" w:rsidRDefault="00F32C04">
          <w:pPr>
            <w:pStyle w:val="Inhopg4"/>
            <w:tabs>
              <w:tab w:val="right" w:leader="dot" w:pos="9062"/>
            </w:tabs>
            <w:rPr>
              <w:rFonts w:eastAsiaTheme="minorEastAsia"/>
              <w:noProof/>
              <w:lang w:val="en-GB" w:eastAsia="en-GB"/>
            </w:rPr>
          </w:pPr>
          <w:hyperlink w:anchor="_Toc439346638" w:history="1">
            <w:r w:rsidRPr="00346EA6">
              <w:rPr>
                <w:rStyle w:val="Hyperlink"/>
                <w:noProof/>
              </w:rPr>
              <w:t>3.2.2.1 Libby boxes</w:t>
            </w:r>
            <w:r>
              <w:rPr>
                <w:noProof/>
                <w:webHidden/>
              </w:rPr>
              <w:tab/>
            </w:r>
            <w:r>
              <w:rPr>
                <w:noProof/>
                <w:webHidden/>
              </w:rPr>
              <w:fldChar w:fldCharType="begin"/>
            </w:r>
            <w:r>
              <w:rPr>
                <w:noProof/>
                <w:webHidden/>
              </w:rPr>
              <w:instrText xml:space="preserve"> PAGEREF _Toc439346638 \h </w:instrText>
            </w:r>
            <w:r>
              <w:rPr>
                <w:noProof/>
                <w:webHidden/>
              </w:rPr>
            </w:r>
            <w:r>
              <w:rPr>
                <w:noProof/>
                <w:webHidden/>
              </w:rPr>
              <w:fldChar w:fldCharType="separate"/>
            </w:r>
            <w:r w:rsidR="004043A1">
              <w:rPr>
                <w:noProof/>
                <w:webHidden/>
              </w:rPr>
              <w:t>28</w:t>
            </w:r>
            <w:r>
              <w:rPr>
                <w:noProof/>
                <w:webHidden/>
              </w:rPr>
              <w:fldChar w:fldCharType="end"/>
            </w:r>
          </w:hyperlink>
        </w:p>
        <w:p w14:paraId="5AE2EB08" w14:textId="77777777" w:rsidR="00F32C04" w:rsidRDefault="00F32C04">
          <w:pPr>
            <w:pStyle w:val="Inhopg3"/>
            <w:tabs>
              <w:tab w:val="right" w:leader="dot" w:pos="9062"/>
            </w:tabs>
            <w:rPr>
              <w:rFonts w:eastAsiaTheme="minorEastAsia"/>
              <w:noProof/>
              <w:lang w:val="en-GB" w:eastAsia="en-GB"/>
            </w:rPr>
          </w:pPr>
          <w:hyperlink w:anchor="_Toc439346639" w:history="1">
            <w:r w:rsidRPr="00346EA6">
              <w:rPr>
                <w:rStyle w:val="Hyperlink"/>
                <w:noProof/>
              </w:rPr>
              <w:t>3.2.3 Hypothesis 3</w:t>
            </w:r>
            <w:r>
              <w:rPr>
                <w:noProof/>
                <w:webHidden/>
              </w:rPr>
              <w:tab/>
            </w:r>
            <w:r>
              <w:rPr>
                <w:noProof/>
                <w:webHidden/>
              </w:rPr>
              <w:fldChar w:fldCharType="begin"/>
            </w:r>
            <w:r>
              <w:rPr>
                <w:noProof/>
                <w:webHidden/>
              </w:rPr>
              <w:instrText xml:space="preserve"> PAGEREF _Toc439346639 \h </w:instrText>
            </w:r>
            <w:r>
              <w:rPr>
                <w:noProof/>
                <w:webHidden/>
              </w:rPr>
            </w:r>
            <w:r>
              <w:rPr>
                <w:noProof/>
                <w:webHidden/>
              </w:rPr>
              <w:fldChar w:fldCharType="separate"/>
            </w:r>
            <w:r w:rsidR="004043A1">
              <w:rPr>
                <w:noProof/>
                <w:webHidden/>
              </w:rPr>
              <w:t>29</w:t>
            </w:r>
            <w:r>
              <w:rPr>
                <w:noProof/>
                <w:webHidden/>
              </w:rPr>
              <w:fldChar w:fldCharType="end"/>
            </w:r>
          </w:hyperlink>
        </w:p>
        <w:p w14:paraId="4E5F73C3" w14:textId="77777777" w:rsidR="00F32C04" w:rsidRDefault="00F32C04">
          <w:pPr>
            <w:pStyle w:val="Inhopg4"/>
            <w:tabs>
              <w:tab w:val="right" w:leader="dot" w:pos="9062"/>
            </w:tabs>
            <w:rPr>
              <w:rFonts w:eastAsiaTheme="minorEastAsia"/>
              <w:noProof/>
              <w:lang w:val="en-GB" w:eastAsia="en-GB"/>
            </w:rPr>
          </w:pPr>
          <w:hyperlink w:anchor="_Toc439346640" w:history="1">
            <w:r w:rsidRPr="00346EA6">
              <w:rPr>
                <w:rStyle w:val="Hyperlink"/>
                <w:noProof/>
              </w:rPr>
              <w:t>3.2.3.1 Libby boxes</w:t>
            </w:r>
            <w:r>
              <w:rPr>
                <w:noProof/>
                <w:webHidden/>
              </w:rPr>
              <w:tab/>
            </w:r>
            <w:r>
              <w:rPr>
                <w:noProof/>
                <w:webHidden/>
              </w:rPr>
              <w:fldChar w:fldCharType="begin"/>
            </w:r>
            <w:r>
              <w:rPr>
                <w:noProof/>
                <w:webHidden/>
              </w:rPr>
              <w:instrText xml:space="preserve"> PAGEREF _Toc439346640 \h </w:instrText>
            </w:r>
            <w:r>
              <w:rPr>
                <w:noProof/>
                <w:webHidden/>
              </w:rPr>
            </w:r>
            <w:r>
              <w:rPr>
                <w:noProof/>
                <w:webHidden/>
              </w:rPr>
              <w:fldChar w:fldCharType="separate"/>
            </w:r>
            <w:r w:rsidR="004043A1">
              <w:rPr>
                <w:noProof/>
                <w:webHidden/>
              </w:rPr>
              <w:t>29</w:t>
            </w:r>
            <w:r>
              <w:rPr>
                <w:noProof/>
                <w:webHidden/>
              </w:rPr>
              <w:fldChar w:fldCharType="end"/>
            </w:r>
          </w:hyperlink>
        </w:p>
        <w:p w14:paraId="3EE8E239" w14:textId="77777777" w:rsidR="00F32C04" w:rsidRDefault="00F32C04">
          <w:pPr>
            <w:pStyle w:val="Inhopg3"/>
            <w:tabs>
              <w:tab w:val="right" w:leader="dot" w:pos="9062"/>
            </w:tabs>
            <w:rPr>
              <w:rFonts w:eastAsiaTheme="minorEastAsia"/>
              <w:noProof/>
              <w:lang w:val="en-GB" w:eastAsia="en-GB"/>
            </w:rPr>
          </w:pPr>
          <w:hyperlink w:anchor="_Toc439346641" w:history="1">
            <w:r w:rsidRPr="00346EA6">
              <w:rPr>
                <w:rStyle w:val="Hyperlink"/>
                <w:noProof/>
              </w:rPr>
              <w:t>3.2.4 Hypothesis 4</w:t>
            </w:r>
            <w:r>
              <w:rPr>
                <w:noProof/>
                <w:webHidden/>
              </w:rPr>
              <w:tab/>
            </w:r>
            <w:r>
              <w:rPr>
                <w:noProof/>
                <w:webHidden/>
              </w:rPr>
              <w:fldChar w:fldCharType="begin"/>
            </w:r>
            <w:r>
              <w:rPr>
                <w:noProof/>
                <w:webHidden/>
              </w:rPr>
              <w:instrText xml:space="preserve"> PAGEREF _Toc439346641 \h </w:instrText>
            </w:r>
            <w:r>
              <w:rPr>
                <w:noProof/>
                <w:webHidden/>
              </w:rPr>
            </w:r>
            <w:r>
              <w:rPr>
                <w:noProof/>
                <w:webHidden/>
              </w:rPr>
              <w:fldChar w:fldCharType="separate"/>
            </w:r>
            <w:r w:rsidR="004043A1">
              <w:rPr>
                <w:noProof/>
                <w:webHidden/>
              </w:rPr>
              <w:t>30</w:t>
            </w:r>
            <w:r>
              <w:rPr>
                <w:noProof/>
                <w:webHidden/>
              </w:rPr>
              <w:fldChar w:fldCharType="end"/>
            </w:r>
          </w:hyperlink>
        </w:p>
        <w:p w14:paraId="073B6B25" w14:textId="77777777" w:rsidR="00F32C04" w:rsidRDefault="00F32C04">
          <w:pPr>
            <w:pStyle w:val="Inhopg4"/>
            <w:tabs>
              <w:tab w:val="right" w:leader="dot" w:pos="9062"/>
            </w:tabs>
            <w:rPr>
              <w:rFonts w:eastAsiaTheme="minorEastAsia"/>
              <w:noProof/>
              <w:lang w:val="en-GB" w:eastAsia="en-GB"/>
            </w:rPr>
          </w:pPr>
          <w:hyperlink w:anchor="_Toc439346642" w:history="1">
            <w:r w:rsidRPr="00346EA6">
              <w:rPr>
                <w:rStyle w:val="Hyperlink"/>
                <w:noProof/>
              </w:rPr>
              <w:t>3.2.4.1 Libby boxes</w:t>
            </w:r>
            <w:r>
              <w:rPr>
                <w:noProof/>
                <w:webHidden/>
              </w:rPr>
              <w:tab/>
            </w:r>
            <w:r>
              <w:rPr>
                <w:noProof/>
                <w:webHidden/>
              </w:rPr>
              <w:fldChar w:fldCharType="begin"/>
            </w:r>
            <w:r>
              <w:rPr>
                <w:noProof/>
                <w:webHidden/>
              </w:rPr>
              <w:instrText xml:space="preserve"> PAGEREF _Toc439346642 \h </w:instrText>
            </w:r>
            <w:r>
              <w:rPr>
                <w:noProof/>
                <w:webHidden/>
              </w:rPr>
            </w:r>
            <w:r>
              <w:rPr>
                <w:noProof/>
                <w:webHidden/>
              </w:rPr>
              <w:fldChar w:fldCharType="separate"/>
            </w:r>
            <w:r w:rsidR="004043A1">
              <w:rPr>
                <w:noProof/>
                <w:webHidden/>
              </w:rPr>
              <w:t>30</w:t>
            </w:r>
            <w:r>
              <w:rPr>
                <w:noProof/>
                <w:webHidden/>
              </w:rPr>
              <w:fldChar w:fldCharType="end"/>
            </w:r>
          </w:hyperlink>
        </w:p>
        <w:p w14:paraId="0D8A1408" w14:textId="77777777" w:rsidR="00F32C04" w:rsidRDefault="00F32C04">
          <w:pPr>
            <w:pStyle w:val="Inhopg2"/>
            <w:tabs>
              <w:tab w:val="right" w:leader="dot" w:pos="9062"/>
            </w:tabs>
            <w:rPr>
              <w:rFonts w:eastAsiaTheme="minorEastAsia"/>
              <w:noProof/>
              <w:lang w:val="en-GB" w:eastAsia="en-GB"/>
            </w:rPr>
          </w:pPr>
          <w:hyperlink w:anchor="_Toc439346643" w:history="1">
            <w:r w:rsidRPr="00346EA6">
              <w:rPr>
                <w:rStyle w:val="Hyperlink"/>
                <w:noProof/>
              </w:rPr>
              <w:t>3.3 Measurement of variables</w:t>
            </w:r>
            <w:r>
              <w:rPr>
                <w:noProof/>
                <w:webHidden/>
              </w:rPr>
              <w:tab/>
            </w:r>
            <w:r>
              <w:rPr>
                <w:noProof/>
                <w:webHidden/>
              </w:rPr>
              <w:fldChar w:fldCharType="begin"/>
            </w:r>
            <w:r>
              <w:rPr>
                <w:noProof/>
                <w:webHidden/>
              </w:rPr>
              <w:instrText xml:space="preserve"> PAGEREF _Toc439346643 \h </w:instrText>
            </w:r>
            <w:r>
              <w:rPr>
                <w:noProof/>
                <w:webHidden/>
              </w:rPr>
            </w:r>
            <w:r>
              <w:rPr>
                <w:noProof/>
                <w:webHidden/>
              </w:rPr>
              <w:fldChar w:fldCharType="separate"/>
            </w:r>
            <w:r w:rsidR="004043A1">
              <w:rPr>
                <w:noProof/>
                <w:webHidden/>
              </w:rPr>
              <w:t>31</w:t>
            </w:r>
            <w:r>
              <w:rPr>
                <w:noProof/>
                <w:webHidden/>
              </w:rPr>
              <w:fldChar w:fldCharType="end"/>
            </w:r>
          </w:hyperlink>
        </w:p>
        <w:p w14:paraId="052F231E" w14:textId="77777777" w:rsidR="00F32C04" w:rsidRDefault="00F32C04">
          <w:pPr>
            <w:pStyle w:val="Inhopg2"/>
            <w:tabs>
              <w:tab w:val="right" w:leader="dot" w:pos="9062"/>
            </w:tabs>
            <w:rPr>
              <w:rFonts w:eastAsiaTheme="minorEastAsia"/>
              <w:noProof/>
              <w:lang w:val="en-GB" w:eastAsia="en-GB"/>
            </w:rPr>
          </w:pPr>
          <w:hyperlink w:anchor="_Toc439346644" w:history="1">
            <w:r w:rsidRPr="00346EA6">
              <w:rPr>
                <w:rStyle w:val="Hyperlink"/>
                <w:noProof/>
              </w:rPr>
              <w:t>3.4 Internal validity, external validity and construct validity</w:t>
            </w:r>
            <w:r>
              <w:rPr>
                <w:noProof/>
                <w:webHidden/>
              </w:rPr>
              <w:tab/>
            </w:r>
            <w:r>
              <w:rPr>
                <w:noProof/>
                <w:webHidden/>
              </w:rPr>
              <w:fldChar w:fldCharType="begin"/>
            </w:r>
            <w:r>
              <w:rPr>
                <w:noProof/>
                <w:webHidden/>
              </w:rPr>
              <w:instrText xml:space="preserve"> PAGEREF _Toc439346644 \h </w:instrText>
            </w:r>
            <w:r>
              <w:rPr>
                <w:noProof/>
                <w:webHidden/>
              </w:rPr>
            </w:r>
            <w:r>
              <w:rPr>
                <w:noProof/>
                <w:webHidden/>
              </w:rPr>
              <w:fldChar w:fldCharType="separate"/>
            </w:r>
            <w:r w:rsidR="004043A1">
              <w:rPr>
                <w:noProof/>
                <w:webHidden/>
              </w:rPr>
              <w:t>31</w:t>
            </w:r>
            <w:r>
              <w:rPr>
                <w:noProof/>
                <w:webHidden/>
              </w:rPr>
              <w:fldChar w:fldCharType="end"/>
            </w:r>
          </w:hyperlink>
        </w:p>
        <w:p w14:paraId="7C62EFD1" w14:textId="77777777" w:rsidR="00F32C04" w:rsidRDefault="00F32C04">
          <w:pPr>
            <w:pStyle w:val="Inhopg1"/>
            <w:tabs>
              <w:tab w:val="right" w:leader="dot" w:pos="9062"/>
            </w:tabs>
            <w:rPr>
              <w:rFonts w:eastAsiaTheme="minorEastAsia"/>
              <w:noProof/>
              <w:lang w:val="en-GB" w:eastAsia="en-GB"/>
            </w:rPr>
          </w:pPr>
          <w:hyperlink w:anchor="_Toc439346645" w:history="1">
            <w:r w:rsidRPr="00346EA6">
              <w:rPr>
                <w:rStyle w:val="Hyperlink"/>
                <w:noProof/>
              </w:rPr>
              <w:t>4 Methodology</w:t>
            </w:r>
            <w:r>
              <w:rPr>
                <w:noProof/>
                <w:webHidden/>
              </w:rPr>
              <w:tab/>
            </w:r>
            <w:r>
              <w:rPr>
                <w:noProof/>
                <w:webHidden/>
              </w:rPr>
              <w:fldChar w:fldCharType="begin"/>
            </w:r>
            <w:r>
              <w:rPr>
                <w:noProof/>
                <w:webHidden/>
              </w:rPr>
              <w:instrText xml:space="preserve"> PAGEREF _Toc439346645 \h </w:instrText>
            </w:r>
            <w:r>
              <w:rPr>
                <w:noProof/>
                <w:webHidden/>
              </w:rPr>
            </w:r>
            <w:r>
              <w:rPr>
                <w:noProof/>
                <w:webHidden/>
              </w:rPr>
              <w:fldChar w:fldCharType="separate"/>
            </w:r>
            <w:r w:rsidR="004043A1">
              <w:rPr>
                <w:noProof/>
                <w:webHidden/>
              </w:rPr>
              <w:t>33</w:t>
            </w:r>
            <w:r>
              <w:rPr>
                <w:noProof/>
                <w:webHidden/>
              </w:rPr>
              <w:fldChar w:fldCharType="end"/>
            </w:r>
          </w:hyperlink>
        </w:p>
        <w:p w14:paraId="7A970E6C" w14:textId="77777777" w:rsidR="00F32C04" w:rsidRDefault="00F32C04">
          <w:pPr>
            <w:pStyle w:val="Inhopg2"/>
            <w:tabs>
              <w:tab w:val="right" w:leader="dot" w:pos="9062"/>
            </w:tabs>
            <w:rPr>
              <w:rFonts w:eastAsiaTheme="minorEastAsia"/>
              <w:noProof/>
              <w:lang w:val="en-GB" w:eastAsia="en-GB"/>
            </w:rPr>
          </w:pPr>
          <w:hyperlink w:anchor="_Toc439346646" w:history="1">
            <w:r w:rsidRPr="00346EA6">
              <w:rPr>
                <w:rStyle w:val="Hyperlink"/>
                <w:noProof/>
              </w:rPr>
              <w:t>4.1 Data collection</w:t>
            </w:r>
            <w:r>
              <w:rPr>
                <w:noProof/>
                <w:webHidden/>
              </w:rPr>
              <w:tab/>
            </w:r>
            <w:r>
              <w:rPr>
                <w:noProof/>
                <w:webHidden/>
              </w:rPr>
              <w:fldChar w:fldCharType="begin"/>
            </w:r>
            <w:r>
              <w:rPr>
                <w:noProof/>
                <w:webHidden/>
              </w:rPr>
              <w:instrText xml:space="preserve"> PAGEREF _Toc439346646 \h </w:instrText>
            </w:r>
            <w:r>
              <w:rPr>
                <w:noProof/>
                <w:webHidden/>
              </w:rPr>
            </w:r>
            <w:r>
              <w:rPr>
                <w:noProof/>
                <w:webHidden/>
              </w:rPr>
              <w:fldChar w:fldCharType="separate"/>
            </w:r>
            <w:r w:rsidR="004043A1">
              <w:rPr>
                <w:noProof/>
                <w:webHidden/>
              </w:rPr>
              <w:t>33</w:t>
            </w:r>
            <w:r>
              <w:rPr>
                <w:noProof/>
                <w:webHidden/>
              </w:rPr>
              <w:fldChar w:fldCharType="end"/>
            </w:r>
          </w:hyperlink>
        </w:p>
        <w:p w14:paraId="10113BD9" w14:textId="77777777" w:rsidR="00F32C04" w:rsidRDefault="00F32C04">
          <w:pPr>
            <w:pStyle w:val="Inhopg2"/>
            <w:tabs>
              <w:tab w:val="right" w:leader="dot" w:pos="9062"/>
            </w:tabs>
            <w:rPr>
              <w:rFonts w:eastAsiaTheme="minorEastAsia"/>
              <w:noProof/>
              <w:lang w:val="en-GB" w:eastAsia="en-GB"/>
            </w:rPr>
          </w:pPr>
          <w:hyperlink w:anchor="_Toc439346647" w:history="1">
            <w:r w:rsidRPr="00346EA6">
              <w:rPr>
                <w:rStyle w:val="Hyperlink"/>
                <w:noProof/>
              </w:rPr>
              <w:t>4.2 Variables</w:t>
            </w:r>
            <w:r>
              <w:rPr>
                <w:noProof/>
                <w:webHidden/>
              </w:rPr>
              <w:tab/>
            </w:r>
            <w:r>
              <w:rPr>
                <w:noProof/>
                <w:webHidden/>
              </w:rPr>
              <w:fldChar w:fldCharType="begin"/>
            </w:r>
            <w:r>
              <w:rPr>
                <w:noProof/>
                <w:webHidden/>
              </w:rPr>
              <w:instrText xml:space="preserve"> PAGEREF _Toc439346647 \h </w:instrText>
            </w:r>
            <w:r>
              <w:rPr>
                <w:noProof/>
                <w:webHidden/>
              </w:rPr>
            </w:r>
            <w:r>
              <w:rPr>
                <w:noProof/>
                <w:webHidden/>
              </w:rPr>
              <w:fldChar w:fldCharType="separate"/>
            </w:r>
            <w:r w:rsidR="004043A1">
              <w:rPr>
                <w:noProof/>
                <w:webHidden/>
              </w:rPr>
              <w:t>33</w:t>
            </w:r>
            <w:r>
              <w:rPr>
                <w:noProof/>
                <w:webHidden/>
              </w:rPr>
              <w:fldChar w:fldCharType="end"/>
            </w:r>
          </w:hyperlink>
        </w:p>
        <w:p w14:paraId="0031BBFE" w14:textId="77777777" w:rsidR="00F32C04" w:rsidRDefault="00F32C04">
          <w:pPr>
            <w:pStyle w:val="Inhopg2"/>
            <w:tabs>
              <w:tab w:val="right" w:leader="dot" w:pos="9062"/>
            </w:tabs>
            <w:rPr>
              <w:rFonts w:eastAsiaTheme="minorEastAsia"/>
              <w:noProof/>
              <w:lang w:val="en-GB" w:eastAsia="en-GB"/>
            </w:rPr>
          </w:pPr>
          <w:hyperlink w:anchor="_Toc439346648" w:history="1">
            <w:r w:rsidRPr="00346EA6">
              <w:rPr>
                <w:rStyle w:val="Hyperlink"/>
                <w:noProof/>
              </w:rPr>
              <w:t>4.3 Sample</w:t>
            </w:r>
            <w:r>
              <w:rPr>
                <w:noProof/>
                <w:webHidden/>
              </w:rPr>
              <w:tab/>
            </w:r>
            <w:r>
              <w:rPr>
                <w:noProof/>
                <w:webHidden/>
              </w:rPr>
              <w:fldChar w:fldCharType="begin"/>
            </w:r>
            <w:r>
              <w:rPr>
                <w:noProof/>
                <w:webHidden/>
              </w:rPr>
              <w:instrText xml:space="preserve"> PAGEREF _Toc439346648 \h </w:instrText>
            </w:r>
            <w:r>
              <w:rPr>
                <w:noProof/>
                <w:webHidden/>
              </w:rPr>
            </w:r>
            <w:r>
              <w:rPr>
                <w:noProof/>
                <w:webHidden/>
              </w:rPr>
              <w:fldChar w:fldCharType="separate"/>
            </w:r>
            <w:r w:rsidR="004043A1">
              <w:rPr>
                <w:noProof/>
                <w:webHidden/>
              </w:rPr>
              <w:t>35</w:t>
            </w:r>
            <w:r>
              <w:rPr>
                <w:noProof/>
                <w:webHidden/>
              </w:rPr>
              <w:fldChar w:fldCharType="end"/>
            </w:r>
          </w:hyperlink>
        </w:p>
        <w:p w14:paraId="0F05AFAE" w14:textId="77777777" w:rsidR="00F32C04" w:rsidRDefault="00F32C04">
          <w:pPr>
            <w:pStyle w:val="Inhopg2"/>
            <w:tabs>
              <w:tab w:val="right" w:leader="dot" w:pos="9062"/>
            </w:tabs>
            <w:rPr>
              <w:rFonts w:eastAsiaTheme="minorEastAsia"/>
              <w:noProof/>
              <w:lang w:val="en-GB" w:eastAsia="en-GB"/>
            </w:rPr>
          </w:pPr>
          <w:hyperlink w:anchor="_Toc439346649" w:history="1">
            <w:r w:rsidRPr="00346EA6">
              <w:rPr>
                <w:rStyle w:val="Hyperlink"/>
                <w:noProof/>
              </w:rPr>
              <w:t>4.4 Testing the hypotheses</w:t>
            </w:r>
            <w:r>
              <w:rPr>
                <w:noProof/>
                <w:webHidden/>
              </w:rPr>
              <w:tab/>
            </w:r>
            <w:r>
              <w:rPr>
                <w:noProof/>
                <w:webHidden/>
              </w:rPr>
              <w:fldChar w:fldCharType="begin"/>
            </w:r>
            <w:r>
              <w:rPr>
                <w:noProof/>
                <w:webHidden/>
              </w:rPr>
              <w:instrText xml:space="preserve"> PAGEREF _Toc439346649 \h </w:instrText>
            </w:r>
            <w:r>
              <w:rPr>
                <w:noProof/>
                <w:webHidden/>
              </w:rPr>
            </w:r>
            <w:r>
              <w:rPr>
                <w:noProof/>
                <w:webHidden/>
              </w:rPr>
              <w:fldChar w:fldCharType="separate"/>
            </w:r>
            <w:r w:rsidR="004043A1">
              <w:rPr>
                <w:noProof/>
                <w:webHidden/>
              </w:rPr>
              <w:t>37</w:t>
            </w:r>
            <w:r>
              <w:rPr>
                <w:noProof/>
                <w:webHidden/>
              </w:rPr>
              <w:fldChar w:fldCharType="end"/>
            </w:r>
          </w:hyperlink>
        </w:p>
        <w:p w14:paraId="683166B9" w14:textId="77777777" w:rsidR="00F32C04" w:rsidRDefault="00F32C04">
          <w:pPr>
            <w:pStyle w:val="Inhopg3"/>
            <w:tabs>
              <w:tab w:val="right" w:leader="dot" w:pos="9062"/>
            </w:tabs>
            <w:rPr>
              <w:rFonts w:eastAsiaTheme="minorEastAsia"/>
              <w:noProof/>
              <w:lang w:val="en-GB" w:eastAsia="en-GB"/>
            </w:rPr>
          </w:pPr>
          <w:hyperlink w:anchor="_Toc439346650" w:history="1">
            <w:r w:rsidRPr="00346EA6">
              <w:rPr>
                <w:rStyle w:val="Hyperlink"/>
                <w:noProof/>
              </w:rPr>
              <w:t>4.4.1 Testing hypothesis 1</w:t>
            </w:r>
            <w:r>
              <w:rPr>
                <w:noProof/>
                <w:webHidden/>
              </w:rPr>
              <w:tab/>
            </w:r>
            <w:r>
              <w:rPr>
                <w:noProof/>
                <w:webHidden/>
              </w:rPr>
              <w:fldChar w:fldCharType="begin"/>
            </w:r>
            <w:r>
              <w:rPr>
                <w:noProof/>
                <w:webHidden/>
              </w:rPr>
              <w:instrText xml:space="preserve"> PAGEREF _Toc439346650 \h </w:instrText>
            </w:r>
            <w:r>
              <w:rPr>
                <w:noProof/>
                <w:webHidden/>
              </w:rPr>
            </w:r>
            <w:r>
              <w:rPr>
                <w:noProof/>
                <w:webHidden/>
              </w:rPr>
              <w:fldChar w:fldCharType="separate"/>
            </w:r>
            <w:r w:rsidR="004043A1">
              <w:rPr>
                <w:noProof/>
                <w:webHidden/>
              </w:rPr>
              <w:t>37</w:t>
            </w:r>
            <w:r>
              <w:rPr>
                <w:noProof/>
                <w:webHidden/>
              </w:rPr>
              <w:fldChar w:fldCharType="end"/>
            </w:r>
          </w:hyperlink>
        </w:p>
        <w:p w14:paraId="4A3EBE79" w14:textId="77777777" w:rsidR="00F32C04" w:rsidRDefault="00F32C04">
          <w:pPr>
            <w:pStyle w:val="Inhopg3"/>
            <w:tabs>
              <w:tab w:val="right" w:leader="dot" w:pos="9062"/>
            </w:tabs>
            <w:rPr>
              <w:rFonts w:eastAsiaTheme="minorEastAsia"/>
              <w:noProof/>
              <w:lang w:val="en-GB" w:eastAsia="en-GB"/>
            </w:rPr>
          </w:pPr>
          <w:hyperlink w:anchor="_Toc439346651" w:history="1">
            <w:r w:rsidRPr="00346EA6">
              <w:rPr>
                <w:rStyle w:val="Hyperlink"/>
                <w:noProof/>
              </w:rPr>
              <w:t>4.4.2 Testing hypothesis 2</w:t>
            </w:r>
            <w:r>
              <w:rPr>
                <w:noProof/>
                <w:webHidden/>
              </w:rPr>
              <w:tab/>
            </w:r>
            <w:r>
              <w:rPr>
                <w:noProof/>
                <w:webHidden/>
              </w:rPr>
              <w:fldChar w:fldCharType="begin"/>
            </w:r>
            <w:r>
              <w:rPr>
                <w:noProof/>
                <w:webHidden/>
              </w:rPr>
              <w:instrText xml:space="preserve"> PAGEREF _Toc439346651 \h </w:instrText>
            </w:r>
            <w:r>
              <w:rPr>
                <w:noProof/>
                <w:webHidden/>
              </w:rPr>
            </w:r>
            <w:r>
              <w:rPr>
                <w:noProof/>
                <w:webHidden/>
              </w:rPr>
              <w:fldChar w:fldCharType="separate"/>
            </w:r>
            <w:r w:rsidR="004043A1">
              <w:rPr>
                <w:noProof/>
                <w:webHidden/>
              </w:rPr>
              <w:t>38</w:t>
            </w:r>
            <w:r>
              <w:rPr>
                <w:noProof/>
                <w:webHidden/>
              </w:rPr>
              <w:fldChar w:fldCharType="end"/>
            </w:r>
          </w:hyperlink>
        </w:p>
        <w:p w14:paraId="641E1041" w14:textId="77777777" w:rsidR="00F32C04" w:rsidRDefault="00F32C04">
          <w:pPr>
            <w:pStyle w:val="Inhopg3"/>
            <w:tabs>
              <w:tab w:val="right" w:leader="dot" w:pos="9062"/>
            </w:tabs>
            <w:rPr>
              <w:rFonts w:eastAsiaTheme="minorEastAsia"/>
              <w:noProof/>
              <w:lang w:val="en-GB" w:eastAsia="en-GB"/>
            </w:rPr>
          </w:pPr>
          <w:hyperlink w:anchor="_Toc439346652" w:history="1">
            <w:r w:rsidRPr="00346EA6">
              <w:rPr>
                <w:rStyle w:val="Hyperlink"/>
                <w:noProof/>
              </w:rPr>
              <w:t>4.4.3 Testing hypothesis 3</w:t>
            </w:r>
            <w:r>
              <w:rPr>
                <w:noProof/>
                <w:webHidden/>
              </w:rPr>
              <w:tab/>
            </w:r>
            <w:r>
              <w:rPr>
                <w:noProof/>
                <w:webHidden/>
              </w:rPr>
              <w:fldChar w:fldCharType="begin"/>
            </w:r>
            <w:r>
              <w:rPr>
                <w:noProof/>
                <w:webHidden/>
              </w:rPr>
              <w:instrText xml:space="preserve"> PAGEREF _Toc439346652 \h </w:instrText>
            </w:r>
            <w:r>
              <w:rPr>
                <w:noProof/>
                <w:webHidden/>
              </w:rPr>
            </w:r>
            <w:r>
              <w:rPr>
                <w:noProof/>
                <w:webHidden/>
              </w:rPr>
              <w:fldChar w:fldCharType="separate"/>
            </w:r>
            <w:r w:rsidR="004043A1">
              <w:rPr>
                <w:noProof/>
                <w:webHidden/>
              </w:rPr>
              <w:t>38</w:t>
            </w:r>
            <w:r>
              <w:rPr>
                <w:noProof/>
                <w:webHidden/>
              </w:rPr>
              <w:fldChar w:fldCharType="end"/>
            </w:r>
          </w:hyperlink>
        </w:p>
        <w:p w14:paraId="706287D2" w14:textId="77777777" w:rsidR="00F32C04" w:rsidRDefault="00F32C04">
          <w:pPr>
            <w:pStyle w:val="Inhopg3"/>
            <w:tabs>
              <w:tab w:val="right" w:leader="dot" w:pos="9062"/>
            </w:tabs>
            <w:rPr>
              <w:rFonts w:eastAsiaTheme="minorEastAsia"/>
              <w:noProof/>
              <w:lang w:val="en-GB" w:eastAsia="en-GB"/>
            </w:rPr>
          </w:pPr>
          <w:hyperlink w:anchor="_Toc439346653" w:history="1">
            <w:r w:rsidRPr="00346EA6">
              <w:rPr>
                <w:rStyle w:val="Hyperlink"/>
                <w:noProof/>
              </w:rPr>
              <w:t>4.4.4 Testing hypothesis 4</w:t>
            </w:r>
            <w:r>
              <w:rPr>
                <w:noProof/>
                <w:webHidden/>
              </w:rPr>
              <w:tab/>
            </w:r>
            <w:r>
              <w:rPr>
                <w:noProof/>
                <w:webHidden/>
              </w:rPr>
              <w:fldChar w:fldCharType="begin"/>
            </w:r>
            <w:r>
              <w:rPr>
                <w:noProof/>
                <w:webHidden/>
              </w:rPr>
              <w:instrText xml:space="preserve"> PAGEREF _Toc439346653 \h </w:instrText>
            </w:r>
            <w:r>
              <w:rPr>
                <w:noProof/>
                <w:webHidden/>
              </w:rPr>
            </w:r>
            <w:r>
              <w:rPr>
                <w:noProof/>
                <w:webHidden/>
              </w:rPr>
              <w:fldChar w:fldCharType="separate"/>
            </w:r>
            <w:r w:rsidR="004043A1">
              <w:rPr>
                <w:noProof/>
                <w:webHidden/>
              </w:rPr>
              <w:t>39</w:t>
            </w:r>
            <w:r>
              <w:rPr>
                <w:noProof/>
                <w:webHidden/>
              </w:rPr>
              <w:fldChar w:fldCharType="end"/>
            </w:r>
          </w:hyperlink>
        </w:p>
        <w:p w14:paraId="0F0166F2" w14:textId="77777777" w:rsidR="00F32C04" w:rsidRDefault="00F32C04">
          <w:pPr>
            <w:pStyle w:val="Inhopg1"/>
            <w:tabs>
              <w:tab w:val="right" w:leader="dot" w:pos="9062"/>
            </w:tabs>
            <w:rPr>
              <w:rFonts w:eastAsiaTheme="minorEastAsia"/>
              <w:noProof/>
              <w:lang w:val="en-GB" w:eastAsia="en-GB"/>
            </w:rPr>
          </w:pPr>
          <w:hyperlink w:anchor="_Toc439346654" w:history="1">
            <w:r w:rsidRPr="00346EA6">
              <w:rPr>
                <w:rStyle w:val="Hyperlink"/>
                <w:noProof/>
              </w:rPr>
              <w:t>5 Results</w:t>
            </w:r>
            <w:r>
              <w:rPr>
                <w:noProof/>
                <w:webHidden/>
              </w:rPr>
              <w:tab/>
            </w:r>
            <w:r>
              <w:rPr>
                <w:noProof/>
                <w:webHidden/>
              </w:rPr>
              <w:fldChar w:fldCharType="begin"/>
            </w:r>
            <w:r>
              <w:rPr>
                <w:noProof/>
                <w:webHidden/>
              </w:rPr>
              <w:instrText xml:space="preserve"> PAGEREF _Toc439346654 \h </w:instrText>
            </w:r>
            <w:r>
              <w:rPr>
                <w:noProof/>
                <w:webHidden/>
              </w:rPr>
            </w:r>
            <w:r>
              <w:rPr>
                <w:noProof/>
                <w:webHidden/>
              </w:rPr>
              <w:fldChar w:fldCharType="separate"/>
            </w:r>
            <w:r w:rsidR="004043A1">
              <w:rPr>
                <w:noProof/>
                <w:webHidden/>
              </w:rPr>
              <w:t>40</w:t>
            </w:r>
            <w:r>
              <w:rPr>
                <w:noProof/>
                <w:webHidden/>
              </w:rPr>
              <w:fldChar w:fldCharType="end"/>
            </w:r>
          </w:hyperlink>
        </w:p>
        <w:p w14:paraId="43D71BDE" w14:textId="77777777" w:rsidR="00F32C04" w:rsidRDefault="00F32C04">
          <w:pPr>
            <w:pStyle w:val="Inhopg1"/>
            <w:tabs>
              <w:tab w:val="right" w:leader="dot" w:pos="9062"/>
            </w:tabs>
            <w:rPr>
              <w:rFonts w:eastAsiaTheme="minorEastAsia"/>
              <w:noProof/>
              <w:lang w:val="en-GB" w:eastAsia="en-GB"/>
            </w:rPr>
          </w:pPr>
          <w:hyperlink w:anchor="_Toc439346655" w:history="1">
            <w:r w:rsidRPr="00346EA6">
              <w:rPr>
                <w:rStyle w:val="Hyperlink"/>
                <w:noProof/>
              </w:rPr>
              <w:t>6 Conclusion</w:t>
            </w:r>
            <w:r>
              <w:rPr>
                <w:noProof/>
                <w:webHidden/>
              </w:rPr>
              <w:tab/>
            </w:r>
            <w:r>
              <w:rPr>
                <w:noProof/>
                <w:webHidden/>
              </w:rPr>
              <w:fldChar w:fldCharType="begin"/>
            </w:r>
            <w:r>
              <w:rPr>
                <w:noProof/>
                <w:webHidden/>
              </w:rPr>
              <w:instrText xml:space="preserve"> PAGEREF _Toc439346655 \h </w:instrText>
            </w:r>
            <w:r>
              <w:rPr>
                <w:noProof/>
                <w:webHidden/>
              </w:rPr>
            </w:r>
            <w:r>
              <w:rPr>
                <w:noProof/>
                <w:webHidden/>
              </w:rPr>
              <w:fldChar w:fldCharType="separate"/>
            </w:r>
            <w:r w:rsidR="004043A1">
              <w:rPr>
                <w:noProof/>
                <w:webHidden/>
              </w:rPr>
              <w:t>45</w:t>
            </w:r>
            <w:r>
              <w:rPr>
                <w:noProof/>
                <w:webHidden/>
              </w:rPr>
              <w:fldChar w:fldCharType="end"/>
            </w:r>
          </w:hyperlink>
        </w:p>
        <w:p w14:paraId="2E54F834" w14:textId="77777777" w:rsidR="00F32C04" w:rsidRDefault="00F32C04">
          <w:pPr>
            <w:pStyle w:val="Inhopg2"/>
            <w:tabs>
              <w:tab w:val="right" w:leader="dot" w:pos="9062"/>
            </w:tabs>
            <w:rPr>
              <w:rFonts w:eastAsiaTheme="minorEastAsia"/>
              <w:noProof/>
              <w:lang w:val="en-GB" w:eastAsia="en-GB"/>
            </w:rPr>
          </w:pPr>
          <w:hyperlink w:anchor="_Toc439346656" w:history="1">
            <w:r w:rsidRPr="00346EA6">
              <w:rPr>
                <w:rStyle w:val="Hyperlink"/>
                <w:noProof/>
              </w:rPr>
              <w:t>6.1 Discussion</w:t>
            </w:r>
            <w:r>
              <w:rPr>
                <w:noProof/>
                <w:webHidden/>
              </w:rPr>
              <w:tab/>
            </w:r>
            <w:r>
              <w:rPr>
                <w:noProof/>
                <w:webHidden/>
              </w:rPr>
              <w:fldChar w:fldCharType="begin"/>
            </w:r>
            <w:r>
              <w:rPr>
                <w:noProof/>
                <w:webHidden/>
              </w:rPr>
              <w:instrText xml:space="preserve"> PAGEREF _Toc439346656 \h </w:instrText>
            </w:r>
            <w:r>
              <w:rPr>
                <w:noProof/>
                <w:webHidden/>
              </w:rPr>
            </w:r>
            <w:r>
              <w:rPr>
                <w:noProof/>
                <w:webHidden/>
              </w:rPr>
              <w:fldChar w:fldCharType="separate"/>
            </w:r>
            <w:r w:rsidR="004043A1">
              <w:rPr>
                <w:noProof/>
                <w:webHidden/>
              </w:rPr>
              <w:t>45</w:t>
            </w:r>
            <w:r>
              <w:rPr>
                <w:noProof/>
                <w:webHidden/>
              </w:rPr>
              <w:fldChar w:fldCharType="end"/>
            </w:r>
          </w:hyperlink>
        </w:p>
        <w:p w14:paraId="0CC2B398" w14:textId="77777777" w:rsidR="00F32C04" w:rsidRDefault="00F32C04">
          <w:pPr>
            <w:pStyle w:val="Inhopg2"/>
            <w:tabs>
              <w:tab w:val="right" w:leader="dot" w:pos="9062"/>
            </w:tabs>
            <w:rPr>
              <w:rFonts w:eastAsiaTheme="minorEastAsia"/>
              <w:noProof/>
              <w:lang w:val="en-GB" w:eastAsia="en-GB"/>
            </w:rPr>
          </w:pPr>
          <w:hyperlink w:anchor="_Toc439346657" w:history="1">
            <w:r w:rsidRPr="00346EA6">
              <w:rPr>
                <w:rStyle w:val="Hyperlink"/>
                <w:noProof/>
              </w:rPr>
              <w:t>6.2 Practical implications</w:t>
            </w:r>
            <w:r>
              <w:rPr>
                <w:noProof/>
                <w:webHidden/>
              </w:rPr>
              <w:tab/>
            </w:r>
            <w:r>
              <w:rPr>
                <w:noProof/>
                <w:webHidden/>
              </w:rPr>
              <w:fldChar w:fldCharType="begin"/>
            </w:r>
            <w:r>
              <w:rPr>
                <w:noProof/>
                <w:webHidden/>
              </w:rPr>
              <w:instrText xml:space="preserve"> PAGEREF _Toc439346657 \h </w:instrText>
            </w:r>
            <w:r>
              <w:rPr>
                <w:noProof/>
                <w:webHidden/>
              </w:rPr>
            </w:r>
            <w:r>
              <w:rPr>
                <w:noProof/>
                <w:webHidden/>
              </w:rPr>
              <w:fldChar w:fldCharType="separate"/>
            </w:r>
            <w:r w:rsidR="004043A1">
              <w:rPr>
                <w:noProof/>
                <w:webHidden/>
              </w:rPr>
              <w:t>46</w:t>
            </w:r>
            <w:r>
              <w:rPr>
                <w:noProof/>
                <w:webHidden/>
              </w:rPr>
              <w:fldChar w:fldCharType="end"/>
            </w:r>
          </w:hyperlink>
        </w:p>
        <w:p w14:paraId="24707363" w14:textId="77777777" w:rsidR="00F32C04" w:rsidRDefault="00F32C04">
          <w:pPr>
            <w:pStyle w:val="Inhopg2"/>
            <w:tabs>
              <w:tab w:val="right" w:leader="dot" w:pos="9062"/>
            </w:tabs>
            <w:rPr>
              <w:rFonts w:eastAsiaTheme="minorEastAsia"/>
              <w:noProof/>
              <w:lang w:val="en-GB" w:eastAsia="en-GB"/>
            </w:rPr>
          </w:pPr>
          <w:hyperlink w:anchor="_Toc439346658" w:history="1">
            <w:r w:rsidRPr="00346EA6">
              <w:rPr>
                <w:rStyle w:val="Hyperlink"/>
                <w:noProof/>
              </w:rPr>
              <w:t>6.3 Limitations</w:t>
            </w:r>
            <w:r>
              <w:rPr>
                <w:noProof/>
                <w:webHidden/>
              </w:rPr>
              <w:tab/>
            </w:r>
            <w:r>
              <w:rPr>
                <w:noProof/>
                <w:webHidden/>
              </w:rPr>
              <w:fldChar w:fldCharType="begin"/>
            </w:r>
            <w:r>
              <w:rPr>
                <w:noProof/>
                <w:webHidden/>
              </w:rPr>
              <w:instrText xml:space="preserve"> PAGEREF _Toc439346658 \h </w:instrText>
            </w:r>
            <w:r>
              <w:rPr>
                <w:noProof/>
                <w:webHidden/>
              </w:rPr>
            </w:r>
            <w:r>
              <w:rPr>
                <w:noProof/>
                <w:webHidden/>
              </w:rPr>
              <w:fldChar w:fldCharType="separate"/>
            </w:r>
            <w:r w:rsidR="004043A1">
              <w:rPr>
                <w:noProof/>
                <w:webHidden/>
              </w:rPr>
              <w:t>47</w:t>
            </w:r>
            <w:r>
              <w:rPr>
                <w:noProof/>
                <w:webHidden/>
              </w:rPr>
              <w:fldChar w:fldCharType="end"/>
            </w:r>
          </w:hyperlink>
        </w:p>
        <w:p w14:paraId="0907540A" w14:textId="77777777" w:rsidR="00F32C04" w:rsidRDefault="00F32C04">
          <w:pPr>
            <w:pStyle w:val="Inhopg2"/>
            <w:tabs>
              <w:tab w:val="right" w:leader="dot" w:pos="9062"/>
            </w:tabs>
            <w:rPr>
              <w:rFonts w:eastAsiaTheme="minorEastAsia"/>
              <w:noProof/>
              <w:lang w:val="en-GB" w:eastAsia="en-GB"/>
            </w:rPr>
          </w:pPr>
          <w:hyperlink w:anchor="_Toc439346659" w:history="1">
            <w:r w:rsidRPr="00346EA6">
              <w:rPr>
                <w:rStyle w:val="Hyperlink"/>
                <w:noProof/>
              </w:rPr>
              <w:t>6.4 Future research</w:t>
            </w:r>
            <w:r>
              <w:rPr>
                <w:noProof/>
                <w:webHidden/>
              </w:rPr>
              <w:tab/>
            </w:r>
            <w:r>
              <w:rPr>
                <w:noProof/>
                <w:webHidden/>
              </w:rPr>
              <w:fldChar w:fldCharType="begin"/>
            </w:r>
            <w:r>
              <w:rPr>
                <w:noProof/>
                <w:webHidden/>
              </w:rPr>
              <w:instrText xml:space="preserve"> PAGEREF _Toc439346659 \h </w:instrText>
            </w:r>
            <w:r>
              <w:rPr>
                <w:noProof/>
                <w:webHidden/>
              </w:rPr>
            </w:r>
            <w:r>
              <w:rPr>
                <w:noProof/>
                <w:webHidden/>
              </w:rPr>
              <w:fldChar w:fldCharType="separate"/>
            </w:r>
            <w:r w:rsidR="004043A1">
              <w:rPr>
                <w:noProof/>
                <w:webHidden/>
              </w:rPr>
              <w:t>48</w:t>
            </w:r>
            <w:r>
              <w:rPr>
                <w:noProof/>
                <w:webHidden/>
              </w:rPr>
              <w:fldChar w:fldCharType="end"/>
            </w:r>
          </w:hyperlink>
        </w:p>
        <w:p w14:paraId="792FCA83" w14:textId="71E97E7A" w:rsidR="00F32C04" w:rsidRDefault="00F32C04">
          <w:pPr>
            <w:pStyle w:val="Inhopg1"/>
            <w:tabs>
              <w:tab w:val="right" w:leader="dot" w:pos="9062"/>
            </w:tabs>
            <w:rPr>
              <w:rFonts w:eastAsiaTheme="minorEastAsia"/>
              <w:noProof/>
              <w:lang w:val="en-GB" w:eastAsia="en-GB"/>
            </w:rPr>
          </w:pPr>
          <w:hyperlink w:anchor="_Toc439346660" w:history="1">
            <w:r w:rsidRPr="00346EA6">
              <w:rPr>
                <w:rStyle w:val="Hyperlink"/>
                <w:noProof/>
                <w:lang w:eastAsia="nl-NL"/>
              </w:rPr>
              <w:t>7</w:t>
            </w:r>
            <w:r>
              <w:rPr>
                <w:rStyle w:val="Hyperlink"/>
                <w:noProof/>
                <w:lang w:eastAsia="nl-NL"/>
              </w:rPr>
              <w:t xml:space="preserve"> References</w:t>
            </w:r>
            <w:r>
              <w:rPr>
                <w:noProof/>
                <w:webHidden/>
              </w:rPr>
              <w:tab/>
            </w:r>
            <w:r>
              <w:rPr>
                <w:noProof/>
                <w:webHidden/>
              </w:rPr>
              <w:fldChar w:fldCharType="begin"/>
            </w:r>
            <w:r>
              <w:rPr>
                <w:noProof/>
                <w:webHidden/>
              </w:rPr>
              <w:instrText xml:space="preserve"> PAGEREF _Toc439346660 \h </w:instrText>
            </w:r>
            <w:r>
              <w:rPr>
                <w:noProof/>
                <w:webHidden/>
              </w:rPr>
            </w:r>
            <w:r>
              <w:rPr>
                <w:noProof/>
                <w:webHidden/>
              </w:rPr>
              <w:fldChar w:fldCharType="separate"/>
            </w:r>
            <w:r w:rsidR="004043A1">
              <w:rPr>
                <w:noProof/>
                <w:webHidden/>
              </w:rPr>
              <w:t>50</w:t>
            </w:r>
            <w:r>
              <w:rPr>
                <w:noProof/>
                <w:webHidden/>
              </w:rPr>
              <w:fldChar w:fldCharType="end"/>
            </w:r>
          </w:hyperlink>
        </w:p>
        <w:p w14:paraId="3978FD59" w14:textId="77777777" w:rsidR="00F32C04" w:rsidRDefault="00F32C04">
          <w:pPr>
            <w:pStyle w:val="Inhopg1"/>
            <w:tabs>
              <w:tab w:val="right" w:leader="dot" w:pos="9062"/>
            </w:tabs>
            <w:rPr>
              <w:rFonts w:eastAsiaTheme="minorEastAsia"/>
              <w:noProof/>
              <w:lang w:val="en-GB" w:eastAsia="en-GB"/>
            </w:rPr>
          </w:pPr>
          <w:hyperlink w:anchor="_Toc439346661" w:history="1">
            <w:r w:rsidRPr="00346EA6">
              <w:rPr>
                <w:rStyle w:val="Hyperlink"/>
                <w:noProof/>
              </w:rPr>
              <w:t>8 Appendix</w:t>
            </w:r>
            <w:r>
              <w:rPr>
                <w:noProof/>
                <w:webHidden/>
              </w:rPr>
              <w:tab/>
            </w:r>
            <w:r>
              <w:rPr>
                <w:noProof/>
                <w:webHidden/>
              </w:rPr>
              <w:fldChar w:fldCharType="begin"/>
            </w:r>
            <w:r>
              <w:rPr>
                <w:noProof/>
                <w:webHidden/>
              </w:rPr>
              <w:instrText xml:space="preserve"> PAGEREF _Toc439346661 \h </w:instrText>
            </w:r>
            <w:r>
              <w:rPr>
                <w:noProof/>
                <w:webHidden/>
              </w:rPr>
            </w:r>
            <w:r>
              <w:rPr>
                <w:noProof/>
                <w:webHidden/>
              </w:rPr>
              <w:fldChar w:fldCharType="separate"/>
            </w:r>
            <w:r w:rsidR="004043A1">
              <w:rPr>
                <w:noProof/>
                <w:webHidden/>
              </w:rPr>
              <w:t>55</w:t>
            </w:r>
            <w:r>
              <w:rPr>
                <w:noProof/>
                <w:webHidden/>
              </w:rPr>
              <w:fldChar w:fldCharType="end"/>
            </w:r>
          </w:hyperlink>
        </w:p>
        <w:p w14:paraId="719C1F9D" w14:textId="77777777" w:rsidR="00F32C04" w:rsidRDefault="00F32C04">
          <w:pPr>
            <w:pStyle w:val="Inhopg2"/>
            <w:tabs>
              <w:tab w:val="right" w:leader="dot" w:pos="9062"/>
            </w:tabs>
            <w:rPr>
              <w:rFonts w:eastAsiaTheme="minorEastAsia"/>
              <w:noProof/>
              <w:lang w:val="en-GB" w:eastAsia="en-GB"/>
            </w:rPr>
          </w:pPr>
          <w:hyperlink w:anchor="_Toc439346662" w:history="1">
            <w:r w:rsidRPr="00346EA6">
              <w:rPr>
                <w:rStyle w:val="Hyperlink"/>
                <w:noProof/>
              </w:rPr>
              <w:t>8.1 Overview of previous research</w:t>
            </w:r>
            <w:r>
              <w:rPr>
                <w:noProof/>
                <w:webHidden/>
              </w:rPr>
              <w:tab/>
            </w:r>
            <w:r>
              <w:rPr>
                <w:noProof/>
                <w:webHidden/>
              </w:rPr>
              <w:fldChar w:fldCharType="begin"/>
            </w:r>
            <w:r>
              <w:rPr>
                <w:noProof/>
                <w:webHidden/>
              </w:rPr>
              <w:instrText xml:space="preserve"> PAGEREF _Toc439346662 \h </w:instrText>
            </w:r>
            <w:r>
              <w:rPr>
                <w:noProof/>
                <w:webHidden/>
              </w:rPr>
            </w:r>
            <w:r>
              <w:rPr>
                <w:noProof/>
                <w:webHidden/>
              </w:rPr>
              <w:fldChar w:fldCharType="separate"/>
            </w:r>
            <w:r w:rsidR="004043A1">
              <w:rPr>
                <w:noProof/>
                <w:webHidden/>
              </w:rPr>
              <w:t>55</w:t>
            </w:r>
            <w:r>
              <w:rPr>
                <w:noProof/>
                <w:webHidden/>
              </w:rPr>
              <w:fldChar w:fldCharType="end"/>
            </w:r>
          </w:hyperlink>
        </w:p>
        <w:p w14:paraId="0D75B38A" w14:textId="77777777" w:rsidR="00F32C04" w:rsidRDefault="00F32C04">
          <w:pPr>
            <w:pStyle w:val="Inhopg3"/>
            <w:tabs>
              <w:tab w:val="right" w:leader="dot" w:pos="9062"/>
            </w:tabs>
            <w:rPr>
              <w:rFonts w:eastAsiaTheme="minorEastAsia"/>
              <w:noProof/>
              <w:lang w:val="en-GB" w:eastAsia="en-GB"/>
            </w:rPr>
          </w:pPr>
          <w:hyperlink w:anchor="_Toc439346663" w:history="1">
            <w:r w:rsidRPr="00346EA6">
              <w:rPr>
                <w:rStyle w:val="Hyperlink"/>
                <w:noProof/>
              </w:rPr>
              <w:t>8.1.1 Literature with the focus on corporate governance and control systems</w:t>
            </w:r>
            <w:r>
              <w:rPr>
                <w:noProof/>
                <w:webHidden/>
              </w:rPr>
              <w:tab/>
            </w:r>
            <w:r>
              <w:rPr>
                <w:noProof/>
                <w:webHidden/>
              </w:rPr>
              <w:fldChar w:fldCharType="begin"/>
            </w:r>
            <w:r>
              <w:rPr>
                <w:noProof/>
                <w:webHidden/>
              </w:rPr>
              <w:instrText xml:space="preserve"> PAGEREF _Toc439346663 \h </w:instrText>
            </w:r>
            <w:r>
              <w:rPr>
                <w:noProof/>
                <w:webHidden/>
              </w:rPr>
            </w:r>
            <w:r>
              <w:rPr>
                <w:noProof/>
                <w:webHidden/>
              </w:rPr>
              <w:fldChar w:fldCharType="separate"/>
            </w:r>
            <w:r w:rsidR="004043A1">
              <w:rPr>
                <w:noProof/>
                <w:webHidden/>
              </w:rPr>
              <w:t>55</w:t>
            </w:r>
            <w:r>
              <w:rPr>
                <w:noProof/>
                <w:webHidden/>
              </w:rPr>
              <w:fldChar w:fldCharType="end"/>
            </w:r>
          </w:hyperlink>
        </w:p>
        <w:p w14:paraId="77755F04" w14:textId="77777777" w:rsidR="00F32C04" w:rsidRDefault="00F32C04">
          <w:pPr>
            <w:pStyle w:val="Inhopg3"/>
            <w:tabs>
              <w:tab w:val="right" w:leader="dot" w:pos="9062"/>
            </w:tabs>
            <w:rPr>
              <w:rFonts w:eastAsiaTheme="minorEastAsia"/>
              <w:noProof/>
              <w:lang w:val="en-GB" w:eastAsia="en-GB"/>
            </w:rPr>
          </w:pPr>
          <w:hyperlink w:anchor="_Toc439346664" w:history="1">
            <w:r w:rsidRPr="00346EA6">
              <w:rPr>
                <w:rStyle w:val="Hyperlink"/>
                <w:noProof/>
              </w:rPr>
              <w:t>8.1.2 Literature on the relation between monetary compensation and performance</w:t>
            </w:r>
            <w:r>
              <w:rPr>
                <w:noProof/>
                <w:webHidden/>
              </w:rPr>
              <w:tab/>
            </w:r>
            <w:r>
              <w:rPr>
                <w:noProof/>
                <w:webHidden/>
              </w:rPr>
              <w:fldChar w:fldCharType="begin"/>
            </w:r>
            <w:r>
              <w:rPr>
                <w:noProof/>
                <w:webHidden/>
              </w:rPr>
              <w:instrText xml:space="preserve"> PAGEREF _Toc439346664 \h </w:instrText>
            </w:r>
            <w:r>
              <w:rPr>
                <w:noProof/>
                <w:webHidden/>
              </w:rPr>
            </w:r>
            <w:r>
              <w:rPr>
                <w:noProof/>
                <w:webHidden/>
              </w:rPr>
              <w:fldChar w:fldCharType="separate"/>
            </w:r>
            <w:r w:rsidR="004043A1">
              <w:rPr>
                <w:noProof/>
                <w:webHidden/>
              </w:rPr>
              <w:t>55</w:t>
            </w:r>
            <w:r>
              <w:rPr>
                <w:noProof/>
                <w:webHidden/>
              </w:rPr>
              <w:fldChar w:fldCharType="end"/>
            </w:r>
          </w:hyperlink>
        </w:p>
        <w:p w14:paraId="6CCB0AE5" w14:textId="77777777" w:rsidR="00F32C04" w:rsidRDefault="00F32C04">
          <w:pPr>
            <w:pStyle w:val="Inhopg3"/>
            <w:tabs>
              <w:tab w:val="right" w:leader="dot" w:pos="9062"/>
            </w:tabs>
            <w:rPr>
              <w:rFonts w:eastAsiaTheme="minorEastAsia"/>
              <w:noProof/>
              <w:lang w:val="en-GB" w:eastAsia="en-GB"/>
            </w:rPr>
          </w:pPr>
          <w:hyperlink w:anchor="_Toc439346665" w:history="1">
            <w:r w:rsidRPr="00346EA6">
              <w:rPr>
                <w:rStyle w:val="Hyperlink"/>
                <w:noProof/>
              </w:rPr>
              <w:t>8.1.3 Literature on the relation between equity-based compensation and performance</w:t>
            </w:r>
            <w:r>
              <w:rPr>
                <w:noProof/>
                <w:webHidden/>
              </w:rPr>
              <w:tab/>
            </w:r>
            <w:r>
              <w:rPr>
                <w:noProof/>
                <w:webHidden/>
              </w:rPr>
              <w:fldChar w:fldCharType="begin"/>
            </w:r>
            <w:r>
              <w:rPr>
                <w:noProof/>
                <w:webHidden/>
              </w:rPr>
              <w:instrText xml:space="preserve"> PAGEREF _Toc439346665 \h </w:instrText>
            </w:r>
            <w:r>
              <w:rPr>
                <w:noProof/>
                <w:webHidden/>
              </w:rPr>
            </w:r>
            <w:r>
              <w:rPr>
                <w:noProof/>
                <w:webHidden/>
              </w:rPr>
              <w:fldChar w:fldCharType="separate"/>
            </w:r>
            <w:r w:rsidR="004043A1">
              <w:rPr>
                <w:noProof/>
                <w:webHidden/>
              </w:rPr>
              <w:t>56</w:t>
            </w:r>
            <w:r>
              <w:rPr>
                <w:noProof/>
                <w:webHidden/>
              </w:rPr>
              <w:fldChar w:fldCharType="end"/>
            </w:r>
          </w:hyperlink>
        </w:p>
        <w:p w14:paraId="446DE981" w14:textId="77777777" w:rsidR="00F32C04" w:rsidRDefault="00F32C04">
          <w:pPr>
            <w:pStyle w:val="Inhopg3"/>
            <w:tabs>
              <w:tab w:val="right" w:leader="dot" w:pos="9062"/>
            </w:tabs>
            <w:rPr>
              <w:rFonts w:eastAsiaTheme="minorEastAsia"/>
              <w:noProof/>
              <w:lang w:val="en-GB" w:eastAsia="en-GB"/>
            </w:rPr>
          </w:pPr>
          <w:hyperlink w:anchor="_Toc439346666" w:history="1">
            <w:r w:rsidRPr="00346EA6">
              <w:rPr>
                <w:rStyle w:val="Hyperlink"/>
                <w:noProof/>
              </w:rPr>
              <w:t>8.1.4 Literature on the CFO performance</w:t>
            </w:r>
            <w:r>
              <w:rPr>
                <w:noProof/>
                <w:webHidden/>
              </w:rPr>
              <w:tab/>
            </w:r>
            <w:r>
              <w:rPr>
                <w:noProof/>
                <w:webHidden/>
              </w:rPr>
              <w:fldChar w:fldCharType="begin"/>
            </w:r>
            <w:r>
              <w:rPr>
                <w:noProof/>
                <w:webHidden/>
              </w:rPr>
              <w:instrText xml:space="preserve"> PAGEREF _Toc439346666 \h </w:instrText>
            </w:r>
            <w:r>
              <w:rPr>
                <w:noProof/>
                <w:webHidden/>
              </w:rPr>
            </w:r>
            <w:r>
              <w:rPr>
                <w:noProof/>
                <w:webHidden/>
              </w:rPr>
              <w:fldChar w:fldCharType="separate"/>
            </w:r>
            <w:r w:rsidR="004043A1">
              <w:rPr>
                <w:noProof/>
                <w:webHidden/>
              </w:rPr>
              <w:t>57</w:t>
            </w:r>
            <w:r>
              <w:rPr>
                <w:noProof/>
                <w:webHidden/>
              </w:rPr>
              <w:fldChar w:fldCharType="end"/>
            </w:r>
          </w:hyperlink>
        </w:p>
        <w:p w14:paraId="47A3CC82" w14:textId="77777777" w:rsidR="00F32C04" w:rsidRDefault="00F32C04">
          <w:pPr>
            <w:pStyle w:val="Inhopg2"/>
            <w:tabs>
              <w:tab w:val="right" w:leader="dot" w:pos="9062"/>
            </w:tabs>
            <w:rPr>
              <w:rFonts w:eastAsiaTheme="minorEastAsia"/>
              <w:noProof/>
              <w:lang w:val="en-GB" w:eastAsia="en-GB"/>
            </w:rPr>
          </w:pPr>
          <w:hyperlink w:anchor="_Toc439346667" w:history="1">
            <w:r w:rsidRPr="00346EA6">
              <w:rPr>
                <w:rStyle w:val="Hyperlink"/>
                <w:noProof/>
              </w:rPr>
              <w:t>8.2 Additional mutual relations of deciles</w:t>
            </w:r>
            <w:r>
              <w:rPr>
                <w:noProof/>
                <w:webHidden/>
              </w:rPr>
              <w:tab/>
            </w:r>
            <w:r>
              <w:rPr>
                <w:noProof/>
                <w:webHidden/>
              </w:rPr>
              <w:fldChar w:fldCharType="begin"/>
            </w:r>
            <w:r>
              <w:rPr>
                <w:noProof/>
                <w:webHidden/>
              </w:rPr>
              <w:instrText xml:space="preserve"> PAGEREF _Toc439346667 \h </w:instrText>
            </w:r>
            <w:r>
              <w:rPr>
                <w:noProof/>
                <w:webHidden/>
              </w:rPr>
            </w:r>
            <w:r>
              <w:rPr>
                <w:noProof/>
                <w:webHidden/>
              </w:rPr>
              <w:fldChar w:fldCharType="separate"/>
            </w:r>
            <w:r w:rsidR="004043A1">
              <w:rPr>
                <w:noProof/>
                <w:webHidden/>
              </w:rPr>
              <w:t>59</w:t>
            </w:r>
            <w:r>
              <w:rPr>
                <w:noProof/>
                <w:webHidden/>
              </w:rPr>
              <w:fldChar w:fldCharType="end"/>
            </w:r>
          </w:hyperlink>
        </w:p>
        <w:p w14:paraId="543EAAFE" w14:textId="32EEB2A1" w:rsidR="00320A5D" w:rsidRDefault="00B712B1" w:rsidP="00320A5D">
          <w:r>
            <w:fldChar w:fldCharType="end"/>
          </w:r>
        </w:p>
      </w:sdtContent>
    </w:sdt>
    <w:p w14:paraId="7AF5C575" w14:textId="77777777" w:rsidR="00D24734" w:rsidRDefault="00D24734">
      <w:pPr>
        <w:rPr>
          <w:rFonts w:asciiTheme="majorHAnsi" w:eastAsiaTheme="majorEastAsia" w:hAnsiTheme="majorHAnsi" w:cstheme="majorBidi"/>
          <w:b/>
          <w:bCs/>
          <w:color w:val="365F91" w:themeColor="accent1" w:themeShade="BF"/>
          <w:sz w:val="28"/>
          <w:szCs w:val="28"/>
          <w:lang w:val="en-GB"/>
        </w:rPr>
      </w:pPr>
      <w:r>
        <w:rPr>
          <w:lang w:val="en-GB"/>
        </w:rPr>
        <w:br w:type="page"/>
      </w:r>
    </w:p>
    <w:p w14:paraId="1EC54CCB" w14:textId="365CC282" w:rsidR="00CA08AE" w:rsidRPr="00D24734" w:rsidRDefault="00D24734" w:rsidP="00D24734">
      <w:pPr>
        <w:pStyle w:val="Kop1"/>
      </w:pPr>
      <w:bookmarkStart w:id="2" w:name="_Toc439346609"/>
      <w:r>
        <w:lastRenderedPageBreak/>
        <w:t>1</w:t>
      </w:r>
      <w:r w:rsidR="00CA08AE" w:rsidRPr="00D24734">
        <w:t xml:space="preserve"> Introduction</w:t>
      </w:r>
      <w:bookmarkEnd w:id="2"/>
    </w:p>
    <w:p w14:paraId="6A9F2913" w14:textId="443AACC6" w:rsidR="0004631D" w:rsidRDefault="00A77FC1" w:rsidP="009A675C">
      <w:pPr>
        <w:spacing w:line="360" w:lineRule="auto"/>
        <w:jc w:val="both"/>
        <w:rPr>
          <w:lang w:val="en-GB"/>
        </w:rPr>
      </w:pPr>
      <w:r>
        <w:rPr>
          <w:lang w:val="en-GB"/>
        </w:rPr>
        <w:t>In</w:t>
      </w:r>
      <w:r w:rsidR="00C86D51" w:rsidRPr="00242901">
        <w:rPr>
          <w:lang w:val="en-GB"/>
        </w:rPr>
        <w:t xml:space="preserve"> reaction </w:t>
      </w:r>
      <w:r w:rsidR="00160BF9">
        <w:rPr>
          <w:lang w:val="en-GB"/>
        </w:rPr>
        <w:t>to</w:t>
      </w:r>
      <w:r w:rsidR="00160BF9" w:rsidRPr="00242901">
        <w:rPr>
          <w:lang w:val="en-GB"/>
        </w:rPr>
        <w:t xml:space="preserve"> </w:t>
      </w:r>
      <w:r w:rsidR="00C86D51" w:rsidRPr="00242901">
        <w:rPr>
          <w:lang w:val="en-GB"/>
        </w:rPr>
        <w:t xml:space="preserve">several corporate failures, recent regulations </w:t>
      </w:r>
      <w:r>
        <w:rPr>
          <w:lang w:val="en-GB"/>
        </w:rPr>
        <w:t>have been</w:t>
      </w:r>
      <w:r w:rsidR="00160BF9" w:rsidRPr="00242901">
        <w:rPr>
          <w:lang w:val="en-GB"/>
        </w:rPr>
        <w:t xml:space="preserve"> </w:t>
      </w:r>
      <w:r w:rsidR="00C86D51" w:rsidRPr="00242901">
        <w:rPr>
          <w:lang w:val="en-GB"/>
        </w:rPr>
        <w:t xml:space="preserve">aimed </w:t>
      </w:r>
      <w:r w:rsidR="00160BF9">
        <w:rPr>
          <w:lang w:val="en-GB"/>
        </w:rPr>
        <w:t>at</w:t>
      </w:r>
      <w:r w:rsidR="00160BF9" w:rsidRPr="00242901">
        <w:rPr>
          <w:lang w:val="en-GB"/>
        </w:rPr>
        <w:t xml:space="preserve"> </w:t>
      </w:r>
      <w:r w:rsidR="00C86D51" w:rsidRPr="00242901">
        <w:rPr>
          <w:lang w:val="en-GB"/>
        </w:rPr>
        <w:t xml:space="preserve">strengthening </w:t>
      </w:r>
      <w:r w:rsidR="00CF11B0">
        <w:rPr>
          <w:lang w:val="en-GB"/>
        </w:rPr>
        <w:t xml:space="preserve">financial reporting and </w:t>
      </w:r>
      <w:r w:rsidR="00C86D51" w:rsidRPr="00242901">
        <w:rPr>
          <w:lang w:val="en-GB"/>
        </w:rPr>
        <w:t xml:space="preserve">governance practices such as executive </w:t>
      </w:r>
      <w:r w:rsidR="00C108FC" w:rsidRPr="00242901">
        <w:rPr>
          <w:lang w:val="en-GB"/>
        </w:rPr>
        <w:t xml:space="preserve">compensation. The two executives </w:t>
      </w:r>
      <w:r w:rsidR="00160BF9">
        <w:rPr>
          <w:lang w:val="en-GB"/>
        </w:rPr>
        <w:t xml:space="preserve">that are focal points </w:t>
      </w:r>
      <w:r w:rsidR="007D2800">
        <w:rPr>
          <w:lang w:val="en-GB"/>
        </w:rPr>
        <w:t xml:space="preserve">of these new regulations </w:t>
      </w:r>
      <w:r w:rsidR="00C108FC" w:rsidRPr="00242901">
        <w:rPr>
          <w:lang w:val="en-GB"/>
        </w:rPr>
        <w:t xml:space="preserve">are the CEO and CFO. </w:t>
      </w:r>
      <w:r w:rsidR="008B3F11">
        <w:rPr>
          <w:lang w:val="en-GB"/>
        </w:rPr>
        <w:t>Previous research has been</w:t>
      </w:r>
      <w:r w:rsidR="00C108FC" w:rsidRPr="00242901">
        <w:rPr>
          <w:lang w:val="en-GB"/>
        </w:rPr>
        <w:t xml:space="preserve"> </w:t>
      </w:r>
      <w:r>
        <w:rPr>
          <w:lang w:val="en-GB"/>
        </w:rPr>
        <w:t>performed</w:t>
      </w:r>
      <w:r w:rsidR="00160BF9">
        <w:rPr>
          <w:lang w:val="en-GB"/>
        </w:rPr>
        <w:t xml:space="preserve"> </w:t>
      </w:r>
      <w:r w:rsidR="00C108FC" w:rsidRPr="00242901">
        <w:rPr>
          <w:lang w:val="en-GB"/>
        </w:rPr>
        <w:t>regarding CEO per</w:t>
      </w:r>
      <w:r w:rsidR="00D07FA5">
        <w:rPr>
          <w:lang w:val="en-GB"/>
        </w:rPr>
        <w:t xml:space="preserve">formance and incentive systems </w:t>
      </w:r>
      <w:r w:rsidR="00D07FA5">
        <w:rPr>
          <w:lang w:val="en-GB"/>
        </w:rPr>
        <w:fldChar w:fldCharType="begin"/>
      </w:r>
      <w:r w:rsidR="00E648E1">
        <w:rPr>
          <w:lang w:val="en-GB"/>
        </w:rPr>
        <w:instrText>ADDIN RW.CITE{{3 Banker,RajivD. 2000; 57 Jensen,MichaelC 1990; 8 Ittner,ChristopherD. 1997}}</w:instrText>
      </w:r>
      <w:r w:rsidR="00D07FA5">
        <w:rPr>
          <w:lang w:val="en-GB"/>
        </w:rPr>
        <w:fldChar w:fldCharType="separate"/>
      </w:r>
      <w:r w:rsidR="00254F5A" w:rsidRPr="00254F5A">
        <w:rPr>
          <w:rFonts w:ascii="Calibri" w:hAnsi="Calibri"/>
          <w:lang w:val="en-GB"/>
        </w:rPr>
        <w:t>(Banker, Potter, &amp; Srinivasan, 2000; Ittner, Larcker, &amp; Rajan, 1997; Jensen &amp; Murphy, 1990)</w:t>
      </w:r>
      <w:r w:rsidR="00D07FA5">
        <w:rPr>
          <w:lang w:val="en-GB"/>
        </w:rPr>
        <w:fldChar w:fldCharType="end"/>
      </w:r>
      <w:r w:rsidR="00D9515F">
        <w:rPr>
          <w:lang w:val="en-GB"/>
        </w:rPr>
        <w:t>. E</w:t>
      </w:r>
      <w:r w:rsidR="00C108FC" w:rsidRPr="00242901">
        <w:rPr>
          <w:lang w:val="en-GB"/>
        </w:rPr>
        <w:t xml:space="preserve">ven though the function of the CFO </w:t>
      </w:r>
      <w:r w:rsidR="00160BF9" w:rsidRPr="00242901">
        <w:rPr>
          <w:lang w:val="en-GB"/>
        </w:rPr>
        <w:t>i</w:t>
      </w:r>
      <w:r w:rsidR="00160BF9">
        <w:rPr>
          <w:lang w:val="en-GB"/>
        </w:rPr>
        <w:t>s</w:t>
      </w:r>
      <w:r w:rsidR="00160BF9" w:rsidRPr="00242901">
        <w:rPr>
          <w:lang w:val="en-GB"/>
        </w:rPr>
        <w:t xml:space="preserve"> </w:t>
      </w:r>
      <w:r w:rsidR="00C108FC" w:rsidRPr="00242901">
        <w:rPr>
          <w:lang w:val="en-GB"/>
        </w:rPr>
        <w:t xml:space="preserve">not less important, </w:t>
      </w:r>
      <w:r w:rsidR="00160BF9">
        <w:rPr>
          <w:lang w:val="en-GB"/>
        </w:rPr>
        <w:t>CFO performance and incentive system</w:t>
      </w:r>
      <w:r w:rsidR="00C108FC" w:rsidRPr="00242901">
        <w:rPr>
          <w:lang w:val="en-GB"/>
        </w:rPr>
        <w:t>s</w:t>
      </w:r>
      <w:r w:rsidR="00160BF9">
        <w:rPr>
          <w:lang w:val="en-GB"/>
        </w:rPr>
        <w:t xml:space="preserve"> are</w:t>
      </w:r>
      <w:r w:rsidR="00C108FC" w:rsidRPr="00242901">
        <w:rPr>
          <w:lang w:val="en-GB"/>
        </w:rPr>
        <w:t xml:space="preserve"> much less investigated</w:t>
      </w:r>
      <w:r w:rsidR="00D9515F">
        <w:rPr>
          <w:lang w:val="en-GB"/>
        </w:rPr>
        <w:t xml:space="preserve"> in current research.</w:t>
      </w:r>
    </w:p>
    <w:p w14:paraId="154F1F61" w14:textId="1071E934" w:rsidR="004B4361" w:rsidRDefault="00717295" w:rsidP="009A675C">
      <w:pPr>
        <w:spacing w:line="360" w:lineRule="auto"/>
        <w:jc w:val="both"/>
        <w:rPr>
          <w:lang w:val="en-GB"/>
        </w:rPr>
      </w:pPr>
      <w:r>
        <w:rPr>
          <w:lang w:val="en-GB"/>
        </w:rPr>
        <w:t xml:space="preserve">The CFO </w:t>
      </w:r>
      <w:r w:rsidR="007D2800">
        <w:rPr>
          <w:lang w:val="en-GB"/>
        </w:rPr>
        <w:t xml:space="preserve">is expected to </w:t>
      </w:r>
      <w:r>
        <w:rPr>
          <w:lang w:val="en-GB"/>
        </w:rPr>
        <w:t>act on behalf of the shareholders</w:t>
      </w:r>
      <w:r w:rsidR="00D9515F">
        <w:rPr>
          <w:lang w:val="en-GB"/>
        </w:rPr>
        <w:t xml:space="preserve"> of a firm</w:t>
      </w:r>
      <w:r>
        <w:rPr>
          <w:lang w:val="en-GB"/>
        </w:rPr>
        <w:t xml:space="preserve">, since they are </w:t>
      </w:r>
      <w:r w:rsidR="00633056">
        <w:rPr>
          <w:lang w:val="en-GB"/>
        </w:rPr>
        <w:t xml:space="preserve">legally the owner. </w:t>
      </w:r>
      <w:r>
        <w:rPr>
          <w:lang w:val="en-GB"/>
        </w:rPr>
        <w:t xml:space="preserve">This is where the </w:t>
      </w:r>
      <w:r w:rsidR="00D9515F">
        <w:rPr>
          <w:lang w:val="en-GB"/>
        </w:rPr>
        <w:t xml:space="preserve">elements of </w:t>
      </w:r>
      <w:r>
        <w:rPr>
          <w:lang w:val="en-GB"/>
        </w:rPr>
        <w:t xml:space="preserve">classical agency </w:t>
      </w:r>
      <w:r w:rsidR="00D9515F">
        <w:rPr>
          <w:lang w:val="en-GB"/>
        </w:rPr>
        <w:t>theory become</w:t>
      </w:r>
      <w:r w:rsidR="007D2800">
        <w:rPr>
          <w:lang w:val="en-GB"/>
        </w:rPr>
        <w:t xml:space="preserve"> visible</w:t>
      </w:r>
      <w:r w:rsidR="00D9515F">
        <w:rPr>
          <w:lang w:val="en-GB"/>
        </w:rPr>
        <w:t xml:space="preserve"> </w:t>
      </w:r>
      <w:r w:rsidR="00D9515F">
        <w:rPr>
          <w:lang w:val="en-GB"/>
        </w:rPr>
        <w:fldChar w:fldCharType="begin"/>
      </w:r>
      <w:r w:rsidR="00D9515F">
        <w:rPr>
          <w:lang w:val="en-GB"/>
        </w:rPr>
        <w:instrText>ADDIN RW.CITE{{25 Jensen,Michael.C. 1976}}</w:instrText>
      </w:r>
      <w:r w:rsidR="00D9515F">
        <w:rPr>
          <w:lang w:val="en-GB"/>
        </w:rPr>
        <w:fldChar w:fldCharType="separate"/>
      </w:r>
      <w:r w:rsidR="00254F5A" w:rsidRPr="00254F5A">
        <w:rPr>
          <w:rFonts w:ascii="Calibri" w:hAnsi="Calibri"/>
          <w:lang w:val="en-GB"/>
        </w:rPr>
        <w:t>(Jensen &amp; Meckling, 1976)</w:t>
      </w:r>
      <w:r w:rsidR="00D9515F">
        <w:rPr>
          <w:lang w:val="en-GB"/>
        </w:rPr>
        <w:fldChar w:fldCharType="end"/>
      </w:r>
      <w:r>
        <w:rPr>
          <w:lang w:val="en-GB"/>
        </w:rPr>
        <w:t xml:space="preserve">. </w:t>
      </w:r>
      <w:r w:rsidR="00D9515F" w:rsidRPr="00D9515F">
        <w:rPr>
          <w:i/>
          <w:lang w:val="en-GB"/>
        </w:rPr>
        <w:t>“</w:t>
      </w:r>
      <w:r w:rsidRPr="00D9515F">
        <w:rPr>
          <w:i/>
          <w:lang w:val="en-GB"/>
        </w:rPr>
        <w:t>If both parties</w:t>
      </w:r>
      <w:r w:rsidR="00D9515F">
        <w:rPr>
          <w:i/>
          <w:lang w:val="en-GB"/>
        </w:rPr>
        <w:t xml:space="preserve">, the CFO as agent acting for the principal, i.e. the shareholder, </w:t>
      </w:r>
      <w:r w:rsidRPr="00D9515F">
        <w:rPr>
          <w:i/>
          <w:lang w:val="en-GB"/>
        </w:rPr>
        <w:t>are utility maximizers, there is good reason to believe that the agent will not always act in the best interests of the principal</w:t>
      </w:r>
      <w:r w:rsidR="00D9515F" w:rsidRPr="00D9515F">
        <w:rPr>
          <w:i/>
          <w:lang w:val="en-GB"/>
        </w:rPr>
        <w:t>”</w:t>
      </w:r>
      <w:r w:rsidR="001474B5" w:rsidRPr="00D9515F">
        <w:rPr>
          <w:i/>
          <w:lang w:val="en-GB"/>
        </w:rPr>
        <w:t xml:space="preserve"> </w:t>
      </w:r>
      <w:r w:rsidR="001474B5">
        <w:rPr>
          <w:lang w:val="en-GB"/>
        </w:rPr>
        <w:fldChar w:fldCharType="begin"/>
      </w:r>
      <w:r w:rsidR="00D9515F">
        <w:rPr>
          <w:lang w:val="en-GB"/>
        </w:rPr>
        <w:instrText>ADDIN RW.CITE{{25 Jensen,Michael.C. 1976 /f p.5}}</w:instrText>
      </w:r>
      <w:r w:rsidR="001474B5">
        <w:rPr>
          <w:lang w:val="en-GB"/>
        </w:rPr>
        <w:fldChar w:fldCharType="separate"/>
      </w:r>
      <w:r w:rsidR="00254F5A" w:rsidRPr="00254F5A">
        <w:rPr>
          <w:rFonts w:ascii="Calibri" w:hAnsi="Calibri"/>
          <w:lang w:val="en-GB"/>
        </w:rPr>
        <w:t>(Jensen &amp; Meckling, 1976 p.5)</w:t>
      </w:r>
      <w:r w:rsidR="001474B5">
        <w:rPr>
          <w:lang w:val="en-GB"/>
        </w:rPr>
        <w:fldChar w:fldCharType="end"/>
      </w:r>
      <w:r>
        <w:rPr>
          <w:lang w:val="en-GB"/>
        </w:rPr>
        <w:t xml:space="preserve">. </w:t>
      </w:r>
      <w:r w:rsidR="001474B5">
        <w:rPr>
          <w:lang w:val="en-GB"/>
        </w:rPr>
        <w:t>The contractual relation</w:t>
      </w:r>
      <w:r w:rsidR="001474B5" w:rsidRPr="001474B5">
        <w:rPr>
          <w:lang w:val="en-GB"/>
        </w:rPr>
        <w:t xml:space="preserve"> </w:t>
      </w:r>
      <w:r w:rsidR="001474B5">
        <w:rPr>
          <w:lang w:val="en-GB"/>
        </w:rPr>
        <w:t xml:space="preserve">between the principal and agent should be constructed in </w:t>
      </w:r>
      <w:r w:rsidR="000068F3">
        <w:rPr>
          <w:lang w:val="en-GB"/>
        </w:rPr>
        <w:t xml:space="preserve">such a way </w:t>
      </w:r>
      <w:r w:rsidR="001474B5">
        <w:rPr>
          <w:lang w:val="en-GB"/>
        </w:rPr>
        <w:t xml:space="preserve">that </w:t>
      </w:r>
      <w:r w:rsidR="009A243D">
        <w:rPr>
          <w:lang w:val="en-GB"/>
        </w:rPr>
        <w:t xml:space="preserve">it provides appropriate incentives for the agent to make choices which maximize the principal’s welfare </w:t>
      </w:r>
      <w:r w:rsidR="009A243D">
        <w:rPr>
          <w:lang w:val="en-GB"/>
        </w:rPr>
        <w:fldChar w:fldCharType="begin"/>
      </w:r>
      <w:r w:rsidR="009A243D">
        <w:rPr>
          <w:lang w:val="en-GB"/>
        </w:rPr>
        <w:instrText>ADDIN RW.CITE{{25 Jensen,Michael.C. 1976}}</w:instrText>
      </w:r>
      <w:r w:rsidR="009A243D">
        <w:rPr>
          <w:lang w:val="en-GB"/>
        </w:rPr>
        <w:fldChar w:fldCharType="separate"/>
      </w:r>
      <w:r w:rsidR="00254F5A" w:rsidRPr="00254F5A">
        <w:rPr>
          <w:rFonts w:ascii="Calibri" w:hAnsi="Calibri"/>
          <w:lang w:val="en-GB"/>
        </w:rPr>
        <w:t>(Jensen &amp; Meckling, 1976)</w:t>
      </w:r>
      <w:r w:rsidR="009A243D">
        <w:rPr>
          <w:lang w:val="en-GB"/>
        </w:rPr>
        <w:fldChar w:fldCharType="end"/>
      </w:r>
      <w:r w:rsidR="009A243D">
        <w:rPr>
          <w:lang w:val="en-GB"/>
        </w:rPr>
        <w:t xml:space="preserve">. </w:t>
      </w:r>
      <w:r w:rsidR="00246E45" w:rsidRPr="00242901">
        <w:rPr>
          <w:lang w:val="en-GB"/>
        </w:rPr>
        <w:t xml:space="preserve">The </w:t>
      </w:r>
      <w:r w:rsidR="00F6103F" w:rsidRPr="00242901">
        <w:rPr>
          <w:lang w:val="en-GB"/>
        </w:rPr>
        <w:t>effort</w:t>
      </w:r>
      <w:r w:rsidR="00246E45" w:rsidRPr="00242901">
        <w:rPr>
          <w:lang w:val="en-GB"/>
        </w:rPr>
        <w:t xml:space="preserve"> </w:t>
      </w:r>
      <w:r w:rsidR="00F6103F" w:rsidRPr="00242901">
        <w:rPr>
          <w:lang w:val="en-GB"/>
        </w:rPr>
        <w:t xml:space="preserve">of the CFO </w:t>
      </w:r>
      <w:r w:rsidR="00246E45" w:rsidRPr="00242901">
        <w:rPr>
          <w:lang w:val="en-GB"/>
        </w:rPr>
        <w:t>should</w:t>
      </w:r>
      <w:r w:rsidR="00F6103F" w:rsidRPr="00242901">
        <w:rPr>
          <w:lang w:val="en-GB"/>
        </w:rPr>
        <w:t xml:space="preserve"> be aligned with the goal of the company and</w:t>
      </w:r>
      <w:r w:rsidR="007D2800">
        <w:rPr>
          <w:lang w:val="en-GB"/>
        </w:rPr>
        <w:t xml:space="preserve"> thus</w:t>
      </w:r>
      <w:r w:rsidR="00246E45" w:rsidRPr="00242901">
        <w:rPr>
          <w:lang w:val="en-GB"/>
        </w:rPr>
        <w:t xml:space="preserve"> </w:t>
      </w:r>
      <w:r w:rsidR="00FD6C61">
        <w:rPr>
          <w:lang w:val="en-GB"/>
        </w:rPr>
        <w:t xml:space="preserve">enhance </w:t>
      </w:r>
      <w:r w:rsidR="00D9515F">
        <w:rPr>
          <w:lang w:val="en-GB"/>
        </w:rPr>
        <w:t xml:space="preserve">the creation of </w:t>
      </w:r>
      <w:r w:rsidR="00FD6C61">
        <w:rPr>
          <w:lang w:val="en-GB"/>
        </w:rPr>
        <w:t xml:space="preserve">shareholder value. </w:t>
      </w:r>
    </w:p>
    <w:p w14:paraId="1E5F8145" w14:textId="666474CE" w:rsidR="004B4361" w:rsidRDefault="00246E45" w:rsidP="009A675C">
      <w:pPr>
        <w:spacing w:line="360" w:lineRule="auto"/>
        <w:jc w:val="both"/>
        <w:rPr>
          <w:lang w:val="en-GB"/>
        </w:rPr>
      </w:pPr>
      <w:r w:rsidRPr="00242901">
        <w:rPr>
          <w:lang w:val="en-GB"/>
        </w:rPr>
        <w:t xml:space="preserve">To achieve the goal </w:t>
      </w:r>
      <w:r w:rsidR="00160BF9">
        <w:rPr>
          <w:lang w:val="en-GB"/>
        </w:rPr>
        <w:t>of</w:t>
      </w:r>
      <w:r w:rsidR="00160BF9" w:rsidRPr="00242901">
        <w:rPr>
          <w:lang w:val="en-GB"/>
        </w:rPr>
        <w:t xml:space="preserve"> maximiz</w:t>
      </w:r>
      <w:r w:rsidR="00160BF9">
        <w:rPr>
          <w:lang w:val="en-GB"/>
        </w:rPr>
        <w:t>ing</w:t>
      </w:r>
      <w:r w:rsidR="00160BF9" w:rsidRPr="00242901">
        <w:rPr>
          <w:lang w:val="en-GB"/>
        </w:rPr>
        <w:t xml:space="preserve"> </w:t>
      </w:r>
      <w:r w:rsidR="00F6103F" w:rsidRPr="00242901">
        <w:rPr>
          <w:lang w:val="en-GB"/>
        </w:rPr>
        <w:t xml:space="preserve">shareholder </w:t>
      </w:r>
      <w:r w:rsidRPr="00242901">
        <w:rPr>
          <w:lang w:val="en-GB"/>
        </w:rPr>
        <w:t xml:space="preserve">value, the most effective </w:t>
      </w:r>
      <w:r w:rsidR="00160BF9" w:rsidRPr="00242901">
        <w:rPr>
          <w:lang w:val="en-GB"/>
        </w:rPr>
        <w:t>m</w:t>
      </w:r>
      <w:r w:rsidR="00160BF9">
        <w:rPr>
          <w:lang w:val="en-GB"/>
        </w:rPr>
        <w:t>anner</w:t>
      </w:r>
      <w:r w:rsidR="00160BF9" w:rsidRPr="00242901">
        <w:rPr>
          <w:lang w:val="en-GB"/>
        </w:rPr>
        <w:t xml:space="preserve"> </w:t>
      </w:r>
      <w:r w:rsidRPr="00242901">
        <w:rPr>
          <w:lang w:val="en-GB"/>
        </w:rPr>
        <w:t xml:space="preserve">is to maximize long-term </w:t>
      </w:r>
      <w:r w:rsidR="00BB61B1">
        <w:rPr>
          <w:lang w:val="en-GB"/>
        </w:rPr>
        <w:t>value</w:t>
      </w:r>
      <w:r w:rsidRPr="00242901">
        <w:rPr>
          <w:lang w:val="en-GB"/>
        </w:rPr>
        <w:t xml:space="preserve"> rather than managing for short-term earnings</w:t>
      </w:r>
      <w:r w:rsidR="00DA341A">
        <w:rPr>
          <w:lang w:val="en-GB"/>
        </w:rPr>
        <w:t xml:space="preserve"> </w:t>
      </w:r>
      <w:r w:rsidR="00DA341A">
        <w:rPr>
          <w:lang w:val="en-GB"/>
        </w:rPr>
        <w:fldChar w:fldCharType="begin"/>
      </w:r>
      <w:r w:rsidR="00DA341A">
        <w:rPr>
          <w:lang w:val="en-GB"/>
        </w:rPr>
        <w:instrText>ADDIN RW.CITE{{13 Rappaport,Alfred 2005}}</w:instrText>
      </w:r>
      <w:r w:rsidR="00DA341A">
        <w:rPr>
          <w:lang w:val="en-GB"/>
        </w:rPr>
        <w:fldChar w:fldCharType="separate"/>
      </w:r>
      <w:r w:rsidR="00DA341A" w:rsidRPr="00DA341A">
        <w:rPr>
          <w:rFonts w:ascii="Calibri" w:hAnsi="Calibri"/>
          <w:lang w:val="en-GB"/>
        </w:rPr>
        <w:t>(Rappaport, 2005)</w:t>
      </w:r>
      <w:r w:rsidR="00DA341A">
        <w:rPr>
          <w:lang w:val="en-GB"/>
        </w:rPr>
        <w:fldChar w:fldCharType="end"/>
      </w:r>
      <w:r w:rsidR="00DA341A">
        <w:rPr>
          <w:lang w:val="en-GB"/>
        </w:rPr>
        <w:t>.</w:t>
      </w:r>
      <w:r w:rsidR="00D44916">
        <w:rPr>
          <w:lang w:val="en-GB"/>
        </w:rPr>
        <w:t xml:space="preserve"> </w:t>
      </w:r>
      <w:r w:rsidR="00A44883">
        <w:rPr>
          <w:lang w:val="en-GB"/>
        </w:rPr>
        <w:t>Several studies find evidence</w:t>
      </w:r>
      <w:r w:rsidR="00A271E2">
        <w:rPr>
          <w:lang w:val="en-GB"/>
        </w:rPr>
        <w:t xml:space="preserve"> that it motivates managers </w:t>
      </w:r>
      <w:r w:rsidR="002D50E3">
        <w:rPr>
          <w:lang w:val="en-GB"/>
        </w:rPr>
        <w:t xml:space="preserve">to </w:t>
      </w:r>
      <w:r w:rsidR="00DE20BA">
        <w:rPr>
          <w:lang w:val="en-GB"/>
        </w:rPr>
        <w:t xml:space="preserve">make value-maximizing decisions when </w:t>
      </w:r>
      <w:r w:rsidR="00A271E2">
        <w:rPr>
          <w:lang w:val="en-GB"/>
        </w:rPr>
        <w:t>their compensation</w:t>
      </w:r>
      <w:r w:rsidR="00DE20BA">
        <w:rPr>
          <w:lang w:val="en-GB"/>
        </w:rPr>
        <w:t xml:space="preserve"> is tied</w:t>
      </w:r>
      <w:r w:rsidR="00A271E2">
        <w:rPr>
          <w:lang w:val="en-GB"/>
        </w:rPr>
        <w:t xml:space="preserve"> to firm performance </w:t>
      </w:r>
      <w:r w:rsidR="00D20FE7">
        <w:rPr>
          <w:lang w:val="en-GB"/>
        </w:rPr>
        <w:fldChar w:fldCharType="begin"/>
      </w:r>
      <w:r w:rsidR="00007654">
        <w:rPr>
          <w:lang w:val="en-GB"/>
        </w:rPr>
        <w:instrText>ADDIN RW.CITE{{55 Harris,Milton 1979 /pe.g. ; 54 Hölmstrom,Bengt 1979}}</w:instrText>
      </w:r>
      <w:r w:rsidR="00D20FE7">
        <w:rPr>
          <w:lang w:val="en-GB"/>
        </w:rPr>
        <w:fldChar w:fldCharType="separate"/>
      </w:r>
      <w:r w:rsidR="00254F5A" w:rsidRPr="00254F5A">
        <w:rPr>
          <w:rFonts w:ascii="Calibri" w:hAnsi="Calibri"/>
          <w:lang w:val="en-GB"/>
        </w:rPr>
        <w:t>(e.g. Harris &amp; Raviv, 1979; Hölmstrom, 1979)</w:t>
      </w:r>
      <w:r w:rsidR="00D20FE7">
        <w:rPr>
          <w:lang w:val="en-GB"/>
        </w:rPr>
        <w:fldChar w:fldCharType="end"/>
      </w:r>
      <w:r w:rsidR="00A271E2" w:rsidRPr="00DE20BA">
        <w:rPr>
          <w:lang w:val="en-GB"/>
        </w:rPr>
        <w:t xml:space="preserve"> </w:t>
      </w:r>
      <w:r w:rsidR="00A271E2">
        <w:rPr>
          <w:lang w:val="en-GB"/>
        </w:rPr>
        <w:t>and that the form, rather than the level of compensation, is what motivates executives</w:t>
      </w:r>
      <w:r w:rsidR="00A44883">
        <w:rPr>
          <w:lang w:val="en-GB"/>
        </w:rPr>
        <w:t xml:space="preserve"> </w:t>
      </w:r>
      <w:r w:rsidR="00A271E2">
        <w:rPr>
          <w:lang w:val="en-GB"/>
        </w:rPr>
        <w:fldChar w:fldCharType="begin"/>
      </w:r>
      <w:r w:rsidR="00A271E2">
        <w:rPr>
          <w:lang w:val="en-GB"/>
        </w:rPr>
        <w:instrText>ADDIN RW.CITE{{53 Mehran,Hamid 1995}}</w:instrText>
      </w:r>
      <w:r w:rsidR="00A271E2">
        <w:rPr>
          <w:lang w:val="en-GB"/>
        </w:rPr>
        <w:fldChar w:fldCharType="separate"/>
      </w:r>
      <w:r w:rsidR="00A271E2" w:rsidRPr="00A271E2">
        <w:rPr>
          <w:rFonts w:ascii="Calibri" w:hAnsi="Calibri"/>
          <w:lang w:val="en-GB"/>
        </w:rPr>
        <w:t>(Mehran, 1995)</w:t>
      </w:r>
      <w:r w:rsidR="00A271E2">
        <w:rPr>
          <w:lang w:val="en-GB"/>
        </w:rPr>
        <w:fldChar w:fldCharType="end"/>
      </w:r>
      <w:r w:rsidR="00A44883">
        <w:rPr>
          <w:lang w:val="en-GB"/>
        </w:rPr>
        <w:t xml:space="preserve">. </w:t>
      </w:r>
      <w:r w:rsidR="004B4361">
        <w:rPr>
          <w:lang w:val="en-GB"/>
        </w:rPr>
        <w:t xml:space="preserve">Although several studies argue that it is not optimal to fully base compensation on the firm’s stock price </w:t>
      </w:r>
      <w:r w:rsidR="004B4361">
        <w:rPr>
          <w:lang w:val="en-GB"/>
        </w:rPr>
        <w:fldChar w:fldCharType="begin"/>
      </w:r>
      <w:r w:rsidR="004B4361">
        <w:rPr>
          <w:lang w:val="en-GB"/>
        </w:rPr>
        <w:instrText>ADDIN RW.CITE{{59 Sloan,RichardG 1993; 58 Paul,JonathanM 1992}}</w:instrText>
      </w:r>
      <w:r w:rsidR="004B4361">
        <w:rPr>
          <w:lang w:val="en-GB"/>
        </w:rPr>
        <w:fldChar w:fldCharType="separate"/>
      </w:r>
      <w:r w:rsidR="004B4361" w:rsidRPr="00E648E1">
        <w:rPr>
          <w:rFonts w:ascii="Calibri" w:hAnsi="Calibri"/>
          <w:lang w:val="en-GB"/>
        </w:rPr>
        <w:t>(Paul, 1992; Sloan, 1993)</w:t>
      </w:r>
      <w:r w:rsidR="004B4361">
        <w:rPr>
          <w:lang w:val="en-GB"/>
        </w:rPr>
        <w:fldChar w:fldCharType="end"/>
      </w:r>
      <w:r w:rsidR="004B4361">
        <w:rPr>
          <w:lang w:val="en-GB"/>
        </w:rPr>
        <w:t xml:space="preserve">, </w:t>
      </w:r>
      <w:r w:rsidR="00861BC2">
        <w:rPr>
          <w:lang w:val="en-GB"/>
        </w:rPr>
        <w:t xml:space="preserve">Jensen and Murphy </w:t>
      </w:r>
      <w:r w:rsidR="00D9515F">
        <w:rPr>
          <w:lang w:val="en-GB"/>
        </w:rPr>
        <w:t xml:space="preserve">(1990) </w:t>
      </w:r>
      <w:r w:rsidR="00861BC2">
        <w:rPr>
          <w:lang w:val="en-GB"/>
        </w:rPr>
        <w:t>suggested equity-based compensation in order to moti</w:t>
      </w:r>
      <w:r w:rsidR="004A28F2">
        <w:rPr>
          <w:lang w:val="en-GB"/>
        </w:rPr>
        <w:t xml:space="preserve">vate a manager more effectively </w:t>
      </w:r>
      <w:r w:rsidR="004A28F2">
        <w:rPr>
          <w:lang w:val="en-GB"/>
        </w:rPr>
        <w:fldChar w:fldCharType="begin"/>
      </w:r>
      <w:r w:rsidR="004A28F2">
        <w:rPr>
          <w:lang w:val="en-GB"/>
        </w:rPr>
        <w:instrText>ADDIN RW.CITE{{57 Jensen,MichaelC 1990}}</w:instrText>
      </w:r>
      <w:r w:rsidR="004A28F2">
        <w:rPr>
          <w:lang w:val="en-GB"/>
        </w:rPr>
        <w:fldChar w:fldCharType="separate"/>
      </w:r>
      <w:r w:rsidR="00254F5A" w:rsidRPr="00254F5A">
        <w:rPr>
          <w:rFonts w:ascii="Calibri" w:hAnsi="Calibri"/>
          <w:lang w:val="en-GB"/>
        </w:rPr>
        <w:t>(Jensen &amp; Murphy, 1990)</w:t>
      </w:r>
      <w:r w:rsidR="004A28F2">
        <w:rPr>
          <w:lang w:val="en-GB"/>
        </w:rPr>
        <w:fldChar w:fldCharType="end"/>
      </w:r>
      <w:r w:rsidR="004A28F2">
        <w:rPr>
          <w:lang w:val="en-GB"/>
        </w:rPr>
        <w:t>,</w:t>
      </w:r>
      <w:r w:rsidR="004B4361">
        <w:rPr>
          <w:lang w:val="en-GB"/>
        </w:rPr>
        <w:t xml:space="preserve"> since the manager is basically exerting effort for his own utility, which </w:t>
      </w:r>
      <w:r w:rsidR="002D50E3">
        <w:rPr>
          <w:lang w:val="en-GB"/>
        </w:rPr>
        <w:t xml:space="preserve">should </w:t>
      </w:r>
      <w:r w:rsidR="00D9515F">
        <w:rPr>
          <w:lang w:val="en-GB"/>
        </w:rPr>
        <w:t>minimize</w:t>
      </w:r>
      <w:r w:rsidR="009A675C">
        <w:rPr>
          <w:lang w:val="en-GB"/>
        </w:rPr>
        <w:t xml:space="preserve"> the agency problem.</w:t>
      </w:r>
    </w:p>
    <w:p w14:paraId="1BEDFB6E" w14:textId="21777F26" w:rsidR="00377A50" w:rsidRPr="004B4361" w:rsidRDefault="00E648E1" w:rsidP="00C9241F">
      <w:pPr>
        <w:spacing w:line="360" w:lineRule="auto"/>
        <w:jc w:val="both"/>
        <w:rPr>
          <w:lang w:val="en-GB"/>
        </w:rPr>
      </w:pPr>
      <w:r w:rsidRPr="00242901">
        <w:rPr>
          <w:lang w:val="en-GB"/>
        </w:rPr>
        <w:t>However,</w:t>
      </w:r>
      <w:r>
        <w:rPr>
          <w:lang w:val="en-GB"/>
        </w:rPr>
        <w:t xml:space="preserve"> </w:t>
      </w:r>
      <w:r w:rsidRPr="00242901">
        <w:rPr>
          <w:lang w:val="en-GB"/>
        </w:rPr>
        <w:t xml:space="preserve">CFO compensation is </w:t>
      </w:r>
      <w:r w:rsidR="004B4361">
        <w:rPr>
          <w:lang w:val="en-GB"/>
        </w:rPr>
        <w:t xml:space="preserve">also </w:t>
      </w:r>
      <w:r w:rsidRPr="00242901">
        <w:rPr>
          <w:lang w:val="en-GB"/>
        </w:rPr>
        <w:t xml:space="preserve">highly dependent on </w:t>
      </w:r>
      <w:r>
        <w:rPr>
          <w:lang w:val="en-GB"/>
        </w:rPr>
        <w:t>the</w:t>
      </w:r>
      <w:r w:rsidRPr="00242901">
        <w:rPr>
          <w:lang w:val="en-GB"/>
        </w:rPr>
        <w:t xml:space="preserve"> financial reporting system</w:t>
      </w:r>
      <w:r>
        <w:rPr>
          <w:lang w:val="en-GB"/>
        </w:rPr>
        <w:t>,</w:t>
      </w:r>
      <w:r w:rsidRPr="00242901">
        <w:rPr>
          <w:lang w:val="en-GB"/>
        </w:rPr>
        <w:t xml:space="preserve"> which is controlled by t</w:t>
      </w:r>
      <w:r>
        <w:rPr>
          <w:lang w:val="en-GB"/>
        </w:rPr>
        <w:t xml:space="preserve">he CFO himself </w:t>
      </w:r>
      <w:r>
        <w:rPr>
          <w:lang w:val="en-GB"/>
        </w:rPr>
        <w:fldChar w:fldCharType="begin"/>
      </w:r>
      <w:r>
        <w:rPr>
          <w:lang w:val="en-GB"/>
        </w:rPr>
        <w:instrText>ADDIN RW.CITE{{7 Indjejikian,Raffi 2009}}</w:instrText>
      </w:r>
      <w:r>
        <w:rPr>
          <w:lang w:val="en-GB"/>
        </w:rPr>
        <w:fldChar w:fldCharType="separate"/>
      </w:r>
      <w:r w:rsidR="00254F5A" w:rsidRPr="00254F5A">
        <w:rPr>
          <w:rFonts w:ascii="Calibri" w:hAnsi="Calibri"/>
          <w:lang w:val="en-GB"/>
        </w:rPr>
        <w:t>(Indjejikian &amp; Matêjka, 2009)</w:t>
      </w:r>
      <w:r>
        <w:rPr>
          <w:lang w:val="en-GB"/>
        </w:rPr>
        <w:fldChar w:fldCharType="end"/>
      </w:r>
      <w:r>
        <w:rPr>
          <w:lang w:val="en-GB"/>
        </w:rPr>
        <w:t>. S</w:t>
      </w:r>
      <w:r w:rsidRPr="00242901">
        <w:rPr>
          <w:lang w:val="en-GB"/>
        </w:rPr>
        <w:t xml:space="preserve">ince many CFOs are awarded bonuses </w:t>
      </w:r>
      <w:r w:rsidRPr="004B4361">
        <w:rPr>
          <w:lang w:val="en-GB"/>
        </w:rPr>
        <w:t xml:space="preserve">based on what is effectively self-reported performance, this is a questionable aspect of CFO performance measurement </w:t>
      </w:r>
      <w:r w:rsidRPr="004B4361">
        <w:rPr>
          <w:lang w:val="en-GB"/>
        </w:rPr>
        <w:fldChar w:fldCharType="begin"/>
      </w:r>
      <w:r w:rsidRPr="004B4361">
        <w:rPr>
          <w:lang w:val="en-GB"/>
        </w:rPr>
        <w:instrText>ADDIN RW.CITE{{7 INDJEJIKIAN,RAFFI 2009}}</w:instrText>
      </w:r>
      <w:r w:rsidRPr="004B4361">
        <w:rPr>
          <w:lang w:val="en-GB"/>
        </w:rPr>
        <w:fldChar w:fldCharType="separate"/>
      </w:r>
      <w:r w:rsidR="00254F5A" w:rsidRPr="00254F5A">
        <w:rPr>
          <w:rFonts w:ascii="Calibri" w:hAnsi="Calibri"/>
          <w:lang w:val="en-GB"/>
        </w:rPr>
        <w:t>(Indjejikian &amp; Matêjka, 2009)</w:t>
      </w:r>
      <w:r w:rsidRPr="004B4361">
        <w:rPr>
          <w:lang w:val="en-GB"/>
        </w:rPr>
        <w:fldChar w:fldCharType="end"/>
      </w:r>
      <w:r w:rsidR="009A675C">
        <w:rPr>
          <w:lang w:val="en-GB"/>
        </w:rPr>
        <w:t>.</w:t>
      </w:r>
    </w:p>
    <w:p w14:paraId="5EED1538" w14:textId="22368E93" w:rsidR="00377A50" w:rsidRPr="00D20FE7" w:rsidRDefault="00377A50" w:rsidP="00C9241F">
      <w:pPr>
        <w:spacing w:line="360" w:lineRule="auto"/>
        <w:jc w:val="both"/>
        <w:rPr>
          <w:lang w:val="en-GB"/>
        </w:rPr>
      </w:pPr>
      <w:r w:rsidRPr="004B4361">
        <w:rPr>
          <w:lang w:val="en-GB"/>
        </w:rPr>
        <w:t xml:space="preserve">Prior research distinguishes </w:t>
      </w:r>
      <w:r w:rsidR="00D9515F">
        <w:rPr>
          <w:lang w:val="en-GB"/>
        </w:rPr>
        <w:t>with regard to</w:t>
      </w:r>
      <w:r w:rsidR="004B4361">
        <w:rPr>
          <w:lang w:val="en-GB"/>
        </w:rPr>
        <w:t xml:space="preserve"> </w:t>
      </w:r>
      <w:r w:rsidRPr="004B4361">
        <w:rPr>
          <w:lang w:val="en-GB"/>
        </w:rPr>
        <w:t xml:space="preserve">the role of the CFO within the firm as consisting of two separate duties </w:t>
      </w:r>
      <w:r w:rsidRPr="004B4361">
        <w:rPr>
          <w:lang w:val="en-GB"/>
        </w:rPr>
        <w:fldChar w:fldCharType="begin"/>
      </w:r>
      <w:r w:rsidRPr="004B4361">
        <w:rPr>
          <w:lang w:val="en-GB"/>
        </w:rPr>
        <w:instrText>ADDIN RW.CITE{{6 Hoitash,Rani 2012; 7 Indjejikian,Raffi 2009}}</w:instrText>
      </w:r>
      <w:r w:rsidRPr="004B4361">
        <w:rPr>
          <w:lang w:val="en-GB"/>
        </w:rPr>
        <w:fldChar w:fldCharType="separate"/>
      </w:r>
      <w:r w:rsidR="00254F5A" w:rsidRPr="00254F5A">
        <w:rPr>
          <w:rFonts w:ascii="Calibri" w:hAnsi="Calibri"/>
          <w:lang w:val="en-GB"/>
        </w:rPr>
        <w:t>(Hoitash et al., 2012; Indjejikian &amp; Matêjka, 2009)</w:t>
      </w:r>
      <w:r w:rsidRPr="004B4361">
        <w:rPr>
          <w:lang w:val="en-GB"/>
        </w:rPr>
        <w:fldChar w:fldCharType="end"/>
      </w:r>
      <w:r>
        <w:rPr>
          <w:lang w:val="en-GB"/>
        </w:rPr>
        <w:t xml:space="preserve">. Firstly, the CFO has </w:t>
      </w:r>
      <w:r w:rsidRPr="00242901">
        <w:rPr>
          <w:lang w:val="en-GB"/>
        </w:rPr>
        <w:t>ma</w:t>
      </w:r>
      <w:r>
        <w:rPr>
          <w:lang w:val="en-GB"/>
        </w:rPr>
        <w:t>nagerial duties and</w:t>
      </w:r>
      <w:r w:rsidRPr="00242901">
        <w:rPr>
          <w:lang w:val="en-GB"/>
        </w:rPr>
        <w:t xml:space="preserve"> </w:t>
      </w:r>
      <w:r w:rsidR="00D9515F">
        <w:rPr>
          <w:lang w:val="en-GB"/>
        </w:rPr>
        <w:t>contributes</w:t>
      </w:r>
      <w:r>
        <w:rPr>
          <w:lang w:val="en-GB"/>
        </w:rPr>
        <w:t xml:space="preserve"> to decision making such as</w:t>
      </w:r>
      <w:r w:rsidRPr="00242901">
        <w:rPr>
          <w:lang w:val="en-GB"/>
        </w:rPr>
        <w:t xml:space="preserve"> any other </w:t>
      </w:r>
      <w:r w:rsidR="00B608A5">
        <w:rPr>
          <w:lang w:val="en-GB"/>
        </w:rPr>
        <w:t xml:space="preserve">senior </w:t>
      </w:r>
      <w:r>
        <w:rPr>
          <w:lang w:val="en-GB"/>
        </w:rPr>
        <w:t xml:space="preserve">manager. Secondly, he </w:t>
      </w:r>
      <w:r w:rsidR="007D2800">
        <w:rPr>
          <w:lang w:val="en-GB"/>
        </w:rPr>
        <w:t xml:space="preserve">or she </w:t>
      </w:r>
      <w:r>
        <w:rPr>
          <w:lang w:val="en-GB"/>
        </w:rPr>
        <w:lastRenderedPageBreak/>
        <w:t xml:space="preserve">must </w:t>
      </w:r>
      <w:r w:rsidRPr="00242901">
        <w:rPr>
          <w:lang w:val="en-GB"/>
        </w:rPr>
        <w:t>report</w:t>
      </w:r>
      <w:r>
        <w:rPr>
          <w:lang w:val="en-GB"/>
        </w:rPr>
        <w:t xml:space="preserve"> on</w:t>
      </w:r>
      <w:r w:rsidRPr="00242901">
        <w:rPr>
          <w:lang w:val="en-GB"/>
        </w:rPr>
        <w:t xml:space="preserve"> </w:t>
      </w:r>
      <w:r>
        <w:rPr>
          <w:lang w:val="en-GB"/>
        </w:rPr>
        <w:t xml:space="preserve">the </w:t>
      </w:r>
      <w:r w:rsidRPr="00242901">
        <w:rPr>
          <w:lang w:val="en-GB"/>
        </w:rPr>
        <w:t>firm</w:t>
      </w:r>
      <w:r>
        <w:rPr>
          <w:lang w:val="en-GB"/>
        </w:rPr>
        <w:t>’s</w:t>
      </w:r>
      <w:r w:rsidRPr="00242901">
        <w:rPr>
          <w:lang w:val="en-GB"/>
        </w:rPr>
        <w:t xml:space="preserve"> financial performance</w:t>
      </w:r>
      <w:r>
        <w:rPr>
          <w:lang w:val="en-GB"/>
        </w:rPr>
        <w:t xml:space="preserve">, keeping </w:t>
      </w:r>
      <w:r w:rsidR="007D2800">
        <w:rPr>
          <w:lang w:val="en-GB"/>
        </w:rPr>
        <w:t xml:space="preserve">the </w:t>
      </w:r>
      <w:r>
        <w:rPr>
          <w:lang w:val="en-GB"/>
        </w:rPr>
        <w:t>greater good of the firm</w:t>
      </w:r>
      <w:r w:rsidR="00F203B9">
        <w:rPr>
          <w:lang w:val="en-GB"/>
        </w:rPr>
        <w:t xml:space="preserve"> and subsequently the shareholder</w:t>
      </w:r>
      <w:r>
        <w:rPr>
          <w:lang w:val="en-GB"/>
        </w:rPr>
        <w:t xml:space="preserve"> in mind</w:t>
      </w:r>
      <w:r w:rsidRPr="00242901">
        <w:rPr>
          <w:lang w:val="en-GB"/>
        </w:rPr>
        <w:t>.</w:t>
      </w:r>
      <w:r>
        <w:rPr>
          <w:lang w:val="en-GB"/>
        </w:rPr>
        <w:t xml:space="preserve"> This is described as the fiduciary duty</w:t>
      </w:r>
      <w:r>
        <w:rPr>
          <w:rStyle w:val="Voetnootmarkering"/>
          <w:lang w:val="en-GB"/>
        </w:rPr>
        <w:footnoteReference w:id="1"/>
      </w:r>
      <w:r>
        <w:rPr>
          <w:lang w:val="en-GB"/>
        </w:rPr>
        <w:t xml:space="preserve">: </w:t>
      </w:r>
      <w:r w:rsidR="0030121C" w:rsidRPr="0030121C">
        <w:rPr>
          <w:i/>
          <w:lang w:val="en-GB"/>
        </w:rPr>
        <w:t>“</w:t>
      </w:r>
      <w:r w:rsidRPr="0030121C">
        <w:rPr>
          <w:i/>
          <w:lang w:val="en-GB"/>
        </w:rPr>
        <w:t xml:space="preserve">the production of financial statements that </w:t>
      </w:r>
      <w:r w:rsidR="0030121C">
        <w:rPr>
          <w:i/>
          <w:lang w:val="en-GB"/>
        </w:rPr>
        <w:t xml:space="preserve">fairly </w:t>
      </w:r>
      <w:r w:rsidRPr="0030121C">
        <w:rPr>
          <w:i/>
          <w:lang w:val="en-GB"/>
        </w:rPr>
        <w:t>represent the financial condition of a firm</w:t>
      </w:r>
      <w:r w:rsidR="0030121C" w:rsidRPr="0030121C">
        <w:rPr>
          <w:i/>
          <w:lang w:val="en-GB"/>
        </w:rPr>
        <w:t>”</w:t>
      </w:r>
      <w:r w:rsidRPr="0030121C">
        <w:rPr>
          <w:i/>
          <w:lang w:val="en-GB"/>
        </w:rPr>
        <w:t xml:space="preserve"> </w:t>
      </w:r>
      <w:r>
        <w:rPr>
          <w:lang w:val="en-GB"/>
        </w:rPr>
        <w:fldChar w:fldCharType="begin"/>
      </w:r>
      <w:r w:rsidR="00F203B9">
        <w:rPr>
          <w:lang w:val="en-GB"/>
        </w:rPr>
        <w:instrText>ADDIN RW.CITE{{7 Indjejikian,Raffi 2009 /f p.1062}}</w:instrText>
      </w:r>
      <w:r>
        <w:rPr>
          <w:lang w:val="en-GB"/>
        </w:rPr>
        <w:fldChar w:fldCharType="separate"/>
      </w:r>
      <w:r w:rsidR="00254F5A" w:rsidRPr="00254F5A">
        <w:rPr>
          <w:rFonts w:ascii="Calibri" w:hAnsi="Calibri"/>
          <w:lang w:val="en-GB"/>
        </w:rPr>
        <w:t>(Indjejikian &amp; Matêjka, 2009 p.1062)</w:t>
      </w:r>
      <w:r>
        <w:rPr>
          <w:lang w:val="en-GB"/>
        </w:rPr>
        <w:fldChar w:fldCharType="end"/>
      </w:r>
      <w:r>
        <w:rPr>
          <w:lang w:val="en-GB"/>
        </w:rPr>
        <w:t>.</w:t>
      </w:r>
      <w:r w:rsidRPr="00242901">
        <w:rPr>
          <w:lang w:val="en-GB"/>
        </w:rPr>
        <w:t xml:space="preserve"> </w:t>
      </w:r>
      <w:r w:rsidR="00300EFB">
        <w:rPr>
          <w:lang w:val="en-GB"/>
        </w:rPr>
        <w:t xml:space="preserve">The priority of the responsibilities of the CFO can influence the </w:t>
      </w:r>
      <w:r w:rsidR="00300EFB" w:rsidRPr="00D34FA9">
        <w:rPr>
          <w:lang w:val="en-GB"/>
        </w:rPr>
        <w:t>design of compensation contracts and in</w:t>
      </w:r>
      <w:r w:rsidR="00300EFB">
        <w:rPr>
          <w:lang w:val="en-GB"/>
        </w:rPr>
        <w:t xml:space="preserve"> particular the choice of performance measures in</w:t>
      </w:r>
      <w:r w:rsidR="00F203B9">
        <w:rPr>
          <w:lang w:val="en-GB"/>
        </w:rPr>
        <w:t xml:space="preserve"> a</w:t>
      </w:r>
      <w:r w:rsidR="00300EFB">
        <w:rPr>
          <w:lang w:val="en-GB"/>
        </w:rPr>
        <w:t xml:space="preserve"> financial executives’</w:t>
      </w:r>
      <w:r w:rsidR="00F203B9">
        <w:rPr>
          <w:lang w:val="en-GB"/>
        </w:rPr>
        <w:t xml:space="preserve"> compensation</w:t>
      </w:r>
      <w:r w:rsidR="00300EFB">
        <w:rPr>
          <w:lang w:val="en-GB"/>
        </w:rPr>
        <w:t xml:space="preserve"> plan </w:t>
      </w:r>
      <w:r w:rsidR="00300EFB">
        <w:rPr>
          <w:lang w:val="en-GB"/>
        </w:rPr>
        <w:fldChar w:fldCharType="begin"/>
      </w:r>
      <w:r w:rsidR="00300EFB">
        <w:rPr>
          <w:lang w:val="en-GB"/>
        </w:rPr>
        <w:instrText>ADDIN RW.CITE{{7 Indjejikian,Raffi 2009}}</w:instrText>
      </w:r>
      <w:r w:rsidR="00300EFB">
        <w:rPr>
          <w:lang w:val="en-GB"/>
        </w:rPr>
        <w:fldChar w:fldCharType="separate"/>
      </w:r>
      <w:r w:rsidR="00254F5A" w:rsidRPr="00254F5A">
        <w:rPr>
          <w:rFonts w:ascii="Calibri" w:hAnsi="Calibri"/>
          <w:lang w:val="en-GB"/>
        </w:rPr>
        <w:t>(Indjejikian &amp; Matêjka, 2009)</w:t>
      </w:r>
      <w:r w:rsidR="00300EFB">
        <w:rPr>
          <w:lang w:val="en-GB"/>
        </w:rPr>
        <w:fldChar w:fldCharType="end"/>
      </w:r>
      <w:r w:rsidR="00300EFB">
        <w:rPr>
          <w:lang w:val="en-GB"/>
        </w:rPr>
        <w:t>.</w:t>
      </w:r>
    </w:p>
    <w:p w14:paraId="5EA57889" w14:textId="0FD27DAF" w:rsidR="00CA08AE" w:rsidRPr="00242901" w:rsidRDefault="00D24734" w:rsidP="00CA08AE">
      <w:pPr>
        <w:pStyle w:val="Kop2"/>
      </w:pPr>
      <w:bookmarkStart w:id="3" w:name="_Toc439346610"/>
      <w:r>
        <w:t>1.1</w:t>
      </w:r>
      <w:r w:rsidR="00CA08AE" w:rsidRPr="00242901">
        <w:t xml:space="preserve"> Research question</w:t>
      </w:r>
      <w:bookmarkEnd w:id="3"/>
    </w:p>
    <w:p w14:paraId="6DBA557F" w14:textId="4D77FE89" w:rsidR="000E32F8" w:rsidRPr="00242901" w:rsidRDefault="00D44916" w:rsidP="009A675C">
      <w:pPr>
        <w:spacing w:line="360" w:lineRule="auto"/>
        <w:jc w:val="both"/>
        <w:rPr>
          <w:lang w:val="en-GB"/>
        </w:rPr>
      </w:pPr>
      <w:r>
        <w:rPr>
          <w:lang w:val="en-GB"/>
        </w:rPr>
        <w:t>The main prob</w:t>
      </w:r>
      <w:r w:rsidR="007D2800">
        <w:rPr>
          <w:lang w:val="en-GB"/>
        </w:rPr>
        <w:t xml:space="preserve">lem is </w:t>
      </w:r>
      <w:r w:rsidR="00F203B9">
        <w:rPr>
          <w:lang w:val="en-GB"/>
        </w:rPr>
        <w:t xml:space="preserve">thus </w:t>
      </w:r>
      <w:r w:rsidR="007D2800">
        <w:rPr>
          <w:lang w:val="en-GB"/>
        </w:rPr>
        <w:t xml:space="preserve">the alignment of the CFO’s goals </w:t>
      </w:r>
      <w:r>
        <w:rPr>
          <w:lang w:val="en-GB"/>
        </w:rPr>
        <w:t xml:space="preserve">with </w:t>
      </w:r>
      <w:r w:rsidR="007D2800">
        <w:rPr>
          <w:lang w:val="en-GB"/>
        </w:rPr>
        <w:t xml:space="preserve">the </w:t>
      </w:r>
      <w:r>
        <w:rPr>
          <w:lang w:val="en-GB"/>
        </w:rPr>
        <w:t>goals of the shareholders</w:t>
      </w:r>
      <w:r w:rsidR="004B4361">
        <w:rPr>
          <w:lang w:val="en-GB"/>
        </w:rPr>
        <w:t xml:space="preserve">, </w:t>
      </w:r>
      <w:r w:rsidR="007D2800">
        <w:rPr>
          <w:lang w:val="en-GB"/>
        </w:rPr>
        <w:t>which</w:t>
      </w:r>
      <w:r w:rsidR="004B4361">
        <w:rPr>
          <w:lang w:val="en-GB"/>
        </w:rPr>
        <w:t>, according to the literature</w:t>
      </w:r>
      <w:r w:rsidR="007D2800">
        <w:rPr>
          <w:lang w:val="en-GB"/>
        </w:rPr>
        <w:t>,</w:t>
      </w:r>
      <w:r w:rsidR="004B4361">
        <w:rPr>
          <w:lang w:val="en-GB"/>
        </w:rPr>
        <w:t xml:space="preserve"> can be </w:t>
      </w:r>
      <w:r w:rsidR="00324F49">
        <w:rPr>
          <w:lang w:val="en-GB"/>
        </w:rPr>
        <w:t>influenced</w:t>
      </w:r>
      <w:r w:rsidR="004B4361">
        <w:rPr>
          <w:lang w:val="en-GB"/>
        </w:rPr>
        <w:t xml:space="preserve"> by </w:t>
      </w:r>
      <w:r w:rsidR="00CB68C7">
        <w:rPr>
          <w:lang w:val="en-GB"/>
        </w:rPr>
        <w:t>including firm’s equity in the CFO’s compensation package. I</w:t>
      </w:r>
      <w:r w:rsidR="000E32F8" w:rsidRPr="00242901">
        <w:rPr>
          <w:lang w:val="en-GB"/>
        </w:rPr>
        <w:t xml:space="preserve">t is often </w:t>
      </w:r>
      <w:r w:rsidR="00F203B9">
        <w:rPr>
          <w:lang w:val="en-GB"/>
        </w:rPr>
        <w:t>not taken into account</w:t>
      </w:r>
      <w:r w:rsidR="000E32F8" w:rsidRPr="00242901">
        <w:rPr>
          <w:lang w:val="en-GB"/>
        </w:rPr>
        <w:t xml:space="preserve"> that the CFO actually </w:t>
      </w:r>
      <w:r w:rsidR="007D2800">
        <w:rPr>
          <w:lang w:val="en-GB"/>
        </w:rPr>
        <w:t xml:space="preserve">has </w:t>
      </w:r>
      <w:r w:rsidR="000E32F8" w:rsidRPr="00242901">
        <w:rPr>
          <w:lang w:val="en-GB"/>
        </w:rPr>
        <w:t>two responsibilities</w:t>
      </w:r>
      <w:r w:rsidR="00320B9A">
        <w:rPr>
          <w:lang w:val="en-GB"/>
        </w:rPr>
        <w:t xml:space="preserve">: </w:t>
      </w:r>
      <w:r w:rsidR="00F203B9">
        <w:rPr>
          <w:lang w:val="en-GB"/>
        </w:rPr>
        <w:t>a</w:t>
      </w:r>
      <w:r w:rsidR="009041F0" w:rsidRPr="00242901">
        <w:rPr>
          <w:lang w:val="en-GB"/>
        </w:rPr>
        <w:t xml:space="preserve"> </w:t>
      </w:r>
      <w:r w:rsidR="000E32F8" w:rsidRPr="00242901">
        <w:rPr>
          <w:lang w:val="en-GB"/>
        </w:rPr>
        <w:t xml:space="preserve">fiduciary duty and </w:t>
      </w:r>
      <w:r w:rsidR="00F203B9">
        <w:rPr>
          <w:lang w:val="en-GB"/>
        </w:rPr>
        <w:t>a</w:t>
      </w:r>
      <w:r w:rsidR="000E32F8" w:rsidRPr="00242901">
        <w:rPr>
          <w:lang w:val="en-GB"/>
        </w:rPr>
        <w:t xml:space="preserve"> managerial duty.</w:t>
      </w:r>
      <w:r w:rsidR="00FD6C61">
        <w:rPr>
          <w:lang w:val="en-GB"/>
        </w:rPr>
        <w:t xml:space="preserve"> This thesis focusses explicitly </w:t>
      </w:r>
      <w:r w:rsidR="007D2800">
        <w:rPr>
          <w:lang w:val="en-GB"/>
        </w:rPr>
        <w:t>on</w:t>
      </w:r>
      <w:r w:rsidR="00FD6C61">
        <w:rPr>
          <w:lang w:val="en-GB"/>
        </w:rPr>
        <w:t xml:space="preserve"> the performance of the CFO </w:t>
      </w:r>
      <w:r w:rsidR="007D2800">
        <w:rPr>
          <w:lang w:val="en-GB"/>
        </w:rPr>
        <w:t>with regard to</w:t>
      </w:r>
      <w:r w:rsidR="00FD6C61">
        <w:rPr>
          <w:lang w:val="en-GB"/>
        </w:rPr>
        <w:t xml:space="preserve"> the fiduciary </w:t>
      </w:r>
      <w:r w:rsidR="00B12767">
        <w:rPr>
          <w:lang w:val="en-GB"/>
        </w:rPr>
        <w:t xml:space="preserve">and managerial </w:t>
      </w:r>
      <w:r w:rsidR="00FD6C61">
        <w:rPr>
          <w:lang w:val="en-GB"/>
        </w:rPr>
        <w:t>responsibility</w:t>
      </w:r>
      <w:r w:rsidR="00107508">
        <w:rPr>
          <w:lang w:val="en-GB"/>
        </w:rPr>
        <w:t>. This leads to the following research question:</w:t>
      </w:r>
    </w:p>
    <w:p w14:paraId="206EC946" w14:textId="4612AFCD" w:rsidR="00047A06" w:rsidRPr="00242901" w:rsidRDefault="00FD6C61" w:rsidP="00C9241F">
      <w:pPr>
        <w:spacing w:line="360" w:lineRule="auto"/>
        <w:jc w:val="center"/>
        <w:rPr>
          <w:i/>
          <w:lang w:val="en-GB"/>
        </w:rPr>
      </w:pPr>
      <w:r>
        <w:rPr>
          <w:i/>
          <w:lang w:val="en-GB"/>
        </w:rPr>
        <w:t xml:space="preserve">What is the influence of equity compensation on the fiduciary </w:t>
      </w:r>
      <w:r w:rsidR="00B12767">
        <w:rPr>
          <w:i/>
          <w:lang w:val="en-GB"/>
        </w:rPr>
        <w:t xml:space="preserve">and managerial </w:t>
      </w:r>
      <w:r>
        <w:rPr>
          <w:i/>
          <w:lang w:val="en-GB"/>
        </w:rPr>
        <w:t>performance of the CFO</w:t>
      </w:r>
      <w:r w:rsidR="00047A06" w:rsidRPr="00242901">
        <w:rPr>
          <w:i/>
          <w:lang w:val="en-GB"/>
        </w:rPr>
        <w:t>?</w:t>
      </w:r>
    </w:p>
    <w:p w14:paraId="552C37B4" w14:textId="65350457" w:rsidR="00CA08AE" w:rsidRDefault="00D24734" w:rsidP="00783837">
      <w:pPr>
        <w:pStyle w:val="Kop2"/>
      </w:pPr>
      <w:bookmarkStart w:id="4" w:name="_Toc439346611"/>
      <w:r>
        <w:t>1.2</w:t>
      </w:r>
      <w:r w:rsidR="00CA08AE" w:rsidRPr="00B236A0">
        <w:t xml:space="preserve"> </w:t>
      </w:r>
      <w:r w:rsidR="00F51C55">
        <w:t>Managerial</w:t>
      </w:r>
      <w:r w:rsidR="00CA08AE" w:rsidRPr="00B236A0">
        <w:t xml:space="preserve"> relevance</w:t>
      </w:r>
      <w:bookmarkEnd w:id="4"/>
    </w:p>
    <w:p w14:paraId="6EBA2DE7" w14:textId="12348E84" w:rsidR="006F6F21" w:rsidRDefault="00AD0037" w:rsidP="00741D86">
      <w:pPr>
        <w:spacing w:line="360" w:lineRule="auto"/>
        <w:jc w:val="both"/>
        <w:rPr>
          <w:lang w:val="en-GB"/>
        </w:rPr>
      </w:pPr>
      <w:r>
        <w:rPr>
          <w:lang w:val="en-GB"/>
        </w:rPr>
        <w:t xml:space="preserve">A number of major accounting scandals increased the attention on reliable corporate governance, with the </w:t>
      </w:r>
      <w:r w:rsidR="0070149F">
        <w:rPr>
          <w:lang w:val="en-GB"/>
        </w:rPr>
        <w:t>enactment of</w:t>
      </w:r>
      <w:r>
        <w:rPr>
          <w:lang w:val="en-GB"/>
        </w:rPr>
        <w:t xml:space="preserve"> the Sarbanes-Oxley Act </w:t>
      </w:r>
      <w:r w:rsidR="0070149F">
        <w:rPr>
          <w:lang w:val="en-GB"/>
        </w:rPr>
        <w:t>as a result. This United States federal law set new requirements for US public firm boards</w:t>
      </w:r>
      <w:r w:rsidR="000E3F57">
        <w:rPr>
          <w:lang w:val="en-GB"/>
        </w:rPr>
        <w:t xml:space="preserve"> and management on July 30, 2002</w:t>
      </w:r>
      <w:r w:rsidR="00900D65">
        <w:rPr>
          <w:lang w:val="en-GB"/>
        </w:rPr>
        <w:t xml:space="preserve"> </w:t>
      </w:r>
      <w:r w:rsidR="0054372B">
        <w:rPr>
          <w:lang w:val="en-GB"/>
        </w:rPr>
        <w:fldChar w:fldCharType="begin"/>
      </w:r>
      <w:r w:rsidR="0054372B">
        <w:rPr>
          <w:lang w:val="en-GB"/>
        </w:rPr>
        <w:instrText>ADDIN RW.CITE{{96 USHouseofRepresentatives 2002}}</w:instrText>
      </w:r>
      <w:r w:rsidR="0054372B">
        <w:rPr>
          <w:lang w:val="en-GB"/>
        </w:rPr>
        <w:fldChar w:fldCharType="separate"/>
      </w:r>
      <w:r w:rsidR="0054372B" w:rsidRPr="0054372B">
        <w:rPr>
          <w:rFonts w:ascii="Calibri" w:hAnsi="Calibri"/>
          <w:lang w:val="en-GB"/>
        </w:rPr>
        <w:t>(US House of Representatives, 2002)</w:t>
      </w:r>
      <w:r w:rsidR="0054372B">
        <w:rPr>
          <w:lang w:val="en-GB"/>
        </w:rPr>
        <w:fldChar w:fldCharType="end"/>
      </w:r>
      <w:r w:rsidR="000E3F57">
        <w:rPr>
          <w:lang w:val="en-GB"/>
        </w:rPr>
        <w:t xml:space="preserve">. </w:t>
      </w:r>
      <w:r w:rsidR="006F6F21">
        <w:rPr>
          <w:lang w:val="en-GB"/>
        </w:rPr>
        <w:t xml:space="preserve">Section </w:t>
      </w:r>
      <w:r w:rsidR="00F51C55">
        <w:rPr>
          <w:lang w:val="en-GB"/>
        </w:rPr>
        <w:t xml:space="preserve">302 and </w:t>
      </w:r>
      <w:r w:rsidR="006F6F21">
        <w:rPr>
          <w:lang w:val="en-GB"/>
        </w:rPr>
        <w:t xml:space="preserve">404 </w:t>
      </w:r>
      <w:r w:rsidR="00F51C55">
        <w:rPr>
          <w:lang w:val="en-GB"/>
        </w:rPr>
        <w:t>are</w:t>
      </w:r>
      <w:r w:rsidR="006F6F21">
        <w:rPr>
          <w:lang w:val="en-GB"/>
        </w:rPr>
        <w:t xml:space="preserve"> considered as the element</w:t>
      </w:r>
      <w:r w:rsidR="00F51C55">
        <w:rPr>
          <w:lang w:val="en-GB"/>
        </w:rPr>
        <w:t>s</w:t>
      </w:r>
      <w:r w:rsidR="006F6F21">
        <w:rPr>
          <w:lang w:val="en-GB"/>
        </w:rPr>
        <w:t xml:space="preserve"> of SOx with the most impact, since it requires the management and external auditor to evaluate the firm’s internal control</w:t>
      </w:r>
      <w:r w:rsidR="00577199">
        <w:rPr>
          <w:lang w:val="en-GB"/>
        </w:rPr>
        <w:t xml:space="preserve"> on financial reporting. </w:t>
      </w:r>
      <w:r w:rsidR="004F0CBF">
        <w:rPr>
          <w:lang w:val="en-GB"/>
        </w:rPr>
        <w:t>The outcome of the e</w:t>
      </w:r>
      <w:r w:rsidR="00577199">
        <w:rPr>
          <w:lang w:val="en-GB"/>
        </w:rPr>
        <w:t xml:space="preserve">valuation </w:t>
      </w:r>
      <w:r w:rsidR="004F0CBF">
        <w:rPr>
          <w:lang w:val="en-GB"/>
        </w:rPr>
        <w:t xml:space="preserve">may include </w:t>
      </w:r>
      <w:r w:rsidR="00577199">
        <w:rPr>
          <w:lang w:val="en-GB"/>
        </w:rPr>
        <w:t>an ‘Internal Control Material Weakness’</w:t>
      </w:r>
      <w:r w:rsidR="00DB59E5">
        <w:rPr>
          <w:lang w:val="en-GB"/>
        </w:rPr>
        <w:t xml:space="preserve">, which means that an internal control is so deficient, that it could lead to material financial misstatements. Therefore, </w:t>
      </w:r>
      <w:r w:rsidR="00F51C55">
        <w:rPr>
          <w:lang w:val="en-GB"/>
        </w:rPr>
        <w:t xml:space="preserve">since the introduction of SOx, </w:t>
      </w:r>
      <w:r w:rsidR="00DB59E5">
        <w:rPr>
          <w:lang w:val="en-GB"/>
        </w:rPr>
        <w:t>the duty of a CFO is even under more scrutiny.</w:t>
      </w:r>
      <w:r w:rsidR="0054372B">
        <w:rPr>
          <w:lang w:val="en-GB"/>
        </w:rPr>
        <w:t xml:space="preserve"> Besides, the findings of this thesis are of interest to the initiators and enforcers of SOx. </w:t>
      </w:r>
    </w:p>
    <w:p w14:paraId="45ADB0E5" w14:textId="5FD747AE" w:rsidR="00F51C55" w:rsidRDefault="00F51C55" w:rsidP="00741D86">
      <w:pPr>
        <w:spacing w:line="360" w:lineRule="auto"/>
        <w:jc w:val="both"/>
        <w:rPr>
          <w:lang w:val="en-GB"/>
        </w:rPr>
      </w:pPr>
      <w:r w:rsidRPr="00242901">
        <w:rPr>
          <w:lang w:val="en-GB"/>
        </w:rPr>
        <w:t xml:space="preserve">The results of this study </w:t>
      </w:r>
      <w:r>
        <w:rPr>
          <w:lang w:val="en-GB"/>
        </w:rPr>
        <w:t>are</w:t>
      </w:r>
      <w:r w:rsidRPr="00242901">
        <w:rPr>
          <w:lang w:val="en-GB"/>
        </w:rPr>
        <w:t xml:space="preserve"> relevan</w:t>
      </w:r>
      <w:r>
        <w:rPr>
          <w:lang w:val="en-GB"/>
        </w:rPr>
        <w:t>t</w:t>
      </w:r>
      <w:r w:rsidRPr="00242901">
        <w:rPr>
          <w:lang w:val="en-GB"/>
        </w:rPr>
        <w:t xml:space="preserve"> to </w:t>
      </w:r>
      <w:r>
        <w:rPr>
          <w:lang w:val="en-GB"/>
        </w:rPr>
        <w:t>shareholders and boards of directors, since it</w:t>
      </w:r>
      <w:r w:rsidRPr="00242901">
        <w:rPr>
          <w:lang w:val="en-GB"/>
        </w:rPr>
        <w:t xml:space="preserve"> provide</w:t>
      </w:r>
      <w:r>
        <w:rPr>
          <w:lang w:val="en-GB"/>
        </w:rPr>
        <w:t>s</w:t>
      </w:r>
      <w:r w:rsidRPr="00242901">
        <w:rPr>
          <w:lang w:val="en-GB"/>
        </w:rPr>
        <w:t xml:space="preserve"> insight </w:t>
      </w:r>
      <w:r>
        <w:rPr>
          <w:lang w:val="en-GB"/>
        </w:rPr>
        <w:t>in</w:t>
      </w:r>
      <w:r w:rsidRPr="00242901">
        <w:rPr>
          <w:lang w:val="en-GB"/>
        </w:rPr>
        <w:t xml:space="preserve">to the effects of </w:t>
      </w:r>
      <w:r>
        <w:rPr>
          <w:lang w:val="en-GB"/>
        </w:rPr>
        <w:t>equity compensation in the executive compensation system</w:t>
      </w:r>
      <w:r w:rsidRPr="00242901">
        <w:rPr>
          <w:lang w:val="en-GB"/>
        </w:rPr>
        <w:t>.</w:t>
      </w:r>
      <w:r>
        <w:rPr>
          <w:lang w:val="en-GB"/>
        </w:rPr>
        <w:t xml:space="preserve"> Ultimately, the board of directors is the entity that constructs the incentive systems for the top executives on behalf of the </w:t>
      </w:r>
      <w:r>
        <w:rPr>
          <w:lang w:val="en-GB"/>
        </w:rPr>
        <w:lastRenderedPageBreak/>
        <w:t>shareholders. This thesis clarifies the impact of equity compensation on CFO performance, which may be useful for decision making of the boards of directors regarding the incentive systems for the CFO. The shareholders relinquish the management of the firm to the board of directors, and they are thus interested in decisions that affect the performance of their asset.</w:t>
      </w:r>
    </w:p>
    <w:p w14:paraId="70091567" w14:textId="13F394DC" w:rsidR="00CA08AE" w:rsidRPr="00242901" w:rsidRDefault="00D24734" w:rsidP="00CA08AE">
      <w:pPr>
        <w:pStyle w:val="Kop2"/>
      </w:pPr>
      <w:bookmarkStart w:id="5" w:name="_Toc439346612"/>
      <w:r>
        <w:t>1.3</w:t>
      </w:r>
      <w:r w:rsidR="00CA08AE" w:rsidRPr="00242901">
        <w:t xml:space="preserve"> </w:t>
      </w:r>
      <w:r w:rsidR="00F51C55">
        <w:t>Scientific</w:t>
      </w:r>
      <w:r w:rsidR="00CA08AE" w:rsidRPr="00242901">
        <w:t xml:space="preserve"> relevance</w:t>
      </w:r>
      <w:bookmarkEnd w:id="5"/>
    </w:p>
    <w:p w14:paraId="5D1AEC6C" w14:textId="7B7C9C11" w:rsidR="00F51C55" w:rsidRDefault="00F51C55" w:rsidP="00F51C55">
      <w:pPr>
        <w:spacing w:line="360" w:lineRule="auto"/>
        <w:jc w:val="both"/>
        <w:rPr>
          <w:lang w:val="en-GB"/>
        </w:rPr>
      </w:pPr>
      <w:r>
        <w:rPr>
          <w:lang w:val="en-GB"/>
        </w:rPr>
        <w:t>This thesis on compensation regarding the CFO performance is related to other studies that explicitly distinguish the CFO fiduciary and managerial duty. There is evidence</w:t>
      </w:r>
      <w:r>
        <w:rPr>
          <w:rStyle w:val="Voetnootmarkering"/>
          <w:lang w:val="en-GB"/>
        </w:rPr>
        <w:footnoteReference w:id="2"/>
      </w:r>
      <w:r>
        <w:rPr>
          <w:lang w:val="en-GB"/>
        </w:rPr>
        <w:t xml:space="preserve"> that firms decrease emphasis on the managerial duty in the post-SOx </w:t>
      </w:r>
      <w:r w:rsidRPr="00F0427B">
        <w:rPr>
          <w:lang w:val="en-GB"/>
        </w:rPr>
        <w:t xml:space="preserve">years </w:t>
      </w:r>
      <w:r>
        <w:rPr>
          <w:lang w:val="en-GB"/>
        </w:rPr>
        <w:fldChar w:fldCharType="begin"/>
      </w:r>
      <w:r>
        <w:rPr>
          <w:lang w:val="en-GB"/>
        </w:rPr>
        <w:instrText>ADDIN RW.CITE{{7 Indjejikian,Raffi 2009}}</w:instrText>
      </w:r>
      <w:r>
        <w:rPr>
          <w:lang w:val="en-GB"/>
        </w:rPr>
        <w:fldChar w:fldCharType="separate"/>
      </w:r>
      <w:r w:rsidR="00254F5A" w:rsidRPr="00254F5A">
        <w:rPr>
          <w:rFonts w:ascii="Calibri" w:hAnsi="Calibri"/>
          <w:lang w:val="en-GB"/>
        </w:rPr>
        <w:t>(Indjejikian &amp; Matêjka, 2009)</w:t>
      </w:r>
      <w:r>
        <w:rPr>
          <w:lang w:val="en-GB"/>
        </w:rPr>
        <w:fldChar w:fldCharType="end"/>
      </w:r>
      <w:r>
        <w:rPr>
          <w:lang w:val="en-GB"/>
        </w:rPr>
        <w:t xml:space="preserve">, which can be interpreted as an increased emphasis on the fiduciary performance. Other research finds a negative relation between CFO bonus compensation and disclosure of an internal control material weakness, which can be seen as a measure for fiduciary performance </w:t>
      </w:r>
      <w:r>
        <w:rPr>
          <w:lang w:val="en-GB"/>
        </w:rPr>
        <w:fldChar w:fldCharType="begin"/>
      </w:r>
      <w:r>
        <w:rPr>
          <w:lang w:val="en-GB"/>
        </w:rPr>
        <w:instrText>ADDIN RW.CITE{{6 Hoitash,Rani 2012}}</w:instrText>
      </w:r>
      <w:r>
        <w:rPr>
          <w:lang w:val="en-GB"/>
        </w:rPr>
        <w:fldChar w:fldCharType="separate"/>
      </w:r>
      <w:r w:rsidRPr="00CB0CDB">
        <w:rPr>
          <w:rFonts w:ascii="Calibri" w:hAnsi="Calibri"/>
          <w:lang w:val="en-GB"/>
        </w:rPr>
        <w:t>(Hoitash et al., 2012)</w:t>
      </w:r>
      <w:r>
        <w:rPr>
          <w:lang w:val="en-GB"/>
        </w:rPr>
        <w:fldChar w:fldCharType="end"/>
      </w:r>
      <w:r>
        <w:rPr>
          <w:lang w:val="en-GB"/>
        </w:rPr>
        <w:t xml:space="preserve">. By explicitly distinguishing these two CFO responsibilities, this thesis provides for clarification in a research area where theoretical and empirical evidence is scarce. Regarding the CFO’s fiduciary and managerial duty, this thesis extends prior studies by examining the relation between fiduciary and managerial performance and CFO’s compensation incentives </w:t>
      </w:r>
      <w:r>
        <w:rPr>
          <w:lang w:val="en-GB"/>
        </w:rPr>
        <w:fldChar w:fldCharType="begin"/>
      </w:r>
      <w:r>
        <w:rPr>
          <w:lang w:val="en-GB"/>
        </w:rPr>
        <w:instrText>ADDIN RW.CITE{{6 Hoitash,Rani 2012; 7 Indjejikian,Raffi 2009}}</w:instrText>
      </w:r>
      <w:r>
        <w:rPr>
          <w:lang w:val="en-GB"/>
        </w:rPr>
        <w:fldChar w:fldCharType="separate"/>
      </w:r>
      <w:r w:rsidR="00254F5A" w:rsidRPr="00254F5A">
        <w:rPr>
          <w:rFonts w:ascii="Calibri" w:hAnsi="Calibri"/>
          <w:lang w:val="en-GB"/>
        </w:rPr>
        <w:t>(Hoitash et al., 2012; Indjejikian &amp; Matêjka, 2009)</w:t>
      </w:r>
      <w:r>
        <w:rPr>
          <w:lang w:val="en-GB"/>
        </w:rPr>
        <w:fldChar w:fldCharType="end"/>
      </w:r>
      <w:r>
        <w:rPr>
          <w:lang w:val="en-GB"/>
        </w:rPr>
        <w:t xml:space="preserve">. </w:t>
      </w:r>
    </w:p>
    <w:p w14:paraId="27870E00" w14:textId="12B3D1E8" w:rsidR="00B239E7" w:rsidRDefault="00F51C55" w:rsidP="00F51C55">
      <w:pPr>
        <w:spacing w:line="360" w:lineRule="auto"/>
        <w:jc w:val="both"/>
        <w:rPr>
          <w:lang w:val="en-GB"/>
        </w:rPr>
      </w:pPr>
      <w:r>
        <w:rPr>
          <w:lang w:val="en-GB"/>
        </w:rPr>
        <w:t>In addition to the direct link between CFO compensation and CFO performance, this thesis considers the influence of equity as a compensation component, of which the aim is to increase goal alignment between the CFO and the company</w:t>
      </w:r>
      <w:r w:rsidRPr="00135684">
        <w:rPr>
          <w:lang w:val="en-GB"/>
        </w:rPr>
        <w:t>.</w:t>
      </w:r>
      <w:r>
        <w:rPr>
          <w:lang w:val="en-GB"/>
        </w:rPr>
        <w:t xml:space="preserve"> Regarding equity as executive compensation, this thesis extends studies that consider equity as a more effective compensation system </w:t>
      </w:r>
      <w:r>
        <w:rPr>
          <w:lang w:val="en-GB"/>
        </w:rPr>
        <w:fldChar w:fldCharType="begin"/>
      </w:r>
      <w:r>
        <w:rPr>
          <w:lang w:val="en-GB"/>
        </w:rPr>
        <w:instrText>ADDIN RW.CITE{{57 Jensen,MichaelC 1990 /pe.g. }}</w:instrText>
      </w:r>
      <w:r>
        <w:rPr>
          <w:lang w:val="en-GB"/>
        </w:rPr>
        <w:fldChar w:fldCharType="separate"/>
      </w:r>
      <w:r w:rsidR="00254F5A" w:rsidRPr="00254F5A">
        <w:rPr>
          <w:rFonts w:ascii="Calibri" w:hAnsi="Calibri"/>
          <w:lang w:val="en-GB"/>
        </w:rPr>
        <w:t>(e.g. Jensen &amp; Murphy, 1990)</w:t>
      </w:r>
      <w:r>
        <w:rPr>
          <w:lang w:val="en-GB"/>
        </w:rPr>
        <w:fldChar w:fldCharType="end"/>
      </w:r>
      <w:r>
        <w:rPr>
          <w:lang w:val="en-GB"/>
        </w:rPr>
        <w:t xml:space="preserve">, and studies that argue that it is not fully optimal to use equity as the only compensation component </w:t>
      </w:r>
      <w:r>
        <w:rPr>
          <w:lang w:val="en-GB"/>
        </w:rPr>
        <w:fldChar w:fldCharType="begin"/>
      </w:r>
      <w:r>
        <w:rPr>
          <w:lang w:val="en-GB"/>
        </w:rPr>
        <w:instrText>ADDIN RW.CITE{{59 Sloan,RichardG 1993; 58 Paul,JonathanM 1992 /pe.g. }}</w:instrText>
      </w:r>
      <w:r>
        <w:rPr>
          <w:lang w:val="en-GB"/>
        </w:rPr>
        <w:fldChar w:fldCharType="separate"/>
      </w:r>
      <w:r w:rsidRPr="00AF32AF">
        <w:rPr>
          <w:rFonts w:ascii="Calibri" w:hAnsi="Calibri"/>
          <w:lang w:val="en-GB"/>
        </w:rPr>
        <w:t>(e.g. Paul, 1992; Sloan, 1993)</w:t>
      </w:r>
      <w:r>
        <w:rPr>
          <w:lang w:val="en-GB"/>
        </w:rPr>
        <w:fldChar w:fldCharType="end"/>
      </w:r>
      <w:r>
        <w:rPr>
          <w:lang w:val="en-GB"/>
        </w:rPr>
        <w:t xml:space="preserve">. A considerable amount of literature investigated the association between equity compensation and financial misreporting, but the results have been mixed </w:t>
      </w:r>
      <w:r>
        <w:rPr>
          <w:lang w:val="en-GB"/>
        </w:rPr>
        <w:fldChar w:fldCharType="begin"/>
      </w:r>
      <w:r>
        <w:rPr>
          <w:lang w:val="en-GB"/>
        </w:rPr>
        <w:instrText>ADDIN RW.CITE{{60 Armstrong,ChristopherS. 2013; 65 Bergstresser,Daniel 2006; 61 Erickson,Merle 2006; 63 Larcker,DavidF. 2007}}</w:instrText>
      </w:r>
      <w:r>
        <w:rPr>
          <w:lang w:val="en-GB"/>
        </w:rPr>
        <w:fldChar w:fldCharType="separate"/>
      </w:r>
      <w:r w:rsidR="00254F5A" w:rsidRPr="00254F5A">
        <w:rPr>
          <w:rFonts w:ascii="Calibri" w:hAnsi="Calibri"/>
          <w:lang w:val="en-GB"/>
        </w:rPr>
        <w:t>(Armstrong et al., 2013; Bergstresser &amp; Philippon, 2006; Erickson, Hanlon, &amp; Maydew, 2006; Larcker, Richardson, &amp; Tuna, 2007)</w:t>
      </w:r>
      <w:r>
        <w:rPr>
          <w:lang w:val="en-GB"/>
        </w:rPr>
        <w:fldChar w:fldCharType="end"/>
      </w:r>
      <w:r>
        <w:rPr>
          <w:lang w:val="en-GB"/>
        </w:rPr>
        <w:t>. This thesis aims to provide more clarity with regard to the relation between equity incentives and, not only taking misreporting into account, but the fiduciary and managerial role, more specifically CFO performance in its entirety.</w:t>
      </w:r>
    </w:p>
    <w:p w14:paraId="0330D9F7" w14:textId="73FDE9A5" w:rsidR="00CA08AE" w:rsidRPr="00242901" w:rsidRDefault="00D24734" w:rsidP="00CA08AE">
      <w:pPr>
        <w:pStyle w:val="Kop2"/>
      </w:pPr>
      <w:bookmarkStart w:id="6" w:name="_Toc439346613"/>
      <w:r>
        <w:t>1.4</w:t>
      </w:r>
      <w:r w:rsidR="00CA08AE" w:rsidRPr="00242901">
        <w:t xml:space="preserve"> Outline</w:t>
      </w:r>
      <w:bookmarkEnd w:id="6"/>
    </w:p>
    <w:p w14:paraId="0426828B" w14:textId="54959FFE" w:rsidR="000E32F8" w:rsidRPr="00242901" w:rsidRDefault="003A0992" w:rsidP="007820B1">
      <w:pPr>
        <w:pStyle w:val="Geenafstand"/>
        <w:spacing w:line="360" w:lineRule="auto"/>
        <w:jc w:val="both"/>
        <w:rPr>
          <w:lang w:val="en-GB"/>
        </w:rPr>
      </w:pPr>
      <w:r>
        <w:rPr>
          <w:lang w:val="en-GB"/>
        </w:rPr>
        <w:t xml:space="preserve">This </w:t>
      </w:r>
      <w:r w:rsidR="003321B7">
        <w:rPr>
          <w:lang w:val="en-GB"/>
        </w:rPr>
        <w:t>thesis</w:t>
      </w:r>
      <w:r w:rsidR="00300BB1">
        <w:rPr>
          <w:lang w:val="en-GB"/>
        </w:rPr>
        <w:t xml:space="preserve"> consists of six </w:t>
      </w:r>
      <w:r w:rsidR="00047A06" w:rsidRPr="00242901">
        <w:rPr>
          <w:lang w:val="en-GB"/>
        </w:rPr>
        <w:t xml:space="preserve">chapters that each contain a part of the </w:t>
      </w:r>
      <w:r w:rsidR="00923433">
        <w:rPr>
          <w:lang w:val="en-GB"/>
        </w:rPr>
        <w:t>thesis</w:t>
      </w:r>
      <w:r w:rsidR="00047A06" w:rsidRPr="00242901">
        <w:rPr>
          <w:lang w:val="en-GB"/>
        </w:rPr>
        <w:t xml:space="preserve">. In chapter 2, </w:t>
      </w:r>
      <w:r w:rsidR="00F203B9">
        <w:rPr>
          <w:lang w:val="en-GB"/>
        </w:rPr>
        <w:t>relevant</w:t>
      </w:r>
      <w:r w:rsidR="00047A06" w:rsidRPr="00242901">
        <w:rPr>
          <w:lang w:val="en-GB"/>
        </w:rPr>
        <w:t xml:space="preserve"> </w:t>
      </w:r>
      <w:r w:rsidR="00F203B9">
        <w:rPr>
          <w:lang w:val="en-GB"/>
        </w:rPr>
        <w:t xml:space="preserve">previous literature is reviewed and a conceptual framework is constructed. In chapter 3, the </w:t>
      </w:r>
      <w:r w:rsidR="00F203B9">
        <w:rPr>
          <w:lang w:val="en-GB"/>
        </w:rPr>
        <w:lastRenderedPageBreak/>
        <w:t xml:space="preserve">hypotheses are presented, discussed and specified. </w:t>
      </w:r>
      <w:r w:rsidR="00047A06" w:rsidRPr="00242901">
        <w:rPr>
          <w:lang w:val="en-GB"/>
        </w:rPr>
        <w:t xml:space="preserve">The sample and variables </w:t>
      </w:r>
      <w:r w:rsidR="0096660E" w:rsidRPr="00242901">
        <w:rPr>
          <w:lang w:val="en-GB"/>
        </w:rPr>
        <w:t xml:space="preserve">and methodological issues </w:t>
      </w:r>
      <w:r w:rsidR="00F203B9">
        <w:rPr>
          <w:lang w:val="en-GB"/>
        </w:rPr>
        <w:t>are discussed in chapter 4</w:t>
      </w:r>
      <w:r w:rsidR="00047A06" w:rsidRPr="00242901">
        <w:rPr>
          <w:lang w:val="en-GB"/>
        </w:rPr>
        <w:t xml:space="preserve">. </w:t>
      </w:r>
      <w:r w:rsidR="00300BB1">
        <w:rPr>
          <w:lang w:val="en-GB"/>
        </w:rPr>
        <w:t>In chapter 5, the results are presented and in chapter 6 draws a conclusion along with a discussion of the results, limitations of the thesis and raises ideas for future research.</w:t>
      </w:r>
      <w:r w:rsidR="00A726AB">
        <w:rPr>
          <w:lang w:val="en-GB"/>
        </w:rPr>
        <w:t xml:space="preserve"> Chapter 7 contains the references and chapter 8 is the Appendix.</w:t>
      </w:r>
    </w:p>
    <w:p w14:paraId="4F80384F" w14:textId="77777777" w:rsidR="00D24734" w:rsidRDefault="00D24734">
      <w:pPr>
        <w:rPr>
          <w:lang w:val="en-GB"/>
        </w:rPr>
      </w:pPr>
      <w:r>
        <w:rPr>
          <w:lang w:val="en-GB"/>
        </w:rPr>
        <w:br w:type="page"/>
      </w:r>
    </w:p>
    <w:p w14:paraId="546ACF9C" w14:textId="6B845A11" w:rsidR="00163CC2" w:rsidRPr="00D24734" w:rsidRDefault="002B1B8B" w:rsidP="00D24734">
      <w:pPr>
        <w:pStyle w:val="Kop1"/>
      </w:pPr>
      <w:bookmarkStart w:id="7" w:name="_Toc439346614"/>
      <w:r w:rsidRPr="00242901">
        <w:lastRenderedPageBreak/>
        <w:t xml:space="preserve">2 </w:t>
      </w:r>
      <w:r w:rsidR="001A7794">
        <w:t>Literature review</w:t>
      </w:r>
      <w:bookmarkEnd w:id="7"/>
    </w:p>
    <w:p w14:paraId="1AF2F016" w14:textId="20DFF923" w:rsidR="004B5AED" w:rsidRDefault="006C79DC" w:rsidP="001A7794">
      <w:pPr>
        <w:spacing w:line="360" w:lineRule="auto"/>
        <w:jc w:val="both"/>
        <w:rPr>
          <w:lang w:val="en-GB"/>
        </w:rPr>
      </w:pPr>
      <w:r>
        <w:rPr>
          <w:lang w:val="en-GB"/>
        </w:rPr>
        <w:t>T</w:t>
      </w:r>
      <w:r w:rsidR="007D2800">
        <w:rPr>
          <w:lang w:val="en-GB"/>
        </w:rPr>
        <w:t>he main concepts</w:t>
      </w:r>
      <w:r w:rsidR="0094424B">
        <w:rPr>
          <w:lang w:val="en-GB"/>
        </w:rPr>
        <w:t xml:space="preserve"> </w:t>
      </w:r>
      <w:r w:rsidR="001A7794">
        <w:rPr>
          <w:lang w:val="en-GB"/>
        </w:rPr>
        <w:t xml:space="preserve">that are related to </w:t>
      </w:r>
      <w:r w:rsidR="007D2800">
        <w:rPr>
          <w:lang w:val="en-GB"/>
        </w:rPr>
        <w:t>the</w:t>
      </w:r>
      <w:r w:rsidR="001A7794">
        <w:rPr>
          <w:lang w:val="en-GB"/>
        </w:rPr>
        <w:t xml:space="preserve"> research question are discussed</w:t>
      </w:r>
      <w:r>
        <w:rPr>
          <w:lang w:val="en-GB"/>
        </w:rPr>
        <w:t xml:space="preserve"> in this chapter</w:t>
      </w:r>
      <w:r w:rsidR="001A7794">
        <w:rPr>
          <w:lang w:val="en-GB"/>
        </w:rPr>
        <w:t xml:space="preserve"> to provide a comprehensive </w:t>
      </w:r>
      <w:r w:rsidR="004B5AED">
        <w:rPr>
          <w:lang w:val="en-GB"/>
        </w:rPr>
        <w:t xml:space="preserve">overview of </w:t>
      </w:r>
      <w:r w:rsidR="007D2800">
        <w:rPr>
          <w:lang w:val="en-GB"/>
        </w:rPr>
        <w:t xml:space="preserve">the </w:t>
      </w:r>
      <w:r w:rsidR="004B5AED">
        <w:rPr>
          <w:lang w:val="en-GB"/>
        </w:rPr>
        <w:t xml:space="preserve">different models, definitions, and empirical evidence regarding </w:t>
      </w:r>
      <w:r w:rsidR="00940C95">
        <w:rPr>
          <w:lang w:val="en-GB"/>
        </w:rPr>
        <w:t xml:space="preserve">the association between </w:t>
      </w:r>
      <w:r w:rsidR="004B5AED">
        <w:rPr>
          <w:lang w:val="en-GB"/>
        </w:rPr>
        <w:t>CFO compensation and CFO performance.</w:t>
      </w:r>
      <w:r w:rsidR="00EE4946">
        <w:rPr>
          <w:lang w:val="en-GB"/>
        </w:rPr>
        <w:t xml:space="preserve"> The goal of </w:t>
      </w:r>
      <w:r w:rsidR="007D2800">
        <w:rPr>
          <w:lang w:val="en-GB"/>
        </w:rPr>
        <w:t xml:space="preserve">this </w:t>
      </w:r>
      <w:r w:rsidR="00EE4946">
        <w:rPr>
          <w:lang w:val="en-GB"/>
        </w:rPr>
        <w:t xml:space="preserve">literature review </w:t>
      </w:r>
      <w:r w:rsidR="007D2800">
        <w:rPr>
          <w:lang w:val="en-GB"/>
        </w:rPr>
        <w:t>is</w:t>
      </w:r>
      <w:r w:rsidR="00EE4946">
        <w:rPr>
          <w:lang w:val="en-GB"/>
        </w:rPr>
        <w:t xml:space="preserve"> to indicate the importance of the research question by identifying gaps or controversies in previous </w:t>
      </w:r>
      <w:r w:rsidR="005B7698">
        <w:rPr>
          <w:lang w:val="en-GB"/>
        </w:rPr>
        <w:t xml:space="preserve">research </w:t>
      </w:r>
      <w:r w:rsidR="00EE4946">
        <w:rPr>
          <w:lang w:val="en-GB"/>
        </w:rPr>
        <w:t xml:space="preserve">and critically reviewing the methodologies </w:t>
      </w:r>
      <w:r w:rsidR="00617148">
        <w:rPr>
          <w:lang w:val="en-GB"/>
        </w:rPr>
        <w:t>that are</w:t>
      </w:r>
      <w:r w:rsidR="00EE4946">
        <w:rPr>
          <w:lang w:val="en-GB"/>
        </w:rPr>
        <w:t xml:space="preserve"> used.</w:t>
      </w:r>
    </w:p>
    <w:p w14:paraId="03105441" w14:textId="2FD5F9C1" w:rsidR="00090BCE" w:rsidRPr="00090BCE" w:rsidRDefault="00090BCE" w:rsidP="001A7794">
      <w:pPr>
        <w:spacing w:line="360" w:lineRule="auto"/>
        <w:jc w:val="both"/>
        <w:rPr>
          <w:lang w:val="en-GB"/>
        </w:rPr>
      </w:pPr>
      <w:r>
        <w:rPr>
          <w:lang w:val="en-GB"/>
        </w:rPr>
        <w:t xml:space="preserve">The content of the literature review </w:t>
      </w:r>
      <w:r w:rsidR="005B7698">
        <w:rPr>
          <w:lang w:val="en-GB"/>
        </w:rPr>
        <w:t>is</w:t>
      </w:r>
      <w:r>
        <w:rPr>
          <w:lang w:val="en-GB"/>
        </w:rPr>
        <w:t xml:space="preserve"> </w:t>
      </w:r>
      <w:r w:rsidR="005B7698">
        <w:rPr>
          <w:lang w:val="en-GB"/>
        </w:rPr>
        <w:t>divided into three main topics. F</w:t>
      </w:r>
      <w:r>
        <w:rPr>
          <w:lang w:val="en-GB"/>
        </w:rPr>
        <w:t xml:space="preserve">irstly, literature regarding the </w:t>
      </w:r>
      <w:r w:rsidR="008F6B98">
        <w:rPr>
          <w:lang w:val="en-GB"/>
        </w:rPr>
        <w:t>position of the CFO within the governance structure</w:t>
      </w:r>
      <w:r w:rsidR="008460C0">
        <w:rPr>
          <w:lang w:val="en-GB"/>
        </w:rPr>
        <w:t xml:space="preserve"> is elaborated upon</w:t>
      </w:r>
      <w:r w:rsidR="00E80D7C">
        <w:rPr>
          <w:lang w:val="en-GB"/>
        </w:rPr>
        <w:t xml:space="preserve">. </w:t>
      </w:r>
      <w:r w:rsidR="008460C0">
        <w:rPr>
          <w:lang w:val="en-GB"/>
        </w:rPr>
        <w:t>Secondly, the</w:t>
      </w:r>
      <w:r w:rsidR="00E80D7C">
        <w:rPr>
          <w:lang w:val="en-GB"/>
        </w:rPr>
        <w:t xml:space="preserve"> </w:t>
      </w:r>
      <w:r w:rsidR="0057082B">
        <w:rPr>
          <w:lang w:val="en-GB"/>
        </w:rPr>
        <w:t xml:space="preserve">literature regarding </w:t>
      </w:r>
      <w:r w:rsidR="00E80D7C">
        <w:rPr>
          <w:lang w:val="en-GB"/>
        </w:rPr>
        <w:t>control systems</w:t>
      </w:r>
      <w:r w:rsidR="00940C95">
        <w:rPr>
          <w:lang w:val="en-GB"/>
        </w:rPr>
        <w:t xml:space="preserve">, compensation, </w:t>
      </w:r>
      <w:r w:rsidR="008F6B98">
        <w:rPr>
          <w:lang w:val="en-GB"/>
        </w:rPr>
        <w:t>and performance measurement</w:t>
      </w:r>
      <w:r w:rsidR="008460C0">
        <w:rPr>
          <w:lang w:val="en-GB"/>
        </w:rPr>
        <w:t xml:space="preserve"> is reviewed</w:t>
      </w:r>
      <w:r w:rsidR="008F6B98">
        <w:rPr>
          <w:lang w:val="en-GB"/>
        </w:rPr>
        <w:t xml:space="preserve">. </w:t>
      </w:r>
      <w:r w:rsidR="00E80D7C">
        <w:rPr>
          <w:lang w:val="en-GB"/>
        </w:rPr>
        <w:t>T</w:t>
      </w:r>
      <w:r>
        <w:rPr>
          <w:lang w:val="en-GB"/>
        </w:rPr>
        <w:t>hirdly,</w:t>
      </w:r>
      <w:r w:rsidR="0057082B">
        <w:rPr>
          <w:lang w:val="en-GB"/>
        </w:rPr>
        <w:t xml:space="preserve"> the literature regarding the </w:t>
      </w:r>
      <w:r w:rsidR="00684998">
        <w:rPr>
          <w:lang w:val="en-GB"/>
        </w:rPr>
        <w:t xml:space="preserve">performance on the </w:t>
      </w:r>
      <w:r w:rsidR="0057082B">
        <w:rPr>
          <w:lang w:val="en-GB"/>
        </w:rPr>
        <w:t>fiduciary and managerial responsibility</w:t>
      </w:r>
      <w:r w:rsidR="00684998">
        <w:rPr>
          <w:lang w:val="en-GB"/>
        </w:rPr>
        <w:t xml:space="preserve"> </w:t>
      </w:r>
      <w:r w:rsidR="0057082B">
        <w:rPr>
          <w:lang w:val="en-GB"/>
        </w:rPr>
        <w:t>of the CFO</w:t>
      </w:r>
      <w:r w:rsidR="00E80D7C">
        <w:rPr>
          <w:lang w:val="en-GB"/>
        </w:rPr>
        <w:t xml:space="preserve"> is </w:t>
      </w:r>
      <w:r w:rsidR="008460C0">
        <w:rPr>
          <w:lang w:val="en-GB"/>
        </w:rPr>
        <w:t>examined</w:t>
      </w:r>
      <w:r>
        <w:rPr>
          <w:lang w:val="en-GB"/>
        </w:rPr>
        <w:t xml:space="preserve">. </w:t>
      </w:r>
    </w:p>
    <w:p w14:paraId="78F0AD9C" w14:textId="265BD471" w:rsidR="00320B9A" w:rsidRDefault="001A7794" w:rsidP="00A0199B">
      <w:pPr>
        <w:pStyle w:val="Kop2"/>
      </w:pPr>
      <w:bookmarkStart w:id="8" w:name="_Toc439346615"/>
      <w:r w:rsidRPr="006C79DC">
        <w:t>2.1</w:t>
      </w:r>
      <w:r w:rsidR="00320B9A">
        <w:t xml:space="preserve"> </w:t>
      </w:r>
      <w:r w:rsidR="009A675C">
        <w:t>The</w:t>
      </w:r>
      <w:r w:rsidR="00320B9A">
        <w:t xml:space="preserve"> </w:t>
      </w:r>
      <w:r w:rsidR="00EF60F4">
        <w:t xml:space="preserve">CFO within the </w:t>
      </w:r>
      <w:r w:rsidR="00C500BA">
        <w:t>governance structure</w:t>
      </w:r>
      <w:bookmarkEnd w:id="8"/>
    </w:p>
    <w:p w14:paraId="29395F1E" w14:textId="01F9729B" w:rsidR="00520670" w:rsidRPr="007D2800" w:rsidRDefault="00520670" w:rsidP="00B236A0">
      <w:pPr>
        <w:pStyle w:val="Geenafstand"/>
        <w:spacing w:line="360" w:lineRule="auto"/>
        <w:jc w:val="both"/>
        <w:rPr>
          <w:color w:val="FF0000"/>
          <w:lang w:val="en-GB"/>
        </w:rPr>
      </w:pPr>
      <w:r>
        <w:rPr>
          <w:lang w:val="en-GB"/>
        </w:rPr>
        <w:t xml:space="preserve">Before discussing the general responsibilities of a CFO, </w:t>
      </w:r>
      <w:r w:rsidR="007D2800">
        <w:rPr>
          <w:lang w:val="en-GB"/>
        </w:rPr>
        <w:t xml:space="preserve">the </w:t>
      </w:r>
      <w:r>
        <w:rPr>
          <w:lang w:val="en-GB"/>
        </w:rPr>
        <w:t xml:space="preserve">position </w:t>
      </w:r>
      <w:r w:rsidR="007D2800">
        <w:rPr>
          <w:lang w:val="en-GB"/>
        </w:rPr>
        <w:t xml:space="preserve">of the CFO is assessed </w:t>
      </w:r>
      <w:r>
        <w:rPr>
          <w:lang w:val="en-GB"/>
        </w:rPr>
        <w:t>within the governance structure</w:t>
      </w:r>
      <w:r w:rsidR="007B04D2">
        <w:rPr>
          <w:lang w:val="en-GB"/>
        </w:rPr>
        <w:t>.</w:t>
      </w:r>
      <w:r>
        <w:rPr>
          <w:lang w:val="en-GB"/>
        </w:rPr>
        <w:t xml:space="preserve"> This </w:t>
      </w:r>
      <w:r w:rsidR="00632085">
        <w:rPr>
          <w:lang w:val="en-GB"/>
        </w:rPr>
        <w:t>paragraph</w:t>
      </w:r>
      <w:r>
        <w:rPr>
          <w:lang w:val="en-GB"/>
        </w:rPr>
        <w:t xml:space="preserve"> prov</w:t>
      </w:r>
      <w:r w:rsidR="008F6B98">
        <w:rPr>
          <w:lang w:val="en-GB"/>
        </w:rPr>
        <w:t xml:space="preserve">ides </w:t>
      </w:r>
      <w:r w:rsidR="008460C0">
        <w:rPr>
          <w:lang w:val="en-GB"/>
        </w:rPr>
        <w:t>the</w:t>
      </w:r>
      <w:r w:rsidR="008F6B98">
        <w:rPr>
          <w:lang w:val="en-GB"/>
        </w:rPr>
        <w:t xml:space="preserve"> theoretical framework </w:t>
      </w:r>
      <w:r w:rsidR="008460C0">
        <w:rPr>
          <w:lang w:val="en-GB"/>
        </w:rPr>
        <w:t xml:space="preserve">for this thesis </w:t>
      </w:r>
      <w:r w:rsidR="008F6B98">
        <w:rPr>
          <w:lang w:val="en-GB"/>
        </w:rPr>
        <w:t xml:space="preserve">by </w:t>
      </w:r>
      <w:r w:rsidR="008460C0">
        <w:rPr>
          <w:lang w:val="en-GB"/>
        </w:rPr>
        <w:t>examining</w:t>
      </w:r>
      <w:r>
        <w:rPr>
          <w:lang w:val="en-GB"/>
        </w:rPr>
        <w:t xml:space="preserve"> the position of the CFO by exp</w:t>
      </w:r>
      <w:r w:rsidR="00633D3B">
        <w:rPr>
          <w:lang w:val="en-GB"/>
        </w:rPr>
        <w:t xml:space="preserve">laining important </w:t>
      </w:r>
      <w:r w:rsidR="008F6B98">
        <w:rPr>
          <w:lang w:val="en-GB"/>
        </w:rPr>
        <w:t xml:space="preserve">agency theory </w:t>
      </w:r>
      <w:r w:rsidR="00450E23">
        <w:rPr>
          <w:lang w:val="en-GB"/>
        </w:rPr>
        <w:t xml:space="preserve">and information asymmetry </w:t>
      </w:r>
      <w:r w:rsidR="00633D3B">
        <w:rPr>
          <w:lang w:val="en-GB"/>
        </w:rPr>
        <w:t>concepts</w:t>
      </w:r>
      <w:r w:rsidR="005C219B">
        <w:rPr>
          <w:lang w:val="en-GB"/>
        </w:rPr>
        <w:t>.</w:t>
      </w:r>
      <w:r w:rsidR="00880DB3">
        <w:rPr>
          <w:lang w:val="en-GB"/>
        </w:rPr>
        <w:t xml:space="preserve"> </w:t>
      </w:r>
    </w:p>
    <w:p w14:paraId="1902C9AF" w14:textId="76026817" w:rsidR="00520670" w:rsidRDefault="00520670" w:rsidP="00520670">
      <w:pPr>
        <w:pStyle w:val="Kop3"/>
      </w:pPr>
      <w:bookmarkStart w:id="9" w:name="_Toc439346616"/>
      <w:r>
        <w:t>2.1.1 Agency theory</w:t>
      </w:r>
      <w:bookmarkEnd w:id="9"/>
    </w:p>
    <w:p w14:paraId="55476205" w14:textId="70E6D1C9" w:rsidR="00520670" w:rsidRDefault="008460C0" w:rsidP="004248A7">
      <w:pPr>
        <w:spacing w:line="360" w:lineRule="auto"/>
        <w:jc w:val="both"/>
        <w:rPr>
          <w:lang w:val="en-GB"/>
        </w:rPr>
      </w:pPr>
      <w:r>
        <w:rPr>
          <w:lang w:val="en-GB"/>
        </w:rPr>
        <w:t>According to Agency Theory, t</w:t>
      </w:r>
      <w:r w:rsidR="00520670">
        <w:rPr>
          <w:lang w:val="en-GB"/>
        </w:rPr>
        <w:t>he corporate structure o</w:t>
      </w:r>
      <w:r>
        <w:rPr>
          <w:lang w:val="en-GB"/>
        </w:rPr>
        <w:t>f the firm can be separated in</w:t>
      </w:r>
      <w:r w:rsidR="00520670">
        <w:rPr>
          <w:lang w:val="en-GB"/>
        </w:rPr>
        <w:t xml:space="preserve"> two </w:t>
      </w:r>
      <w:r w:rsidR="007D2800">
        <w:rPr>
          <w:lang w:val="en-GB"/>
        </w:rPr>
        <w:t>parts</w:t>
      </w:r>
      <w:r w:rsidR="00520670">
        <w:rPr>
          <w:lang w:val="en-GB"/>
        </w:rPr>
        <w:t xml:space="preserve">: the ownership part of the firm and the control part of the firm. </w:t>
      </w:r>
      <w:r w:rsidR="00B21D5A">
        <w:rPr>
          <w:lang w:val="en-GB"/>
        </w:rPr>
        <w:t xml:space="preserve">Jensen and Meckling </w:t>
      </w:r>
      <w:r>
        <w:rPr>
          <w:lang w:val="en-GB"/>
        </w:rPr>
        <w:t xml:space="preserve">(1976) are the authors of the </w:t>
      </w:r>
      <w:r w:rsidR="0023526C">
        <w:rPr>
          <w:lang w:val="en-GB"/>
        </w:rPr>
        <w:t xml:space="preserve">well-known </w:t>
      </w:r>
      <w:r w:rsidR="00B21D5A">
        <w:rPr>
          <w:lang w:val="en-GB"/>
        </w:rPr>
        <w:t xml:space="preserve">paper </w:t>
      </w:r>
      <w:r w:rsidR="00B21D5A" w:rsidRPr="00B21D5A">
        <w:rPr>
          <w:i/>
          <w:lang w:val="en-GB"/>
        </w:rPr>
        <w:t xml:space="preserve">Theory of the Firm: Managerial </w:t>
      </w:r>
      <w:r w:rsidR="001B0CC0" w:rsidRPr="00B21D5A">
        <w:rPr>
          <w:i/>
          <w:lang w:val="en-GB"/>
        </w:rPr>
        <w:t>Behaviour</w:t>
      </w:r>
      <w:r w:rsidR="00B21D5A" w:rsidRPr="00B21D5A">
        <w:rPr>
          <w:i/>
          <w:lang w:val="en-GB"/>
        </w:rPr>
        <w:t>, Agen</w:t>
      </w:r>
      <w:r w:rsidR="001F6F10">
        <w:rPr>
          <w:i/>
          <w:lang w:val="en-GB"/>
        </w:rPr>
        <w:t>cy Costs and Ownership Structure,</w:t>
      </w:r>
      <w:r w:rsidR="001F6F10">
        <w:rPr>
          <w:lang w:val="en-GB"/>
        </w:rPr>
        <w:t xml:space="preserve"> which created the foundation for the agency theory in general.</w:t>
      </w:r>
      <w:r w:rsidR="00B21D5A">
        <w:rPr>
          <w:lang w:val="en-GB"/>
        </w:rPr>
        <w:t xml:space="preserve"> </w:t>
      </w:r>
      <w:r w:rsidR="001F6F10">
        <w:rPr>
          <w:lang w:val="en-GB"/>
        </w:rPr>
        <w:t xml:space="preserve">They </w:t>
      </w:r>
      <w:r>
        <w:rPr>
          <w:lang w:val="en-GB"/>
        </w:rPr>
        <w:t>suggest</w:t>
      </w:r>
      <w:r w:rsidR="001F6F10">
        <w:rPr>
          <w:lang w:val="en-GB"/>
        </w:rPr>
        <w:t xml:space="preserve"> </w:t>
      </w:r>
      <w:r w:rsidR="00B21D5A">
        <w:rPr>
          <w:lang w:val="en-GB"/>
        </w:rPr>
        <w:t>that i</w:t>
      </w:r>
      <w:r w:rsidR="00C66698">
        <w:rPr>
          <w:lang w:val="en-GB"/>
        </w:rPr>
        <w:t xml:space="preserve">f a wholly-owned firm is also managed by the owner, </w:t>
      </w:r>
      <w:r w:rsidR="004E3E12">
        <w:rPr>
          <w:lang w:val="en-GB"/>
        </w:rPr>
        <w:t>t</w:t>
      </w:r>
      <w:r w:rsidR="008D6E0D">
        <w:rPr>
          <w:lang w:val="en-GB"/>
        </w:rPr>
        <w:t>he own</w:t>
      </w:r>
      <w:r w:rsidR="004E3E12">
        <w:rPr>
          <w:lang w:val="en-GB"/>
        </w:rPr>
        <w:t>er</w:t>
      </w:r>
      <w:r w:rsidR="00C66698">
        <w:rPr>
          <w:lang w:val="en-GB"/>
        </w:rPr>
        <w:t xml:space="preserve"> will make operating decisions that maximize utility. This i</w:t>
      </w:r>
      <w:r w:rsidR="004E3E12">
        <w:rPr>
          <w:lang w:val="en-GB"/>
        </w:rPr>
        <w:t>ncludes not only the utility derived</w:t>
      </w:r>
      <w:r w:rsidR="00C66698">
        <w:rPr>
          <w:lang w:val="en-GB"/>
        </w:rPr>
        <w:t xml:space="preserve"> from monetary returns, but also the utility that is generated by various non-monetary aspects</w:t>
      </w:r>
      <w:r w:rsidR="00EE2D3E">
        <w:rPr>
          <w:rStyle w:val="Voetnootmarkering"/>
          <w:lang w:val="en-GB"/>
        </w:rPr>
        <w:footnoteReference w:id="3"/>
      </w:r>
      <w:r w:rsidR="00C66698">
        <w:rPr>
          <w:lang w:val="en-GB"/>
        </w:rPr>
        <w:t xml:space="preserve"> of </w:t>
      </w:r>
      <w:r w:rsidR="002B2F7B">
        <w:rPr>
          <w:lang w:val="en-GB"/>
        </w:rPr>
        <w:t xml:space="preserve">the </w:t>
      </w:r>
      <w:r w:rsidR="00C66698">
        <w:rPr>
          <w:lang w:val="en-GB"/>
        </w:rPr>
        <w:t>entrepreneurial</w:t>
      </w:r>
      <w:r w:rsidR="00B21D5A">
        <w:rPr>
          <w:lang w:val="en-GB"/>
        </w:rPr>
        <w:t xml:space="preserve"> activities. </w:t>
      </w:r>
      <w:r w:rsidR="008944A2">
        <w:rPr>
          <w:lang w:val="en-GB"/>
        </w:rPr>
        <w:t>Since he is also the only owner, the value of the firm</w:t>
      </w:r>
      <w:r w:rsidR="002B2F7B">
        <w:rPr>
          <w:lang w:val="en-GB"/>
        </w:rPr>
        <w:t xml:space="preserve"> contributes completely</w:t>
      </w:r>
      <w:r w:rsidR="008944A2">
        <w:rPr>
          <w:lang w:val="en-GB"/>
        </w:rPr>
        <w:t xml:space="preserve"> to his </w:t>
      </w:r>
      <w:r w:rsidR="002B2F7B">
        <w:rPr>
          <w:lang w:val="en-GB"/>
        </w:rPr>
        <w:t xml:space="preserve">or her </w:t>
      </w:r>
      <w:r w:rsidR="008944A2">
        <w:rPr>
          <w:lang w:val="en-GB"/>
        </w:rPr>
        <w:t>own utility. This ensures that</w:t>
      </w:r>
      <w:r w:rsidR="0023526C">
        <w:rPr>
          <w:lang w:val="en-GB"/>
        </w:rPr>
        <w:t>,</w:t>
      </w:r>
      <w:r w:rsidR="008944A2">
        <w:rPr>
          <w:lang w:val="en-GB"/>
        </w:rPr>
        <w:t xml:space="preserve"> in theory, the goals of the managers are perfect</w:t>
      </w:r>
      <w:r w:rsidR="002B2F7B">
        <w:rPr>
          <w:lang w:val="en-GB"/>
        </w:rPr>
        <w:t xml:space="preserve">ly aligned </w:t>
      </w:r>
      <w:r w:rsidR="008944A2">
        <w:rPr>
          <w:lang w:val="en-GB"/>
        </w:rPr>
        <w:t xml:space="preserve">with the goals of the firm. </w:t>
      </w:r>
      <w:r w:rsidR="00B236A0">
        <w:rPr>
          <w:lang w:val="en-GB"/>
        </w:rPr>
        <w:t xml:space="preserve">If the owner sells </w:t>
      </w:r>
      <w:r w:rsidR="00520670">
        <w:rPr>
          <w:lang w:val="en-GB"/>
        </w:rPr>
        <w:t xml:space="preserve">the </w:t>
      </w:r>
      <w:r w:rsidR="00B236A0">
        <w:rPr>
          <w:lang w:val="en-GB"/>
        </w:rPr>
        <w:t xml:space="preserve">equity to outsiders, a divergence between interests </w:t>
      </w:r>
      <w:r w:rsidR="002B2F7B">
        <w:rPr>
          <w:lang w:val="en-GB"/>
        </w:rPr>
        <w:t xml:space="preserve">merges </w:t>
      </w:r>
      <w:r w:rsidR="00B236A0">
        <w:rPr>
          <w:lang w:val="en-GB"/>
        </w:rPr>
        <w:t>between the interests of the initial owner and the outside shareholders</w:t>
      </w:r>
      <w:r w:rsidR="00B91194">
        <w:rPr>
          <w:lang w:val="en-GB"/>
        </w:rPr>
        <w:t xml:space="preserve">, since shareholders </w:t>
      </w:r>
      <w:r w:rsidR="002B2F7B">
        <w:rPr>
          <w:lang w:val="en-GB"/>
        </w:rPr>
        <w:t>pursue</w:t>
      </w:r>
      <w:r w:rsidR="00B91194">
        <w:rPr>
          <w:lang w:val="en-GB"/>
        </w:rPr>
        <w:t xml:space="preserve"> maximisation of their own utility</w:t>
      </w:r>
      <w:r w:rsidR="005A2DD6">
        <w:rPr>
          <w:lang w:val="en-GB"/>
        </w:rPr>
        <w:t xml:space="preserve"> </w:t>
      </w:r>
      <w:r w:rsidR="005A2DD6">
        <w:rPr>
          <w:lang w:val="en-GB"/>
        </w:rPr>
        <w:fldChar w:fldCharType="begin"/>
      </w:r>
      <w:r w:rsidR="005A2DD6">
        <w:rPr>
          <w:lang w:val="en-GB"/>
        </w:rPr>
        <w:instrText>ADDIN RW.CITE{{25 Jensen,Michael.C. 1976}}</w:instrText>
      </w:r>
      <w:r w:rsidR="005A2DD6">
        <w:rPr>
          <w:lang w:val="en-GB"/>
        </w:rPr>
        <w:fldChar w:fldCharType="separate"/>
      </w:r>
      <w:r w:rsidR="00254F5A" w:rsidRPr="00254F5A">
        <w:rPr>
          <w:rFonts w:ascii="Calibri" w:hAnsi="Calibri"/>
          <w:lang w:val="en-GB"/>
        </w:rPr>
        <w:t>(Jensen &amp; Meckling, 1976)</w:t>
      </w:r>
      <w:r w:rsidR="005A2DD6">
        <w:rPr>
          <w:lang w:val="en-GB"/>
        </w:rPr>
        <w:fldChar w:fldCharType="end"/>
      </w:r>
      <w:r w:rsidR="00B236A0">
        <w:rPr>
          <w:lang w:val="en-GB"/>
        </w:rPr>
        <w:t xml:space="preserve">. </w:t>
      </w:r>
      <w:r w:rsidR="001B0CC0">
        <w:rPr>
          <w:lang w:val="en-GB"/>
        </w:rPr>
        <w:t>T</w:t>
      </w:r>
      <w:r w:rsidR="008944A2">
        <w:rPr>
          <w:lang w:val="en-GB"/>
        </w:rPr>
        <w:t>he most</w:t>
      </w:r>
      <w:r w:rsidR="001B0CC0">
        <w:rPr>
          <w:lang w:val="en-GB"/>
        </w:rPr>
        <w:t xml:space="preserve"> important conflict arises from the fact that as the manager’</w:t>
      </w:r>
      <w:r w:rsidR="008944A2">
        <w:rPr>
          <w:lang w:val="en-GB"/>
        </w:rPr>
        <w:t xml:space="preserve">s ownership </w:t>
      </w:r>
      <w:r w:rsidR="002B2F7B">
        <w:rPr>
          <w:lang w:val="en-GB"/>
        </w:rPr>
        <w:t>decreases</w:t>
      </w:r>
      <w:r w:rsidR="001B0CC0">
        <w:rPr>
          <w:lang w:val="en-GB"/>
        </w:rPr>
        <w:t xml:space="preserve">, </w:t>
      </w:r>
      <w:r w:rsidR="008944A2">
        <w:rPr>
          <w:lang w:val="en-GB"/>
        </w:rPr>
        <w:t>the manager loses significant incentives to exe</w:t>
      </w:r>
      <w:r w:rsidR="0023526C">
        <w:rPr>
          <w:lang w:val="en-GB"/>
        </w:rPr>
        <w:t xml:space="preserve">rt effort on </w:t>
      </w:r>
      <w:r w:rsidR="0023526C">
        <w:rPr>
          <w:lang w:val="en-GB"/>
        </w:rPr>
        <w:lastRenderedPageBreak/>
        <w:t xml:space="preserve">behalf of the firm, because his </w:t>
      </w:r>
      <w:r w:rsidR="002B2F7B">
        <w:rPr>
          <w:lang w:val="en-GB"/>
        </w:rPr>
        <w:t xml:space="preserve">or her </w:t>
      </w:r>
      <w:r w:rsidR="0023526C">
        <w:rPr>
          <w:lang w:val="en-GB"/>
        </w:rPr>
        <w:t xml:space="preserve">effort is not directly beneficial for his </w:t>
      </w:r>
      <w:r w:rsidR="002B2F7B">
        <w:rPr>
          <w:lang w:val="en-GB"/>
        </w:rPr>
        <w:t xml:space="preserve">or her </w:t>
      </w:r>
      <w:r w:rsidR="0023526C">
        <w:rPr>
          <w:lang w:val="en-GB"/>
        </w:rPr>
        <w:t xml:space="preserve">own utility. </w:t>
      </w:r>
      <w:r w:rsidR="005A2DD6">
        <w:rPr>
          <w:lang w:val="en-GB"/>
        </w:rPr>
        <w:t xml:space="preserve">Jensen and Meckling define this principal-agent relationship as </w:t>
      </w:r>
      <w:r w:rsidR="005A2DD6" w:rsidRPr="007D2800">
        <w:rPr>
          <w:i/>
          <w:lang w:val="en-GB"/>
        </w:rPr>
        <w:t>“a contract under which one or more persons (the principal) engage another person (the agent) to perform some service on their behalf which involves delegating some decision making authority to the agent”</w:t>
      </w:r>
      <w:r w:rsidR="00045A4C">
        <w:rPr>
          <w:lang w:val="en-GB"/>
        </w:rPr>
        <w:t xml:space="preserve"> </w:t>
      </w:r>
      <w:r w:rsidR="00045A4C">
        <w:rPr>
          <w:lang w:val="en-GB"/>
        </w:rPr>
        <w:fldChar w:fldCharType="begin"/>
      </w:r>
      <w:r w:rsidR="00245E81">
        <w:rPr>
          <w:lang w:val="en-GB"/>
        </w:rPr>
        <w:instrText>ADDIN RW.CITE{{25 Jensen,Michael.C. 1976 /f p. 5}}</w:instrText>
      </w:r>
      <w:r w:rsidR="00045A4C">
        <w:rPr>
          <w:lang w:val="en-GB"/>
        </w:rPr>
        <w:fldChar w:fldCharType="separate"/>
      </w:r>
      <w:r w:rsidR="00254F5A" w:rsidRPr="00254F5A">
        <w:rPr>
          <w:rFonts w:ascii="Calibri" w:hAnsi="Calibri"/>
          <w:lang w:val="en-GB"/>
        </w:rPr>
        <w:t>(Jensen &amp; Meckling, 1976 p. 5)</w:t>
      </w:r>
      <w:r w:rsidR="00045A4C">
        <w:rPr>
          <w:lang w:val="en-GB"/>
        </w:rPr>
        <w:fldChar w:fldCharType="end"/>
      </w:r>
      <w:r w:rsidR="005A2DD6">
        <w:rPr>
          <w:lang w:val="en-GB"/>
        </w:rPr>
        <w:t>.</w:t>
      </w:r>
      <w:r w:rsidR="00EE4F54">
        <w:rPr>
          <w:lang w:val="en-GB"/>
        </w:rPr>
        <w:t xml:space="preserve"> This view can be projected on a regular firm, which is controlled by the executives</w:t>
      </w:r>
      <w:r w:rsidR="00E2154D">
        <w:rPr>
          <w:lang w:val="en-GB"/>
        </w:rPr>
        <w:t xml:space="preserve"> (agents)</w:t>
      </w:r>
      <w:r w:rsidR="00EE4F54">
        <w:rPr>
          <w:lang w:val="en-GB"/>
        </w:rPr>
        <w:t>, but owned by the shareholders</w:t>
      </w:r>
      <w:r w:rsidR="00E2154D">
        <w:rPr>
          <w:lang w:val="en-GB"/>
        </w:rPr>
        <w:t xml:space="preserve"> (principals)</w:t>
      </w:r>
      <w:r w:rsidR="00EE4F54">
        <w:rPr>
          <w:lang w:val="en-GB"/>
        </w:rPr>
        <w:t xml:space="preserve">. </w:t>
      </w:r>
      <w:r w:rsidR="00BB319F">
        <w:rPr>
          <w:lang w:val="en-GB"/>
        </w:rPr>
        <w:t xml:space="preserve">If all personnel </w:t>
      </w:r>
      <w:r w:rsidR="00B608A5">
        <w:rPr>
          <w:lang w:val="en-GB"/>
        </w:rPr>
        <w:t xml:space="preserve">would </w:t>
      </w:r>
      <w:r w:rsidR="00BB319F">
        <w:rPr>
          <w:lang w:val="en-GB"/>
        </w:rPr>
        <w:t xml:space="preserve">always </w:t>
      </w:r>
      <w:r w:rsidR="002B2F7B">
        <w:rPr>
          <w:lang w:val="en-GB"/>
        </w:rPr>
        <w:t>act in the best interest of</w:t>
      </w:r>
      <w:r w:rsidR="0055051F">
        <w:rPr>
          <w:lang w:val="en-GB"/>
        </w:rPr>
        <w:t xml:space="preserve"> the organis</w:t>
      </w:r>
      <w:r w:rsidR="00BB319F">
        <w:rPr>
          <w:lang w:val="en-GB"/>
        </w:rPr>
        <w:t>ation, controls, and even management, would not be needed. However,</w:t>
      </w:r>
      <w:r w:rsidR="00A06D7D">
        <w:rPr>
          <w:lang w:val="en-GB"/>
        </w:rPr>
        <w:t xml:space="preserve"> in reality</w:t>
      </w:r>
      <w:r w:rsidR="00F5417A">
        <w:rPr>
          <w:lang w:val="en-GB"/>
        </w:rPr>
        <w:t xml:space="preserve"> </w:t>
      </w:r>
      <w:r w:rsidR="00BB319F">
        <w:rPr>
          <w:lang w:val="en-GB"/>
        </w:rPr>
        <w:t>controls are</w:t>
      </w:r>
      <w:r w:rsidR="00F5417A">
        <w:rPr>
          <w:lang w:val="en-GB"/>
        </w:rPr>
        <w:t xml:space="preserve"> needed in order to improve goal alignment between the shareholders and the employees, including the CFO</w:t>
      </w:r>
      <w:r w:rsidR="00BB319F">
        <w:rPr>
          <w:lang w:val="en-GB"/>
        </w:rPr>
        <w:t xml:space="preserve"> </w:t>
      </w:r>
      <w:r w:rsidR="00BB319F">
        <w:rPr>
          <w:lang w:val="en-GB"/>
        </w:rPr>
        <w:fldChar w:fldCharType="begin"/>
      </w:r>
      <w:r w:rsidR="00BB319F">
        <w:rPr>
          <w:lang w:val="en-GB"/>
        </w:rPr>
        <w:instrText>ADDIN RW.CITE{{27 Merchant,KennethA 1982}}</w:instrText>
      </w:r>
      <w:r w:rsidR="00BB319F">
        <w:rPr>
          <w:lang w:val="en-GB"/>
        </w:rPr>
        <w:fldChar w:fldCharType="separate"/>
      </w:r>
      <w:r w:rsidR="00BB319F" w:rsidRPr="00BB319F">
        <w:rPr>
          <w:rFonts w:ascii="Calibri" w:hAnsi="Calibri"/>
          <w:lang w:val="en-GB"/>
        </w:rPr>
        <w:t>(Merchant, 1982)</w:t>
      </w:r>
      <w:r w:rsidR="00BB319F">
        <w:rPr>
          <w:lang w:val="en-GB"/>
        </w:rPr>
        <w:fldChar w:fldCharType="end"/>
      </w:r>
      <w:r w:rsidR="00ED49CB">
        <w:rPr>
          <w:lang w:val="en-GB"/>
        </w:rPr>
        <w:t>.</w:t>
      </w:r>
    </w:p>
    <w:p w14:paraId="315F63AB" w14:textId="209D03EF" w:rsidR="00A23399" w:rsidRDefault="00A23399" w:rsidP="004248A7">
      <w:pPr>
        <w:spacing w:line="360" w:lineRule="auto"/>
        <w:jc w:val="both"/>
        <w:rPr>
          <w:lang w:val="en-GB"/>
        </w:rPr>
      </w:pPr>
      <w:r>
        <w:rPr>
          <w:lang w:val="en-GB"/>
        </w:rPr>
        <w:t>An important factor of the agency problem is information asymmetry. Thi</w:t>
      </w:r>
      <w:r w:rsidR="00DD7D6B">
        <w:rPr>
          <w:lang w:val="en-GB"/>
        </w:rPr>
        <w:t>s is described as an transaction</w:t>
      </w:r>
      <w:r>
        <w:rPr>
          <w:lang w:val="en-GB"/>
        </w:rPr>
        <w:t xml:space="preserve"> where relevant information in known to some but not all of the parties involved. Due to this information asymmetry, the principal does not have the same information regarding the agent’s effort and performance as the agent himself. To decrease the information asymmetry, the principal establishes performance measures and other elements of a control system. </w:t>
      </w:r>
    </w:p>
    <w:p w14:paraId="16B9848E" w14:textId="312A89FE" w:rsidR="00781DF1" w:rsidRPr="002B2F7B" w:rsidRDefault="00ED49CB" w:rsidP="002B2F7B">
      <w:pPr>
        <w:pStyle w:val="Kop2"/>
      </w:pPr>
      <w:bookmarkStart w:id="10" w:name="_Toc424918917"/>
      <w:bookmarkStart w:id="11" w:name="_Toc439346617"/>
      <w:r>
        <w:t xml:space="preserve">2.2 </w:t>
      </w:r>
      <w:r w:rsidR="00C02AF9">
        <w:t>Control systems</w:t>
      </w:r>
      <w:bookmarkEnd w:id="10"/>
      <w:bookmarkEnd w:id="11"/>
    </w:p>
    <w:p w14:paraId="0046EB46" w14:textId="6A75F920" w:rsidR="008F6B98" w:rsidRDefault="008F6B98" w:rsidP="00C500BA">
      <w:pPr>
        <w:spacing w:line="360" w:lineRule="auto"/>
        <w:jc w:val="both"/>
        <w:rPr>
          <w:lang w:val="en-GB"/>
        </w:rPr>
      </w:pPr>
      <w:r>
        <w:rPr>
          <w:lang w:val="en-GB"/>
        </w:rPr>
        <w:t xml:space="preserve">The previous </w:t>
      </w:r>
      <w:r w:rsidR="00333A1B">
        <w:rPr>
          <w:lang w:val="en-GB"/>
        </w:rPr>
        <w:t>paragraph</w:t>
      </w:r>
      <w:r>
        <w:rPr>
          <w:lang w:val="en-GB"/>
        </w:rPr>
        <w:t xml:space="preserve"> </w:t>
      </w:r>
      <w:r w:rsidR="002B2F7B">
        <w:rPr>
          <w:lang w:val="en-GB"/>
        </w:rPr>
        <w:t>argues</w:t>
      </w:r>
      <w:r>
        <w:rPr>
          <w:lang w:val="en-GB"/>
        </w:rPr>
        <w:t xml:space="preserve"> that the principal has to construct </w:t>
      </w:r>
      <w:r w:rsidR="002B2F7B">
        <w:rPr>
          <w:lang w:val="en-GB"/>
        </w:rPr>
        <w:t xml:space="preserve">and maintain </w:t>
      </w:r>
      <w:r>
        <w:rPr>
          <w:lang w:val="en-GB"/>
        </w:rPr>
        <w:t>a control system so that the agent exerts effort in the desired direction.</w:t>
      </w:r>
      <w:r w:rsidR="00AF3D49">
        <w:rPr>
          <w:lang w:val="en-GB"/>
        </w:rPr>
        <w:t xml:space="preserve"> Merchant &amp; Van der Stede (2007) define “perfect control” as </w:t>
      </w:r>
      <w:r w:rsidR="00AF3D49" w:rsidRPr="00AF3D49">
        <w:rPr>
          <w:i/>
          <w:lang w:val="en-GB"/>
        </w:rPr>
        <w:t xml:space="preserve">“complete assurance that all control systems are </w:t>
      </w:r>
      <w:r w:rsidR="00B608A5" w:rsidRPr="00AF3D49">
        <w:rPr>
          <w:i/>
          <w:lang w:val="en-GB"/>
        </w:rPr>
        <w:t>fool proof</w:t>
      </w:r>
      <w:r w:rsidR="00AF3D49" w:rsidRPr="00AF3D49">
        <w:rPr>
          <w:i/>
          <w:lang w:val="en-GB"/>
        </w:rPr>
        <w:t xml:space="preserve"> and all individuals on whom the organization must rely always act in the best way possible”</w:t>
      </w:r>
      <w:r w:rsidR="00FC681F">
        <w:rPr>
          <w:i/>
          <w:lang w:val="en-GB"/>
        </w:rPr>
        <w:t xml:space="preserve"> </w:t>
      </w:r>
      <w:r w:rsidR="00AF3D49" w:rsidRPr="00FC681F">
        <w:rPr>
          <w:lang w:val="en-GB"/>
        </w:rPr>
        <w:fldChar w:fldCharType="begin"/>
      </w:r>
      <w:r w:rsidR="00FC681F">
        <w:rPr>
          <w:lang w:val="en-GB"/>
        </w:rPr>
        <w:instrText>ADDIN RW.CITE{{32 Merchant,KennethA. 2007 /f, p.12}}</w:instrText>
      </w:r>
      <w:r w:rsidR="00AF3D49" w:rsidRPr="00FC681F">
        <w:rPr>
          <w:lang w:val="en-GB"/>
        </w:rPr>
        <w:fldChar w:fldCharType="separate"/>
      </w:r>
      <w:r w:rsidR="00254F5A" w:rsidRPr="00254F5A">
        <w:rPr>
          <w:rFonts w:ascii="Calibri" w:hAnsi="Calibri"/>
          <w:lang w:val="en-GB"/>
        </w:rPr>
        <w:t>(Merchant &amp; Van der Stede, 2007, p.12)</w:t>
      </w:r>
      <w:r w:rsidR="00AF3D49" w:rsidRPr="00FC681F">
        <w:rPr>
          <w:lang w:val="en-GB"/>
        </w:rPr>
        <w:fldChar w:fldCharType="end"/>
      </w:r>
      <w:r w:rsidR="00AF3D49" w:rsidRPr="00AF3D49">
        <w:rPr>
          <w:i/>
          <w:lang w:val="en-GB"/>
        </w:rPr>
        <w:t>.</w:t>
      </w:r>
      <w:r>
        <w:rPr>
          <w:lang w:val="en-GB"/>
        </w:rPr>
        <w:t xml:space="preserve"> </w:t>
      </w:r>
      <w:r w:rsidR="00B1482B" w:rsidRPr="00B94BA5">
        <w:rPr>
          <w:i/>
          <w:lang w:val="en-GB"/>
        </w:rPr>
        <w:t>“Good control means that the management can be reasonably confident that no major unpleasant surprises will occur</w:t>
      </w:r>
      <w:r w:rsidR="00B94BA5" w:rsidRPr="00B94BA5">
        <w:rPr>
          <w:i/>
          <w:lang w:val="en-GB"/>
        </w:rPr>
        <w:t xml:space="preserve">. The label </w:t>
      </w:r>
      <w:r w:rsidR="00B94BA5">
        <w:rPr>
          <w:i/>
          <w:lang w:val="en-GB"/>
        </w:rPr>
        <w:t>“</w:t>
      </w:r>
      <w:r w:rsidR="00B94BA5" w:rsidRPr="00B94BA5">
        <w:rPr>
          <w:i/>
          <w:lang w:val="en-GB"/>
        </w:rPr>
        <w:t>out of control</w:t>
      </w:r>
      <w:r w:rsidR="00B94BA5">
        <w:rPr>
          <w:i/>
          <w:lang w:val="en-GB"/>
        </w:rPr>
        <w:t>”</w:t>
      </w:r>
      <w:r w:rsidR="00B94BA5" w:rsidRPr="00B94BA5">
        <w:rPr>
          <w:i/>
          <w:lang w:val="en-GB"/>
        </w:rPr>
        <w:t xml:space="preserve"> is used to describe a situation where there is a high probability of poor performance, either overall or in a specific situation performance area, despite having a sound strategy in place”</w:t>
      </w:r>
      <w:r w:rsidR="00B94BA5">
        <w:rPr>
          <w:i/>
          <w:lang w:val="en-GB"/>
        </w:rPr>
        <w:t xml:space="preserve"> </w:t>
      </w:r>
      <w:r w:rsidR="00B94BA5" w:rsidRPr="00B94BA5">
        <w:rPr>
          <w:lang w:val="en-GB"/>
        </w:rPr>
        <w:fldChar w:fldCharType="begin"/>
      </w:r>
      <w:r w:rsidR="00FC681F">
        <w:rPr>
          <w:lang w:val="en-GB"/>
        </w:rPr>
        <w:instrText>ADDIN RW.CITE{{32 Merchant,KennethA. 2007 /f, p.12}}</w:instrText>
      </w:r>
      <w:r w:rsidR="00B94BA5" w:rsidRPr="00B94BA5">
        <w:rPr>
          <w:lang w:val="en-GB"/>
        </w:rPr>
        <w:fldChar w:fldCharType="separate"/>
      </w:r>
      <w:r w:rsidR="00254F5A" w:rsidRPr="00254F5A">
        <w:rPr>
          <w:rFonts w:ascii="Calibri" w:hAnsi="Calibri"/>
          <w:lang w:val="en-GB"/>
        </w:rPr>
        <w:t>(Merchant &amp; Van der Stede, 2007, p.12)</w:t>
      </w:r>
      <w:r w:rsidR="00B94BA5" w:rsidRPr="00B94BA5">
        <w:rPr>
          <w:lang w:val="en-GB"/>
        </w:rPr>
        <w:fldChar w:fldCharType="end"/>
      </w:r>
      <w:r w:rsidR="00B94BA5" w:rsidRPr="00B94BA5">
        <w:rPr>
          <w:lang w:val="en-GB"/>
        </w:rPr>
        <w:t>.</w:t>
      </w:r>
      <w:r w:rsidR="00B1482B">
        <w:rPr>
          <w:lang w:val="en-GB"/>
        </w:rPr>
        <w:t xml:space="preserve"> </w:t>
      </w:r>
      <w:r>
        <w:rPr>
          <w:lang w:val="en-GB"/>
        </w:rPr>
        <w:t xml:space="preserve">This </w:t>
      </w:r>
      <w:r w:rsidR="00333A1B">
        <w:rPr>
          <w:lang w:val="en-GB"/>
        </w:rPr>
        <w:t>paragraph</w:t>
      </w:r>
      <w:r>
        <w:rPr>
          <w:lang w:val="en-GB"/>
        </w:rPr>
        <w:t xml:space="preserve"> continues </w:t>
      </w:r>
      <w:r w:rsidR="00B94BA5">
        <w:rPr>
          <w:lang w:val="en-GB"/>
        </w:rPr>
        <w:t>with this concept by explaining the aspects of control systems according to Merchant &amp; Van der Stede (2007). They published a comprehensive overview of management control systems and elaborated on performance measurement, evaluation and incentives.</w:t>
      </w:r>
    </w:p>
    <w:p w14:paraId="7C6B0DDE" w14:textId="69D90640" w:rsidR="00C500BA" w:rsidRDefault="008F6B98" w:rsidP="00C500BA">
      <w:pPr>
        <w:spacing w:line="360" w:lineRule="auto"/>
        <w:jc w:val="both"/>
        <w:rPr>
          <w:lang w:val="en-GB"/>
        </w:rPr>
      </w:pPr>
      <w:r>
        <w:rPr>
          <w:lang w:val="en-GB"/>
        </w:rPr>
        <w:t>As already explained, to increase the chance that the CFO will act in the best interests of the organisation, the organisation can establish a control system with appropriate incentives to limit the aberrant activities of the agent</w:t>
      </w:r>
      <w:r w:rsidR="002C1D8A">
        <w:rPr>
          <w:lang w:val="en-GB"/>
        </w:rPr>
        <w:t>.</w:t>
      </w:r>
      <w:r w:rsidR="00E325BD">
        <w:rPr>
          <w:lang w:val="en-GB"/>
        </w:rPr>
        <w:t xml:space="preserve"> Maintaining a control system involves direct</w:t>
      </w:r>
      <w:r w:rsidR="00E325BD">
        <w:rPr>
          <w:rStyle w:val="Voetnootmarkering"/>
          <w:lang w:val="en-GB"/>
        </w:rPr>
        <w:footnoteReference w:id="4"/>
      </w:r>
      <w:r w:rsidR="00E325BD">
        <w:rPr>
          <w:lang w:val="en-GB"/>
        </w:rPr>
        <w:t xml:space="preserve"> and indirect</w:t>
      </w:r>
      <w:r w:rsidR="008F7161">
        <w:rPr>
          <w:rStyle w:val="Voetnootmarkering"/>
          <w:lang w:val="en-GB"/>
        </w:rPr>
        <w:footnoteReference w:id="5"/>
      </w:r>
      <w:r w:rsidR="00E325BD">
        <w:rPr>
          <w:lang w:val="en-GB"/>
        </w:rPr>
        <w:t xml:space="preserve"> costs, so </w:t>
      </w:r>
      <w:r w:rsidR="00E325BD">
        <w:rPr>
          <w:lang w:val="en-GB"/>
        </w:rPr>
        <w:lastRenderedPageBreak/>
        <w:t xml:space="preserve">the principal must make a well-considered decision which controls are </w:t>
      </w:r>
      <w:r w:rsidR="002B2F7B">
        <w:rPr>
          <w:lang w:val="en-GB"/>
        </w:rPr>
        <w:t>beneficial to implement</w:t>
      </w:r>
      <w:r>
        <w:rPr>
          <w:lang w:val="en-GB"/>
        </w:rPr>
        <w:t xml:space="preserve"> </w:t>
      </w:r>
      <w:r>
        <w:rPr>
          <w:lang w:val="en-GB"/>
        </w:rPr>
        <w:fldChar w:fldCharType="begin"/>
      </w:r>
      <w:r w:rsidR="002B504B">
        <w:rPr>
          <w:lang w:val="en-GB"/>
        </w:rPr>
        <w:instrText>ADDIN RW.CITE{{32 Merchant,KennethA. 2007}}</w:instrText>
      </w:r>
      <w:r>
        <w:rPr>
          <w:lang w:val="en-GB"/>
        </w:rPr>
        <w:fldChar w:fldCharType="separate"/>
      </w:r>
      <w:r w:rsidR="00254F5A" w:rsidRPr="00254F5A">
        <w:rPr>
          <w:rFonts w:ascii="Calibri" w:hAnsi="Calibri"/>
          <w:lang w:val="en-GB"/>
        </w:rPr>
        <w:t>(Merchant &amp; Van der Stede, 2007)</w:t>
      </w:r>
      <w:r>
        <w:rPr>
          <w:lang w:val="en-GB"/>
        </w:rPr>
        <w:fldChar w:fldCharType="end"/>
      </w:r>
      <w:r w:rsidR="00E325BD">
        <w:rPr>
          <w:lang w:val="en-GB"/>
        </w:rPr>
        <w:t xml:space="preserve">. </w:t>
      </w:r>
    </w:p>
    <w:p w14:paraId="52528C62" w14:textId="1771D447" w:rsidR="00ED49CB" w:rsidRPr="002B504B" w:rsidRDefault="00333A1B" w:rsidP="00C500BA">
      <w:pPr>
        <w:spacing w:line="360" w:lineRule="auto"/>
        <w:jc w:val="both"/>
        <w:rPr>
          <w:color w:val="FF0000"/>
          <w:lang w:val="en-GB"/>
        </w:rPr>
      </w:pPr>
      <w:r>
        <w:rPr>
          <w:lang w:val="en-GB"/>
        </w:rPr>
        <w:t>Because</w:t>
      </w:r>
      <w:r w:rsidR="00684998">
        <w:rPr>
          <w:lang w:val="en-GB"/>
        </w:rPr>
        <w:t xml:space="preserve"> </w:t>
      </w:r>
      <w:r w:rsidR="00B608A5">
        <w:rPr>
          <w:lang w:val="en-GB"/>
        </w:rPr>
        <w:t>‘</w:t>
      </w:r>
      <w:r w:rsidR="00684998">
        <w:rPr>
          <w:lang w:val="en-GB"/>
        </w:rPr>
        <w:t>control systems</w:t>
      </w:r>
      <w:r w:rsidR="00B608A5">
        <w:rPr>
          <w:lang w:val="en-GB"/>
        </w:rPr>
        <w:t>’</w:t>
      </w:r>
      <w:r w:rsidR="00684998">
        <w:rPr>
          <w:lang w:val="en-GB"/>
        </w:rPr>
        <w:t xml:space="preserve"> is a</w:t>
      </w:r>
      <w:r w:rsidR="00B01958">
        <w:rPr>
          <w:lang w:val="en-GB"/>
        </w:rPr>
        <w:t xml:space="preserve"> broad concept, Merchant and van der Stede </w:t>
      </w:r>
      <w:r w:rsidR="008F7161">
        <w:rPr>
          <w:lang w:val="en-GB"/>
        </w:rPr>
        <w:t>primar</w:t>
      </w:r>
      <w:r w:rsidR="002B2F7B">
        <w:rPr>
          <w:lang w:val="en-GB"/>
        </w:rPr>
        <w:t>il</w:t>
      </w:r>
      <w:r w:rsidR="008F7161">
        <w:rPr>
          <w:lang w:val="en-GB"/>
        </w:rPr>
        <w:t>y</w:t>
      </w:r>
      <w:r w:rsidR="00B01958">
        <w:rPr>
          <w:lang w:val="en-GB"/>
        </w:rPr>
        <w:t xml:space="preserve"> focus on</w:t>
      </w:r>
      <w:r w:rsidR="008B528D">
        <w:rPr>
          <w:lang w:val="en-GB"/>
        </w:rPr>
        <w:t xml:space="preserve"> result controls, which include</w:t>
      </w:r>
      <w:r w:rsidR="00B01958">
        <w:rPr>
          <w:lang w:val="en-GB"/>
        </w:rPr>
        <w:t xml:space="preserve"> motivating employees</w:t>
      </w:r>
      <w:r w:rsidR="00DC7CD4">
        <w:rPr>
          <w:lang w:val="en-GB"/>
        </w:rPr>
        <w:t xml:space="preserve"> to act accor</w:t>
      </w:r>
      <w:r w:rsidR="00CD6A83">
        <w:rPr>
          <w:lang w:val="en-GB"/>
        </w:rPr>
        <w:t>ding to the goals of the organis</w:t>
      </w:r>
      <w:r w:rsidR="00DC7CD4">
        <w:rPr>
          <w:lang w:val="en-GB"/>
        </w:rPr>
        <w:t>ation.</w:t>
      </w:r>
      <w:r w:rsidR="00B01958">
        <w:rPr>
          <w:lang w:val="en-GB"/>
        </w:rPr>
        <w:t xml:space="preserve"> </w:t>
      </w:r>
      <w:r w:rsidR="00DC7CD4">
        <w:rPr>
          <w:lang w:val="en-GB"/>
        </w:rPr>
        <w:t xml:space="preserve">Result controls require performance measures and the provision of incentives, which are dominant factors </w:t>
      </w:r>
      <w:r w:rsidR="008B528D">
        <w:rPr>
          <w:lang w:val="en-GB"/>
        </w:rPr>
        <w:t xml:space="preserve">in most </w:t>
      </w:r>
      <w:r w:rsidR="00CD6A83">
        <w:rPr>
          <w:lang w:val="en-GB"/>
        </w:rPr>
        <w:t>organis</w:t>
      </w:r>
      <w:r w:rsidR="006849E4">
        <w:rPr>
          <w:lang w:val="en-GB"/>
        </w:rPr>
        <w:t xml:space="preserve">ations </w:t>
      </w:r>
      <w:r w:rsidR="006849E4">
        <w:rPr>
          <w:lang w:val="en-GB"/>
        </w:rPr>
        <w:fldChar w:fldCharType="begin"/>
      </w:r>
      <w:r w:rsidR="006849E4">
        <w:rPr>
          <w:lang w:val="en-GB"/>
        </w:rPr>
        <w:instrText>ADDIN RW.CITE{{32 Merchant,KennethA. 2007}}</w:instrText>
      </w:r>
      <w:r w:rsidR="006849E4">
        <w:rPr>
          <w:lang w:val="en-GB"/>
        </w:rPr>
        <w:fldChar w:fldCharType="separate"/>
      </w:r>
      <w:r w:rsidR="00254F5A" w:rsidRPr="00254F5A">
        <w:rPr>
          <w:rFonts w:ascii="Calibri" w:hAnsi="Calibri"/>
          <w:lang w:val="en-GB"/>
        </w:rPr>
        <w:t>(Merchant &amp; Van der Stede, 2007)</w:t>
      </w:r>
      <w:r w:rsidR="006849E4">
        <w:rPr>
          <w:lang w:val="en-GB"/>
        </w:rPr>
        <w:fldChar w:fldCharType="end"/>
      </w:r>
      <w:r w:rsidR="006849E4">
        <w:rPr>
          <w:lang w:val="en-GB"/>
        </w:rPr>
        <w:t xml:space="preserve">. </w:t>
      </w:r>
      <w:r>
        <w:rPr>
          <w:lang w:val="en-GB"/>
        </w:rPr>
        <w:t xml:space="preserve">Since the CFO compensation and </w:t>
      </w:r>
      <w:r w:rsidR="008B528D">
        <w:rPr>
          <w:lang w:val="en-GB"/>
        </w:rPr>
        <w:t>performance are considered</w:t>
      </w:r>
      <w:r>
        <w:rPr>
          <w:lang w:val="en-GB"/>
        </w:rPr>
        <w:t xml:space="preserve"> result controls, this thesis only focusses on results control</w:t>
      </w:r>
      <w:r w:rsidR="0094424B">
        <w:rPr>
          <w:lang w:val="en-GB"/>
        </w:rPr>
        <w:t>s</w:t>
      </w:r>
      <w:r w:rsidR="00AC37B8">
        <w:rPr>
          <w:lang w:val="en-GB"/>
        </w:rPr>
        <w:t>, which means it does not elaborates on action controls</w:t>
      </w:r>
      <w:r w:rsidR="00AC37B8">
        <w:rPr>
          <w:rStyle w:val="Voetnootmarkering"/>
          <w:lang w:val="en-GB"/>
        </w:rPr>
        <w:footnoteReference w:id="6"/>
      </w:r>
      <w:r w:rsidR="00AC37B8">
        <w:rPr>
          <w:lang w:val="en-GB"/>
        </w:rPr>
        <w:t xml:space="preserve"> or cultural</w:t>
      </w:r>
      <w:r w:rsidR="00AC37B8">
        <w:rPr>
          <w:rStyle w:val="Voetnootmarkering"/>
          <w:lang w:val="en-GB"/>
        </w:rPr>
        <w:footnoteReference w:id="7"/>
      </w:r>
      <w:r w:rsidR="00AC37B8">
        <w:rPr>
          <w:lang w:val="en-GB"/>
        </w:rPr>
        <w:t>/personnel</w:t>
      </w:r>
      <w:r w:rsidR="00AC37B8">
        <w:rPr>
          <w:rStyle w:val="Voetnootmarkering"/>
          <w:lang w:val="en-GB"/>
        </w:rPr>
        <w:footnoteReference w:id="8"/>
      </w:r>
      <w:r w:rsidR="00B94BA5">
        <w:rPr>
          <w:lang w:val="en-GB"/>
        </w:rPr>
        <w:t xml:space="preserve"> controls</w:t>
      </w:r>
      <w:r w:rsidR="002A79CE">
        <w:rPr>
          <w:lang w:val="en-GB"/>
        </w:rPr>
        <w:t>, which are also par</w:t>
      </w:r>
      <w:r w:rsidR="008B528D">
        <w:rPr>
          <w:lang w:val="en-GB"/>
        </w:rPr>
        <w:t>t of</w:t>
      </w:r>
      <w:r w:rsidR="002A79CE">
        <w:rPr>
          <w:lang w:val="en-GB"/>
        </w:rPr>
        <w:t xml:space="preserve"> the</w:t>
      </w:r>
      <w:r w:rsidR="008B528D">
        <w:rPr>
          <w:lang w:val="en-GB"/>
        </w:rPr>
        <w:t xml:space="preserve"> management controls to effe</w:t>
      </w:r>
      <w:r w:rsidR="00CD6A83">
        <w:rPr>
          <w:lang w:val="en-GB"/>
        </w:rPr>
        <w:t>ctuate control within an organis</w:t>
      </w:r>
      <w:r w:rsidR="008B528D">
        <w:rPr>
          <w:lang w:val="en-GB"/>
        </w:rPr>
        <w:t xml:space="preserve">ation. </w:t>
      </w:r>
    </w:p>
    <w:p w14:paraId="5F7B3732" w14:textId="77777777" w:rsidR="00781DF1" w:rsidRDefault="00781DF1" w:rsidP="00781DF1">
      <w:pPr>
        <w:pStyle w:val="Kop3"/>
      </w:pPr>
      <w:bookmarkStart w:id="12" w:name="_Toc439346618"/>
      <w:r>
        <w:t>2.2.1 Incentives</w:t>
      </w:r>
      <w:bookmarkEnd w:id="12"/>
    </w:p>
    <w:p w14:paraId="1D6DB187" w14:textId="6A9D76BD" w:rsidR="00E32A28" w:rsidRDefault="000210CE" w:rsidP="00817DB5">
      <w:pPr>
        <w:spacing w:line="360" w:lineRule="auto"/>
        <w:jc w:val="both"/>
        <w:rPr>
          <w:lang w:val="en-GB"/>
        </w:rPr>
      </w:pPr>
      <w:r>
        <w:rPr>
          <w:lang w:val="en-GB"/>
        </w:rPr>
        <w:t xml:space="preserve">After the </w:t>
      </w:r>
      <w:r w:rsidR="004248A7">
        <w:rPr>
          <w:lang w:val="en-GB"/>
        </w:rPr>
        <w:t>board of directors</w:t>
      </w:r>
      <w:r w:rsidR="00754A62">
        <w:rPr>
          <w:lang w:val="en-GB"/>
        </w:rPr>
        <w:t xml:space="preserve"> provides</w:t>
      </w:r>
      <w:r>
        <w:rPr>
          <w:lang w:val="en-GB"/>
        </w:rPr>
        <w:t xml:space="preserve"> a clear performance definition</w:t>
      </w:r>
      <w:r w:rsidR="00C95882">
        <w:rPr>
          <w:rStyle w:val="Voetnootmarkering"/>
          <w:lang w:val="en-GB"/>
        </w:rPr>
        <w:footnoteReference w:id="9"/>
      </w:r>
      <w:r>
        <w:rPr>
          <w:lang w:val="en-GB"/>
        </w:rPr>
        <w:t xml:space="preserve"> to the </w:t>
      </w:r>
      <w:r w:rsidR="004248A7">
        <w:rPr>
          <w:lang w:val="en-GB"/>
        </w:rPr>
        <w:t>CFO</w:t>
      </w:r>
      <w:r w:rsidR="00684998">
        <w:rPr>
          <w:lang w:val="en-GB"/>
        </w:rPr>
        <w:t>, a</w:t>
      </w:r>
      <w:r w:rsidR="008B528D">
        <w:rPr>
          <w:lang w:val="en-GB"/>
        </w:rPr>
        <w:t>n</w:t>
      </w:r>
      <w:r w:rsidR="00684998">
        <w:rPr>
          <w:lang w:val="en-GB"/>
        </w:rPr>
        <w:t xml:space="preserve"> </w:t>
      </w:r>
      <w:r>
        <w:rPr>
          <w:lang w:val="en-GB"/>
        </w:rPr>
        <w:t xml:space="preserve">important component </w:t>
      </w:r>
      <w:r w:rsidR="008B528D">
        <w:rPr>
          <w:lang w:val="en-GB"/>
        </w:rPr>
        <w:t>of</w:t>
      </w:r>
      <w:r>
        <w:rPr>
          <w:lang w:val="en-GB"/>
        </w:rPr>
        <w:t xml:space="preserve"> the control system comes in: </w:t>
      </w:r>
      <w:r w:rsidR="00B608A5">
        <w:rPr>
          <w:lang w:val="en-GB"/>
        </w:rPr>
        <w:t xml:space="preserve">different </w:t>
      </w:r>
      <w:r>
        <w:rPr>
          <w:lang w:val="en-GB"/>
        </w:rPr>
        <w:t>incentives. These are described</w:t>
      </w:r>
      <w:r w:rsidR="002D77DD">
        <w:rPr>
          <w:lang w:val="en-GB"/>
        </w:rPr>
        <w:t xml:space="preserve"> as things that someone value</w:t>
      </w:r>
      <w:r w:rsidR="00B608A5">
        <w:rPr>
          <w:lang w:val="en-GB"/>
        </w:rPr>
        <w:t>s</w:t>
      </w:r>
      <w:r w:rsidR="002D77DD">
        <w:rPr>
          <w:lang w:val="en-GB"/>
        </w:rPr>
        <w:t>, so that it motivates him</w:t>
      </w:r>
      <w:r w:rsidR="00033B90">
        <w:rPr>
          <w:lang w:val="en-GB"/>
        </w:rPr>
        <w:t xml:space="preserve"> or her</w:t>
      </w:r>
      <w:r w:rsidR="002D77DD">
        <w:rPr>
          <w:lang w:val="en-GB"/>
        </w:rPr>
        <w:t xml:space="preserve"> to perform a</w:t>
      </w:r>
      <w:r w:rsidR="008B528D">
        <w:rPr>
          <w:lang w:val="en-GB"/>
        </w:rPr>
        <w:t xml:space="preserve"> certai</w:t>
      </w:r>
      <w:r w:rsidR="002D77DD">
        <w:rPr>
          <w:lang w:val="en-GB"/>
        </w:rPr>
        <w:t>n action.</w:t>
      </w:r>
    </w:p>
    <w:p w14:paraId="0AC73027" w14:textId="1DF795E1" w:rsidR="00E32A28" w:rsidRDefault="002D77DD" w:rsidP="00817DB5">
      <w:pPr>
        <w:spacing w:line="360" w:lineRule="auto"/>
        <w:jc w:val="both"/>
        <w:rPr>
          <w:lang w:val="en-GB"/>
        </w:rPr>
      </w:pPr>
      <w:r>
        <w:rPr>
          <w:lang w:val="en-GB"/>
        </w:rPr>
        <w:t xml:space="preserve">When an incentive </w:t>
      </w:r>
      <w:r w:rsidR="00E32A28">
        <w:rPr>
          <w:lang w:val="en-GB"/>
        </w:rPr>
        <w:t>is approached from an micro-economic point of view</w:t>
      </w:r>
      <w:r w:rsidR="00E566F4">
        <w:rPr>
          <w:lang w:val="en-GB"/>
        </w:rPr>
        <w:t xml:space="preserve">, </w:t>
      </w:r>
      <w:r w:rsidR="00E32A28">
        <w:rPr>
          <w:lang w:val="en-GB"/>
        </w:rPr>
        <w:t xml:space="preserve"> </w:t>
      </w:r>
      <w:r>
        <w:rPr>
          <w:lang w:val="en-GB"/>
        </w:rPr>
        <w:t>it must have a</w:t>
      </w:r>
      <w:r w:rsidR="00E32A28">
        <w:rPr>
          <w:lang w:val="en-GB"/>
        </w:rPr>
        <w:t xml:space="preserve"> certain value in the costs-benefits equation of an agent. When we assume an </w:t>
      </w:r>
      <w:r w:rsidR="00E852D8">
        <w:rPr>
          <w:lang w:val="en-GB"/>
        </w:rPr>
        <w:t>agent</w:t>
      </w:r>
      <w:r w:rsidR="00E32A28">
        <w:rPr>
          <w:lang w:val="en-GB"/>
        </w:rPr>
        <w:t xml:space="preserve"> to be rational, </w:t>
      </w:r>
      <w:r w:rsidR="00E852D8">
        <w:rPr>
          <w:lang w:val="en-GB"/>
        </w:rPr>
        <w:t>it is possible</w:t>
      </w:r>
      <w:r w:rsidR="00E32A28">
        <w:rPr>
          <w:lang w:val="en-GB"/>
        </w:rPr>
        <w:t xml:space="preserve"> to </w:t>
      </w:r>
      <w:r w:rsidR="00E852D8">
        <w:rPr>
          <w:lang w:val="en-GB"/>
        </w:rPr>
        <w:t xml:space="preserve">analyse </w:t>
      </w:r>
      <w:r w:rsidR="00E32A28">
        <w:rPr>
          <w:lang w:val="en-GB"/>
        </w:rPr>
        <w:t xml:space="preserve">his decision-making behaviour based on </w:t>
      </w:r>
      <w:r w:rsidR="008B528D">
        <w:rPr>
          <w:lang w:val="en-GB"/>
        </w:rPr>
        <w:t>the</w:t>
      </w:r>
      <w:r w:rsidR="00E32A28">
        <w:rPr>
          <w:lang w:val="en-GB"/>
        </w:rPr>
        <w:t xml:space="preserve"> costs-benefits net value</w:t>
      </w:r>
      <w:r w:rsidR="00E852D8">
        <w:rPr>
          <w:lang w:val="en-GB"/>
        </w:rPr>
        <w:t xml:space="preserve"> for action ‘X’</w:t>
      </w:r>
      <w:r w:rsidR="00E32A28">
        <w:rPr>
          <w:lang w:val="en-GB"/>
        </w:rPr>
        <w:t xml:space="preserve">. When the benefits exceed the costs, the agent will </w:t>
      </w:r>
      <w:r w:rsidR="00E852D8">
        <w:rPr>
          <w:lang w:val="en-GB"/>
        </w:rPr>
        <w:t xml:space="preserve">choose to </w:t>
      </w:r>
      <w:r>
        <w:rPr>
          <w:lang w:val="en-GB"/>
        </w:rPr>
        <w:t>perform</w:t>
      </w:r>
      <w:r w:rsidR="00E852D8">
        <w:rPr>
          <w:lang w:val="en-GB"/>
        </w:rPr>
        <w:t xml:space="preserve"> action ‘X’, but when the costs exceed the benefits, the agent will not </w:t>
      </w:r>
      <w:r>
        <w:rPr>
          <w:lang w:val="en-GB"/>
        </w:rPr>
        <w:t>perform</w:t>
      </w:r>
      <w:r w:rsidR="00E852D8">
        <w:rPr>
          <w:lang w:val="en-GB"/>
        </w:rPr>
        <w:t xml:space="preserve"> action ‘X’</w:t>
      </w:r>
      <w:r w:rsidR="00FC681F">
        <w:rPr>
          <w:lang w:val="en-GB"/>
        </w:rPr>
        <w:t xml:space="preserve"> </w:t>
      </w:r>
      <w:r w:rsidR="00FC681F">
        <w:rPr>
          <w:lang w:val="en-GB"/>
        </w:rPr>
        <w:fldChar w:fldCharType="begin"/>
      </w:r>
      <w:r w:rsidR="00FC681F">
        <w:rPr>
          <w:lang w:val="en-GB"/>
        </w:rPr>
        <w:instrText>ADDIN RW.CITE{{90 Frank,RobertH. 1991 /a/pFrank, }}</w:instrText>
      </w:r>
      <w:r w:rsidR="00FC681F">
        <w:rPr>
          <w:lang w:val="en-GB"/>
        </w:rPr>
        <w:fldChar w:fldCharType="separate"/>
      </w:r>
      <w:r w:rsidR="00FC681F" w:rsidRPr="00FC681F">
        <w:rPr>
          <w:rFonts w:ascii="Calibri" w:hAnsi="Calibri"/>
          <w:lang w:val="en-GB"/>
        </w:rPr>
        <w:t>(Frank, 1991)</w:t>
      </w:r>
      <w:r w:rsidR="00FC681F">
        <w:rPr>
          <w:lang w:val="en-GB"/>
        </w:rPr>
        <w:fldChar w:fldCharType="end"/>
      </w:r>
      <w:r w:rsidR="00FC681F">
        <w:rPr>
          <w:lang w:val="en-GB"/>
        </w:rPr>
        <w:t xml:space="preserve">. </w:t>
      </w:r>
      <w:r w:rsidR="00966B73">
        <w:rPr>
          <w:lang w:val="en-GB"/>
        </w:rPr>
        <w:t>Incentives can be translated to benefits in order to stimulate the agent to perform action ‘X’, since his net value of action ‘X’ increases.</w:t>
      </w:r>
      <w:r w:rsidR="007B1A1D">
        <w:rPr>
          <w:lang w:val="en-GB"/>
        </w:rPr>
        <w:t xml:space="preserve"> </w:t>
      </w:r>
      <w:r w:rsidR="00033B90">
        <w:rPr>
          <w:lang w:val="en-GB"/>
        </w:rPr>
        <w:t>The s</w:t>
      </w:r>
      <w:r w:rsidR="007B1A1D">
        <w:rPr>
          <w:lang w:val="en-GB"/>
        </w:rPr>
        <w:t xml:space="preserve">alary or a bonus </w:t>
      </w:r>
      <w:r w:rsidR="00033B90">
        <w:rPr>
          <w:lang w:val="en-GB"/>
        </w:rPr>
        <w:t>is an</w:t>
      </w:r>
      <w:r w:rsidR="007B1A1D">
        <w:rPr>
          <w:lang w:val="en-GB"/>
        </w:rPr>
        <w:t xml:space="preserve"> example of a positive incentive. </w:t>
      </w:r>
      <w:r w:rsidR="00966B73">
        <w:rPr>
          <w:lang w:val="en-GB"/>
        </w:rPr>
        <w:t>Incentives can also be translated to costs, which decrease the value of action ‘X’</w:t>
      </w:r>
      <w:r w:rsidR="002C42B4">
        <w:rPr>
          <w:lang w:val="en-GB"/>
        </w:rPr>
        <w:t>, and make is less likely that the agent performs the action.</w:t>
      </w:r>
      <w:r w:rsidR="007B1A1D">
        <w:rPr>
          <w:lang w:val="en-GB"/>
        </w:rPr>
        <w:t xml:space="preserve"> Fines or penalties are exa</w:t>
      </w:r>
      <w:r w:rsidR="00EE4946">
        <w:rPr>
          <w:lang w:val="en-GB"/>
        </w:rPr>
        <w:t>mples of negative incentive</w:t>
      </w:r>
      <w:r w:rsidR="008B528D">
        <w:rPr>
          <w:lang w:val="en-GB"/>
        </w:rPr>
        <w:t>s</w:t>
      </w:r>
      <w:r w:rsidR="00EE4946">
        <w:rPr>
          <w:lang w:val="en-GB"/>
        </w:rPr>
        <w:t xml:space="preserve">. </w:t>
      </w:r>
      <w:r w:rsidR="00CD6A83">
        <w:rPr>
          <w:lang w:val="en-GB"/>
        </w:rPr>
        <w:t>In organis</w:t>
      </w:r>
      <w:r w:rsidR="00597E77">
        <w:rPr>
          <w:lang w:val="en-GB"/>
        </w:rPr>
        <w:t xml:space="preserve">ations, incentives can be provided through positive rewards or negative rewards </w:t>
      </w:r>
      <w:r w:rsidR="00597E77">
        <w:rPr>
          <w:lang w:val="en-GB"/>
        </w:rPr>
        <w:fldChar w:fldCharType="begin"/>
      </w:r>
      <w:r w:rsidR="00597E77">
        <w:rPr>
          <w:lang w:val="en-GB"/>
        </w:rPr>
        <w:instrText>ADDIN RW.CITE{{32 Merchant,KennethA 2007}}</w:instrText>
      </w:r>
      <w:r w:rsidR="00597E77">
        <w:rPr>
          <w:lang w:val="en-GB"/>
        </w:rPr>
        <w:fldChar w:fldCharType="separate"/>
      </w:r>
      <w:r w:rsidR="00254F5A" w:rsidRPr="00254F5A">
        <w:rPr>
          <w:rFonts w:ascii="Calibri" w:hAnsi="Calibri"/>
          <w:lang w:val="en-GB"/>
        </w:rPr>
        <w:t>(Merchant &amp; Van der Stede, 2007)</w:t>
      </w:r>
      <w:r w:rsidR="00597E77">
        <w:rPr>
          <w:lang w:val="en-GB"/>
        </w:rPr>
        <w:fldChar w:fldCharType="end"/>
      </w:r>
      <w:r w:rsidR="00597E77">
        <w:rPr>
          <w:lang w:val="en-GB"/>
        </w:rPr>
        <w:t xml:space="preserve">. It is common to use the absence of a positive reward as punishment </w:t>
      </w:r>
      <w:r w:rsidR="00597E77">
        <w:rPr>
          <w:lang w:val="en-GB"/>
        </w:rPr>
        <w:fldChar w:fldCharType="begin"/>
      </w:r>
      <w:r w:rsidR="00597E77">
        <w:rPr>
          <w:lang w:val="en-GB"/>
        </w:rPr>
        <w:instrText>ADDIN RW.CITE{{32 Merchant,KennethA. 2007}}</w:instrText>
      </w:r>
      <w:r w:rsidR="00597E77">
        <w:rPr>
          <w:lang w:val="en-GB"/>
        </w:rPr>
        <w:fldChar w:fldCharType="separate"/>
      </w:r>
      <w:r w:rsidR="00254F5A" w:rsidRPr="00254F5A">
        <w:rPr>
          <w:rFonts w:ascii="Calibri" w:hAnsi="Calibri"/>
          <w:lang w:val="en-GB"/>
        </w:rPr>
        <w:t>(Merchant &amp; Van der Stede, 2007)</w:t>
      </w:r>
      <w:r w:rsidR="00597E77">
        <w:rPr>
          <w:lang w:val="en-GB"/>
        </w:rPr>
        <w:fldChar w:fldCharType="end"/>
      </w:r>
      <w:r w:rsidR="00597E77">
        <w:rPr>
          <w:lang w:val="en-GB"/>
        </w:rPr>
        <w:t xml:space="preserve">. </w:t>
      </w:r>
      <w:r w:rsidR="00EE4946">
        <w:rPr>
          <w:lang w:val="en-GB"/>
        </w:rPr>
        <w:t>However, this analysis only holds when agents are ratio</w:t>
      </w:r>
      <w:r w:rsidR="00FC681F">
        <w:rPr>
          <w:lang w:val="en-GB"/>
        </w:rPr>
        <w:t xml:space="preserve">nal, which is </w:t>
      </w:r>
      <w:r w:rsidR="00597E77">
        <w:rPr>
          <w:lang w:val="en-GB"/>
        </w:rPr>
        <w:t>frequently</w:t>
      </w:r>
      <w:r w:rsidR="00FC681F">
        <w:rPr>
          <w:lang w:val="en-GB"/>
        </w:rPr>
        <w:t xml:space="preserve"> not the case </w:t>
      </w:r>
      <w:r w:rsidR="00FC681F">
        <w:rPr>
          <w:lang w:val="en-GB"/>
        </w:rPr>
        <w:fldChar w:fldCharType="begin"/>
      </w:r>
      <w:r w:rsidR="00FC681F">
        <w:rPr>
          <w:lang w:val="en-GB"/>
        </w:rPr>
        <w:instrText>ADDIN RW.CITE{{90 Frank,RobertH. 1991 /a/pFrank, }}</w:instrText>
      </w:r>
      <w:r w:rsidR="00FC681F">
        <w:rPr>
          <w:lang w:val="en-GB"/>
        </w:rPr>
        <w:fldChar w:fldCharType="separate"/>
      </w:r>
      <w:r w:rsidR="00FC681F" w:rsidRPr="00FC681F">
        <w:rPr>
          <w:rFonts w:ascii="Calibri" w:hAnsi="Calibri"/>
          <w:lang w:val="en-GB"/>
        </w:rPr>
        <w:t>(Frank, 1991)</w:t>
      </w:r>
      <w:r w:rsidR="00FC681F">
        <w:rPr>
          <w:lang w:val="en-GB"/>
        </w:rPr>
        <w:fldChar w:fldCharType="end"/>
      </w:r>
      <w:r w:rsidR="00EE4946">
        <w:rPr>
          <w:lang w:val="en-GB"/>
        </w:rPr>
        <w:t xml:space="preserve">. </w:t>
      </w:r>
      <w:r w:rsidR="00966B73">
        <w:rPr>
          <w:lang w:val="en-GB"/>
        </w:rPr>
        <w:t xml:space="preserve">  </w:t>
      </w:r>
    </w:p>
    <w:p w14:paraId="5D97107A" w14:textId="06A622E6" w:rsidR="00EA5361" w:rsidRDefault="00EA5361" w:rsidP="00EA5361">
      <w:pPr>
        <w:pStyle w:val="Kop3"/>
      </w:pPr>
      <w:bookmarkStart w:id="13" w:name="_Toc439346619"/>
      <w:r>
        <w:lastRenderedPageBreak/>
        <w:t>2.2.2 Compensation</w:t>
      </w:r>
      <w:bookmarkEnd w:id="13"/>
    </w:p>
    <w:p w14:paraId="09B4D1D9" w14:textId="59BBE147" w:rsidR="00EA5361" w:rsidRDefault="00EA5361" w:rsidP="00817DB5">
      <w:pPr>
        <w:spacing w:line="360" w:lineRule="auto"/>
        <w:jc w:val="both"/>
        <w:rPr>
          <w:lang w:val="en-GB"/>
        </w:rPr>
      </w:pPr>
      <w:r>
        <w:rPr>
          <w:lang w:val="en-GB"/>
        </w:rPr>
        <w:t>In large corporations, the board of directors is responsible for compensating the CFO. The compensation depends on the situation on the labour market, but also on the amount of effort that the CFO has to exert</w:t>
      </w:r>
      <w:r w:rsidR="00E01A34">
        <w:rPr>
          <w:lang w:val="en-GB"/>
        </w:rPr>
        <w:t xml:space="preserve"> as a consequence of the complexity of the task or the size of the company</w:t>
      </w:r>
      <w:r>
        <w:rPr>
          <w:lang w:val="en-GB"/>
        </w:rPr>
        <w:t>. That is why a CFO whose expertise is on short supply or who is supposed to exert higher effort is compensated more</w:t>
      </w:r>
      <w:r w:rsidR="00E071EB">
        <w:rPr>
          <w:lang w:val="en-GB"/>
        </w:rPr>
        <w:t xml:space="preserve"> </w:t>
      </w:r>
      <w:r w:rsidR="00E071EB">
        <w:rPr>
          <w:lang w:val="en-GB"/>
        </w:rPr>
        <w:fldChar w:fldCharType="begin"/>
      </w:r>
      <w:r w:rsidR="00E071EB">
        <w:rPr>
          <w:lang w:val="en-GB"/>
        </w:rPr>
        <w:instrText>ADDIN RW.CITE{{76 Grinstein,Yaniv 2004}}</w:instrText>
      </w:r>
      <w:r w:rsidR="00E071EB">
        <w:rPr>
          <w:lang w:val="en-GB"/>
        </w:rPr>
        <w:fldChar w:fldCharType="separate"/>
      </w:r>
      <w:r w:rsidR="00254F5A" w:rsidRPr="00254F5A">
        <w:rPr>
          <w:rFonts w:ascii="Calibri" w:hAnsi="Calibri"/>
          <w:lang w:val="en-GB"/>
        </w:rPr>
        <w:t>(Grinstein &amp; Hribar, 2004)</w:t>
      </w:r>
      <w:r w:rsidR="00E071EB">
        <w:rPr>
          <w:lang w:val="en-GB"/>
        </w:rPr>
        <w:fldChar w:fldCharType="end"/>
      </w:r>
      <w:r w:rsidR="00780B10">
        <w:rPr>
          <w:lang w:val="en-GB"/>
        </w:rPr>
        <w:t xml:space="preserve">. </w:t>
      </w:r>
      <w:r w:rsidR="00B712B1">
        <w:rPr>
          <w:lang w:val="en-GB"/>
        </w:rPr>
        <w:t>This thesis focusses only on cash compe</w:t>
      </w:r>
      <w:r w:rsidR="005611EE">
        <w:rPr>
          <w:lang w:val="en-GB"/>
        </w:rPr>
        <w:t xml:space="preserve">nsation and equity-based compensation, since these forms of compensation are easy to quantify and compare, because of their homogeneity. The following paragraphs elaborate on these two forms of compensation. Other forms of compensation such as promotion, autonomy, recognition or titles are more qualitative in nature and therefore it is difficult to derive parameters for quantitative research. </w:t>
      </w:r>
    </w:p>
    <w:p w14:paraId="0A3B6642" w14:textId="23F13680" w:rsidR="00E07371" w:rsidRPr="00B712B1" w:rsidRDefault="00EA5361" w:rsidP="00B712B1">
      <w:pPr>
        <w:pStyle w:val="Kop4"/>
      </w:pPr>
      <w:bookmarkStart w:id="14" w:name="_Toc439346620"/>
      <w:r w:rsidRPr="00B712B1">
        <w:t>2.2.2</w:t>
      </w:r>
      <w:r w:rsidR="00E07371" w:rsidRPr="00B712B1">
        <w:t xml:space="preserve">.1 </w:t>
      </w:r>
      <w:r w:rsidR="00B712B1" w:rsidRPr="00B712B1">
        <w:t>Monetary</w:t>
      </w:r>
      <w:r w:rsidR="00E07371" w:rsidRPr="00B712B1">
        <w:t xml:space="preserve"> </w:t>
      </w:r>
      <w:r w:rsidR="00C95882" w:rsidRPr="00B712B1">
        <w:t>compensation</w:t>
      </w:r>
      <w:bookmarkEnd w:id="14"/>
    </w:p>
    <w:p w14:paraId="2154E00E" w14:textId="4B79D756" w:rsidR="005611EE" w:rsidRDefault="00182FE5" w:rsidP="00B712B1">
      <w:pPr>
        <w:spacing w:line="360" w:lineRule="auto"/>
        <w:jc w:val="both"/>
        <w:rPr>
          <w:lang w:val="en-GB"/>
        </w:rPr>
      </w:pPr>
      <w:r>
        <w:rPr>
          <w:lang w:val="en-GB"/>
        </w:rPr>
        <w:t>M</w:t>
      </w:r>
      <w:r w:rsidR="006E348E">
        <w:rPr>
          <w:lang w:val="en-GB"/>
        </w:rPr>
        <w:t xml:space="preserve">onetary compensation can be provided in three ways: </w:t>
      </w:r>
      <w:r w:rsidR="00436EEC">
        <w:rPr>
          <w:lang w:val="en-GB"/>
        </w:rPr>
        <w:t>salary increases</w:t>
      </w:r>
      <w:r w:rsidR="006E348E">
        <w:rPr>
          <w:lang w:val="en-GB"/>
        </w:rPr>
        <w:t>, short-term incentive plans, and long-te</w:t>
      </w:r>
      <w:r w:rsidR="008B528D">
        <w:rPr>
          <w:lang w:val="en-GB"/>
        </w:rPr>
        <w:t>rm incentive plans. A s</w:t>
      </w:r>
      <w:r w:rsidR="00436EEC">
        <w:rPr>
          <w:lang w:val="en-GB"/>
        </w:rPr>
        <w:t xml:space="preserve">alary increase often relates to the skills that </w:t>
      </w:r>
      <w:r w:rsidR="008B528D">
        <w:rPr>
          <w:lang w:val="en-GB"/>
        </w:rPr>
        <w:t>may lead to future</w:t>
      </w:r>
      <w:r w:rsidR="009D1868">
        <w:rPr>
          <w:lang w:val="en-GB"/>
        </w:rPr>
        <w:t xml:space="preserve"> performance. </w:t>
      </w:r>
      <w:r w:rsidR="00436EEC">
        <w:rPr>
          <w:lang w:val="en-GB"/>
        </w:rPr>
        <w:t xml:space="preserve">Short-term incentives </w:t>
      </w:r>
      <w:r w:rsidR="005E46BA">
        <w:rPr>
          <w:lang w:val="en-GB"/>
        </w:rPr>
        <w:t xml:space="preserve">include bonuses, commissions and piece-rate payment. </w:t>
      </w:r>
      <w:r w:rsidR="005611EE">
        <w:rPr>
          <w:lang w:val="en-GB"/>
        </w:rPr>
        <w:t xml:space="preserve">Short-term compensation holds a direct link to the task performance, for tasks with low complexity and high measurability. The performance of production line workers, for example, can be easily measured. Therefore, these kind of tasks are often compensated with bonuses or piece-rate payment, which only provides incentives on the short term while employees are working. </w:t>
      </w:r>
    </w:p>
    <w:p w14:paraId="0BC4C656" w14:textId="02574966" w:rsidR="00B712B1" w:rsidRDefault="005E46BA" w:rsidP="00B712B1">
      <w:pPr>
        <w:spacing w:line="360" w:lineRule="auto"/>
        <w:jc w:val="both"/>
        <w:rPr>
          <w:lang w:val="en-GB"/>
        </w:rPr>
      </w:pPr>
      <w:r>
        <w:rPr>
          <w:lang w:val="en-GB"/>
        </w:rPr>
        <w:t>Long-term incentives are based on pe</w:t>
      </w:r>
      <w:r w:rsidR="007A0DD1">
        <w:rPr>
          <w:lang w:val="en-GB"/>
        </w:rPr>
        <w:t xml:space="preserve">rformance over more than a year to stimulate long-term value creation. </w:t>
      </w:r>
      <w:r w:rsidR="005611EE">
        <w:rPr>
          <w:lang w:val="en-GB"/>
        </w:rPr>
        <w:t xml:space="preserve">In the first place, long-term incentive systems are aimed at increasing performance of the higher levels of management since their performance influences the long-term value of the firm. These incentives are often provided by tying performance to shares of the company. This form of compensation is elaborated on extensively in the paragraph “Equity compensation”. An additional aim of long-term incentives is to retain good employees, since they are only compensated when they remain loyal to the firm. </w:t>
      </w:r>
    </w:p>
    <w:p w14:paraId="005C5C9D" w14:textId="67F6F197" w:rsidR="006E348E" w:rsidRDefault="00B712B1" w:rsidP="00F17A84">
      <w:pPr>
        <w:spacing w:line="360" w:lineRule="auto"/>
        <w:jc w:val="both"/>
        <w:rPr>
          <w:lang w:val="en-GB"/>
        </w:rPr>
      </w:pPr>
      <w:r>
        <w:rPr>
          <w:lang w:val="en-GB"/>
        </w:rPr>
        <w:t xml:space="preserve">The general hypothesis is that monetary compensation leads to greater effort than would have been the case in their absence </w:t>
      </w:r>
      <w:r>
        <w:rPr>
          <w:lang w:val="en-GB"/>
        </w:rPr>
        <w:fldChar w:fldCharType="begin"/>
      </w:r>
      <w:r>
        <w:rPr>
          <w:lang w:val="en-GB"/>
        </w:rPr>
        <w:instrText>ADDIN RW.CITE{{30 Bonner,SarahE. 2002}}</w:instrText>
      </w:r>
      <w:r>
        <w:rPr>
          <w:lang w:val="en-GB"/>
        </w:rPr>
        <w:fldChar w:fldCharType="separate"/>
      </w:r>
      <w:r w:rsidR="00254F5A" w:rsidRPr="00254F5A">
        <w:rPr>
          <w:rFonts w:ascii="Calibri" w:hAnsi="Calibri"/>
          <w:lang w:val="en-GB"/>
        </w:rPr>
        <w:t>(Bonner &amp; Sprinkle, 2002)</w:t>
      </w:r>
      <w:r>
        <w:rPr>
          <w:lang w:val="en-GB"/>
        </w:rPr>
        <w:fldChar w:fldCharType="end"/>
      </w:r>
      <w:r>
        <w:rPr>
          <w:lang w:val="en-GB"/>
        </w:rPr>
        <w:t xml:space="preserve">. Bonner and Sprinkle reviewed theories and evidence regarding the effects of monetary incentives on individual effort and task performance. The use of monetary compensation is increasing and several </w:t>
      </w:r>
      <w:r w:rsidR="008B528D">
        <w:rPr>
          <w:lang w:val="en-GB"/>
        </w:rPr>
        <w:t>reviewed</w:t>
      </w:r>
      <w:r>
        <w:rPr>
          <w:lang w:val="en-GB"/>
        </w:rPr>
        <w:t xml:space="preserve"> publications suggested a positive influence on a person’s performance </w:t>
      </w:r>
      <w:r>
        <w:rPr>
          <w:lang w:val="en-GB"/>
        </w:rPr>
        <w:fldChar w:fldCharType="begin"/>
      </w:r>
      <w:r>
        <w:rPr>
          <w:lang w:val="en-GB"/>
        </w:rPr>
        <w:instrText>ADDIN RW.CITE{{77 Atkinson,A.A. 2001 /pe.g. ; 78 Horngren,C.T. 2000; 79 Zimmerman,J.L. 2000}}</w:instrText>
      </w:r>
      <w:r>
        <w:rPr>
          <w:lang w:val="en-GB"/>
        </w:rPr>
        <w:fldChar w:fldCharType="separate"/>
      </w:r>
      <w:r w:rsidR="00254F5A" w:rsidRPr="00254F5A">
        <w:rPr>
          <w:rFonts w:ascii="Calibri" w:hAnsi="Calibri"/>
          <w:lang w:val="en-GB"/>
        </w:rPr>
        <w:t>(e.g. Atkinson, Banker, Kaplan, &amp; Young, 2001; Horngren, Foster, &amp; Datar, 2000; Zimmerman, 2000)</w:t>
      </w:r>
      <w:r>
        <w:rPr>
          <w:lang w:val="en-GB"/>
        </w:rPr>
        <w:fldChar w:fldCharType="end"/>
      </w:r>
      <w:r w:rsidR="00F17A84">
        <w:rPr>
          <w:lang w:val="en-GB"/>
        </w:rPr>
        <w:t>.</w:t>
      </w:r>
    </w:p>
    <w:p w14:paraId="62A5460B" w14:textId="5F5CDF1E" w:rsidR="006E348E" w:rsidRPr="00B712B1" w:rsidRDefault="00EA5361" w:rsidP="00B712B1">
      <w:pPr>
        <w:pStyle w:val="Kop4"/>
      </w:pPr>
      <w:bookmarkStart w:id="15" w:name="_Toc439346621"/>
      <w:r w:rsidRPr="00B712B1">
        <w:lastRenderedPageBreak/>
        <w:t>2.2.2</w:t>
      </w:r>
      <w:r w:rsidR="006E348E" w:rsidRPr="00B712B1">
        <w:t>.2 Empiric</w:t>
      </w:r>
      <w:r w:rsidR="004248A7" w:rsidRPr="00B712B1">
        <w:t xml:space="preserve">al evidence on </w:t>
      </w:r>
      <w:r w:rsidR="00B712B1" w:rsidRPr="00B712B1">
        <w:t>monetary</w:t>
      </w:r>
      <w:r w:rsidR="004248A7" w:rsidRPr="00B712B1">
        <w:t xml:space="preserve"> compens</w:t>
      </w:r>
      <w:r w:rsidR="009D1868" w:rsidRPr="00B712B1">
        <w:t>a</w:t>
      </w:r>
      <w:r w:rsidR="006E348E" w:rsidRPr="00B712B1">
        <w:t>tion</w:t>
      </w:r>
      <w:r w:rsidR="00B712B1">
        <w:t xml:space="preserve"> and performance</w:t>
      </w:r>
      <w:bookmarkEnd w:id="15"/>
    </w:p>
    <w:p w14:paraId="43371E35" w14:textId="00CAE638" w:rsidR="00B712B1" w:rsidRDefault="00B712B1" w:rsidP="009A675C">
      <w:pPr>
        <w:spacing w:line="360" w:lineRule="auto"/>
        <w:jc w:val="both"/>
        <w:rPr>
          <w:lang w:val="en-GB"/>
        </w:rPr>
      </w:pPr>
      <w:r>
        <w:rPr>
          <w:lang w:val="en-GB"/>
        </w:rPr>
        <w:t>Empirical evidence, indicates</w:t>
      </w:r>
      <w:r w:rsidR="008B528D">
        <w:rPr>
          <w:lang w:val="en-GB"/>
        </w:rPr>
        <w:t xml:space="preserve"> however,</w:t>
      </w:r>
      <w:r>
        <w:rPr>
          <w:lang w:val="en-GB"/>
        </w:rPr>
        <w:t xml:space="preserve"> that monetary incentives can have very different effects and therefore do not always improve effort nor performance </w:t>
      </w:r>
      <w:r>
        <w:rPr>
          <w:lang w:val="en-GB"/>
        </w:rPr>
        <w:fldChar w:fldCharType="begin"/>
      </w:r>
      <w:r>
        <w:rPr>
          <w:lang w:val="en-GB"/>
        </w:rPr>
        <w:instrText>ADDIN RW.CITE{{83 Bonner,SarahE 2000; 81 JenkinsJr,GDouglas 1998; 80 JenkinsJr,GDouglas 1986; 82 Kohn,Alfie 1993}}</w:instrText>
      </w:r>
      <w:r>
        <w:rPr>
          <w:lang w:val="en-GB"/>
        </w:rPr>
        <w:fldChar w:fldCharType="separate"/>
      </w:r>
      <w:r w:rsidR="00254F5A" w:rsidRPr="00254F5A">
        <w:rPr>
          <w:rFonts w:ascii="Calibri" w:hAnsi="Calibri"/>
          <w:lang w:val="en-GB"/>
        </w:rPr>
        <w:t>(Bonner, Hastie, Sprinkle, &amp; Young, 2000; Jenkins Jr, 1986; Jenkins Jr, Mitra, Gupta, &amp; Shaw, 1998; Kohn, 1993)</w:t>
      </w:r>
      <w:r>
        <w:rPr>
          <w:lang w:val="en-GB"/>
        </w:rPr>
        <w:fldChar w:fldCharType="end"/>
      </w:r>
      <w:r>
        <w:rPr>
          <w:lang w:val="en-GB"/>
        </w:rPr>
        <w:t>. Bonner et al. (2000) reviewed laboratory studies regarding the relation between monetary incentives and performance. They concluded that as the gap between job complexity and skill increases, the less effective financial incentives become to stimulate performance. Jenkins (1986) reviewed 28 studies from 1960 to 1985 and came to the conclusion that financial incentives only affect the performance quality, b</w:t>
      </w:r>
      <w:r w:rsidR="0055051F">
        <w:rPr>
          <w:lang w:val="en-GB"/>
        </w:rPr>
        <w:t>ut not the quantity. Years later</w:t>
      </w:r>
      <w:r>
        <w:rPr>
          <w:lang w:val="en-GB"/>
        </w:rPr>
        <w:t xml:space="preserve">, after reviewing 39 studies from 1975 to 1996, Jenkins et al. (1998 ) still </w:t>
      </w:r>
      <w:r w:rsidR="008B528D">
        <w:rPr>
          <w:lang w:val="en-GB"/>
        </w:rPr>
        <w:t>draws</w:t>
      </w:r>
      <w:r>
        <w:rPr>
          <w:lang w:val="en-GB"/>
        </w:rPr>
        <w:t xml:space="preserve"> the same conclusion </w:t>
      </w:r>
      <w:r w:rsidR="008B528D">
        <w:rPr>
          <w:lang w:val="en-GB"/>
        </w:rPr>
        <w:t xml:space="preserve">as in the previous review </w:t>
      </w:r>
      <w:r>
        <w:rPr>
          <w:lang w:val="en-GB"/>
        </w:rPr>
        <w:t xml:space="preserve">that there is no relation between financial incentives and performance quality, although there is a relation between financial incentives and performance quantity. Other research is more pessimistic about monetary incentives </w:t>
      </w:r>
      <w:r>
        <w:rPr>
          <w:lang w:val="en-GB"/>
        </w:rPr>
        <w:fldChar w:fldCharType="begin"/>
      </w:r>
      <w:r>
        <w:rPr>
          <w:lang w:val="en-GB"/>
        </w:rPr>
        <w:instrText>ADDIN RW.CITE{{82 Kohn,Alfie 1993}}</w:instrText>
      </w:r>
      <w:r>
        <w:rPr>
          <w:lang w:val="en-GB"/>
        </w:rPr>
        <w:fldChar w:fldCharType="separate"/>
      </w:r>
      <w:r w:rsidRPr="00B712B1">
        <w:rPr>
          <w:rFonts w:ascii="Calibri" w:hAnsi="Calibri"/>
          <w:lang w:val="en-GB"/>
        </w:rPr>
        <w:t>(Kohn, 1993)</w:t>
      </w:r>
      <w:r>
        <w:rPr>
          <w:lang w:val="en-GB"/>
        </w:rPr>
        <w:fldChar w:fldCharType="end"/>
      </w:r>
      <w:r>
        <w:rPr>
          <w:lang w:val="en-GB"/>
        </w:rPr>
        <w:t xml:space="preserve">. </w:t>
      </w:r>
      <w:r w:rsidR="00617148">
        <w:rPr>
          <w:lang w:val="en-GB"/>
        </w:rPr>
        <w:t>Kohn (1993)</w:t>
      </w:r>
      <w:r>
        <w:rPr>
          <w:lang w:val="en-GB"/>
        </w:rPr>
        <w:t xml:space="preserve"> argues that monetary incentives are psychological manipulations and incentives </w:t>
      </w:r>
      <w:r w:rsidR="00A23399">
        <w:rPr>
          <w:lang w:val="en-GB"/>
        </w:rPr>
        <w:t>do not have a positive influence on task performance.</w:t>
      </w:r>
    </w:p>
    <w:p w14:paraId="5FAB88B8" w14:textId="6B439661" w:rsidR="00B712B1" w:rsidRDefault="00B712B1" w:rsidP="009A675C">
      <w:pPr>
        <w:spacing w:line="360" w:lineRule="auto"/>
        <w:jc w:val="both"/>
        <w:rPr>
          <w:lang w:val="en-GB"/>
        </w:rPr>
      </w:pPr>
      <w:r>
        <w:rPr>
          <w:lang w:val="en-GB"/>
        </w:rPr>
        <w:t xml:space="preserve">Other significant arguments against monetary incentives capture the detrimental effects of monetary compensation on intrinsic motivation. Intrinsic motivation is distinguished from extrinsic motivation on the basis of the incentive that is related to the activity. The incentive for intrinsic motivation is the feeling of competence and self-determination, while the reward for extrinsic motivation is separate from and follows the behaviour </w:t>
      </w:r>
      <w:r>
        <w:rPr>
          <w:lang w:val="en-GB"/>
        </w:rPr>
        <w:fldChar w:fldCharType="begin"/>
      </w:r>
      <w:r w:rsidR="00617148">
        <w:rPr>
          <w:lang w:val="en-GB"/>
        </w:rPr>
        <w:instrText>ADDIN RW.CITE{{28 Frey,BrunoS. 2001}}</w:instrText>
      </w:r>
      <w:r>
        <w:rPr>
          <w:lang w:val="en-GB"/>
        </w:rPr>
        <w:fldChar w:fldCharType="separate"/>
      </w:r>
      <w:r w:rsidR="00254F5A" w:rsidRPr="00254F5A">
        <w:rPr>
          <w:rFonts w:ascii="Calibri" w:hAnsi="Calibri"/>
          <w:lang w:val="en-GB"/>
        </w:rPr>
        <w:t>(Frey &amp; Jegen, 2001)</w:t>
      </w:r>
      <w:r>
        <w:rPr>
          <w:lang w:val="en-GB"/>
        </w:rPr>
        <w:fldChar w:fldCharType="end"/>
      </w:r>
      <w:r>
        <w:rPr>
          <w:lang w:val="en-GB"/>
        </w:rPr>
        <w:t xml:space="preserve">. </w:t>
      </w:r>
      <w:r w:rsidR="00617148">
        <w:rPr>
          <w:lang w:val="en-GB"/>
        </w:rPr>
        <w:t xml:space="preserve">Several studies have shown that monetary payment systems tend to undermine intrinsic motivation </w:t>
      </w:r>
      <w:r w:rsidR="00617148">
        <w:rPr>
          <w:lang w:val="en-GB"/>
        </w:rPr>
        <w:fldChar w:fldCharType="begin"/>
      </w:r>
      <w:r w:rsidR="00617148">
        <w:rPr>
          <w:lang w:val="en-GB"/>
        </w:rPr>
        <w:instrText>ADDIN RW.CITE{{82 Kohn,Alfie 1993; 31 Deci,EdwardL 1985}}</w:instrText>
      </w:r>
      <w:r w:rsidR="00617148">
        <w:rPr>
          <w:lang w:val="en-GB"/>
        </w:rPr>
        <w:fldChar w:fldCharType="separate"/>
      </w:r>
      <w:r w:rsidR="00254F5A" w:rsidRPr="00254F5A">
        <w:rPr>
          <w:rFonts w:ascii="Calibri" w:hAnsi="Calibri"/>
          <w:lang w:val="en-GB"/>
        </w:rPr>
        <w:t>(Deci &amp; Ryan, 1985; Kohn, 1993)</w:t>
      </w:r>
      <w:r w:rsidR="00617148">
        <w:rPr>
          <w:lang w:val="en-GB"/>
        </w:rPr>
        <w:fldChar w:fldCharType="end"/>
      </w:r>
      <w:r w:rsidR="00617148">
        <w:rPr>
          <w:lang w:val="en-GB"/>
        </w:rPr>
        <w:t xml:space="preserve"> and thus can reduce effort and job performance. </w:t>
      </w:r>
    </w:p>
    <w:p w14:paraId="67214A6B" w14:textId="385B4DC4" w:rsidR="003202F7" w:rsidRDefault="003202F7" w:rsidP="009A675C">
      <w:pPr>
        <w:spacing w:line="360" w:lineRule="auto"/>
        <w:jc w:val="both"/>
        <w:rPr>
          <w:lang w:val="en-GB"/>
        </w:rPr>
      </w:pPr>
      <w:r>
        <w:rPr>
          <w:lang w:val="en-GB"/>
        </w:rPr>
        <w:t>For an overview of the relevant literature regarding the relation between monetary compensation and performance, see the tabular summary in the Appendix with concise description of the articles.</w:t>
      </w:r>
    </w:p>
    <w:p w14:paraId="0C4E49A8" w14:textId="4B488AA5" w:rsidR="00E07371" w:rsidRPr="00B712B1" w:rsidRDefault="00EA5361" w:rsidP="00B712B1">
      <w:pPr>
        <w:pStyle w:val="Kop4"/>
      </w:pPr>
      <w:bookmarkStart w:id="16" w:name="_Toc439346622"/>
      <w:r w:rsidRPr="00B712B1">
        <w:t>2.2.2</w:t>
      </w:r>
      <w:r w:rsidR="006E348E" w:rsidRPr="00B712B1">
        <w:t>.3</w:t>
      </w:r>
      <w:r w:rsidR="00E07371" w:rsidRPr="00B712B1">
        <w:t xml:space="preserve"> Equity </w:t>
      </w:r>
      <w:r w:rsidR="00C95882" w:rsidRPr="00B712B1">
        <w:t>compensation</w:t>
      </w:r>
      <w:bookmarkEnd w:id="16"/>
    </w:p>
    <w:p w14:paraId="5F9B79B6" w14:textId="4DCFA556" w:rsidR="00617148" w:rsidRDefault="00B712B1" w:rsidP="00617148">
      <w:pPr>
        <w:spacing w:line="360" w:lineRule="auto"/>
        <w:jc w:val="both"/>
        <w:rPr>
          <w:lang w:val="en-GB"/>
        </w:rPr>
      </w:pPr>
      <w:r>
        <w:rPr>
          <w:lang w:val="en-GB"/>
        </w:rPr>
        <w:t>The most co</w:t>
      </w:r>
      <w:r w:rsidR="00617148">
        <w:rPr>
          <w:lang w:val="en-GB"/>
        </w:rPr>
        <w:t>mmon form of rewarding is monetary, elaborated on in the previous paragraph.</w:t>
      </w:r>
      <w:r>
        <w:rPr>
          <w:lang w:val="en-GB"/>
        </w:rPr>
        <w:t xml:space="preserve"> </w:t>
      </w:r>
      <w:r w:rsidR="00D26796">
        <w:rPr>
          <w:lang w:val="en-GB"/>
        </w:rPr>
        <w:t>Executives</w:t>
      </w:r>
      <w:r>
        <w:rPr>
          <w:lang w:val="en-GB"/>
        </w:rPr>
        <w:t>, however,</w:t>
      </w:r>
      <w:r w:rsidR="00D26796">
        <w:rPr>
          <w:lang w:val="en-GB"/>
        </w:rPr>
        <w:t xml:space="preserve"> are often rewarded with shares of the organis</w:t>
      </w:r>
      <w:r w:rsidR="00617148">
        <w:rPr>
          <w:lang w:val="en-GB"/>
        </w:rPr>
        <w:t xml:space="preserve">ation. This </w:t>
      </w:r>
      <w:r w:rsidR="00D26796">
        <w:rPr>
          <w:lang w:val="en-GB"/>
        </w:rPr>
        <w:t>shoul</w:t>
      </w:r>
      <w:r w:rsidR="00617148">
        <w:rPr>
          <w:lang w:val="en-GB"/>
        </w:rPr>
        <w:t xml:space="preserve">d provide an extra incentive, since the executive basically becomes partly owner of the organisation and therefore not only acts in the best interest of him as an employee, but also in the best interest of </w:t>
      </w:r>
      <w:r w:rsidR="00B94BA5">
        <w:rPr>
          <w:lang w:val="en-GB"/>
        </w:rPr>
        <w:t xml:space="preserve">him as </w:t>
      </w:r>
      <w:r w:rsidR="00617148">
        <w:rPr>
          <w:lang w:val="en-GB"/>
        </w:rPr>
        <w:t xml:space="preserve">an owner. When these two interest are more aligned, the agency problem decreases. </w:t>
      </w:r>
      <w:r w:rsidR="00D26796">
        <w:rPr>
          <w:lang w:val="en-GB"/>
        </w:rPr>
        <w:t xml:space="preserve">Equity-based </w:t>
      </w:r>
      <w:r w:rsidR="00617148">
        <w:rPr>
          <w:lang w:val="en-GB"/>
        </w:rPr>
        <w:t xml:space="preserve">incentives </w:t>
      </w:r>
      <w:r w:rsidR="00D26796">
        <w:rPr>
          <w:lang w:val="en-GB"/>
        </w:rPr>
        <w:t>plan</w:t>
      </w:r>
      <w:r w:rsidR="00617148">
        <w:rPr>
          <w:lang w:val="en-GB"/>
        </w:rPr>
        <w:t xml:space="preserve">s come in various forms and are based on performance measured over periods greater than one year. The goal is to reward executives for their performance in creating long-term value. </w:t>
      </w:r>
    </w:p>
    <w:p w14:paraId="05A40059" w14:textId="536DD4DD" w:rsidR="00461D51" w:rsidRDefault="00617148" w:rsidP="00617148">
      <w:pPr>
        <w:spacing w:line="360" w:lineRule="auto"/>
        <w:jc w:val="both"/>
        <w:rPr>
          <w:lang w:val="en-GB"/>
        </w:rPr>
      </w:pPr>
      <w:r>
        <w:rPr>
          <w:lang w:val="en-GB"/>
        </w:rPr>
        <w:lastRenderedPageBreak/>
        <w:t xml:space="preserve">Stock option plans provides executives the right to purchase a number of company shares at a set price within a certain period. Executives only benefit when the stock price goes up, which motivates them to </w:t>
      </w:r>
      <w:r w:rsidR="00CD6A83">
        <w:rPr>
          <w:lang w:val="en-GB"/>
        </w:rPr>
        <w:t>do their best for the organis</w:t>
      </w:r>
      <w:r w:rsidR="00A23399">
        <w:rPr>
          <w:lang w:val="en-GB"/>
        </w:rPr>
        <w:t>ation, knowing that their performance influences firm performance, and firm performance influences the stock price</w:t>
      </w:r>
      <w:r>
        <w:rPr>
          <w:lang w:val="en-GB"/>
        </w:rPr>
        <w:t xml:space="preserve">. Another advantage of stock option plans is that firms can provide compensation, while firms </w:t>
      </w:r>
      <w:r w:rsidR="00461D51">
        <w:rPr>
          <w:lang w:val="en-GB"/>
        </w:rPr>
        <w:t xml:space="preserve">do not have to </w:t>
      </w:r>
      <w:r w:rsidR="00A23399">
        <w:rPr>
          <w:lang w:val="en-GB"/>
        </w:rPr>
        <w:t>use</w:t>
      </w:r>
      <w:r w:rsidR="00461D51">
        <w:rPr>
          <w:lang w:val="en-GB"/>
        </w:rPr>
        <w:t xml:space="preserve"> cash</w:t>
      </w:r>
      <w:r w:rsidR="00A23399">
        <w:rPr>
          <w:lang w:val="en-GB"/>
        </w:rPr>
        <w:t xml:space="preserve"> to reward an executive for exerted effort</w:t>
      </w:r>
      <w:r w:rsidR="00461D51">
        <w:rPr>
          <w:lang w:val="en-GB"/>
        </w:rPr>
        <w:t>. Consequently, this generates a positive cash flow for cash constrained firms</w:t>
      </w:r>
      <w:r w:rsidR="00461D51">
        <w:rPr>
          <w:rStyle w:val="Voetnootmarkering"/>
          <w:lang w:val="en-GB"/>
        </w:rPr>
        <w:footnoteReference w:id="10"/>
      </w:r>
      <w:r w:rsidR="00A23399">
        <w:rPr>
          <w:lang w:val="en-GB"/>
        </w:rPr>
        <w:t xml:space="preserve">. Stock option plans </w:t>
      </w:r>
      <w:r w:rsidR="00461D51">
        <w:rPr>
          <w:lang w:val="en-GB"/>
        </w:rPr>
        <w:t xml:space="preserve">also </w:t>
      </w:r>
      <w:r w:rsidR="00A23399">
        <w:rPr>
          <w:lang w:val="en-GB"/>
        </w:rPr>
        <w:t xml:space="preserve">have </w:t>
      </w:r>
      <w:r w:rsidR="00461D51">
        <w:rPr>
          <w:lang w:val="en-GB"/>
        </w:rPr>
        <w:t>some disadvantages. Since option plans represent a future issuance of stocks, managers are only rewarded for profits, but not for losses. This can result in risky-taking behaviour, which l</w:t>
      </w:r>
      <w:r w:rsidR="009020B0">
        <w:rPr>
          <w:lang w:val="en-GB"/>
        </w:rPr>
        <w:t xml:space="preserve">eads to stock price volatility </w:t>
      </w:r>
      <w:r w:rsidR="009020B0">
        <w:rPr>
          <w:lang w:val="en-GB"/>
        </w:rPr>
        <w:fldChar w:fldCharType="begin"/>
      </w:r>
      <w:r w:rsidR="009020B0">
        <w:rPr>
          <w:lang w:val="en-GB"/>
        </w:rPr>
        <w:instrText>ADDIN RW.CITE{{91 Rajgopal,Shivaram 2002}}</w:instrText>
      </w:r>
      <w:r w:rsidR="009020B0">
        <w:rPr>
          <w:lang w:val="en-GB"/>
        </w:rPr>
        <w:fldChar w:fldCharType="separate"/>
      </w:r>
      <w:r w:rsidR="00254F5A" w:rsidRPr="00254F5A">
        <w:rPr>
          <w:rFonts w:ascii="Calibri" w:hAnsi="Calibri"/>
          <w:lang w:val="en-GB"/>
        </w:rPr>
        <w:t>(Rajgopal &amp; Shevlin, 2002)</w:t>
      </w:r>
      <w:r w:rsidR="009020B0">
        <w:rPr>
          <w:lang w:val="en-GB"/>
        </w:rPr>
        <w:fldChar w:fldCharType="end"/>
      </w:r>
      <w:r w:rsidR="009020B0">
        <w:rPr>
          <w:lang w:val="en-GB"/>
        </w:rPr>
        <w:t>.</w:t>
      </w:r>
      <w:r w:rsidR="009020B0">
        <w:rPr>
          <w:lang w:val="en-GB"/>
        </w:rPr>
        <w:fldChar w:fldCharType="begin"/>
      </w:r>
      <w:r w:rsidR="009020B0">
        <w:rPr>
          <w:lang w:val="en-GB"/>
        </w:rPr>
        <w:instrText>ADDIN RW.CITE{{91 Rajgopal,Shivaram 2002 /h}}</w:instrText>
      </w:r>
      <w:r w:rsidR="009020B0">
        <w:rPr>
          <w:lang w:val="en-GB"/>
        </w:rPr>
        <w:fldChar w:fldCharType="end"/>
      </w:r>
      <w:r w:rsidR="00A23399">
        <w:rPr>
          <w:lang w:val="en-GB"/>
        </w:rPr>
        <w:t xml:space="preserve"> </w:t>
      </w:r>
      <w:r w:rsidR="00461D51">
        <w:rPr>
          <w:lang w:val="en-GB"/>
        </w:rPr>
        <w:t>Other critic</w:t>
      </w:r>
      <w:r w:rsidR="00A23399">
        <w:rPr>
          <w:lang w:val="en-GB"/>
        </w:rPr>
        <w:t>i</w:t>
      </w:r>
      <w:r w:rsidR="00461D51">
        <w:rPr>
          <w:lang w:val="en-GB"/>
        </w:rPr>
        <w:t>s</w:t>
      </w:r>
      <w:r w:rsidR="00A23399">
        <w:rPr>
          <w:lang w:val="en-GB"/>
        </w:rPr>
        <w:t>m</w:t>
      </w:r>
      <w:r w:rsidR="00461D51">
        <w:rPr>
          <w:lang w:val="en-GB"/>
        </w:rPr>
        <w:t xml:space="preserve"> on equity-based compensation is that stock prices can increase or decrease due to other factors than firm performance. Despite the more long-term oriented character of equity compensation, executives can still be motivated to perform actions that increase the share price for only a sh</w:t>
      </w:r>
      <w:r w:rsidR="00A23399">
        <w:rPr>
          <w:lang w:val="en-GB"/>
        </w:rPr>
        <w:t>ort period, but decrease value i</w:t>
      </w:r>
      <w:r w:rsidR="00461D51">
        <w:rPr>
          <w:lang w:val="en-GB"/>
        </w:rPr>
        <w:t>n the long term</w:t>
      </w:r>
      <w:r w:rsidR="00F8456A">
        <w:rPr>
          <w:color w:val="FF0000"/>
          <w:lang w:val="en-GB"/>
        </w:rPr>
        <w:t xml:space="preserve"> </w:t>
      </w:r>
      <w:r w:rsidR="00F8456A" w:rsidRPr="00DB306A">
        <w:rPr>
          <w:lang w:val="en-GB"/>
        </w:rPr>
        <w:fldChar w:fldCharType="begin"/>
      </w:r>
      <w:r w:rsidR="00F8456A" w:rsidRPr="00DB306A">
        <w:rPr>
          <w:lang w:val="en-GB"/>
        </w:rPr>
        <w:instrText>ADDIN RW.CITE{{88 Core,JohnE 2003}}</w:instrText>
      </w:r>
      <w:r w:rsidR="00F8456A" w:rsidRPr="00DB306A">
        <w:rPr>
          <w:lang w:val="en-GB"/>
        </w:rPr>
        <w:fldChar w:fldCharType="separate"/>
      </w:r>
      <w:r w:rsidR="00254F5A" w:rsidRPr="00254F5A">
        <w:rPr>
          <w:rFonts w:ascii="Calibri" w:hAnsi="Calibri"/>
          <w:lang w:val="en-GB"/>
        </w:rPr>
        <w:t>(Core, Guay, &amp; Larcker, 2003)</w:t>
      </w:r>
      <w:r w:rsidR="00F8456A" w:rsidRPr="00DB306A">
        <w:rPr>
          <w:lang w:val="en-GB"/>
        </w:rPr>
        <w:fldChar w:fldCharType="end"/>
      </w:r>
      <w:r w:rsidR="00461D51" w:rsidRPr="00DB306A">
        <w:rPr>
          <w:lang w:val="en-GB"/>
        </w:rPr>
        <w:t>.</w:t>
      </w:r>
    </w:p>
    <w:p w14:paraId="1E501AFD" w14:textId="38EC1C72" w:rsidR="00461D51" w:rsidRDefault="00461D51" w:rsidP="00617148">
      <w:pPr>
        <w:spacing w:line="360" w:lineRule="auto"/>
        <w:jc w:val="both"/>
        <w:rPr>
          <w:lang w:val="en-GB"/>
        </w:rPr>
      </w:pPr>
      <w:r>
        <w:rPr>
          <w:lang w:val="en-GB"/>
        </w:rPr>
        <w:t xml:space="preserve">Another form of equity-based compensation is a restricted stock plan, which means that the employee receives stocks that are only tradeable </w:t>
      </w:r>
      <w:r w:rsidR="00A23399">
        <w:rPr>
          <w:lang w:val="en-GB"/>
        </w:rPr>
        <w:t>during</w:t>
      </w:r>
      <w:r w:rsidR="009020B0">
        <w:rPr>
          <w:lang w:val="en-GB"/>
        </w:rPr>
        <w:t xml:space="preserve"> a specific period of time, named the vesting period.</w:t>
      </w:r>
      <w:r>
        <w:rPr>
          <w:lang w:val="en-GB"/>
        </w:rPr>
        <w:t xml:space="preserve"> </w:t>
      </w:r>
      <w:r w:rsidR="009020B0">
        <w:rPr>
          <w:lang w:val="en-GB"/>
        </w:rPr>
        <w:t xml:space="preserve">The employee is allowed to acquire the stocks against a predetermined price, called the strike price. The difference between the strike price and the market price is on behalf of the employee and not on the firm. </w:t>
      </w:r>
      <w:r>
        <w:rPr>
          <w:lang w:val="en-GB"/>
        </w:rPr>
        <w:t xml:space="preserve">This form of payment has the advantage that the employee bears the cost of a decreasing share price, since he </w:t>
      </w:r>
      <w:r w:rsidR="00A23399">
        <w:rPr>
          <w:lang w:val="en-GB"/>
        </w:rPr>
        <w:t xml:space="preserve">or she </w:t>
      </w:r>
      <w:r>
        <w:rPr>
          <w:lang w:val="en-GB"/>
        </w:rPr>
        <w:t>already owns the stocks. This makes restricted stock plans less risky and a more effective compensation tool, in particular in case of continued employment. However, the image of restricted stock plans is that stocks are not used for performance incentives, but just easy giveaway items, because they are relatively easy to give out</w:t>
      </w:r>
      <w:r w:rsidR="00036ACB">
        <w:rPr>
          <w:lang w:val="en-GB"/>
        </w:rPr>
        <w:t xml:space="preserve"> </w:t>
      </w:r>
      <w:r w:rsidR="00DB306A">
        <w:rPr>
          <w:lang w:val="en-GB"/>
        </w:rPr>
        <w:fldChar w:fldCharType="begin"/>
      </w:r>
      <w:r w:rsidR="00DB306A">
        <w:rPr>
          <w:lang w:val="en-GB"/>
        </w:rPr>
        <w:instrText>ADDIN RW.CITE{{88 Core,JohnE 2003}}</w:instrText>
      </w:r>
      <w:r w:rsidR="00DB306A">
        <w:rPr>
          <w:lang w:val="en-GB"/>
        </w:rPr>
        <w:fldChar w:fldCharType="separate"/>
      </w:r>
      <w:r w:rsidR="00DB306A" w:rsidRPr="00DB306A">
        <w:rPr>
          <w:rFonts w:ascii="Calibri" w:hAnsi="Calibri"/>
          <w:lang w:val="en-GB"/>
        </w:rPr>
        <w:t>(Core et al., 2003)</w:t>
      </w:r>
      <w:r w:rsidR="00DB306A">
        <w:rPr>
          <w:lang w:val="en-GB"/>
        </w:rPr>
        <w:fldChar w:fldCharType="end"/>
      </w:r>
      <w:r>
        <w:rPr>
          <w:lang w:val="en-GB"/>
        </w:rPr>
        <w:t xml:space="preserve">. </w:t>
      </w:r>
    </w:p>
    <w:p w14:paraId="2BF33C43" w14:textId="7BA6A37C" w:rsidR="00461D51" w:rsidRPr="00D26796" w:rsidRDefault="00461D51" w:rsidP="00617148">
      <w:pPr>
        <w:spacing w:line="360" w:lineRule="auto"/>
        <w:jc w:val="both"/>
        <w:rPr>
          <w:lang w:val="en-GB"/>
        </w:rPr>
      </w:pPr>
      <w:r>
        <w:rPr>
          <w:lang w:val="en-GB"/>
        </w:rPr>
        <w:t xml:space="preserve"> To emphasize pay-for-performance directly, equity compensation </w:t>
      </w:r>
      <w:r w:rsidR="00CD6A83">
        <w:rPr>
          <w:lang w:val="en-GB"/>
        </w:rPr>
        <w:t xml:space="preserve">can </w:t>
      </w:r>
      <w:r>
        <w:rPr>
          <w:lang w:val="en-GB"/>
        </w:rPr>
        <w:t xml:space="preserve">also </w:t>
      </w:r>
      <w:r w:rsidR="00CD6A83">
        <w:rPr>
          <w:lang w:val="en-GB"/>
        </w:rPr>
        <w:t>take the form</w:t>
      </w:r>
      <w:r>
        <w:rPr>
          <w:lang w:val="en-GB"/>
        </w:rPr>
        <w:t xml:space="preserve"> of performance awards, by tying bonuses to the performance of stock or non-stock goals over more than one year. This compensation dependency on performance occurs in very different forms</w:t>
      </w:r>
      <w:r w:rsidR="00DB306A">
        <w:rPr>
          <w:lang w:val="en-GB"/>
        </w:rPr>
        <w:t xml:space="preserve"> </w:t>
      </w:r>
      <w:r w:rsidR="00DB306A">
        <w:rPr>
          <w:lang w:val="en-GB"/>
        </w:rPr>
        <w:fldChar w:fldCharType="begin"/>
      </w:r>
      <w:r w:rsidR="00DB306A">
        <w:rPr>
          <w:lang w:val="en-GB"/>
        </w:rPr>
        <w:instrText>ADDIN RW.CITE{{88 Core,JohnE 2003}}</w:instrText>
      </w:r>
      <w:r w:rsidR="00DB306A">
        <w:rPr>
          <w:lang w:val="en-GB"/>
        </w:rPr>
        <w:fldChar w:fldCharType="separate"/>
      </w:r>
      <w:r w:rsidR="00DB306A" w:rsidRPr="00DB306A">
        <w:rPr>
          <w:rFonts w:ascii="Calibri" w:hAnsi="Calibri"/>
          <w:lang w:val="en-GB"/>
        </w:rPr>
        <w:t>(Core et al., 2003)</w:t>
      </w:r>
      <w:r w:rsidR="00DB306A">
        <w:rPr>
          <w:lang w:val="en-GB"/>
        </w:rPr>
        <w:fldChar w:fldCharType="end"/>
      </w:r>
      <w:r>
        <w:rPr>
          <w:lang w:val="en-GB"/>
        </w:rPr>
        <w:t xml:space="preserve">. </w:t>
      </w:r>
    </w:p>
    <w:p w14:paraId="2E8A419F" w14:textId="77D125C5" w:rsidR="006E348E" w:rsidRDefault="00EA5361" w:rsidP="00B712B1">
      <w:pPr>
        <w:pStyle w:val="Kop4"/>
      </w:pPr>
      <w:bookmarkStart w:id="17" w:name="_Toc439346623"/>
      <w:r w:rsidRPr="00B712B1">
        <w:lastRenderedPageBreak/>
        <w:t>2.2.2</w:t>
      </w:r>
      <w:r w:rsidR="006E348E" w:rsidRPr="00B712B1">
        <w:t>.4 Empirical evidence on equity compensation</w:t>
      </w:r>
      <w:r w:rsidR="00B712B1">
        <w:t xml:space="preserve"> and performance</w:t>
      </w:r>
      <w:bookmarkEnd w:id="17"/>
    </w:p>
    <w:p w14:paraId="138A58C0" w14:textId="1295EF4E" w:rsidR="00D208DA" w:rsidRPr="00D208DA" w:rsidRDefault="00D208DA" w:rsidP="00D208DA">
      <w:pPr>
        <w:spacing w:line="360" w:lineRule="auto"/>
        <w:jc w:val="both"/>
        <w:rPr>
          <w:lang w:val="en-GB"/>
        </w:rPr>
      </w:pPr>
      <w:r>
        <w:rPr>
          <w:lang w:val="en-GB"/>
        </w:rPr>
        <w:t>Several studies find evidence that it motivates managers to make value-maximizing decisions when their compensation is tied to firm performance</w:t>
      </w:r>
      <w:r w:rsidR="00007654">
        <w:rPr>
          <w:lang w:val="en-GB"/>
        </w:rPr>
        <w:t xml:space="preserve"> </w:t>
      </w:r>
      <w:r w:rsidR="00007654">
        <w:rPr>
          <w:lang w:val="en-GB"/>
        </w:rPr>
        <w:fldChar w:fldCharType="begin"/>
      </w:r>
      <w:r w:rsidR="006338F4">
        <w:rPr>
          <w:lang w:val="en-GB"/>
        </w:rPr>
        <w:instrText>ADDIN RW.CITE{{54 Hölmstrom,Bengt 1979; 55 Harris,Milton 1979; 56 Grossman,SanfordJ 1986}}</w:instrText>
      </w:r>
      <w:r w:rsidR="00007654">
        <w:rPr>
          <w:lang w:val="en-GB"/>
        </w:rPr>
        <w:fldChar w:fldCharType="separate"/>
      </w:r>
      <w:r w:rsidR="00254F5A" w:rsidRPr="00254F5A">
        <w:rPr>
          <w:rFonts w:ascii="Calibri" w:hAnsi="Calibri"/>
          <w:lang w:val="en-GB"/>
        </w:rPr>
        <w:t>(Grossman &amp; Hart, 1986; Harris &amp; Raviv, 1979; Hölmstrom, 1979)</w:t>
      </w:r>
      <w:r w:rsidR="00007654">
        <w:rPr>
          <w:lang w:val="en-GB"/>
        </w:rPr>
        <w:fldChar w:fldCharType="end"/>
      </w:r>
      <w:r w:rsidR="00007654">
        <w:rPr>
          <w:lang w:val="en-GB"/>
        </w:rPr>
        <w:t xml:space="preserve"> although they use very theoretical models which are not empirical</w:t>
      </w:r>
      <w:r w:rsidR="00461D51">
        <w:rPr>
          <w:lang w:val="en-GB"/>
        </w:rPr>
        <w:t xml:space="preserve">. Mehran (1994) underscores the importance of the form rather than the level of compensation. In a study of 153 manufacturing firms, he finds evidence that firm performance is positively related to the percentage of compensation that is equity-based </w:t>
      </w:r>
      <w:r w:rsidR="00461D51">
        <w:rPr>
          <w:lang w:val="en-GB"/>
        </w:rPr>
        <w:fldChar w:fldCharType="begin"/>
      </w:r>
      <w:r w:rsidR="00461D51">
        <w:rPr>
          <w:lang w:val="en-GB"/>
        </w:rPr>
        <w:instrText>ADDIN RW.CITE{{53 Mehran,Hamid 1995}}</w:instrText>
      </w:r>
      <w:r w:rsidR="00461D51">
        <w:rPr>
          <w:lang w:val="en-GB"/>
        </w:rPr>
        <w:fldChar w:fldCharType="separate"/>
      </w:r>
      <w:r w:rsidR="00461D51" w:rsidRPr="00461D51">
        <w:rPr>
          <w:rFonts w:ascii="Calibri" w:hAnsi="Calibri"/>
          <w:lang w:val="en-GB"/>
        </w:rPr>
        <w:t>(Mehran, 1995)</w:t>
      </w:r>
      <w:r w:rsidR="00461D51">
        <w:rPr>
          <w:lang w:val="en-GB"/>
        </w:rPr>
        <w:fldChar w:fldCharType="end"/>
      </w:r>
      <w:r w:rsidR="00461D51">
        <w:rPr>
          <w:lang w:val="en-GB"/>
        </w:rPr>
        <w:t xml:space="preserve">.  </w:t>
      </w:r>
    </w:p>
    <w:p w14:paraId="36CE1EB8" w14:textId="2E2D20FC" w:rsidR="005E46BA" w:rsidRDefault="005E46BA" w:rsidP="009A675C">
      <w:pPr>
        <w:spacing w:line="360" w:lineRule="auto"/>
        <w:jc w:val="both"/>
        <w:rPr>
          <w:lang w:val="en-GB"/>
        </w:rPr>
      </w:pPr>
      <w:r>
        <w:rPr>
          <w:lang w:val="en-GB"/>
        </w:rPr>
        <w:t>According to the findings of</w:t>
      </w:r>
      <w:r w:rsidR="00D208DA">
        <w:rPr>
          <w:lang w:val="en-GB"/>
        </w:rPr>
        <w:t xml:space="preserve"> Jensen and Murphy, equity is an </w:t>
      </w:r>
      <w:r>
        <w:rPr>
          <w:lang w:val="en-GB"/>
        </w:rPr>
        <w:t>effective form of compensation, since it better aligns the goals of the company with the goals of the executive</w:t>
      </w:r>
      <w:r w:rsidR="00A23399">
        <w:rPr>
          <w:lang w:val="en-GB"/>
        </w:rPr>
        <w:t xml:space="preserve"> </w:t>
      </w:r>
      <w:r>
        <w:rPr>
          <w:lang w:val="en-GB"/>
        </w:rPr>
        <w:fldChar w:fldCharType="begin"/>
      </w:r>
      <w:r>
        <w:rPr>
          <w:lang w:val="en-GB"/>
        </w:rPr>
        <w:instrText>ADDIN RW.CITE{{57 Jensen,MichaelC 1990}}</w:instrText>
      </w:r>
      <w:r>
        <w:rPr>
          <w:lang w:val="en-GB"/>
        </w:rPr>
        <w:fldChar w:fldCharType="separate"/>
      </w:r>
      <w:r w:rsidR="00254F5A" w:rsidRPr="00254F5A">
        <w:rPr>
          <w:rFonts w:ascii="Calibri" w:hAnsi="Calibri"/>
          <w:lang w:val="en-GB"/>
        </w:rPr>
        <w:t>(Jensen &amp; Murphy, 1990)</w:t>
      </w:r>
      <w:r>
        <w:rPr>
          <w:lang w:val="en-GB"/>
        </w:rPr>
        <w:fldChar w:fldCharType="end"/>
      </w:r>
      <w:r>
        <w:rPr>
          <w:lang w:val="en-GB"/>
        </w:rPr>
        <w:t xml:space="preserve">. </w:t>
      </w:r>
      <w:r w:rsidR="00E46D68">
        <w:rPr>
          <w:lang w:val="en-GB"/>
        </w:rPr>
        <w:t>However</w:t>
      </w:r>
      <w:r w:rsidR="00182AA9">
        <w:rPr>
          <w:lang w:val="en-GB"/>
        </w:rPr>
        <w:t>, Jensen</w:t>
      </w:r>
      <w:r w:rsidR="00E46D68">
        <w:rPr>
          <w:lang w:val="en-GB"/>
        </w:rPr>
        <w:t xml:space="preserve"> and Murphy also argue that their significant empirical evidence of an positive relation is too small for an occupation in which compensation is expected to have a large impact.</w:t>
      </w:r>
      <w:r w:rsidR="00182AA9">
        <w:rPr>
          <w:lang w:val="en-GB"/>
        </w:rPr>
        <w:t xml:space="preserve"> </w:t>
      </w:r>
      <w:r>
        <w:rPr>
          <w:lang w:val="en-GB"/>
        </w:rPr>
        <w:t xml:space="preserve">The assumption that the executive tries to maximize his own utility should result in exerting more effort to influence the company’s share price, which is also the goal of the shareholders. </w:t>
      </w:r>
    </w:p>
    <w:p w14:paraId="1450AE31" w14:textId="7A51DB85" w:rsidR="009A675C" w:rsidRDefault="005E46BA" w:rsidP="009A675C">
      <w:pPr>
        <w:spacing w:line="360" w:lineRule="auto"/>
        <w:jc w:val="both"/>
        <w:rPr>
          <w:lang w:val="en-GB"/>
        </w:rPr>
      </w:pPr>
      <w:r>
        <w:rPr>
          <w:lang w:val="en-GB"/>
        </w:rPr>
        <w:t xml:space="preserve">However, other studies argue that it is not optimal to base compensation fully on equity </w:t>
      </w:r>
      <w:r>
        <w:rPr>
          <w:lang w:val="en-GB"/>
        </w:rPr>
        <w:fldChar w:fldCharType="begin"/>
      </w:r>
      <w:r w:rsidR="00F17A84">
        <w:rPr>
          <w:lang w:val="en-GB"/>
        </w:rPr>
        <w:instrText>ADDIN RW.CITE{{58 Paul,JonathanM 1992}}</w:instrText>
      </w:r>
      <w:r>
        <w:rPr>
          <w:lang w:val="en-GB"/>
        </w:rPr>
        <w:fldChar w:fldCharType="separate"/>
      </w:r>
      <w:r w:rsidR="00F17A84" w:rsidRPr="00F17A84">
        <w:rPr>
          <w:rFonts w:ascii="Calibri" w:hAnsi="Calibri"/>
          <w:lang w:val="en-GB"/>
        </w:rPr>
        <w:t>(Paul, 1992)</w:t>
      </w:r>
      <w:r>
        <w:rPr>
          <w:lang w:val="en-GB"/>
        </w:rPr>
        <w:fldChar w:fldCharType="end"/>
      </w:r>
      <w:r>
        <w:rPr>
          <w:lang w:val="en-GB"/>
        </w:rPr>
        <w:t xml:space="preserve">, since stock prices provide a noisy measure of executive performance </w:t>
      </w:r>
      <w:r>
        <w:rPr>
          <w:lang w:val="en-GB"/>
        </w:rPr>
        <w:fldChar w:fldCharType="begin"/>
      </w:r>
      <w:r>
        <w:rPr>
          <w:lang w:val="en-GB"/>
        </w:rPr>
        <w:instrText>ADDIN RW.CITE{{59 Sloan,RichardG 1993}}</w:instrText>
      </w:r>
      <w:r>
        <w:rPr>
          <w:lang w:val="en-GB"/>
        </w:rPr>
        <w:fldChar w:fldCharType="separate"/>
      </w:r>
      <w:r w:rsidRPr="002604B3">
        <w:rPr>
          <w:rFonts w:ascii="Calibri" w:hAnsi="Calibri"/>
          <w:lang w:val="en-GB"/>
        </w:rPr>
        <w:t>(Sloan, 1993)</w:t>
      </w:r>
      <w:r>
        <w:rPr>
          <w:lang w:val="en-GB"/>
        </w:rPr>
        <w:fldChar w:fldCharType="end"/>
      </w:r>
      <w:r>
        <w:rPr>
          <w:lang w:val="en-GB"/>
        </w:rPr>
        <w:t xml:space="preserve">. Paul </w:t>
      </w:r>
      <w:r w:rsidR="00A23399">
        <w:rPr>
          <w:lang w:val="en-GB"/>
        </w:rPr>
        <w:t xml:space="preserve">(1992) </w:t>
      </w:r>
      <w:r>
        <w:rPr>
          <w:lang w:val="en-GB"/>
        </w:rPr>
        <w:t>explained that for an optimal incentive contract, information should be weighted according to informativeness about the value added by the executive. The stock price, however, is only a</w:t>
      </w:r>
      <w:r w:rsidR="00A23399">
        <w:rPr>
          <w:lang w:val="en-GB"/>
        </w:rPr>
        <w:t>n</w:t>
      </w:r>
      <w:r>
        <w:rPr>
          <w:lang w:val="en-GB"/>
        </w:rPr>
        <w:t xml:space="preserve"> asset’s value, but does not reflect the value added. Therefore, the stock price </w:t>
      </w:r>
      <w:r w:rsidR="001C3CF7">
        <w:rPr>
          <w:lang w:val="en-GB"/>
        </w:rPr>
        <w:t>would</w:t>
      </w:r>
      <w:r>
        <w:rPr>
          <w:lang w:val="en-GB"/>
        </w:rPr>
        <w:t xml:space="preserve"> not</w:t>
      </w:r>
      <w:r w:rsidR="001C3CF7">
        <w:rPr>
          <w:lang w:val="en-GB"/>
        </w:rPr>
        <w:t xml:space="preserve"> be</w:t>
      </w:r>
      <w:r>
        <w:rPr>
          <w:lang w:val="en-GB"/>
        </w:rPr>
        <w:t xml:space="preserve"> the </w:t>
      </w:r>
      <w:r w:rsidR="00A23399">
        <w:rPr>
          <w:lang w:val="en-GB"/>
        </w:rPr>
        <w:t>optimal</w:t>
      </w:r>
      <w:r>
        <w:rPr>
          <w:lang w:val="en-GB"/>
        </w:rPr>
        <w:t xml:space="preserve"> measure that reflects the value adde</w:t>
      </w:r>
      <w:r w:rsidR="007E113B">
        <w:rPr>
          <w:lang w:val="en-GB"/>
        </w:rPr>
        <w:t xml:space="preserve">d in a principal-agent setting. Sloan </w:t>
      </w:r>
      <w:r w:rsidR="00A23399">
        <w:rPr>
          <w:lang w:val="en-GB"/>
        </w:rPr>
        <w:t xml:space="preserve">(1993) </w:t>
      </w:r>
      <w:r w:rsidR="007E113B">
        <w:rPr>
          <w:lang w:val="en-GB"/>
        </w:rPr>
        <w:t xml:space="preserve">provides evidence that earnings better reflect a firm-specific value than the stock market and therefore, is </w:t>
      </w:r>
      <w:r w:rsidR="00A23399">
        <w:rPr>
          <w:lang w:val="en-GB"/>
        </w:rPr>
        <w:t>a better measure of performance, which endorses the findings by Paul (1992).</w:t>
      </w:r>
    </w:p>
    <w:p w14:paraId="03DD2435" w14:textId="336FBBC3" w:rsidR="009E0094" w:rsidRDefault="009A675C" w:rsidP="009A675C">
      <w:pPr>
        <w:spacing w:line="360" w:lineRule="auto"/>
        <w:jc w:val="both"/>
        <w:rPr>
          <w:lang w:val="en-GB"/>
        </w:rPr>
      </w:pPr>
      <w:r>
        <w:rPr>
          <w:lang w:val="en-GB"/>
        </w:rPr>
        <w:t xml:space="preserve">There is </w:t>
      </w:r>
      <w:r w:rsidR="009F4A5D">
        <w:rPr>
          <w:lang w:val="en-GB"/>
        </w:rPr>
        <w:t>a considerable amount of literature that provides evidence of a positive relation between CEO equity incentives and misreporting</w:t>
      </w:r>
      <w:r w:rsidR="00D34FA9">
        <w:rPr>
          <w:lang w:val="en-GB"/>
        </w:rPr>
        <w:t xml:space="preserve"> </w:t>
      </w:r>
      <w:r w:rsidR="00D34FA9">
        <w:rPr>
          <w:lang w:val="en-GB"/>
        </w:rPr>
        <w:fldChar w:fldCharType="begin"/>
      </w:r>
      <w:r w:rsidR="00C67866">
        <w:rPr>
          <w:lang w:val="en-GB"/>
        </w:rPr>
        <w:instrText>ADDIN RW.CITE{{64 Cheng,Qiang 2005; 65 Bergstresser,Daniel 2006; 66 Burns,Natasha 2006; 67 Efendi,Jap 2007; 68 Cheng,Qiang 2008; 69 Cornett,MarciaMillon 2008; 60 Armstrong,ChristopherS. 2013}}</w:instrText>
      </w:r>
      <w:r w:rsidR="00D34FA9">
        <w:rPr>
          <w:lang w:val="en-GB"/>
        </w:rPr>
        <w:fldChar w:fldCharType="separate"/>
      </w:r>
      <w:r w:rsidR="00254F5A" w:rsidRPr="00254F5A">
        <w:rPr>
          <w:rFonts w:ascii="Calibri" w:hAnsi="Calibri"/>
          <w:lang w:val="en-GB"/>
        </w:rPr>
        <w:t>(Armstrong et al., 2013; Bergstresser &amp; Philippon, 2006; Burns &amp; Kedia, 2006; Cheng &amp; Warfield, 2005; Cheng &amp; Farber, 2008; Cornett, Marcus, &amp; Tehranian, 2008; Efendi, Srivastava, &amp; Swanson, 2007)</w:t>
      </w:r>
      <w:r w:rsidR="00D34FA9">
        <w:rPr>
          <w:lang w:val="en-GB"/>
        </w:rPr>
        <w:fldChar w:fldCharType="end"/>
      </w:r>
      <w:r w:rsidR="00D34FA9">
        <w:rPr>
          <w:lang w:val="en-GB"/>
        </w:rPr>
        <w:t>, while others found no relation</w:t>
      </w:r>
      <w:r w:rsidR="00C67866">
        <w:rPr>
          <w:lang w:val="en-GB"/>
        </w:rPr>
        <w:t xml:space="preserve"> </w:t>
      </w:r>
      <w:r w:rsidR="00C67866">
        <w:rPr>
          <w:lang w:val="en-GB"/>
        </w:rPr>
        <w:fldChar w:fldCharType="begin"/>
      </w:r>
      <w:r w:rsidR="00C67866">
        <w:rPr>
          <w:lang w:val="en-GB"/>
        </w:rPr>
        <w:instrText>ADDIN RW.CITE{{61 Erickson,Merle 2006; 63 Larcker,DavidF. 2007; 70 Armstrong,ChristopherS 2010}}</w:instrText>
      </w:r>
      <w:r w:rsidR="00C67866">
        <w:rPr>
          <w:lang w:val="en-GB"/>
        </w:rPr>
        <w:fldChar w:fldCharType="separate"/>
      </w:r>
      <w:r w:rsidR="00254F5A" w:rsidRPr="00254F5A">
        <w:rPr>
          <w:rFonts w:ascii="Calibri" w:hAnsi="Calibri"/>
          <w:lang w:val="en-GB"/>
        </w:rPr>
        <w:t>(Armstrong, Jagolinzer, &amp; Larcker, 2010; Erickson et al., 2006; Larcker et al., 2007)</w:t>
      </w:r>
      <w:r w:rsidR="00C67866">
        <w:rPr>
          <w:lang w:val="en-GB"/>
        </w:rPr>
        <w:fldChar w:fldCharType="end"/>
      </w:r>
      <w:r w:rsidR="00C67866">
        <w:rPr>
          <w:lang w:val="en-GB"/>
        </w:rPr>
        <w:t xml:space="preserve">. Only a few studies made a distinction between the CEO and the CFO, but the results were again very mixed. One study found evidence only for </w:t>
      </w:r>
      <w:r w:rsidR="00B00BEF">
        <w:rPr>
          <w:lang w:val="en-GB"/>
        </w:rPr>
        <w:t xml:space="preserve">a positive relation between </w:t>
      </w:r>
      <w:r w:rsidR="00C67866">
        <w:rPr>
          <w:lang w:val="en-GB"/>
        </w:rPr>
        <w:t xml:space="preserve">CFO’s equity compensation and misreporting, but not for the </w:t>
      </w:r>
      <w:r w:rsidR="00B00BEF">
        <w:rPr>
          <w:lang w:val="en-GB"/>
        </w:rPr>
        <w:t>CEO</w:t>
      </w:r>
      <w:r w:rsidR="00C67866">
        <w:rPr>
          <w:lang w:val="en-GB"/>
        </w:rPr>
        <w:t xml:space="preserve"> </w:t>
      </w:r>
      <w:r w:rsidR="00C67866">
        <w:rPr>
          <w:lang w:val="en-GB"/>
        </w:rPr>
        <w:fldChar w:fldCharType="begin"/>
      </w:r>
      <w:r w:rsidR="00C67866">
        <w:rPr>
          <w:lang w:val="en-GB"/>
        </w:rPr>
        <w:instrText>ADDIN RW.CITE{{71 Jiang,JohnXuefeng 2010}}</w:instrText>
      </w:r>
      <w:r w:rsidR="00C67866">
        <w:rPr>
          <w:lang w:val="en-GB"/>
        </w:rPr>
        <w:fldChar w:fldCharType="separate"/>
      </w:r>
      <w:r w:rsidR="00254F5A" w:rsidRPr="00254F5A">
        <w:rPr>
          <w:rFonts w:ascii="Calibri" w:hAnsi="Calibri"/>
          <w:lang w:val="en-GB"/>
        </w:rPr>
        <w:t>(Jiang, Petroni, &amp; Wang, 2010)</w:t>
      </w:r>
      <w:r w:rsidR="00C67866">
        <w:rPr>
          <w:lang w:val="en-GB"/>
        </w:rPr>
        <w:fldChar w:fldCharType="end"/>
      </w:r>
      <w:r w:rsidR="00C67866">
        <w:rPr>
          <w:lang w:val="en-GB"/>
        </w:rPr>
        <w:t xml:space="preserve">. </w:t>
      </w:r>
      <w:r w:rsidR="00B00BEF">
        <w:rPr>
          <w:lang w:val="en-GB"/>
        </w:rPr>
        <w:t>Another study, however, found evidence of a positive relation between CEO’s equity compensation and misreporting, but no</w:t>
      </w:r>
      <w:r w:rsidR="009E0094">
        <w:rPr>
          <w:lang w:val="en-GB"/>
        </w:rPr>
        <w:t>t</w:t>
      </w:r>
      <w:r w:rsidR="00B00BEF">
        <w:rPr>
          <w:lang w:val="en-GB"/>
        </w:rPr>
        <w:t xml:space="preserve"> for the CFO </w:t>
      </w:r>
      <w:r w:rsidR="00B00BEF">
        <w:rPr>
          <w:lang w:val="en-GB"/>
        </w:rPr>
        <w:fldChar w:fldCharType="begin"/>
      </w:r>
      <w:r w:rsidR="00B00BEF">
        <w:rPr>
          <w:lang w:val="en-GB"/>
        </w:rPr>
        <w:instrText>ADDIN RW.CITE{{72 Feng,Mei 2011}}</w:instrText>
      </w:r>
      <w:r w:rsidR="00B00BEF">
        <w:rPr>
          <w:lang w:val="en-GB"/>
        </w:rPr>
        <w:fldChar w:fldCharType="separate"/>
      </w:r>
      <w:r w:rsidR="00254F5A" w:rsidRPr="00254F5A">
        <w:rPr>
          <w:rFonts w:ascii="Calibri" w:hAnsi="Calibri"/>
          <w:lang w:val="en-GB"/>
        </w:rPr>
        <w:t>(Feng, Ge, Luo, &amp; Shevlin, 2011)</w:t>
      </w:r>
      <w:r w:rsidR="00B00BEF">
        <w:rPr>
          <w:lang w:val="en-GB"/>
        </w:rPr>
        <w:fldChar w:fldCharType="end"/>
      </w:r>
      <w:r w:rsidR="00B00BEF">
        <w:rPr>
          <w:lang w:val="en-GB"/>
        </w:rPr>
        <w:t>.</w:t>
      </w:r>
      <w:r w:rsidR="009E0094">
        <w:rPr>
          <w:lang w:val="en-GB"/>
        </w:rPr>
        <w:t xml:space="preserve"> </w:t>
      </w:r>
    </w:p>
    <w:p w14:paraId="0BF70978" w14:textId="01F52DB1" w:rsidR="00000773" w:rsidRDefault="00000773" w:rsidP="00000773">
      <w:pPr>
        <w:spacing w:line="360" w:lineRule="auto"/>
        <w:jc w:val="both"/>
        <w:rPr>
          <w:lang w:val="en-GB"/>
        </w:rPr>
      </w:pPr>
      <w:r>
        <w:rPr>
          <w:lang w:val="en-GB"/>
        </w:rPr>
        <w:lastRenderedPageBreak/>
        <w:t xml:space="preserve">For an overview of the relevant literature regarding the </w:t>
      </w:r>
      <w:r w:rsidR="003202F7">
        <w:rPr>
          <w:lang w:val="en-GB"/>
        </w:rPr>
        <w:t>relation between equity compensation and performance</w:t>
      </w:r>
      <w:r>
        <w:rPr>
          <w:lang w:val="en-GB"/>
        </w:rPr>
        <w:t>, see the tabular summary in the Appendix with concise description of the articles.</w:t>
      </w:r>
    </w:p>
    <w:p w14:paraId="2E97C453" w14:textId="6FE993D2" w:rsidR="00ED49CB" w:rsidRDefault="00ED49CB" w:rsidP="00781DF1">
      <w:pPr>
        <w:pStyle w:val="Kop3"/>
      </w:pPr>
      <w:bookmarkStart w:id="18" w:name="_Toc439346624"/>
      <w:r>
        <w:t>2.2</w:t>
      </w:r>
      <w:r w:rsidR="00EA5361">
        <w:t>.3</w:t>
      </w:r>
      <w:r w:rsidRPr="00320226">
        <w:t xml:space="preserve"> </w:t>
      </w:r>
      <w:r w:rsidR="005038FC">
        <w:t>Performance measurement</w:t>
      </w:r>
      <w:bookmarkEnd w:id="18"/>
    </w:p>
    <w:p w14:paraId="2210B6A0" w14:textId="1DC197ED" w:rsidR="009A675C" w:rsidRDefault="002A4738" w:rsidP="009A675C">
      <w:pPr>
        <w:spacing w:line="360" w:lineRule="auto"/>
        <w:jc w:val="both"/>
        <w:rPr>
          <w:lang w:val="en-GB"/>
        </w:rPr>
      </w:pPr>
      <w:r>
        <w:rPr>
          <w:lang w:val="en-GB"/>
        </w:rPr>
        <w:t xml:space="preserve">As already explained, CFO compensation is a </w:t>
      </w:r>
      <w:r w:rsidR="008B528D">
        <w:rPr>
          <w:lang w:val="en-GB"/>
        </w:rPr>
        <w:t>type of result control. An important part of a</w:t>
      </w:r>
      <w:r>
        <w:rPr>
          <w:lang w:val="en-GB"/>
        </w:rPr>
        <w:t xml:space="preserve"> result control system is performance measurement. </w:t>
      </w:r>
      <w:r w:rsidR="009A675C">
        <w:rPr>
          <w:lang w:val="en-GB"/>
        </w:rPr>
        <w:t>The principal uses a contract in order to evaluate and compensate the agent on observed performance. Since direct performance measures are rarely possible</w:t>
      </w:r>
      <w:r w:rsidR="000B4933">
        <w:rPr>
          <w:lang w:val="en-GB"/>
        </w:rPr>
        <w:t>, because of the high complexity of tasks</w:t>
      </w:r>
      <w:r w:rsidR="009A675C">
        <w:rPr>
          <w:lang w:val="en-GB"/>
        </w:rPr>
        <w:t xml:space="preserve">, this requires performance measures that proxy the agent’s performance. However, the principal must deal with information asymmetry and monitoring costs, which often results in an imperfect performance measurement </w:t>
      </w:r>
      <w:r w:rsidR="009A675C">
        <w:rPr>
          <w:lang w:val="en-GB"/>
        </w:rPr>
        <w:fldChar w:fldCharType="begin"/>
      </w:r>
      <w:r w:rsidR="009A675C">
        <w:rPr>
          <w:lang w:val="en-GB"/>
        </w:rPr>
        <w:instrText>ADDIN RW.CITE{{25 Jensen,Michael.C. 1976; 32 Merchant,KennethA 2007}}</w:instrText>
      </w:r>
      <w:r w:rsidR="009A675C">
        <w:rPr>
          <w:lang w:val="en-GB"/>
        </w:rPr>
        <w:fldChar w:fldCharType="separate"/>
      </w:r>
      <w:r w:rsidR="00254F5A" w:rsidRPr="00254F5A">
        <w:rPr>
          <w:rFonts w:ascii="Calibri" w:hAnsi="Calibri"/>
          <w:lang w:val="en-GB"/>
        </w:rPr>
        <w:t>(Jensen &amp; Meckling, 1976; Merchant &amp; Van der Stede, 2007)</w:t>
      </w:r>
      <w:r w:rsidR="009A675C">
        <w:rPr>
          <w:lang w:val="en-GB"/>
        </w:rPr>
        <w:fldChar w:fldCharType="end"/>
      </w:r>
      <w:r w:rsidR="009A675C">
        <w:rPr>
          <w:lang w:val="en-GB"/>
        </w:rPr>
        <w:t xml:space="preserve">. </w:t>
      </w:r>
    </w:p>
    <w:p w14:paraId="763AEE11" w14:textId="7AEDE5A0" w:rsidR="009A675C" w:rsidRDefault="00ED49CB" w:rsidP="009A675C">
      <w:pPr>
        <w:spacing w:line="360" w:lineRule="auto"/>
        <w:jc w:val="both"/>
        <w:rPr>
          <w:lang w:val="en-GB"/>
        </w:rPr>
      </w:pPr>
      <w:r w:rsidRPr="00242901">
        <w:rPr>
          <w:lang w:val="en-GB"/>
        </w:rPr>
        <w:t xml:space="preserve">The </w:t>
      </w:r>
      <w:r>
        <w:rPr>
          <w:lang w:val="en-GB"/>
        </w:rPr>
        <w:t>conventional</w:t>
      </w:r>
      <w:r w:rsidRPr="00242901">
        <w:rPr>
          <w:lang w:val="en-GB"/>
        </w:rPr>
        <w:t xml:space="preserve"> way to measure performance is based on financial metric</w:t>
      </w:r>
      <w:r>
        <w:rPr>
          <w:lang w:val="en-GB"/>
        </w:rPr>
        <w:t>s</w:t>
      </w:r>
      <w:r w:rsidR="007B76D4">
        <w:rPr>
          <w:lang w:val="en-GB"/>
        </w:rPr>
        <w:t xml:space="preserve"> </w:t>
      </w:r>
      <w:r w:rsidR="007B76D4">
        <w:rPr>
          <w:lang w:val="en-GB"/>
        </w:rPr>
        <w:fldChar w:fldCharType="begin"/>
      </w:r>
      <w:r w:rsidR="007B76D4">
        <w:rPr>
          <w:lang w:val="en-GB"/>
        </w:rPr>
        <w:instrText>ADDIN RW.CITE{{23 Schiehll,Eduardo 2009}}</w:instrText>
      </w:r>
      <w:r w:rsidR="007B76D4">
        <w:rPr>
          <w:lang w:val="en-GB"/>
        </w:rPr>
        <w:fldChar w:fldCharType="separate"/>
      </w:r>
      <w:r w:rsidR="00254F5A" w:rsidRPr="00254F5A">
        <w:rPr>
          <w:rFonts w:ascii="Calibri" w:hAnsi="Calibri"/>
          <w:lang w:val="en-GB"/>
        </w:rPr>
        <w:t>(Schiehll &amp; Bellavance, 2009)</w:t>
      </w:r>
      <w:r w:rsidR="007B76D4">
        <w:rPr>
          <w:lang w:val="en-GB"/>
        </w:rPr>
        <w:fldChar w:fldCharType="end"/>
      </w:r>
      <w:r>
        <w:rPr>
          <w:lang w:val="en-GB"/>
        </w:rPr>
        <w:t>, such as earnings per share or</w:t>
      </w:r>
      <w:r w:rsidR="001D673B">
        <w:rPr>
          <w:lang w:val="en-GB"/>
        </w:rPr>
        <w:t xml:space="preserve"> return on investment. </w:t>
      </w:r>
      <w:r w:rsidR="00E56F6F">
        <w:rPr>
          <w:lang w:val="en-GB"/>
        </w:rPr>
        <w:t xml:space="preserve">Although CFO compensation is still strongly related to firm financial performance </w:t>
      </w:r>
      <w:r w:rsidR="00E56F6F">
        <w:rPr>
          <w:lang w:val="en-GB"/>
        </w:rPr>
        <w:fldChar w:fldCharType="begin"/>
      </w:r>
      <w:r w:rsidR="00E56F6F">
        <w:rPr>
          <w:lang w:val="en-GB"/>
        </w:rPr>
        <w:instrText>ADDIN RW.CITE{{17 Gore,AngelaK. 2011}}</w:instrText>
      </w:r>
      <w:r w:rsidR="00E56F6F">
        <w:rPr>
          <w:lang w:val="en-GB"/>
        </w:rPr>
        <w:fldChar w:fldCharType="separate"/>
      </w:r>
      <w:r w:rsidR="00254F5A" w:rsidRPr="00254F5A">
        <w:rPr>
          <w:rFonts w:ascii="Calibri" w:hAnsi="Calibri"/>
          <w:lang w:val="en-GB"/>
        </w:rPr>
        <w:t>(Gore, Matsunaga, &amp; Yeung, 2011)</w:t>
      </w:r>
      <w:r w:rsidR="00E56F6F">
        <w:rPr>
          <w:lang w:val="en-GB"/>
        </w:rPr>
        <w:fldChar w:fldCharType="end"/>
      </w:r>
      <w:r w:rsidR="00E56F6F">
        <w:rPr>
          <w:lang w:val="en-GB"/>
        </w:rPr>
        <w:t>, r</w:t>
      </w:r>
      <w:r w:rsidR="00E56F6F" w:rsidRPr="00242901">
        <w:rPr>
          <w:lang w:val="en-GB"/>
        </w:rPr>
        <w:t>ecent studies report an increasing</w:t>
      </w:r>
      <w:r w:rsidR="00E56F6F">
        <w:rPr>
          <w:lang w:val="en-GB"/>
        </w:rPr>
        <w:t xml:space="preserve"> use of non-financial measures. </w:t>
      </w:r>
      <w:r w:rsidRPr="00242901">
        <w:rPr>
          <w:lang w:val="en-GB"/>
        </w:rPr>
        <w:t>These are measures such as market share, efficiency, productivity, product quality, customer satisfaction and employee satisfaction</w:t>
      </w:r>
      <w:r>
        <w:rPr>
          <w:lang w:val="en-GB"/>
        </w:rPr>
        <w:t xml:space="preserve"> </w:t>
      </w:r>
      <w:r>
        <w:rPr>
          <w:lang w:val="en-GB"/>
        </w:rPr>
        <w:fldChar w:fldCharType="begin"/>
      </w:r>
      <w:r w:rsidR="00781DF1">
        <w:rPr>
          <w:lang w:val="en-GB"/>
        </w:rPr>
        <w:instrText>ADDIN RW.CITE{{3 Banker,RajivD. 2000; 7 Indjejikian,Raffi 2009}}</w:instrText>
      </w:r>
      <w:r>
        <w:rPr>
          <w:lang w:val="en-GB"/>
        </w:rPr>
        <w:fldChar w:fldCharType="separate"/>
      </w:r>
      <w:r w:rsidR="00254F5A" w:rsidRPr="00254F5A">
        <w:rPr>
          <w:rFonts w:ascii="Calibri" w:hAnsi="Calibri"/>
          <w:lang w:val="en-GB"/>
        </w:rPr>
        <w:t>(Banker et al., 2000; Indjejikian &amp; Matêjka, 2009)</w:t>
      </w:r>
      <w:r>
        <w:rPr>
          <w:lang w:val="en-GB"/>
        </w:rPr>
        <w:fldChar w:fldCharType="end"/>
      </w:r>
      <w:r w:rsidRPr="00242901">
        <w:rPr>
          <w:lang w:val="en-GB"/>
        </w:rPr>
        <w:t xml:space="preserve">. </w:t>
      </w:r>
      <w:r w:rsidR="009E0094">
        <w:rPr>
          <w:lang w:val="en-GB"/>
        </w:rPr>
        <w:t>Non-financial measures</w:t>
      </w:r>
      <w:r w:rsidR="00E56F6F">
        <w:rPr>
          <w:lang w:val="en-GB"/>
        </w:rPr>
        <w:t xml:space="preserve"> can be</w:t>
      </w:r>
      <w:r w:rsidR="009E0094">
        <w:rPr>
          <w:lang w:val="en-GB"/>
        </w:rPr>
        <w:t xml:space="preserve"> better predictors of long-term financial performance</w:t>
      </w:r>
      <w:r w:rsidR="000B4933">
        <w:rPr>
          <w:lang w:val="en-GB"/>
        </w:rPr>
        <w:t xml:space="preserve"> than financial measures</w:t>
      </w:r>
      <w:r w:rsidR="00E56F6F">
        <w:rPr>
          <w:lang w:val="en-GB"/>
        </w:rPr>
        <w:t xml:space="preserve">, since non-financial measures are proven to be leading indicators and are linked to the lagging indicators such as financial performance </w:t>
      </w:r>
      <w:r w:rsidR="00E56F6F">
        <w:rPr>
          <w:lang w:val="en-GB"/>
        </w:rPr>
        <w:fldChar w:fldCharType="begin"/>
      </w:r>
      <w:r w:rsidR="00E56F6F">
        <w:rPr>
          <w:lang w:val="en-GB"/>
        </w:rPr>
        <w:instrText>ADDIN RW.CITE{{3 Banker,RajivD. 2000}}</w:instrText>
      </w:r>
      <w:r w:rsidR="00E56F6F">
        <w:rPr>
          <w:lang w:val="en-GB"/>
        </w:rPr>
        <w:fldChar w:fldCharType="separate"/>
      </w:r>
      <w:r w:rsidR="00E56F6F" w:rsidRPr="00E56F6F">
        <w:rPr>
          <w:rFonts w:ascii="Calibri" w:hAnsi="Calibri"/>
          <w:lang w:val="en-GB"/>
        </w:rPr>
        <w:t>(Banker et al., 2000)</w:t>
      </w:r>
      <w:r w:rsidR="00E56F6F">
        <w:rPr>
          <w:lang w:val="en-GB"/>
        </w:rPr>
        <w:fldChar w:fldCharType="end"/>
      </w:r>
      <w:r w:rsidR="00E56F6F">
        <w:rPr>
          <w:lang w:val="en-GB"/>
        </w:rPr>
        <w:t>.</w:t>
      </w:r>
      <w:r w:rsidRPr="00242901">
        <w:rPr>
          <w:lang w:val="en-GB"/>
        </w:rPr>
        <w:t xml:space="preserve"> </w:t>
      </w:r>
    </w:p>
    <w:p w14:paraId="3FEBE017" w14:textId="76784785" w:rsidR="00ED49CB" w:rsidRDefault="00ED49CB" w:rsidP="009A675C">
      <w:pPr>
        <w:spacing w:line="360" w:lineRule="auto"/>
        <w:jc w:val="both"/>
        <w:rPr>
          <w:lang w:val="en-GB"/>
        </w:rPr>
      </w:pPr>
      <w:r>
        <w:rPr>
          <w:lang w:val="en-GB"/>
        </w:rPr>
        <w:t xml:space="preserve">However, in most of the cases the compensation of the </w:t>
      </w:r>
      <w:r w:rsidRPr="00242901">
        <w:rPr>
          <w:lang w:val="en-GB"/>
        </w:rPr>
        <w:t>CFO i</w:t>
      </w:r>
      <w:r>
        <w:rPr>
          <w:lang w:val="en-GB"/>
        </w:rPr>
        <w:t xml:space="preserve">s based on only financial performance measures. </w:t>
      </w:r>
      <w:r w:rsidRPr="00242901">
        <w:rPr>
          <w:lang w:val="en-GB"/>
        </w:rPr>
        <w:t>This actually means that CFOs are evaluated based on performance measures they generate themselves</w:t>
      </w:r>
      <w:r>
        <w:rPr>
          <w:lang w:val="en-GB"/>
        </w:rPr>
        <w:t xml:space="preserve"> </w:t>
      </w:r>
      <w:r>
        <w:rPr>
          <w:lang w:val="en-GB"/>
        </w:rPr>
        <w:fldChar w:fldCharType="begin"/>
      </w:r>
      <w:r>
        <w:rPr>
          <w:lang w:val="en-GB"/>
        </w:rPr>
        <w:instrText>ADDIN RW.CITE{{7 Indjejikian,Raffi 2009}}</w:instrText>
      </w:r>
      <w:r>
        <w:rPr>
          <w:lang w:val="en-GB"/>
        </w:rPr>
        <w:fldChar w:fldCharType="separate"/>
      </w:r>
      <w:r w:rsidR="00254F5A" w:rsidRPr="00254F5A">
        <w:rPr>
          <w:rFonts w:ascii="Calibri" w:hAnsi="Calibri"/>
          <w:lang w:val="en-GB"/>
        </w:rPr>
        <w:t>(Indjejikian &amp; Matêjka, 2009)</w:t>
      </w:r>
      <w:r>
        <w:rPr>
          <w:lang w:val="en-GB"/>
        </w:rPr>
        <w:fldChar w:fldCharType="end"/>
      </w:r>
      <w:r w:rsidR="00ED1412">
        <w:rPr>
          <w:lang w:val="en-GB"/>
        </w:rPr>
        <w:t>, which increases the chance of manipulation and incorrect performance measurement.</w:t>
      </w:r>
    </w:p>
    <w:p w14:paraId="2A50E57D" w14:textId="172A2A24" w:rsidR="00855DA1" w:rsidRPr="008B528D" w:rsidRDefault="00ED49CB" w:rsidP="008B528D">
      <w:pPr>
        <w:pStyle w:val="Kop2"/>
      </w:pPr>
      <w:bookmarkStart w:id="19" w:name="_Toc439346625"/>
      <w:r>
        <w:t>2.3</w:t>
      </w:r>
      <w:r w:rsidR="00855DA1" w:rsidRPr="00520670">
        <w:t xml:space="preserve"> </w:t>
      </w:r>
      <w:r w:rsidR="002075A6">
        <w:t>CFO responsibilities</w:t>
      </w:r>
      <w:bookmarkEnd w:id="19"/>
    </w:p>
    <w:p w14:paraId="7C80C559" w14:textId="1FBC7DBA" w:rsidR="00855DA1" w:rsidRDefault="002075A6" w:rsidP="00855DA1">
      <w:pPr>
        <w:pStyle w:val="Geenafstand"/>
        <w:spacing w:line="360" w:lineRule="auto"/>
        <w:jc w:val="both"/>
        <w:rPr>
          <w:lang w:val="en-GB"/>
        </w:rPr>
      </w:pPr>
      <w:r>
        <w:rPr>
          <w:lang w:val="en-GB"/>
        </w:rPr>
        <w:t>The previous section describe</w:t>
      </w:r>
      <w:r w:rsidR="008B528D">
        <w:rPr>
          <w:lang w:val="en-GB"/>
        </w:rPr>
        <w:t>s</w:t>
      </w:r>
      <w:r>
        <w:rPr>
          <w:lang w:val="en-GB"/>
        </w:rPr>
        <w:t xml:space="preserve"> </w:t>
      </w:r>
      <w:r w:rsidR="002A4738">
        <w:rPr>
          <w:lang w:val="en-GB"/>
        </w:rPr>
        <w:t xml:space="preserve">the various elements of the control system for the </w:t>
      </w:r>
      <w:r>
        <w:rPr>
          <w:lang w:val="en-GB"/>
        </w:rPr>
        <w:t xml:space="preserve">CFO </w:t>
      </w:r>
      <w:r w:rsidR="002A4738">
        <w:rPr>
          <w:lang w:val="en-GB"/>
        </w:rPr>
        <w:t>to</w:t>
      </w:r>
      <w:r>
        <w:rPr>
          <w:lang w:val="en-GB"/>
        </w:rPr>
        <w:t xml:space="preserve"> </w:t>
      </w:r>
      <w:r w:rsidR="002A4738">
        <w:rPr>
          <w:lang w:val="en-GB"/>
        </w:rPr>
        <w:t xml:space="preserve">align </w:t>
      </w:r>
      <w:r w:rsidR="008B528D">
        <w:rPr>
          <w:lang w:val="en-GB"/>
        </w:rPr>
        <w:t>the CFO’s goals w</w:t>
      </w:r>
      <w:r>
        <w:rPr>
          <w:lang w:val="en-GB"/>
        </w:rPr>
        <w:t xml:space="preserve">ith the company goals. This section explains in which direction the CFO’s effort must be aligned, in other words: what are the responsibilities of the CFO? </w:t>
      </w:r>
      <w:r w:rsidR="00855DA1">
        <w:rPr>
          <w:lang w:val="en-GB"/>
        </w:rPr>
        <w:t xml:space="preserve">The </w:t>
      </w:r>
      <w:r w:rsidR="00F35228">
        <w:rPr>
          <w:lang w:val="en-GB"/>
        </w:rPr>
        <w:t>literature</w:t>
      </w:r>
      <w:r w:rsidR="00855DA1">
        <w:rPr>
          <w:lang w:val="en-GB"/>
        </w:rPr>
        <w:t xml:space="preserve"> </w:t>
      </w:r>
      <w:r w:rsidR="005C219B">
        <w:rPr>
          <w:lang w:val="en-GB"/>
        </w:rPr>
        <w:t>distinguishes</w:t>
      </w:r>
      <w:r w:rsidR="00F35228">
        <w:rPr>
          <w:lang w:val="en-GB"/>
        </w:rPr>
        <w:t xml:space="preserve"> </w:t>
      </w:r>
      <w:r w:rsidR="00855DA1">
        <w:rPr>
          <w:lang w:val="en-GB"/>
        </w:rPr>
        <w:t>two</w:t>
      </w:r>
      <w:r w:rsidR="005C219B">
        <w:rPr>
          <w:lang w:val="en-GB"/>
        </w:rPr>
        <w:t xml:space="preserve"> responsibilities of the CFO:</w:t>
      </w:r>
      <w:r w:rsidR="00855DA1">
        <w:rPr>
          <w:lang w:val="en-GB"/>
        </w:rPr>
        <w:t xml:space="preserve"> </w:t>
      </w:r>
      <w:r w:rsidR="005C219B">
        <w:rPr>
          <w:lang w:val="en-GB"/>
        </w:rPr>
        <w:t xml:space="preserve">the </w:t>
      </w:r>
      <w:r w:rsidR="00855DA1">
        <w:rPr>
          <w:lang w:val="en-GB"/>
        </w:rPr>
        <w:t xml:space="preserve">managerial responsibility and </w:t>
      </w:r>
      <w:r w:rsidR="005C219B">
        <w:rPr>
          <w:lang w:val="en-GB"/>
        </w:rPr>
        <w:t xml:space="preserve">the </w:t>
      </w:r>
      <w:r w:rsidR="00855DA1">
        <w:rPr>
          <w:lang w:val="en-GB"/>
        </w:rPr>
        <w:t>fiduciary responsibility</w:t>
      </w:r>
      <w:r w:rsidR="00EF01D5">
        <w:rPr>
          <w:lang w:val="en-GB"/>
        </w:rPr>
        <w:t xml:space="preserve"> </w:t>
      </w:r>
      <w:r w:rsidR="00EF01D5">
        <w:rPr>
          <w:lang w:val="en-GB"/>
        </w:rPr>
        <w:fldChar w:fldCharType="begin"/>
      </w:r>
      <w:r w:rsidR="00EF01D5">
        <w:rPr>
          <w:lang w:val="en-GB"/>
        </w:rPr>
        <w:instrText>ADDIN RW.CITE{{7 Indjejikian,Raffi 2009; 6 Hoitash,Rani 2012}}</w:instrText>
      </w:r>
      <w:r w:rsidR="00EF01D5">
        <w:rPr>
          <w:lang w:val="en-GB"/>
        </w:rPr>
        <w:fldChar w:fldCharType="separate"/>
      </w:r>
      <w:r w:rsidR="00254F5A" w:rsidRPr="00254F5A">
        <w:rPr>
          <w:rFonts w:ascii="Calibri" w:hAnsi="Calibri"/>
          <w:lang w:val="en-GB"/>
        </w:rPr>
        <w:t>(Hoitash et al., 2012; Indjejikian &amp; Matêjka, 2009)</w:t>
      </w:r>
      <w:r w:rsidR="00EF01D5">
        <w:rPr>
          <w:lang w:val="en-GB"/>
        </w:rPr>
        <w:fldChar w:fldCharType="end"/>
      </w:r>
      <w:r w:rsidR="007E34CC">
        <w:rPr>
          <w:lang w:val="en-GB"/>
        </w:rPr>
        <w:t xml:space="preserve">. Subsequently, </w:t>
      </w:r>
      <w:r w:rsidR="00AD3FE1">
        <w:rPr>
          <w:lang w:val="en-GB"/>
        </w:rPr>
        <w:t xml:space="preserve">the total CFO performance is examined. </w:t>
      </w:r>
      <w:r w:rsidR="007E34CC">
        <w:rPr>
          <w:lang w:val="en-GB"/>
        </w:rPr>
        <w:t xml:space="preserve"> </w:t>
      </w:r>
    </w:p>
    <w:p w14:paraId="731FD879" w14:textId="76D0EB1A" w:rsidR="00855DA1" w:rsidRPr="00783837" w:rsidRDefault="00ED49CB" w:rsidP="00855DA1">
      <w:pPr>
        <w:pStyle w:val="Kop3"/>
      </w:pPr>
      <w:bookmarkStart w:id="20" w:name="_Toc439346626"/>
      <w:r>
        <w:t>2.3</w:t>
      </w:r>
      <w:r w:rsidR="000601F2">
        <w:t>.1</w:t>
      </w:r>
      <w:r w:rsidR="00855DA1" w:rsidRPr="00783837">
        <w:t xml:space="preserve"> </w:t>
      </w:r>
      <w:r w:rsidR="00C62D2C">
        <w:t>T</w:t>
      </w:r>
      <w:r w:rsidR="00855DA1">
        <w:t>he</w:t>
      </w:r>
      <w:r w:rsidR="00855DA1" w:rsidRPr="00783837">
        <w:t xml:space="preserve"> fiduciary responsibility</w:t>
      </w:r>
      <w:bookmarkEnd w:id="20"/>
    </w:p>
    <w:p w14:paraId="27C07E96" w14:textId="294F5DCF" w:rsidR="00855DA1" w:rsidRDefault="00DC0B20" w:rsidP="00855DA1">
      <w:pPr>
        <w:pStyle w:val="Geenafstand"/>
        <w:spacing w:line="360" w:lineRule="auto"/>
        <w:jc w:val="both"/>
        <w:rPr>
          <w:lang w:val="en-GB"/>
        </w:rPr>
      </w:pPr>
      <w:r>
        <w:rPr>
          <w:lang w:val="en-GB"/>
        </w:rPr>
        <w:t>T</w:t>
      </w:r>
      <w:r w:rsidR="00A06D7D">
        <w:rPr>
          <w:lang w:val="en-GB"/>
        </w:rPr>
        <w:t xml:space="preserve">he fiduciary responsibility of the CFO implies the production of </w:t>
      </w:r>
      <w:r w:rsidR="00A06D7D" w:rsidRPr="00242901">
        <w:rPr>
          <w:lang w:val="en-GB"/>
        </w:rPr>
        <w:t>financial statements that fairly represent the firm’s financial position</w:t>
      </w:r>
      <w:r w:rsidR="00A06D7D">
        <w:rPr>
          <w:lang w:val="en-GB"/>
        </w:rPr>
        <w:t xml:space="preserve"> </w:t>
      </w:r>
      <w:r w:rsidR="00A06D7D">
        <w:rPr>
          <w:lang w:val="en-GB"/>
        </w:rPr>
        <w:fldChar w:fldCharType="begin"/>
      </w:r>
      <w:r w:rsidR="00A06D7D">
        <w:rPr>
          <w:lang w:val="en-GB"/>
        </w:rPr>
        <w:instrText>ADDIN RW.CITE{{7 Indjejikian,Raffi 2009}}</w:instrText>
      </w:r>
      <w:r w:rsidR="00A06D7D">
        <w:rPr>
          <w:lang w:val="en-GB"/>
        </w:rPr>
        <w:fldChar w:fldCharType="separate"/>
      </w:r>
      <w:r w:rsidR="00254F5A" w:rsidRPr="00254F5A">
        <w:rPr>
          <w:rFonts w:ascii="Calibri" w:hAnsi="Calibri"/>
          <w:lang w:val="en-GB"/>
        </w:rPr>
        <w:t>(Indjejikian &amp; Matêjka, 2009)</w:t>
      </w:r>
      <w:r w:rsidR="00A06D7D">
        <w:rPr>
          <w:lang w:val="en-GB"/>
        </w:rPr>
        <w:fldChar w:fldCharType="end"/>
      </w:r>
      <w:r w:rsidR="00A06D7D">
        <w:rPr>
          <w:lang w:val="en-GB"/>
        </w:rPr>
        <w:t>.</w:t>
      </w:r>
      <w:r w:rsidR="00B94343">
        <w:rPr>
          <w:lang w:val="en-GB"/>
        </w:rPr>
        <w:t xml:space="preserve"> </w:t>
      </w:r>
      <w:r w:rsidR="00170DA3">
        <w:rPr>
          <w:lang w:val="en-GB"/>
        </w:rPr>
        <w:t xml:space="preserve">Firm’s financial statements summarize the economic consequences of its business activities. </w:t>
      </w:r>
      <w:r w:rsidR="00B94343">
        <w:rPr>
          <w:lang w:val="en-GB"/>
        </w:rPr>
        <w:t>However, t</w:t>
      </w:r>
      <w:r w:rsidR="00BC607B">
        <w:rPr>
          <w:lang w:val="en-GB"/>
        </w:rPr>
        <w:t xml:space="preserve">he firm’s business </w:t>
      </w:r>
      <w:r w:rsidR="00BC607B">
        <w:rPr>
          <w:lang w:val="en-GB"/>
        </w:rPr>
        <w:lastRenderedPageBreak/>
        <w:t xml:space="preserve">activities in any time period are too numerous to be reported individually to outsiders. Further, </w:t>
      </w:r>
      <w:r w:rsidR="00B94343">
        <w:rPr>
          <w:lang w:val="en-GB"/>
        </w:rPr>
        <w:t>the competitive position of a firm would be harmed by disclosing information that is proprietary. Therefore, t</w:t>
      </w:r>
      <w:r w:rsidR="00BC607B">
        <w:rPr>
          <w:lang w:val="en-GB"/>
        </w:rPr>
        <w:t>he firm’s accounting system provides a mechanism through which business activities are selected, measured, and aggregated into financial statement data</w:t>
      </w:r>
      <w:r w:rsidR="00116A62">
        <w:rPr>
          <w:lang w:val="en-GB"/>
        </w:rPr>
        <w:t xml:space="preserve"> </w:t>
      </w:r>
      <w:r w:rsidR="00116A62">
        <w:rPr>
          <w:lang w:val="en-GB"/>
        </w:rPr>
        <w:fldChar w:fldCharType="begin"/>
      </w:r>
      <w:r w:rsidR="00116A62">
        <w:rPr>
          <w:lang w:val="en-GB"/>
        </w:rPr>
        <w:instrText>ADDIN RW.CITE{{34 Palepu,KrishnaG 2007}}</w:instrText>
      </w:r>
      <w:r w:rsidR="00116A62">
        <w:rPr>
          <w:lang w:val="en-GB"/>
        </w:rPr>
        <w:fldChar w:fldCharType="separate"/>
      </w:r>
      <w:r w:rsidR="00254F5A" w:rsidRPr="00254F5A">
        <w:rPr>
          <w:rFonts w:ascii="Calibri" w:hAnsi="Calibri"/>
          <w:lang w:val="en-GB"/>
        </w:rPr>
        <w:t>(Palepu, Healy, &amp; Peek, 2007)</w:t>
      </w:r>
      <w:r w:rsidR="00116A62">
        <w:rPr>
          <w:lang w:val="en-GB"/>
        </w:rPr>
        <w:fldChar w:fldCharType="end"/>
      </w:r>
      <w:r w:rsidR="00BC607B">
        <w:rPr>
          <w:lang w:val="en-GB"/>
        </w:rPr>
        <w:t xml:space="preserve">. Investors and other stakeholders rely on these financial statements to assess the plans and performance of firms and corporate managers </w:t>
      </w:r>
      <w:r w:rsidR="00116A62">
        <w:rPr>
          <w:lang w:val="en-GB"/>
        </w:rPr>
        <w:fldChar w:fldCharType="begin"/>
      </w:r>
      <w:r w:rsidR="00116A62">
        <w:rPr>
          <w:lang w:val="en-GB"/>
        </w:rPr>
        <w:instrText>ADDIN RW.CITE{{34 Palepu,KrishnaG 2007}}</w:instrText>
      </w:r>
      <w:r w:rsidR="00116A62">
        <w:rPr>
          <w:lang w:val="en-GB"/>
        </w:rPr>
        <w:fldChar w:fldCharType="separate"/>
      </w:r>
      <w:r w:rsidR="00116A62" w:rsidRPr="00116A62">
        <w:rPr>
          <w:rFonts w:ascii="Calibri" w:hAnsi="Calibri"/>
          <w:lang w:val="en-GB"/>
        </w:rPr>
        <w:t>(Palepu et al., 2007)</w:t>
      </w:r>
      <w:r w:rsidR="00116A62">
        <w:rPr>
          <w:lang w:val="en-GB"/>
        </w:rPr>
        <w:fldChar w:fldCharType="end"/>
      </w:r>
      <w:r w:rsidR="00BC607B">
        <w:rPr>
          <w:lang w:val="en-GB"/>
        </w:rPr>
        <w:t xml:space="preserve">. </w:t>
      </w:r>
    </w:p>
    <w:p w14:paraId="1EC5183C" w14:textId="43B67C4F" w:rsidR="00855DA1" w:rsidRPr="00A14FDA" w:rsidRDefault="00855DA1" w:rsidP="00855DA1">
      <w:pPr>
        <w:pStyle w:val="Kop3"/>
      </w:pPr>
      <w:bookmarkStart w:id="21" w:name="_Toc439346627"/>
      <w:r>
        <w:t>2.</w:t>
      </w:r>
      <w:r w:rsidR="00ED49CB">
        <w:t>3</w:t>
      </w:r>
      <w:r w:rsidR="000601F2">
        <w:t>.2</w:t>
      </w:r>
      <w:r w:rsidRPr="00783837">
        <w:t xml:space="preserve"> Empirical evidence </w:t>
      </w:r>
      <w:r>
        <w:t xml:space="preserve">of the </w:t>
      </w:r>
      <w:r w:rsidRPr="00783837">
        <w:t>fiduciary responsibility</w:t>
      </w:r>
      <w:bookmarkEnd w:id="21"/>
    </w:p>
    <w:p w14:paraId="4D130EEA" w14:textId="0633117B" w:rsidR="00170DA3" w:rsidRDefault="00170DA3" w:rsidP="00DB5CD5">
      <w:pPr>
        <w:spacing w:line="360" w:lineRule="auto"/>
        <w:jc w:val="both"/>
        <w:rPr>
          <w:lang w:val="en-GB"/>
        </w:rPr>
      </w:pPr>
      <w:r w:rsidRPr="00242901">
        <w:rPr>
          <w:lang w:val="en-GB"/>
        </w:rPr>
        <w:t xml:space="preserve">The executive position of the CFO makes it very likely that he has the most control over </w:t>
      </w:r>
      <w:r>
        <w:rPr>
          <w:lang w:val="en-GB"/>
        </w:rPr>
        <w:t>the quality of the reports</w:t>
      </w:r>
      <w:r w:rsidRPr="00242901">
        <w:rPr>
          <w:lang w:val="en-GB"/>
        </w:rPr>
        <w:t xml:space="preserve"> of the firm, and thus is a very important determinant in the reporting process</w:t>
      </w:r>
      <w:r w:rsidR="000B6A73">
        <w:rPr>
          <w:lang w:val="en-GB"/>
        </w:rPr>
        <w:t xml:space="preserve"> </w:t>
      </w:r>
      <w:r w:rsidR="000B6A73">
        <w:rPr>
          <w:lang w:val="en-GB"/>
        </w:rPr>
        <w:fldChar w:fldCharType="begin"/>
      </w:r>
      <w:r w:rsidR="000B6A73">
        <w:rPr>
          <w:lang w:val="en-GB"/>
        </w:rPr>
        <w:instrText>ADDIN RW.CITE{{35 Mian,Shehzad 2001}}</w:instrText>
      </w:r>
      <w:r w:rsidR="000B6A73">
        <w:rPr>
          <w:lang w:val="en-GB"/>
        </w:rPr>
        <w:fldChar w:fldCharType="separate"/>
      </w:r>
      <w:r w:rsidR="000B6A73" w:rsidRPr="000B6A73">
        <w:rPr>
          <w:rFonts w:ascii="Calibri" w:hAnsi="Calibri"/>
          <w:lang w:val="en-GB"/>
        </w:rPr>
        <w:t>(, 2001)</w:t>
      </w:r>
      <w:r w:rsidR="000B6A73">
        <w:rPr>
          <w:lang w:val="en-GB"/>
        </w:rPr>
        <w:fldChar w:fldCharType="end"/>
      </w:r>
      <w:r w:rsidRPr="00242901">
        <w:rPr>
          <w:lang w:val="en-GB"/>
        </w:rPr>
        <w:t xml:space="preserve">. </w:t>
      </w:r>
      <w:r>
        <w:rPr>
          <w:lang w:val="en-GB"/>
        </w:rPr>
        <w:t xml:space="preserve">This </w:t>
      </w:r>
      <w:r w:rsidRPr="00242901">
        <w:rPr>
          <w:lang w:val="en-GB"/>
        </w:rPr>
        <w:t xml:space="preserve">importance </w:t>
      </w:r>
      <w:r>
        <w:rPr>
          <w:lang w:val="en-GB"/>
        </w:rPr>
        <w:t xml:space="preserve">of the function of the CFO </w:t>
      </w:r>
      <w:r w:rsidRPr="00242901">
        <w:rPr>
          <w:lang w:val="en-GB"/>
        </w:rPr>
        <w:t>is underscore</w:t>
      </w:r>
      <w:r>
        <w:rPr>
          <w:lang w:val="en-GB"/>
        </w:rPr>
        <w:t>d by Geiger and North, who investigated the association between accruals</w:t>
      </w:r>
      <w:r>
        <w:rPr>
          <w:rStyle w:val="Voetnootmarkering"/>
          <w:lang w:val="en-GB"/>
        </w:rPr>
        <w:footnoteReference w:id="11"/>
      </w:r>
      <w:r>
        <w:rPr>
          <w:lang w:val="en-GB"/>
        </w:rPr>
        <w:t xml:space="preserve"> and </w:t>
      </w:r>
      <w:r w:rsidR="00AD3FE1">
        <w:rPr>
          <w:lang w:val="en-GB"/>
        </w:rPr>
        <w:t xml:space="preserve">the appointment of a </w:t>
      </w:r>
      <w:r>
        <w:rPr>
          <w:lang w:val="en-GB"/>
        </w:rPr>
        <w:t xml:space="preserve">CFO </w:t>
      </w:r>
      <w:r w:rsidR="00AD3FE1">
        <w:rPr>
          <w:lang w:val="en-GB"/>
        </w:rPr>
        <w:t>to the board</w:t>
      </w:r>
      <w:r>
        <w:rPr>
          <w:lang w:val="en-GB"/>
        </w:rPr>
        <w:t>. They found that</w:t>
      </w:r>
      <w:r w:rsidRPr="00242901">
        <w:rPr>
          <w:lang w:val="en-GB"/>
        </w:rPr>
        <w:t xml:space="preserve"> discretionary accruals decrease significantly after the appointment of a new CFO</w:t>
      </w:r>
      <w:r>
        <w:rPr>
          <w:lang w:val="en-GB"/>
        </w:rPr>
        <w:t xml:space="preserve"> </w:t>
      </w:r>
      <w:r>
        <w:rPr>
          <w:lang w:val="en-GB"/>
        </w:rPr>
        <w:fldChar w:fldCharType="begin"/>
      </w:r>
      <w:r>
        <w:rPr>
          <w:lang w:val="en-GB"/>
        </w:rPr>
        <w:instrText>ADDIN RW.CITE{{5 Geiger,MarshallA. 2006}}</w:instrText>
      </w:r>
      <w:r>
        <w:rPr>
          <w:lang w:val="en-GB"/>
        </w:rPr>
        <w:fldChar w:fldCharType="separate"/>
      </w:r>
      <w:r w:rsidR="00254F5A" w:rsidRPr="00254F5A">
        <w:rPr>
          <w:rFonts w:ascii="Calibri" w:hAnsi="Calibri"/>
          <w:lang w:val="en-GB"/>
        </w:rPr>
        <w:t>(Geiger &amp; North, 2006)</w:t>
      </w:r>
      <w:r>
        <w:rPr>
          <w:lang w:val="en-GB"/>
        </w:rPr>
        <w:fldChar w:fldCharType="end"/>
      </w:r>
      <w:r w:rsidRPr="00242901">
        <w:rPr>
          <w:lang w:val="en-GB"/>
        </w:rPr>
        <w:t xml:space="preserve">. </w:t>
      </w:r>
      <w:r>
        <w:rPr>
          <w:lang w:val="en-GB"/>
        </w:rPr>
        <w:t xml:space="preserve">Discretionary accruals are, as opposed to non-discretionary accruals, not caused by business conditions, but by management choices. Therefore, discretionary accruals are often noted as a measure of earnings management and indicate lower quality of reports </w:t>
      </w:r>
      <w:r>
        <w:rPr>
          <w:lang w:val="en-GB"/>
        </w:rPr>
        <w:fldChar w:fldCharType="begin"/>
      </w:r>
      <w:r>
        <w:rPr>
          <w:lang w:val="en-GB"/>
        </w:rPr>
        <w:instrText>ADDIN RW.CITE{{5 Geiger,MarshallA. 2006}}</w:instrText>
      </w:r>
      <w:r>
        <w:rPr>
          <w:lang w:val="en-GB"/>
        </w:rPr>
        <w:fldChar w:fldCharType="separate"/>
      </w:r>
      <w:r w:rsidR="00254F5A" w:rsidRPr="00254F5A">
        <w:rPr>
          <w:rFonts w:ascii="Calibri" w:hAnsi="Calibri"/>
          <w:lang w:val="en-GB"/>
        </w:rPr>
        <w:t>(Geiger &amp; North, 2006)</w:t>
      </w:r>
      <w:r>
        <w:rPr>
          <w:lang w:val="en-GB"/>
        </w:rPr>
        <w:fldChar w:fldCharType="end"/>
      </w:r>
      <w:r w:rsidR="009A4B30">
        <w:rPr>
          <w:lang w:val="en-GB"/>
        </w:rPr>
        <w:t>, so the appointment of a new CFO leads to significantly higher quality of financial reports.</w:t>
      </w:r>
      <w:r>
        <w:rPr>
          <w:lang w:val="en-GB"/>
        </w:rPr>
        <w:t xml:space="preserve"> </w:t>
      </w:r>
      <w:r w:rsidR="00001A6A">
        <w:rPr>
          <w:lang w:val="en-GB"/>
        </w:rPr>
        <w:t>Moreover</w:t>
      </w:r>
      <w:r w:rsidR="007E28B8">
        <w:rPr>
          <w:lang w:val="en-GB"/>
        </w:rPr>
        <w:t>, o</w:t>
      </w:r>
      <w:r w:rsidRPr="00242901">
        <w:rPr>
          <w:lang w:val="en-GB"/>
        </w:rPr>
        <w:t>ther research found evidence for the importance of CFO in improving internal control and financial reporting quality</w:t>
      </w:r>
      <w:r>
        <w:rPr>
          <w:lang w:val="en-GB"/>
        </w:rPr>
        <w:t xml:space="preserve"> </w:t>
      </w:r>
      <w:r>
        <w:rPr>
          <w:lang w:val="en-GB"/>
        </w:rPr>
        <w:fldChar w:fldCharType="begin"/>
      </w:r>
      <w:r>
        <w:rPr>
          <w:lang w:val="en-GB"/>
        </w:rPr>
        <w:instrText>ADDIN RW.CITE{{2 Abernethy,MargaretA. 2004; 10 Li,Chan 2010}}</w:instrText>
      </w:r>
      <w:r>
        <w:rPr>
          <w:lang w:val="en-GB"/>
        </w:rPr>
        <w:fldChar w:fldCharType="separate"/>
      </w:r>
      <w:r w:rsidR="00254F5A" w:rsidRPr="00254F5A">
        <w:rPr>
          <w:rFonts w:ascii="Calibri" w:hAnsi="Calibri"/>
          <w:lang w:val="en-GB"/>
        </w:rPr>
        <w:t>(Abernethy, Bouwens, &amp; van Lent, 2004; Li, Sun, &amp; Ettredge, 2010)</w:t>
      </w:r>
      <w:r>
        <w:rPr>
          <w:lang w:val="en-GB"/>
        </w:rPr>
        <w:fldChar w:fldCharType="end"/>
      </w:r>
      <w:r>
        <w:rPr>
          <w:lang w:val="en-GB"/>
        </w:rPr>
        <w:t xml:space="preserve">. </w:t>
      </w:r>
    </w:p>
    <w:p w14:paraId="72AD6811" w14:textId="45462EAF" w:rsidR="00E83C3D" w:rsidRDefault="00DB5CD5" w:rsidP="00DB5CD5">
      <w:pPr>
        <w:spacing w:line="360" w:lineRule="auto"/>
        <w:jc w:val="both"/>
        <w:rPr>
          <w:lang w:val="en-GB"/>
        </w:rPr>
      </w:pPr>
      <w:r>
        <w:rPr>
          <w:lang w:val="en-GB"/>
        </w:rPr>
        <w:t>R</w:t>
      </w:r>
      <w:r w:rsidR="00855DA1">
        <w:rPr>
          <w:lang w:val="en-GB"/>
        </w:rPr>
        <w:t xml:space="preserve">egarding the fiduciary responsibility, </w:t>
      </w:r>
      <w:r w:rsidR="00855DA1" w:rsidRPr="00242901">
        <w:rPr>
          <w:lang w:val="en-GB"/>
        </w:rPr>
        <w:t>Hoitash et al</w:t>
      </w:r>
      <w:r w:rsidR="00855DA1">
        <w:rPr>
          <w:lang w:val="en-GB"/>
        </w:rPr>
        <w:t xml:space="preserve">. (2012) examine </w:t>
      </w:r>
      <w:r w:rsidR="00855DA1" w:rsidRPr="00242901">
        <w:rPr>
          <w:lang w:val="en-GB"/>
        </w:rPr>
        <w:t>the effects of CFO fiduciary duties on compensation outcomes, while controlling for CFO managerial duties.</w:t>
      </w:r>
      <w:r w:rsidR="00C9241F">
        <w:rPr>
          <w:lang w:val="en-GB"/>
        </w:rPr>
        <w:t xml:space="preserve"> </w:t>
      </w:r>
      <w:r w:rsidR="00010AFE">
        <w:rPr>
          <w:lang w:val="en-GB"/>
        </w:rPr>
        <w:t xml:space="preserve">The disclosure of an internal control material weakness is used as the measure of CFO fiduciary performance. </w:t>
      </w:r>
      <w:r w:rsidR="00855DA1" w:rsidRPr="00242901">
        <w:rPr>
          <w:lang w:val="en-GB"/>
        </w:rPr>
        <w:t xml:space="preserve">Their study provides evidence that changes in CFO total, bonus and equity compensation are negatively associated with internal control </w:t>
      </w:r>
      <w:r w:rsidR="00855DA1">
        <w:rPr>
          <w:lang w:val="en-GB"/>
        </w:rPr>
        <w:t xml:space="preserve">material </w:t>
      </w:r>
      <w:r w:rsidR="00855DA1" w:rsidRPr="00242901">
        <w:rPr>
          <w:lang w:val="en-GB"/>
        </w:rPr>
        <w:t>weaknesses</w:t>
      </w:r>
      <w:r w:rsidR="00855DA1">
        <w:rPr>
          <w:rStyle w:val="Voetnootmarkering"/>
          <w:lang w:val="en-GB"/>
        </w:rPr>
        <w:footnoteReference w:id="12"/>
      </w:r>
      <w:r w:rsidR="00855DA1" w:rsidRPr="00242901">
        <w:rPr>
          <w:lang w:val="en-GB"/>
        </w:rPr>
        <w:t xml:space="preserve"> disclosures</w:t>
      </w:r>
      <w:r w:rsidR="00855DA1">
        <w:rPr>
          <w:lang w:val="en-GB"/>
        </w:rPr>
        <w:t xml:space="preserve"> </w:t>
      </w:r>
      <w:r w:rsidR="00855DA1">
        <w:rPr>
          <w:lang w:val="en-GB"/>
        </w:rPr>
        <w:fldChar w:fldCharType="begin"/>
      </w:r>
      <w:r w:rsidR="00855DA1">
        <w:rPr>
          <w:lang w:val="en-GB"/>
        </w:rPr>
        <w:instrText>ADDIN RW.CITE{{6 Hoitash,Rani 2012}}</w:instrText>
      </w:r>
      <w:r w:rsidR="00855DA1">
        <w:rPr>
          <w:lang w:val="en-GB"/>
        </w:rPr>
        <w:fldChar w:fldCharType="separate"/>
      </w:r>
      <w:r w:rsidR="00855DA1" w:rsidRPr="00D07FA5">
        <w:rPr>
          <w:rFonts w:ascii="Calibri" w:hAnsi="Calibri"/>
          <w:lang w:val="en-GB"/>
        </w:rPr>
        <w:t>(Hoitash et al., 2012)</w:t>
      </w:r>
      <w:r w:rsidR="00855DA1">
        <w:rPr>
          <w:lang w:val="en-GB"/>
        </w:rPr>
        <w:fldChar w:fldCharType="end"/>
      </w:r>
      <w:r w:rsidR="00855DA1" w:rsidRPr="00242901">
        <w:rPr>
          <w:lang w:val="en-GB"/>
        </w:rPr>
        <w:t xml:space="preserve">. </w:t>
      </w:r>
      <w:r w:rsidR="00CE75CD">
        <w:rPr>
          <w:lang w:val="en-GB"/>
        </w:rPr>
        <w:t xml:space="preserve">CFO compensation decreases when an internal control material weakness is disclosed, which implies that de CFO is in some degree held responsible for the internal control material weakness. </w:t>
      </w:r>
      <w:r w:rsidR="005C384F">
        <w:rPr>
          <w:lang w:val="en-GB"/>
        </w:rPr>
        <w:t xml:space="preserve">Ineffective internal controls increase the risk of misstatement, </w:t>
      </w:r>
      <w:r w:rsidR="00AD3FE1">
        <w:rPr>
          <w:lang w:val="en-GB"/>
        </w:rPr>
        <w:t xml:space="preserve">which </w:t>
      </w:r>
      <w:r w:rsidR="005C384F">
        <w:rPr>
          <w:lang w:val="en-GB"/>
        </w:rPr>
        <w:t>results in less reliable financial statements</w:t>
      </w:r>
      <w:r w:rsidR="003B5600">
        <w:rPr>
          <w:lang w:val="en-GB"/>
        </w:rPr>
        <w:t xml:space="preserve"> </w:t>
      </w:r>
      <w:r w:rsidR="003B5600">
        <w:rPr>
          <w:lang w:val="en-GB"/>
        </w:rPr>
        <w:fldChar w:fldCharType="begin"/>
      </w:r>
      <w:r w:rsidR="003B5600">
        <w:rPr>
          <w:lang w:val="en-GB"/>
        </w:rPr>
        <w:instrText>ADDIN RW.CITE{{44 Doyle,JeffreyT 2007 /o; 45 Lambert,Richard 2007 /o; 46 Ashbaugh-Skaife,Hollis 2008 /o}}</w:instrText>
      </w:r>
      <w:r w:rsidR="003B5600">
        <w:rPr>
          <w:lang w:val="en-GB"/>
        </w:rPr>
        <w:fldChar w:fldCharType="separate"/>
      </w:r>
      <w:r w:rsidR="00254F5A" w:rsidRPr="00254F5A">
        <w:rPr>
          <w:rFonts w:ascii="Calibri" w:hAnsi="Calibri"/>
          <w:lang w:val="en-GB"/>
        </w:rPr>
        <w:t xml:space="preserve">(Doyle, Ge, &amp; McVay, 2007; Lambert, Leuz, &amp; Verrecchia, 2007; Ashbaugh-Skaife, Collins, Kinney Jr, &amp; </w:t>
      </w:r>
      <w:r w:rsidR="00254F5A" w:rsidRPr="00254F5A">
        <w:rPr>
          <w:rFonts w:ascii="Calibri" w:hAnsi="Calibri"/>
          <w:lang w:val="en-GB"/>
        </w:rPr>
        <w:lastRenderedPageBreak/>
        <w:t>LaFond, 2008)</w:t>
      </w:r>
      <w:r w:rsidR="003B5600">
        <w:rPr>
          <w:lang w:val="en-GB"/>
        </w:rPr>
        <w:fldChar w:fldCharType="end"/>
      </w:r>
      <w:r w:rsidR="005C384F">
        <w:rPr>
          <w:lang w:val="en-GB"/>
        </w:rPr>
        <w:t>. Other undesirable consequences of weak internal controls are higher cost of capital</w:t>
      </w:r>
      <w:r w:rsidR="00037867">
        <w:rPr>
          <w:lang w:val="en-GB"/>
        </w:rPr>
        <w:t xml:space="preserve"> </w:t>
      </w:r>
      <w:r w:rsidR="00037867">
        <w:rPr>
          <w:lang w:val="en-GB"/>
        </w:rPr>
        <w:fldChar w:fldCharType="begin"/>
      </w:r>
      <w:r w:rsidR="00037867">
        <w:rPr>
          <w:lang w:val="en-GB"/>
        </w:rPr>
        <w:instrText>ADDIN RW.CITE{{47 Ashbaugh‐Skaife,Hollis 2009}}</w:instrText>
      </w:r>
      <w:r w:rsidR="00037867">
        <w:rPr>
          <w:lang w:val="en-GB"/>
        </w:rPr>
        <w:fldChar w:fldCharType="separate"/>
      </w:r>
      <w:r w:rsidR="00254F5A" w:rsidRPr="00254F5A">
        <w:rPr>
          <w:rFonts w:ascii="Calibri" w:hAnsi="Calibri"/>
          <w:lang w:val="en-GB"/>
        </w:rPr>
        <w:t>(Ashbaugh‐Skaife, Collins, &amp; LaFond, 2009)</w:t>
      </w:r>
      <w:r w:rsidR="00037867">
        <w:rPr>
          <w:lang w:val="en-GB"/>
        </w:rPr>
        <w:fldChar w:fldCharType="end"/>
      </w:r>
      <w:r w:rsidR="005C384F">
        <w:rPr>
          <w:lang w:val="en-GB"/>
        </w:rPr>
        <w:t>, higher audit fees</w:t>
      </w:r>
      <w:r>
        <w:rPr>
          <w:lang w:val="en-GB"/>
        </w:rPr>
        <w:t xml:space="preserve"> </w:t>
      </w:r>
      <w:r w:rsidR="00CE75CD">
        <w:rPr>
          <w:lang w:val="en-GB"/>
        </w:rPr>
        <w:fldChar w:fldCharType="begin"/>
      </w:r>
      <w:r w:rsidR="00CE75CD">
        <w:rPr>
          <w:lang w:val="en-GB"/>
        </w:rPr>
        <w:instrText>ADDIN RW.CITE{{49 Hoitash,Rani 2008}}</w:instrText>
      </w:r>
      <w:r w:rsidR="00CE75CD">
        <w:rPr>
          <w:lang w:val="en-GB"/>
        </w:rPr>
        <w:fldChar w:fldCharType="separate"/>
      </w:r>
      <w:r w:rsidR="00254F5A" w:rsidRPr="00254F5A">
        <w:rPr>
          <w:rFonts w:ascii="Calibri" w:hAnsi="Calibri"/>
          <w:lang w:val="en-GB"/>
        </w:rPr>
        <w:t>(Hoitash, Hoitash, &amp; Bedard, 2008)</w:t>
      </w:r>
      <w:r w:rsidR="00CE75CD">
        <w:rPr>
          <w:lang w:val="en-GB"/>
        </w:rPr>
        <w:fldChar w:fldCharType="end"/>
      </w:r>
      <w:r w:rsidR="005C384F">
        <w:rPr>
          <w:lang w:val="en-GB"/>
        </w:rPr>
        <w:t>, lower bond ratings</w:t>
      </w:r>
      <w:r w:rsidR="00CE75CD">
        <w:rPr>
          <w:lang w:val="en-GB"/>
        </w:rPr>
        <w:t xml:space="preserve"> </w:t>
      </w:r>
      <w:r w:rsidR="00CE75CD">
        <w:rPr>
          <w:lang w:val="en-GB"/>
        </w:rPr>
        <w:fldChar w:fldCharType="begin"/>
      </w:r>
      <w:r w:rsidR="00CE75CD">
        <w:rPr>
          <w:lang w:val="en-GB"/>
        </w:rPr>
        <w:instrText>ADDIN RW.CITE{{50 Hammersley,JacquelineS. 2012}}</w:instrText>
      </w:r>
      <w:r w:rsidR="00CE75CD">
        <w:rPr>
          <w:lang w:val="en-GB"/>
        </w:rPr>
        <w:fldChar w:fldCharType="separate"/>
      </w:r>
      <w:r w:rsidR="00254F5A" w:rsidRPr="00254F5A">
        <w:rPr>
          <w:rFonts w:ascii="Calibri" w:hAnsi="Calibri"/>
          <w:lang w:val="en-GB"/>
        </w:rPr>
        <w:t>(Hammersley, Myers, &amp; Zhou, 2012)</w:t>
      </w:r>
      <w:r w:rsidR="00CE75CD">
        <w:rPr>
          <w:lang w:val="en-GB"/>
        </w:rPr>
        <w:fldChar w:fldCharType="end"/>
      </w:r>
      <w:r w:rsidR="00994754">
        <w:rPr>
          <w:lang w:val="en-GB"/>
        </w:rPr>
        <w:t>,</w:t>
      </w:r>
      <w:r w:rsidR="005C384F">
        <w:rPr>
          <w:lang w:val="en-GB"/>
        </w:rPr>
        <w:t xml:space="preserve"> auditor resignations</w:t>
      </w:r>
      <w:r w:rsidR="00CE75CD">
        <w:rPr>
          <w:lang w:val="en-GB"/>
        </w:rPr>
        <w:t xml:space="preserve"> </w:t>
      </w:r>
      <w:r w:rsidR="00CE75CD">
        <w:rPr>
          <w:lang w:val="en-GB"/>
        </w:rPr>
        <w:fldChar w:fldCharType="begin"/>
      </w:r>
      <w:r w:rsidR="00CE75CD">
        <w:rPr>
          <w:lang w:val="en-GB"/>
        </w:rPr>
        <w:instrText>ADDIN RW.CITE{{51 Elder,Randal 2009}}</w:instrText>
      </w:r>
      <w:r w:rsidR="00CE75CD">
        <w:rPr>
          <w:lang w:val="en-GB"/>
        </w:rPr>
        <w:fldChar w:fldCharType="separate"/>
      </w:r>
      <w:r w:rsidR="00254F5A" w:rsidRPr="00254F5A">
        <w:rPr>
          <w:rFonts w:ascii="Calibri" w:hAnsi="Calibri"/>
          <w:lang w:val="en-GB"/>
        </w:rPr>
        <w:t>(Elder, Zhang, Zhou, &amp; Zhou, 2009)</w:t>
      </w:r>
      <w:r w:rsidR="00CE75CD">
        <w:rPr>
          <w:lang w:val="en-GB"/>
        </w:rPr>
        <w:fldChar w:fldCharType="end"/>
      </w:r>
      <w:r w:rsidR="00994754">
        <w:rPr>
          <w:lang w:val="en-GB"/>
        </w:rPr>
        <w:t xml:space="preserve"> and reputational damage. </w:t>
      </w:r>
    </w:p>
    <w:p w14:paraId="12C907E5" w14:textId="729B4961" w:rsidR="009D1316" w:rsidRDefault="009D1316" w:rsidP="00DB5CD5">
      <w:pPr>
        <w:spacing w:line="360" w:lineRule="auto"/>
        <w:jc w:val="both"/>
        <w:rPr>
          <w:lang w:val="en-GB"/>
        </w:rPr>
      </w:pPr>
      <w:r>
        <w:rPr>
          <w:lang w:val="en-GB"/>
        </w:rPr>
        <w:t>Johnstone et al. (2011) investigated the association between changes in corporate governance and the revelation of material negative e</w:t>
      </w:r>
      <w:r w:rsidR="00AD3FE1">
        <w:rPr>
          <w:lang w:val="en-GB"/>
        </w:rPr>
        <w:t>vents. They found evidence of a</w:t>
      </w:r>
      <w:r>
        <w:rPr>
          <w:lang w:val="en-GB"/>
        </w:rPr>
        <w:t xml:space="preserve"> positive association between a material negative event and subsequent and turnover of members of the board of directors, audit committees, and top management. These results indicate that these groups are held responsible for material negative events, but more important for this thesis, they use the disclosure of an internal control material weakness </w:t>
      </w:r>
      <w:r w:rsidR="00994754">
        <w:rPr>
          <w:lang w:val="en-GB"/>
        </w:rPr>
        <w:t xml:space="preserve">as </w:t>
      </w:r>
      <w:r>
        <w:rPr>
          <w:lang w:val="en-GB"/>
        </w:rPr>
        <w:t xml:space="preserve">the </w:t>
      </w:r>
      <w:r w:rsidR="00994754">
        <w:rPr>
          <w:lang w:val="en-GB"/>
        </w:rPr>
        <w:t>proxy</w:t>
      </w:r>
      <w:r>
        <w:rPr>
          <w:lang w:val="en-GB"/>
        </w:rPr>
        <w:t xml:space="preserve"> for a material negative event. </w:t>
      </w:r>
    </w:p>
    <w:p w14:paraId="405F72C3" w14:textId="1DBF5E1D" w:rsidR="00855DA1" w:rsidRDefault="00855DA1" w:rsidP="00DB5CD5">
      <w:pPr>
        <w:spacing w:line="360" w:lineRule="auto"/>
        <w:jc w:val="both"/>
        <w:rPr>
          <w:lang w:val="en-GB"/>
        </w:rPr>
      </w:pPr>
      <w:r>
        <w:rPr>
          <w:lang w:val="en-GB"/>
        </w:rPr>
        <w:t xml:space="preserve">Other </w:t>
      </w:r>
      <w:r w:rsidR="000B6A73">
        <w:rPr>
          <w:lang w:val="en-GB"/>
        </w:rPr>
        <w:t>literature</w:t>
      </w:r>
      <w:r>
        <w:rPr>
          <w:lang w:val="en-GB"/>
        </w:rPr>
        <w:t xml:space="preserve"> writes about the relation between CFO compensation and financial restatements, which is part of the fiduciary duty. Restatement firms were significantly more likely to experience turnover of their CFOs than firms with no restatement announcement </w:t>
      </w:r>
      <w:r>
        <w:rPr>
          <w:lang w:val="en-GB"/>
        </w:rPr>
        <w:fldChar w:fldCharType="begin"/>
      </w:r>
      <w:r>
        <w:rPr>
          <w:lang w:val="en-GB"/>
        </w:rPr>
        <w:instrText>ADDIN RW.CITE{{20 Arthaud-Day,MarneL. 2006}}</w:instrText>
      </w:r>
      <w:r>
        <w:rPr>
          <w:lang w:val="en-GB"/>
        </w:rPr>
        <w:fldChar w:fldCharType="separate"/>
      </w:r>
      <w:r w:rsidR="00254F5A" w:rsidRPr="00254F5A">
        <w:rPr>
          <w:rFonts w:ascii="Calibri" w:hAnsi="Calibri"/>
          <w:lang w:val="en-GB"/>
        </w:rPr>
        <w:t>(Arthaud-Day, Dalton, &amp; Dalton, 2006)</w:t>
      </w:r>
      <w:r>
        <w:rPr>
          <w:lang w:val="en-GB"/>
        </w:rPr>
        <w:fldChar w:fldCharType="end"/>
      </w:r>
      <w:r>
        <w:rPr>
          <w:lang w:val="en-GB"/>
        </w:rPr>
        <w:t xml:space="preserve">, which implies that CFOs are held responsible for financial restatements. After financial restatements, boards seem </w:t>
      </w:r>
      <w:r w:rsidRPr="00E7729C">
        <w:rPr>
          <w:lang w:val="en-GB"/>
        </w:rPr>
        <w:t>more</w:t>
      </w:r>
      <w:r>
        <w:rPr>
          <w:lang w:val="en-GB"/>
        </w:rPr>
        <w:t xml:space="preserve"> likely to terminate CFOs after the implementation of SO</w:t>
      </w:r>
      <w:r w:rsidR="00F51C55">
        <w:rPr>
          <w:lang w:val="en-GB"/>
        </w:rPr>
        <w:t>x</w:t>
      </w:r>
      <w:r>
        <w:rPr>
          <w:lang w:val="en-GB"/>
        </w:rPr>
        <w:t xml:space="preserve"> in contrast with CEO termination </w:t>
      </w:r>
      <w:r>
        <w:rPr>
          <w:lang w:val="en-GB"/>
        </w:rPr>
        <w:fldChar w:fldCharType="begin"/>
      </w:r>
      <w:r>
        <w:rPr>
          <w:lang w:val="en-GB"/>
        </w:rPr>
        <w:instrText>ADDIN RW.CITE{{21 Burks,JeffreyJ. 2010}}</w:instrText>
      </w:r>
      <w:r>
        <w:rPr>
          <w:lang w:val="en-GB"/>
        </w:rPr>
        <w:fldChar w:fldCharType="separate"/>
      </w:r>
      <w:r w:rsidRPr="006C2F13">
        <w:rPr>
          <w:rFonts w:ascii="Calibri" w:hAnsi="Calibri"/>
          <w:lang w:val="en-GB"/>
        </w:rPr>
        <w:t>(Burks, 2010)</w:t>
      </w:r>
      <w:r>
        <w:rPr>
          <w:lang w:val="en-GB"/>
        </w:rPr>
        <w:fldChar w:fldCharType="end"/>
      </w:r>
      <w:r w:rsidR="009A675C">
        <w:rPr>
          <w:lang w:val="en-GB"/>
        </w:rPr>
        <w:t xml:space="preserve">. </w:t>
      </w:r>
    </w:p>
    <w:p w14:paraId="465BA639" w14:textId="1BA05570" w:rsidR="00855DA1" w:rsidRDefault="00855DA1" w:rsidP="00DB5CD5">
      <w:pPr>
        <w:spacing w:line="360" w:lineRule="auto"/>
        <w:jc w:val="both"/>
        <w:rPr>
          <w:lang w:val="en-GB"/>
        </w:rPr>
      </w:pPr>
      <w:r>
        <w:rPr>
          <w:lang w:val="en-GB"/>
        </w:rPr>
        <w:t xml:space="preserve">Moreover, there is </w:t>
      </w:r>
      <w:r w:rsidRPr="00242901">
        <w:rPr>
          <w:lang w:val="en-GB"/>
        </w:rPr>
        <w:t>evidence that the firm’s emphasis on financial performance measures in CFO bonuses reflects a trade-off between the importance of CFOs’ decision making responsibilities and the importance of their fiduciary duties.</w:t>
      </w:r>
      <w:r>
        <w:rPr>
          <w:lang w:val="en-GB"/>
        </w:rPr>
        <w:t xml:space="preserve"> Compensation systems tend to change as a result of chance in priority of the CFO responsibility.</w:t>
      </w:r>
      <w:r w:rsidRPr="00242901">
        <w:rPr>
          <w:lang w:val="en-GB"/>
        </w:rPr>
        <w:t xml:space="preserve"> </w:t>
      </w:r>
      <w:r>
        <w:rPr>
          <w:lang w:val="en-GB"/>
        </w:rPr>
        <w:t>For instance, t</w:t>
      </w:r>
      <w:r w:rsidRPr="00242901">
        <w:rPr>
          <w:lang w:val="en-GB"/>
        </w:rPr>
        <w:t xml:space="preserve">hey find that public companies have reduced the percentage of CFO bonuses contingent on financial performance during the years 2003 to </w:t>
      </w:r>
      <w:r w:rsidR="00F51C55">
        <w:rPr>
          <w:lang w:val="en-GB"/>
        </w:rPr>
        <w:t>2007 in response to the post-SOx</w:t>
      </w:r>
      <w:r w:rsidRPr="00242901">
        <w:rPr>
          <w:lang w:val="en-GB"/>
        </w:rPr>
        <w:t xml:space="preserve"> increase in the costs of misreporting</w:t>
      </w:r>
      <w:r w:rsidR="00DB5CD5">
        <w:rPr>
          <w:lang w:val="en-GB"/>
        </w:rPr>
        <w:t xml:space="preserve"> </w:t>
      </w:r>
      <w:r w:rsidR="00DB5CD5">
        <w:rPr>
          <w:lang w:val="en-GB"/>
        </w:rPr>
        <w:fldChar w:fldCharType="begin"/>
      </w:r>
      <w:r w:rsidR="00DB5CD5">
        <w:rPr>
          <w:lang w:val="en-GB"/>
        </w:rPr>
        <w:instrText>ADDIN RW.CITE{{7 Indjejikian,Raffi 2009}}</w:instrText>
      </w:r>
      <w:r w:rsidR="00DB5CD5">
        <w:rPr>
          <w:lang w:val="en-GB"/>
        </w:rPr>
        <w:fldChar w:fldCharType="separate"/>
      </w:r>
      <w:r w:rsidR="00254F5A" w:rsidRPr="00254F5A">
        <w:rPr>
          <w:rFonts w:ascii="Calibri" w:hAnsi="Calibri"/>
          <w:lang w:val="en-GB"/>
        </w:rPr>
        <w:t>(Indjejikian &amp; Matêjka, 2009)</w:t>
      </w:r>
      <w:r w:rsidR="00DB5CD5">
        <w:rPr>
          <w:lang w:val="en-GB"/>
        </w:rPr>
        <w:fldChar w:fldCharType="end"/>
      </w:r>
      <w:r w:rsidRPr="00242901">
        <w:rPr>
          <w:lang w:val="en-GB"/>
        </w:rPr>
        <w:t xml:space="preserve">. </w:t>
      </w:r>
    </w:p>
    <w:p w14:paraId="76D344C7" w14:textId="52CBC3C9" w:rsidR="007E28B8" w:rsidRDefault="00855DA1" w:rsidP="00DB5CD5">
      <w:pPr>
        <w:spacing w:line="360" w:lineRule="auto"/>
        <w:jc w:val="both"/>
        <w:rPr>
          <w:lang w:val="en-GB"/>
        </w:rPr>
      </w:pPr>
      <w:r>
        <w:rPr>
          <w:lang w:val="en-GB"/>
        </w:rPr>
        <w:t xml:space="preserve">Since responding to corporate failures should be strengthening financial reporting, Indjejikian &amp; Matêjka search for an increase in emphasis on the fiduciary duty of the CFO with regard to bonuses. They indeed find evidence in the bonus structure of the CFOs that indicates more emphasis on the fiduciary duty of the CFO in turbulent times of the firm </w:t>
      </w:r>
      <w:r>
        <w:rPr>
          <w:lang w:val="en-GB"/>
        </w:rPr>
        <w:fldChar w:fldCharType="begin"/>
      </w:r>
      <w:r>
        <w:rPr>
          <w:lang w:val="en-GB"/>
        </w:rPr>
        <w:instrText>ADDIN RW.CITE{{7 Indjejikian,Raffi 2009}}</w:instrText>
      </w:r>
      <w:r>
        <w:rPr>
          <w:lang w:val="en-GB"/>
        </w:rPr>
        <w:fldChar w:fldCharType="separate"/>
      </w:r>
      <w:r w:rsidR="00254F5A" w:rsidRPr="00254F5A">
        <w:rPr>
          <w:rFonts w:ascii="Calibri" w:hAnsi="Calibri"/>
          <w:lang w:val="en-GB"/>
        </w:rPr>
        <w:t>(Indjejikian &amp; Matêjka, 2009)</w:t>
      </w:r>
      <w:r>
        <w:rPr>
          <w:lang w:val="en-GB"/>
        </w:rPr>
        <w:fldChar w:fldCharType="end"/>
      </w:r>
      <w:r w:rsidR="009A675C">
        <w:rPr>
          <w:lang w:val="en-GB"/>
        </w:rPr>
        <w:t>.</w:t>
      </w:r>
    </w:p>
    <w:p w14:paraId="30F8EA53" w14:textId="4ACBBCB0" w:rsidR="000601F2" w:rsidRDefault="000601F2" w:rsidP="000601F2">
      <w:pPr>
        <w:pStyle w:val="Kop3"/>
      </w:pPr>
      <w:bookmarkStart w:id="22" w:name="_Toc439346628"/>
      <w:r>
        <w:t>2.3.3 The</w:t>
      </w:r>
      <w:r w:rsidRPr="00783837">
        <w:t xml:space="preserve"> managerial responsibility</w:t>
      </w:r>
      <w:bookmarkEnd w:id="22"/>
    </w:p>
    <w:p w14:paraId="584249F8" w14:textId="507289A6" w:rsidR="000601F2" w:rsidRDefault="000601F2" w:rsidP="000601F2">
      <w:pPr>
        <w:spacing w:line="360" w:lineRule="auto"/>
        <w:jc w:val="both"/>
        <w:rPr>
          <w:lang w:val="en-GB"/>
        </w:rPr>
      </w:pPr>
      <w:r w:rsidRPr="00242901">
        <w:rPr>
          <w:lang w:val="en-GB"/>
        </w:rPr>
        <w:t xml:space="preserve">Besides their fiduciary responsibilities, CFOs have to make decisions like any other </w:t>
      </w:r>
      <w:r>
        <w:rPr>
          <w:lang w:val="en-GB"/>
        </w:rPr>
        <w:t xml:space="preserve">manager </w:t>
      </w:r>
      <w:r>
        <w:rPr>
          <w:lang w:val="en-GB"/>
        </w:rPr>
        <w:fldChar w:fldCharType="begin"/>
      </w:r>
      <w:r>
        <w:rPr>
          <w:lang w:val="en-GB"/>
        </w:rPr>
        <w:instrText>ADDIN RW.CITE{{7 Indjejikian,Raffi 2009}}</w:instrText>
      </w:r>
      <w:r>
        <w:rPr>
          <w:lang w:val="en-GB"/>
        </w:rPr>
        <w:fldChar w:fldCharType="separate"/>
      </w:r>
      <w:r w:rsidR="00254F5A" w:rsidRPr="00254F5A">
        <w:rPr>
          <w:rFonts w:ascii="Calibri" w:hAnsi="Calibri"/>
          <w:lang w:val="en-GB"/>
        </w:rPr>
        <w:t>(Indjejikian &amp; Matêjka, 2009)</w:t>
      </w:r>
      <w:r>
        <w:rPr>
          <w:lang w:val="en-GB"/>
        </w:rPr>
        <w:fldChar w:fldCharType="end"/>
      </w:r>
      <w:r w:rsidRPr="00242901">
        <w:rPr>
          <w:lang w:val="en-GB"/>
        </w:rPr>
        <w:t>.</w:t>
      </w:r>
      <w:r>
        <w:rPr>
          <w:lang w:val="en-GB"/>
        </w:rPr>
        <w:t xml:space="preserve"> The literature includes many definitions of management, all relate to the processes of organizing resources and directing activities for </w:t>
      </w:r>
      <w:r w:rsidR="00CD6A83">
        <w:rPr>
          <w:lang w:val="en-GB"/>
        </w:rPr>
        <w:t>the purpose of achieving organis</w:t>
      </w:r>
      <w:r>
        <w:rPr>
          <w:lang w:val="en-GB"/>
        </w:rPr>
        <w:t xml:space="preserve">ational objectives </w:t>
      </w:r>
      <w:r>
        <w:rPr>
          <w:lang w:val="en-GB"/>
        </w:rPr>
        <w:fldChar w:fldCharType="begin"/>
      </w:r>
      <w:r>
        <w:rPr>
          <w:lang w:val="en-GB"/>
        </w:rPr>
        <w:instrText>ADDIN RW.CITE{{32 Merchant,KennethA 2007}}</w:instrText>
      </w:r>
      <w:r>
        <w:rPr>
          <w:lang w:val="en-GB"/>
        </w:rPr>
        <w:fldChar w:fldCharType="separate"/>
      </w:r>
      <w:r w:rsidR="00254F5A" w:rsidRPr="00254F5A">
        <w:rPr>
          <w:rFonts w:ascii="Calibri" w:hAnsi="Calibri"/>
          <w:lang w:val="en-GB"/>
        </w:rPr>
        <w:t>(Merchant &amp; Van der Stede, 2007)</w:t>
      </w:r>
      <w:r>
        <w:rPr>
          <w:lang w:val="en-GB"/>
        </w:rPr>
        <w:fldChar w:fldCharType="end"/>
      </w:r>
      <w:r>
        <w:rPr>
          <w:lang w:val="en-GB"/>
        </w:rPr>
        <w:t xml:space="preserve">. Managerial duties include contributing </w:t>
      </w:r>
      <w:r>
        <w:rPr>
          <w:lang w:val="en-GB"/>
        </w:rPr>
        <w:lastRenderedPageBreak/>
        <w:t xml:space="preserve">to operational decisions, which affects firm financial performance </w:t>
      </w:r>
      <w:r>
        <w:rPr>
          <w:lang w:val="en-GB"/>
        </w:rPr>
        <w:fldChar w:fldCharType="begin"/>
      </w:r>
      <w:r>
        <w:rPr>
          <w:lang w:val="en-GB"/>
        </w:rPr>
        <w:instrText>ADDIN RW.CITE{{22 Mergenthaler,RichardD. 2012}}</w:instrText>
      </w:r>
      <w:r>
        <w:rPr>
          <w:lang w:val="en-GB"/>
        </w:rPr>
        <w:fldChar w:fldCharType="separate"/>
      </w:r>
      <w:r w:rsidR="00254F5A" w:rsidRPr="00254F5A">
        <w:rPr>
          <w:rFonts w:ascii="Calibri" w:hAnsi="Calibri"/>
          <w:lang w:val="en-GB"/>
        </w:rPr>
        <w:t>(Mergenthaler, Rajgopal, &amp; Srinivasan, 2012)</w:t>
      </w:r>
      <w:r>
        <w:rPr>
          <w:lang w:val="en-GB"/>
        </w:rPr>
        <w:fldChar w:fldCharType="end"/>
      </w:r>
      <w:r>
        <w:rPr>
          <w:lang w:val="en-GB"/>
        </w:rPr>
        <w:t>.</w:t>
      </w:r>
      <w:r w:rsidRPr="00242901">
        <w:rPr>
          <w:lang w:val="en-GB"/>
        </w:rPr>
        <w:t xml:space="preserve"> </w:t>
      </w:r>
      <w:r>
        <w:rPr>
          <w:lang w:val="en-GB"/>
        </w:rPr>
        <w:t xml:space="preserve">Other work shows that CFO managerial duties affect firms’ financial and strategic decisions </w:t>
      </w:r>
      <w:r>
        <w:rPr>
          <w:lang w:val="en-GB"/>
        </w:rPr>
        <w:fldChar w:fldCharType="begin"/>
      </w:r>
      <w:r>
        <w:rPr>
          <w:lang w:val="en-GB"/>
        </w:rPr>
        <w:instrText>ADDIN RW.CITE{{36 Busco,Cristiano 2005 /o; 37 Frank,MurrayZ 2007 /o; 39 Wunsche,Alan 2007 /o; 40 Carter,MaryEllen 2009 /o; 41 Ge,Weili 2011 /o; 22 Mergenthaler,RichardD. 2012 /o}}</w:instrText>
      </w:r>
      <w:r>
        <w:rPr>
          <w:lang w:val="en-GB"/>
        </w:rPr>
        <w:fldChar w:fldCharType="separate"/>
      </w:r>
      <w:r w:rsidR="00254F5A" w:rsidRPr="00254F5A">
        <w:rPr>
          <w:lang w:val="en-GB"/>
        </w:rPr>
        <w:t>(Busco, 2005; M. Z. Frank &amp; Goyal, 2007; Wunsche, 2007; Carter, Lynch, &amp; Zechman, 2009; Ge, Matsumoto, &amp; Zhang, 2011; Mergenthaler et al., 2012)</w:t>
      </w:r>
      <w:r>
        <w:rPr>
          <w:lang w:val="en-GB"/>
        </w:rPr>
        <w:fldChar w:fldCharType="end"/>
      </w:r>
      <w:r>
        <w:rPr>
          <w:lang w:val="en-GB"/>
        </w:rPr>
        <w:t xml:space="preserve"> and that these duties are reflected in CFO compensation </w:t>
      </w:r>
      <w:r>
        <w:rPr>
          <w:lang w:val="en-GB"/>
        </w:rPr>
        <w:fldChar w:fldCharType="begin"/>
      </w:r>
      <w:r>
        <w:rPr>
          <w:lang w:val="en-GB"/>
        </w:rPr>
        <w:instrText>ADDIN RW.CITE{{17 Gore,AngelaK. 2011}}</w:instrText>
      </w:r>
      <w:r>
        <w:rPr>
          <w:lang w:val="en-GB"/>
        </w:rPr>
        <w:fldChar w:fldCharType="separate"/>
      </w:r>
      <w:r w:rsidRPr="001D673B">
        <w:rPr>
          <w:rFonts w:ascii="Calibri" w:hAnsi="Calibri"/>
          <w:lang w:val="en-GB"/>
        </w:rPr>
        <w:t>(Gore et al., 2011)</w:t>
      </w:r>
      <w:r>
        <w:rPr>
          <w:lang w:val="en-GB"/>
        </w:rPr>
        <w:fldChar w:fldCharType="end"/>
      </w:r>
      <w:r>
        <w:rPr>
          <w:lang w:val="en-GB"/>
        </w:rPr>
        <w:t xml:space="preserve">. While </w:t>
      </w:r>
      <w:r w:rsidR="00AD3FE1">
        <w:rPr>
          <w:lang w:val="en-GB"/>
        </w:rPr>
        <w:t>this</w:t>
      </w:r>
      <w:r>
        <w:rPr>
          <w:lang w:val="en-GB"/>
        </w:rPr>
        <w:t xml:space="preserve"> literature </w:t>
      </w:r>
      <w:r w:rsidR="00AD3FE1">
        <w:rPr>
          <w:lang w:val="en-GB"/>
        </w:rPr>
        <w:t>provides</w:t>
      </w:r>
      <w:r>
        <w:rPr>
          <w:lang w:val="en-GB"/>
        </w:rPr>
        <w:t xml:space="preserve"> an abstract definition of the managerial duty, Hoitash et al. (2011) define the managerial duty as the duty that results in financial performance outcomes, which is also not a very clear definition.</w:t>
      </w:r>
    </w:p>
    <w:p w14:paraId="301CBBD1" w14:textId="7FB7F428" w:rsidR="00832B98" w:rsidRDefault="00832B98" w:rsidP="000601F2">
      <w:pPr>
        <w:spacing w:line="360" w:lineRule="auto"/>
        <w:jc w:val="both"/>
        <w:rPr>
          <w:lang w:val="en-GB"/>
        </w:rPr>
      </w:pPr>
      <w:r>
        <w:rPr>
          <w:lang w:val="en-GB"/>
        </w:rPr>
        <w:t xml:space="preserve">It is clear that literature describes the managerial duty of the CFO only on a very abstract level. This is a logical consequence of the high complexity of the managerial duty, but it makes it hard to be more specific. The complexity includes the fact that CFO’s managerial and fiduciary duty are more or less fused into one task. This makes it difficult to capture the managerial duty with a variable. Indjejikian &amp; Matêjka however, use </w:t>
      </w:r>
      <w:r w:rsidR="00AD3FE1">
        <w:rPr>
          <w:lang w:val="en-GB"/>
        </w:rPr>
        <w:t>firm financial performance as a</w:t>
      </w:r>
      <w:r>
        <w:rPr>
          <w:lang w:val="en-GB"/>
        </w:rPr>
        <w:t xml:space="preserve"> measurement of CFO managerial performance </w:t>
      </w:r>
      <w:r>
        <w:rPr>
          <w:lang w:val="en-GB"/>
        </w:rPr>
        <w:fldChar w:fldCharType="begin"/>
      </w:r>
      <w:r w:rsidR="002F00A1">
        <w:rPr>
          <w:lang w:val="en-GB"/>
        </w:rPr>
        <w:instrText>ADDIN RW.CITE{{6 Hoitash,Rani 2012; 7 Indjejikian,Raffi 2009}}</w:instrText>
      </w:r>
      <w:r>
        <w:rPr>
          <w:lang w:val="en-GB"/>
        </w:rPr>
        <w:fldChar w:fldCharType="separate"/>
      </w:r>
      <w:r w:rsidR="00254F5A" w:rsidRPr="00254F5A">
        <w:rPr>
          <w:rFonts w:ascii="Calibri" w:hAnsi="Calibri"/>
          <w:lang w:val="en-GB"/>
        </w:rPr>
        <w:t>(Hoitash et al., 2012; Indjejikian &amp; Matêjka, 2009)</w:t>
      </w:r>
      <w:r>
        <w:rPr>
          <w:lang w:val="en-GB"/>
        </w:rPr>
        <w:fldChar w:fldCharType="end"/>
      </w:r>
      <w:r>
        <w:rPr>
          <w:lang w:val="en-GB"/>
        </w:rPr>
        <w:t xml:space="preserve">. </w:t>
      </w:r>
    </w:p>
    <w:p w14:paraId="7D067019" w14:textId="27713CA9" w:rsidR="000601F2" w:rsidRDefault="000601F2" w:rsidP="000601F2">
      <w:pPr>
        <w:pStyle w:val="Kop3"/>
      </w:pPr>
      <w:bookmarkStart w:id="23" w:name="_Toc439346629"/>
      <w:r>
        <w:t xml:space="preserve">2.3.4 CFO </w:t>
      </w:r>
      <w:r w:rsidR="002F00A1">
        <w:t xml:space="preserve">total </w:t>
      </w:r>
      <w:r>
        <w:t>performance</w:t>
      </w:r>
      <w:bookmarkEnd w:id="23"/>
    </w:p>
    <w:p w14:paraId="5D26EC92" w14:textId="2AC3D2F9" w:rsidR="000601F2" w:rsidRDefault="002F00A1" w:rsidP="002F00A1">
      <w:pPr>
        <w:spacing w:line="360" w:lineRule="auto"/>
        <w:jc w:val="both"/>
        <w:rPr>
          <w:lang w:val="en-GB"/>
        </w:rPr>
      </w:pPr>
      <w:r>
        <w:rPr>
          <w:lang w:val="en-GB"/>
        </w:rPr>
        <w:t>The CFO managerial and fiduciary responsibility each constitute</w:t>
      </w:r>
      <w:r w:rsidR="00AD3FE1">
        <w:rPr>
          <w:lang w:val="en-GB"/>
        </w:rPr>
        <w:t>s</w:t>
      </w:r>
      <w:r>
        <w:rPr>
          <w:lang w:val="en-GB"/>
        </w:rPr>
        <w:t xml:space="preserve"> a part of the </w:t>
      </w:r>
      <w:r w:rsidR="00AD3FE1">
        <w:rPr>
          <w:lang w:val="en-GB"/>
        </w:rPr>
        <w:t xml:space="preserve">total </w:t>
      </w:r>
      <w:r>
        <w:rPr>
          <w:lang w:val="en-GB"/>
        </w:rPr>
        <w:t xml:space="preserve">CFO responsibility. Theoretically, it </w:t>
      </w:r>
      <w:r w:rsidR="00AD3FE1">
        <w:rPr>
          <w:lang w:val="en-GB"/>
        </w:rPr>
        <w:t>should be</w:t>
      </w:r>
      <w:r>
        <w:rPr>
          <w:lang w:val="en-GB"/>
        </w:rPr>
        <w:t xml:space="preserve"> possible to combine those two portions of performance to measure the CFO’s total performance. Empirically, h</w:t>
      </w:r>
      <w:r w:rsidR="009235FC">
        <w:rPr>
          <w:lang w:val="en-GB"/>
        </w:rPr>
        <w:t>owever, it is rather difficult</w:t>
      </w:r>
      <w:r w:rsidR="00AD3FE1">
        <w:rPr>
          <w:lang w:val="en-GB"/>
        </w:rPr>
        <w:t xml:space="preserve"> to identify these</w:t>
      </w:r>
      <w:r w:rsidR="009235FC">
        <w:rPr>
          <w:lang w:val="en-GB"/>
        </w:rPr>
        <w:t xml:space="preserve">. </w:t>
      </w:r>
      <w:r w:rsidR="00AD3FE1">
        <w:rPr>
          <w:lang w:val="en-GB"/>
        </w:rPr>
        <w:t>The</w:t>
      </w:r>
      <w:r w:rsidR="009235FC">
        <w:rPr>
          <w:lang w:val="en-GB"/>
        </w:rPr>
        <w:t xml:space="preserve"> literature provides no measurements that capture </w:t>
      </w:r>
      <w:r w:rsidR="00AD3FE1">
        <w:rPr>
          <w:lang w:val="en-GB"/>
        </w:rPr>
        <w:t xml:space="preserve">a </w:t>
      </w:r>
      <w:r w:rsidR="009235FC">
        <w:rPr>
          <w:lang w:val="en-GB"/>
        </w:rPr>
        <w:t xml:space="preserve">CFO’s total performance. To generate an empirical measurement of CFO </w:t>
      </w:r>
      <w:r w:rsidR="002A467F">
        <w:rPr>
          <w:lang w:val="en-GB"/>
        </w:rPr>
        <w:t xml:space="preserve">total performance </w:t>
      </w:r>
      <w:r w:rsidR="009235FC">
        <w:rPr>
          <w:lang w:val="en-GB"/>
        </w:rPr>
        <w:t>for this thesis, the measurement of total CEO performance is discussed</w:t>
      </w:r>
      <w:r w:rsidR="002A467F">
        <w:rPr>
          <w:lang w:val="en-GB"/>
        </w:rPr>
        <w:t>. The choice to use CEO performance measures for the CFO performance is a result of the intertwined goals of the two directors. Although they have different priorities and tasks, their main goals and interest do not differ. One could even say that the CEO and CFO have to be aligned and unanimous, as</w:t>
      </w:r>
      <w:r w:rsidR="00E213F8">
        <w:rPr>
          <w:lang w:val="en-GB"/>
        </w:rPr>
        <w:t xml:space="preserve"> if </w:t>
      </w:r>
      <w:r w:rsidR="002A467F">
        <w:rPr>
          <w:lang w:val="en-GB"/>
        </w:rPr>
        <w:t xml:space="preserve">they act as one entity. </w:t>
      </w:r>
    </w:p>
    <w:p w14:paraId="2B7A4ECA" w14:textId="18577176" w:rsidR="00000773" w:rsidRDefault="00000773" w:rsidP="002F00A1">
      <w:pPr>
        <w:spacing w:line="360" w:lineRule="auto"/>
        <w:jc w:val="both"/>
        <w:rPr>
          <w:lang w:val="en-GB"/>
        </w:rPr>
      </w:pPr>
      <w:r>
        <w:rPr>
          <w:lang w:val="en-GB"/>
        </w:rPr>
        <w:t>For an overview of the relevant literature regarding the CFO performance, see the tabular summary in the Appendix with concise description of the articles.</w:t>
      </w:r>
    </w:p>
    <w:p w14:paraId="663412BC" w14:textId="3344E41F" w:rsidR="00E213F8" w:rsidRDefault="00E213F8" w:rsidP="00E213F8">
      <w:pPr>
        <w:pStyle w:val="Kop4"/>
      </w:pPr>
      <w:bookmarkStart w:id="24" w:name="_Toc439346630"/>
      <w:r>
        <w:t>2.3.4.1 CEO performance</w:t>
      </w:r>
      <w:bookmarkEnd w:id="24"/>
    </w:p>
    <w:p w14:paraId="140C0AE3" w14:textId="77777777" w:rsidR="00684998" w:rsidRDefault="00E213F8" w:rsidP="00684998">
      <w:pPr>
        <w:spacing w:line="360" w:lineRule="auto"/>
        <w:jc w:val="both"/>
        <w:rPr>
          <w:lang w:val="en-GB"/>
        </w:rPr>
      </w:pPr>
      <w:r>
        <w:rPr>
          <w:lang w:val="en-GB"/>
        </w:rPr>
        <w:t xml:space="preserve">The CEO is </w:t>
      </w:r>
      <w:r w:rsidR="00684998">
        <w:rPr>
          <w:lang w:val="en-GB"/>
        </w:rPr>
        <w:t>notably</w:t>
      </w:r>
      <w:r>
        <w:rPr>
          <w:lang w:val="en-GB"/>
        </w:rPr>
        <w:t xml:space="preserve"> the executive in the board of directors wh</w:t>
      </w:r>
      <w:r w:rsidR="00684998">
        <w:rPr>
          <w:lang w:val="en-GB"/>
        </w:rPr>
        <w:t xml:space="preserve">ose performance is based on the total firm performance, since he is the head of the board of directors and therefore ultimately responsible. </w:t>
      </w:r>
    </w:p>
    <w:p w14:paraId="5BCA5AB3" w14:textId="6342100B" w:rsidR="000601F2" w:rsidRDefault="00684998" w:rsidP="00DB5CD5">
      <w:pPr>
        <w:spacing w:line="360" w:lineRule="auto"/>
        <w:jc w:val="both"/>
        <w:rPr>
          <w:lang w:val="en-GB"/>
        </w:rPr>
      </w:pPr>
      <w:r>
        <w:rPr>
          <w:lang w:val="en-GB"/>
        </w:rPr>
        <w:t xml:space="preserve">Regarding the empirical measurement of CEO total performance, several studies implicitly use firm’s stock performance as a proxy of firm performance </w:t>
      </w:r>
      <w:r>
        <w:rPr>
          <w:lang w:val="en-GB"/>
        </w:rPr>
        <w:fldChar w:fldCharType="begin"/>
      </w:r>
      <w:r>
        <w:rPr>
          <w:lang w:val="en-GB"/>
        </w:rPr>
        <w:instrText>ADDIN RW.CITE{{86 Bushman,RobertM. 1996; 87 Core,JohnE. 1999}}</w:instrText>
      </w:r>
      <w:r>
        <w:rPr>
          <w:lang w:val="en-GB"/>
        </w:rPr>
        <w:fldChar w:fldCharType="separate"/>
      </w:r>
      <w:r w:rsidR="00254F5A" w:rsidRPr="00254F5A">
        <w:rPr>
          <w:rFonts w:ascii="Calibri" w:hAnsi="Calibri"/>
          <w:lang w:val="en-GB"/>
        </w:rPr>
        <w:t>(Bushman, Indjejikian, &amp; Smith, 1996; Core, Holthausen, &amp; Larcker, 1999)</w:t>
      </w:r>
      <w:r>
        <w:rPr>
          <w:lang w:val="en-GB"/>
        </w:rPr>
        <w:fldChar w:fldCharType="end"/>
      </w:r>
      <w:r>
        <w:rPr>
          <w:lang w:val="en-GB"/>
        </w:rPr>
        <w:t xml:space="preserve">. The reasoning is that the CEO is seen as the top director who acts on behalf of the shareholders and therefore his performance is measured according to shareholder </w:t>
      </w:r>
      <w:r>
        <w:rPr>
          <w:lang w:val="en-GB"/>
        </w:rPr>
        <w:lastRenderedPageBreak/>
        <w:t xml:space="preserve">value in the form of stock price. As indicated, the main goals of the CEO and CFO come to a large degree of similarity, so also their proxies should be empirical transferrable. </w:t>
      </w:r>
      <w:r w:rsidR="00495C0A">
        <w:rPr>
          <w:lang w:val="en-GB"/>
        </w:rPr>
        <w:t>When it is assumed that CEO and CFO performance are practically the same, the measurement of CEO and CFO performance should be the same too.</w:t>
      </w:r>
    </w:p>
    <w:p w14:paraId="49051631" w14:textId="77777777" w:rsidR="00684998" w:rsidRDefault="00684998">
      <w:pPr>
        <w:rPr>
          <w:rFonts w:asciiTheme="majorHAnsi" w:eastAsiaTheme="majorEastAsia" w:hAnsiTheme="majorHAnsi" w:cstheme="majorBidi"/>
          <w:b/>
          <w:bCs/>
          <w:color w:val="FF0000"/>
          <w:sz w:val="26"/>
          <w:szCs w:val="26"/>
          <w:lang w:val="en-GB"/>
        </w:rPr>
      </w:pPr>
      <w:r w:rsidRPr="00202969">
        <w:rPr>
          <w:color w:val="FF0000"/>
          <w:lang w:val="en-GB"/>
        </w:rPr>
        <w:br w:type="page"/>
      </w:r>
    </w:p>
    <w:p w14:paraId="7678BB85" w14:textId="15F0915B" w:rsidR="00832B98" w:rsidRPr="00000773" w:rsidRDefault="000601F2" w:rsidP="00000773">
      <w:pPr>
        <w:pStyle w:val="Kop2"/>
      </w:pPr>
      <w:bookmarkStart w:id="25" w:name="_Toc439346631"/>
      <w:r w:rsidRPr="00000773">
        <w:lastRenderedPageBreak/>
        <w:t>2.4</w:t>
      </w:r>
      <w:r w:rsidR="00601BD4" w:rsidRPr="00000773">
        <w:t xml:space="preserve"> Summary and con</w:t>
      </w:r>
      <w:r w:rsidRPr="00000773">
        <w:t>clusions</w:t>
      </w:r>
      <w:bookmarkEnd w:id="25"/>
    </w:p>
    <w:p w14:paraId="3E46CEFC" w14:textId="2A986D91" w:rsidR="00684998" w:rsidRDefault="00684998" w:rsidP="00684998">
      <w:pPr>
        <w:spacing w:line="360" w:lineRule="auto"/>
        <w:jc w:val="both"/>
        <w:rPr>
          <w:lang w:val="en-GB"/>
        </w:rPr>
      </w:pPr>
      <w:r w:rsidRPr="00684998">
        <w:rPr>
          <w:lang w:val="en-GB"/>
        </w:rPr>
        <w:t xml:space="preserve">The </w:t>
      </w:r>
      <w:r>
        <w:rPr>
          <w:lang w:val="en-GB"/>
        </w:rPr>
        <w:t xml:space="preserve">review </w:t>
      </w:r>
      <w:r w:rsidR="00AD3FE1">
        <w:rPr>
          <w:lang w:val="en-GB"/>
        </w:rPr>
        <w:t xml:space="preserve">of prior research </w:t>
      </w:r>
      <w:r>
        <w:rPr>
          <w:lang w:val="en-GB"/>
        </w:rPr>
        <w:t>ma</w:t>
      </w:r>
      <w:r w:rsidR="00AD3FE1">
        <w:rPr>
          <w:lang w:val="en-GB"/>
        </w:rPr>
        <w:t>kes</w:t>
      </w:r>
      <w:r>
        <w:rPr>
          <w:lang w:val="en-GB"/>
        </w:rPr>
        <w:t xml:space="preserve"> clear that the CFO has an important </w:t>
      </w:r>
      <w:r w:rsidR="00202969">
        <w:rPr>
          <w:lang w:val="en-GB"/>
        </w:rPr>
        <w:t>position in the firm, but only</w:t>
      </w:r>
      <w:r>
        <w:rPr>
          <w:lang w:val="en-GB"/>
        </w:rPr>
        <w:t xml:space="preserve"> few studies examine his tasks separately. No doubt that this is a consequence of the high </w:t>
      </w:r>
      <w:r w:rsidR="003D3955">
        <w:rPr>
          <w:lang w:val="en-GB"/>
        </w:rPr>
        <w:t>overlap</w:t>
      </w:r>
      <w:r>
        <w:rPr>
          <w:lang w:val="en-GB"/>
        </w:rPr>
        <w:t xml:space="preserve"> of the tasks of the CFO, but it contrasts sharply with </w:t>
      </w:r>
      <w:r w:rsidR="003D3955">
        <w:rPr>
          <w:lang w:val="en-GB"/>
        </w:rPr>
        <w:t>the amount of</w:t>
      </w:r>
      <w:r>
        <w:rPr>
          <w:lang w:val="en-GB"/>
        </w:rPr>
        <w:t xml:space="preserve"> literature regarding the various aspects of CEO performance.</w:t>
      </w:r>
    </w:p>
    <w:p w14:paraId="0A0E70E8" w14:textId="3C44278B" w:rsidR="00684998" w:rsidRDefault="003D3955" w:rsidP="00684998">
      <w:pPr>
        <w:spacing w:line="360" w:lineRule="auto"/>
        <w:jc w:val="both"/>
        <w:rPr>
          <w:lang w:val="en-GB"/>
        </w:rPr>
      </w:pPr>
      <w:r>
        <w:rPr>
          <w:lang w:val="en-GB"/>
        </w:rPr>
        <w:t xml:space="preserve">The explicit distinction between the two duties of the CFO, managerial and fiduciary duty, is only made in a few studies </w:t>
      </w:r>
      <w:r>
        <w:rPr>
          <w:lang w:val="en-GB"/>
        </w:rPr>
        <w:fldChar w:fldCharType="begin"/>
      </w:r>
      <w:r>
        <w:rPr>
          <w:lang w:val="en-GB"/>
        </w:rPr>
        <w:instrText>ADDIN RW.CITE{{6 Hoitash,Rani 2012; 7 Indjejikian,Raffi 2009}}</w:instrText>
      </w:r>
      <w:r>
        <w:rPr>
          <w:lang w:val="en-GB"/>
        </w:rPr>
        <w:fldChar w:fldCharType="separate"/>
      </w:r>
      <w:r w:rsidR="00254F5A" w:rsidRPr="00254F5A">
        <w:rPr>
          <w:rFonts w:ascii="Calibri" w:hAnsi="Calibri"/>
          <w:lang w:val="en-GB"/>
        </w:rPr>
        <w:t>(Hoitash et al., 2012; Indjejikian &amp; Matêjka, 2009)</w:t>
      </w:r>
      <w:r>
        <w:rPr>
          <w:lang w:val="en-GB"/>
        </w:rPr>
        <w:fldChar w:fldCharType="end"/>
      </w:r>
      <w:r>
        <w:rPr>
          <w:lang w:val="en-GB"/>
        </w:rPr>
        <w:t>. These studies find evidence for a positive relation between CFO fiduciary performance and CFO compensation. Moreover, in the years after the introduction of SO</w:t>
      </w:r>
      <w:r w:rsidR="00F51C55">
        <w:rPr>
          <w:lang w:val="en-GB"/>
        </w:rPr>
        <w:t>x</w:t>
      </w:r>
      <w:r>
        <w:rPr>
          <w:lang w:val="en-GB"/>
        </w:rPr>
        <w:t>, they find results that indicate a decreased emphasis on managerial performance via compensation</w:t>
      </w:r>
      <w:r w:rsidR="00202969">
        <w:rPr>
          <w:lang w:val="en-GB"/>
        </w:rPr>
        <w:t xml:space="preserve"> and thus a relative increase in emphasis on </w:t>
      </w:r>
      <w:r w:rsidR="00F51C55">
        <w:rPr>
          <w:lang w:val="en-GB"/>
        </w:rPr>
        <w:t>the fiduciary performance as SOx</w:t>
      </w:r>
      <w:r w:rsidR="00202969">
        <w:rPr>
          <w:lang w:val="en-GB"/>
        </w:rPr>
        <w:t xml:space="preserve"> intended to do. This evidence suggests that there is a distinction between fiduciary and managerial duty and it is linked to incentive compensation. </w:t>
      </w:r>
    </w:p>
    <w:p w14:paraId="449D707B" w14:textId="2CA75B98" w:rsidR="00684998" w:rsidRDefault="00AD3FE1" w:rsidP="00684998">
      <w:pPr>
        <w:spacing w:line="360" w:lineRule="auto"/>
        <w:jc w:val="both"/>
        <w:rPr>
          <w:lang w:val="en-GB"/>
        </w:rPr>
      </w:pPr>
      <w:r>
        <w:rPr>
          <w:lang w:val="en-GB"/>
        </w:rPr>
        <w:t xml:space="preserve">In order to perform </w:t>
      </w:r>
      <w:r w:rsidR="003D3955">
        <w:rPr>
          <w:lang w:val="en-GB"/>
        </w:rPr>
        <w:t xml:space="preserve">his duties </w:t>
      </w:r>
      <w:r w:rsidR="00684998">
        <w:rPr>
          <w:lang w:val="en-GB"/>
        </w:rPr>
        <w:t>and to pursue firm’s goals,</w:t>
      </w:r>
      <w:r w:rsidR="003D3955">
        <w:rPr>
          <w:lang w:val="en-GB"/>
        </w:rPr>
        <w:t xml:space="preserve"> the</w:t>
      </w:r>
      <w:r w:rsidR="00684998">
        <w:rPr>
          <w:lang w:val="en-GB"/>
        </w:rPr>
        <w:t xml:space="preserve"> firm construct</w:t>
      </w:r>
      <w:r>
        <w:rPr>
          <w:lang w:val="en-GB"/>
        </w:rPr>
        <w:t>s</w:t>
      </w:r>
      <w:r w:rsidR="00684998">
        <w:rPr>
          <w:lang w:val="en-GB"/>
        </w:rPr>
        <w:t xml:space="preserve"> a control system</w:t>
      </w:r>
      <w:r w:rsidR="003D3955">
        <w:rPr>
          <w:lang w:val="en-GB"/>
        </w:rPr>
        <w:t xml:space="preserve"> for the CFO</w:t>
      </w:r>
      <w:r w:rsidR="00684998">
        <w:rPr>
          <w:lang w:val="en-GB"/>
        </w:rPr>
        <w:t xml:space="preserve">. This control system should provide </w:t>
      </w:r>
      <w:r w:rsidR="003D3955">
        <w:rPr>
          <w:lang w:val="en-GB"/>
        </w:rPr>
        <w:t xml:space="preserve">the right </w:t>
      </w:r>
      <w:r w:rsidR="00684998">
        <w:rPr>
          <w:lang w:val="en-GB"/>
        </w:rPr>
        <w:t xml:space="preserve">incentives to act in the best interest of the firm, while performance measurement </w:t>
      </w:r>
      <w:r>
        <w:rPr>
          <w:lang w:val="en-GB"/>
        </w:rPr>
        <w:t>extrapolates</w:t>
      </w:r>
      <w:r w:rsidR="00684998">
        <w:rPr>
          <w:lang w:val="en-GB"/>
        </w:rPr>
        <w:t xml:space="preserve"> useful information back to the firm. Part of the control system is the stimulation via a compensation incentive system, which often contains monetary compensation. Empirical </w:t>
      </w:r>
      <w:r w:rsidR="003D3955">
        <w:rPr>
          <w:lang w:val="en-GB"/>
        </w:rPr>
        <w:t>l</w:t>
      </w:r>
      <w:r w:rsidR="00684998">
        <w:rPr>
          <w:lang w:val="en-GB"/>
        </w:rPr>
        <w:t xml:space="preserve">iterature, however, has doubts about this association, arguing that the relation between monetary compensation and performance is not just straightforward as theoretical literature claims. </w:t>
      </w:r>
    </w:p>
    <w:p w14:paraId="4C8E8EF9" w14:textId="77777777" w:rsidR="00902794" w:rsidRDefault="00684998" w:rsidP="00684998">
      <w:pPr>
        <w:spacing w:line="360" w:lineRule="auto"/>
        <w:jc w:val="both"/>
        <w:rPr>
          <w:lang w:val="en-GB"/>
        </w:rPr>
      </w:pPr>
      <w:r>
        <w:rPr>
          <w:lang w:val="en-GB"/>
        </w:rPr>
        <w:t xml:space="preserve">For CFOs, a frequent form of compensation </w:t>
      </w:r>
      <w:r w:rsidR="00202969">
        <w:rPr>
          <w:lang w:val="en-GB"/>
        </w:rPr>
        <w:t xml:space="preserve">is </w:t>
      </w:r>
      <w:r>
        <w:rPr>
          <w:lang w:val="en-GB"/>
        </w:rPr>
        <w:t xml:space="preserve">equity-based compensation, which includes options and restricted stocks in CFO compensation packages. When the CFO is stimulated via equity, theory argues that he becomes more aligned with company goals, which increases performance. However, researchers fail to agree about the efficiency of equity-based compensation, since their empirical evidence shows mixed results. </w:t>
      </w:r>
    </w:p>
    <w:p w14:paraId="51BCFABC" w14:textId="2D442CE0" w:rsidR="00C9241F" w:rsidRPr="00684998" w:rsidRDefault="00000773" w:rsidP="00684998">
      <w:pPr>
        <w:spacing w:line="360" w:lineRule="auto"/>
        <w:jc w:val="both"/>
        <w:rPr>
          <w:lang w:val="en-GB"/>
        </w:rPr>
      </w:pPr>
      <w:r>
        <w:rPr>
          <w:lang w:val="en-GB"/>
        </w:rPr>
        <w:t>For an overview of the relevant literature used in the theoretical framework, see the tabular summary in the Appendix with concise description of the articles.</w:t>
      </w:r>
      <w:r w:rsidRPr="00684998">
        <w:rPr>
          <w:lang w:val="en-GB"/>
        </w:rPr>
        <w:t xml:space="preserve"> </w:t>
      </w:r>
      <w:r w:rsidR="00C9241F" w:rsidRPr="00684998">
        <w:rPr>
          <w:lang w:val="en-GB"/>
        </w:rPr>
        <w:br w:type="page"/>
      </w:r>
    </w:p>
    <w:p w14:paraId="13631C49" w14:textId="2C157BEF" w:rsidR="007338F7" w:rsidRDefault="007338F7" w:rsidP="00601BD4">
      <w:pPr>
        <w:pStyle w:val="Kop1"/>
      </w:pPr>
      <w:bookmarkStart w:id="26" w:name="_Toc439346632"/>
      <w:r>
        <w:lastRenderedPageBreak/>
        <w:t>3 Hypotheses</w:t>
      </w:r>
      <w:bookmarkEnd w:id="26"/>
    </w:p>
    <w:p w14:paraId="4413DD6D" w14:textId="14F16F6C" w:rsidR="008F3DEB" w:rsidRPr="008F3DEB" w:rsidRDefault="008F3DEB" w:rsidP="00E96799">
      <w:pPr>
        <w:spacing w:line="360" w:lineRule="auto"/>
        <w:jc w:val="both"/>
        <w:rPr>
          <w:lang w:val="en-GB"/>
        </w:rPr>
      </w:pPr>
      <w:r>
        <w:rPr>
          <w:lang w:val="en-GB"/>
        </w:rPr>
        <w:t xml:space="preserve">The theoretical </w:t>
      </w:r>
      <w:r w:rsidR="003678EC">
        <w:rPr>
          <w:lang w:val="en-GB"/>
        </w:rPr>
        <w:t xml:space="preserve">review </w:t>
      </w:r>
      <w:r w:rsidR="00AD3FE1">
        <w:rPr>
          <w:lang w:val="en-GB"/>
        </w:rPr>
        <w:t>outlines</w:t>
      </w:r>
      <w:r w:rsidR="003678EC">
        <w:rPr>
          <w:lang w:val="en-GB"/>
        </w:rPr>
        <w:t xml:space="preserve"> a framework</w:t>
      </w:r>
      <w:r w:rsidR="000D2C78">
        <w:rPr>
          <w:lang w:val="en-GB"/>
        </w:rPr>
        <w:t xml:space="preserve"> and indicate</w:t>
      </w:r>
      <w:r w:rsidR="00E96799">
        <w:rPr>
          <w:lang w:val="en-GB"/>
        </w:rPr>
        <w:t>s</w:t>
      </w:r>
      <w:r w:rsidR="000D2C78">
        <w:rPr>
          <w:lang w:val="en-GB"/>
        </w:rPr>
        <w:t xml:space="preserve"> the position of this thesis within this framework. This chapter </w:t>
      </w:r>
      <w:r w:rsidR="00E96799">
        <w:rPr>
          <w:lang w:val="en-GB"/>
        </w:rPr>
        <w:t xml:space="preserve">presents the </w:t>
      </w:r>
      <w:r w:rsidR="00364211">
        <w:rPr>
          <w:lang w:val="en-GB"/>
        </w:rPr>
        <w:t xml:space="preserve">conceptual framework and </w:t>
      </w:r>
      <w:r w:rsidR="00E96799">
        <w:rPr>
          <w:lang w:val="en-GB"/>
        </w:rPr>
        <w:t xml:space="preserve">hypotheses that result from the theoretical review and are used to support the main research question. </w:t>
      </w:r>
      <w:r w:rsidR="00364211">
        <w:rPr>
          <w:lang w:val="en-GB"/>
        </w:rPr>
        <w:t xml:space="preserve">Moreover, it elaborates on the reasoning behind the hypotheses and defines the variables. </w:t>
      </w:r>
    </w:p>
    <w:p w14:paraId="75AD683C" w14:textId="078229A6" w:rsidR="00F17A84" w:rsidRDefault="007338F7" w:rsidP="00F17A84">
      <w:pPr>
        <w:pStyle w:val="Kop2"/>
      </w:pPr>
      <w:bookmarkStart w:id="27" w:name="_Toc439346633"/>
      <w:r>
        <w:t>3.1</w:t>
      </w:r>
      <w:r w:rsidR="00F17A84">
        <w:t xml:space="preserve"> Conceptual framework</w:t>
      </w:r>
      <w:bookmarkEnd w:id="27"/>
    </w:p>
    <w:p w14:paraId="1884CA1F" w14:textId="5583EE5F" w:rsidR="00F17A84" w:rsidRDefault="00202969" w:rsidP="00F17A84">
      <w:pPr>
        <w:pStyle w:val="Geenafstand"/>
        <w:spacing w:line="360" w:lineRule="auto"/>
        <w:jc w:val="both"/>
        <w:rPr>
          <w:lang w:val="en-GB"/>
        </w:rPr>
      </w:pPr>
      <w:r>
        <w:rPr>
          <w:lang w:val="en-GB"/>
        </w:rPr>
        <w:t xml:space="preserve">The conceptual framework in figure 1 </w:t>
      </w:r>
      <w:r w:rsidR="003678EC">
        <w:rPr>
          <w:lang w:val="en-GB"/>
        </w:rPr>
        <w:t xml:space="preserve">exemplifies the relation between the dependent and independent </w:t>
      </w:r>
      <w:r w:rsidR="00364211">
        <w:rPr>
          <w:lang w:val="en-GB"/>
        </w:rPr>
        <w:t>variables</w:t>
      </w:r>
      <w:r w:rsidR="00C9241F">
        <w:rPr>
          <w:lang w:val="en-GB"/>
        </w:rPr>
        <w:t xml:space="preserve">. </w:t>
      </w:r>
      <w:r>
        <w:rPr>
          <w:lang w:val="en-GB"/>
        </w:rPr>
        <w:t xml:space="preserve">This thesis examines the influence of </w:t>
      </w:r>
      <w:r w:rsidR="005A61F9">
        <w:rPr>
          <w:lang w:val="en-GB"/>
        </w:rPr>
        <w:t xml:space="preserve">cash and </w:t>
      </w:r>
      <w:r>
        <w:rPr>
          <w:lang w:val="en-GB"/>
        </w:rPr>
        <w:t xml:space="preserve">equity-based compensation on CFO performance, which is preceded by effort and performance measurement. </w:t>
      </w:r>
    </w:p>
    <w:p w14:paraId="684CB201" w14:textId="6FF2D9CB" w:rsidR="00023813" w:rsidRPr="009E1BB6" w:rsidRDefault="00023813" w:rsidP="00F17A84">
      <w:pPr>
        <w:pStyle w:val="Geenafstand"/>
        <w:spacing w:line="360" w:lineRule="auto"/>
        <w:jc w:val="both"/>
        <w:rPr>
          <w:color w:val="FF0000"/>
          <w:lang w:val="en-GB"/>
        </w:rPr>
      </w:pPr>
      <w:r>
        <w:rPr>
          <w:noProof/>
          <w:lang w:val="en-GB" w:eastAsia="en-GB"/>
        </w:rPr>
        <mc:AlternateContent>
          <mc:Choice Requires="wpg">
            <w:drawing>
              <wp:anchor distT="0" distB="0" distL="114300" distR="114300" simplePos="0" relativeHeight="251761664" behindDoc="0" locked="0" layoutInCell="1" allowOverlap="1" wp14:anchorId="426B65CA" wp14:editId="45823731">
                <wp:simplePos x="0" y="0"/>
                <wp:positionH relativeFrom="column">
                  <wp:posOffset>-112395</wp:posOffset>
                </wp:positionH>
                <wp:positionV relativeFrom="paragraph">
                  <wp:posOffset>200025</wp:posOffset>
                </wp:positionV>
                <wp:extent cx="6241415" cy="3855720"/>
                <wp:effectExtent l="0" t="0" r="6985" b="0"/>
                <wp:wrapNone/>
                <wp:docPr id="14" name="Groep 14"/>
                <wp:cNvGraphicFramePr/>
                <a:graphic xmlns:a="http://schemas.openxmlformats.org/drawingml/2006/main">
                  <a:graphicData uri="http://schemas.microsoft.com/office/word/2010/wordprocessingGroup">
                    <wpg:wgp>
                      <wpg:cNvGrpSpPr/>
                      <wpg:grpSpPr>
                        <a:xfrm>
                          <a:off x="0" y="0"/>
                          <a:ext cx="6241415" cy="3855720"/>
                          <a:chOff x="0" y="0"/>
                          <a:chExt cx="6241415" cy="3855720"/>
                        </a:xfrm>
                      </wpg:grpSpPr>
                      <wps:wsp>
                        <wps:cNvPr id="63" name="Rechte verbindingslijn 63"/>
                        <wps:cNvCnPr/>
                        <wps:spPr>
                          <a:xfrm>
                            <a:off x="5896051" y="1250899"/>
                            <a:ext cx="1" cy="1556818"/>
                          </a:xfrm>
                          <a:prstGeom prst="line">
                            <a:avLst/>
                          </a:prstGeom>
                        </wps:spPr>
                        <wps:style>
                          <a:lnRef idx="1">
                            <a:schemeClr val="dk1"/>
                          </a:lnRef>
                          <a:fillRef idx="0">
                            <a:schemeClr val="dk1"/>
                          </a:fillRef>
                          <a:effectRef idx="0">
                            <a:schemeClr val="dk1"/>
                          </a:effectRef>
                          <a:fontRef idx="minor">
                            <a:schemeClr val="tx1"/>
                          </a:fontRef>
                        </wps:style>
                        <wps:bodyPr/>
                      </wps:wsp>
                      <wpg:grpSp>
                        <wpg:cNvPr id="66" name="Groep 66"/>
                        <wpg:cNvGrpSpPr/>
                        <wpg:grpSpPr>
                          <a:xfrm>
                            <a:off x="0" y="0"/>
                            <a:ext cx="6241415" cy="3855720"/>
                            <a:chOff x="0" y="0"/>
                            <a:chExt cx="6241446" cy="3855721"/>
                          </a:xfrm>
                        </wpg:grpSpPr>
                        <wpg:grpSp>
                          <wpg:cNvPr id="62" name="Groep 62"/>
                          <wpg:cNvGrpSpPr/>
                          <wpg:grpSpPr>
                            <a:xfrm>
                              <a:off x="0" y="0"/>
                              <a:ext cx="6241446" cy="3855721"/>
                              <a:chOff x="0" y="0"/>
                              <a:chExt cx="6241446" cy="3855721"/>
                            </a:xfrm>
                          </wpg:grpSpPr>
                          <wpg:grpSp>
                            <wpg:cNvPr id="59" name="Groep 59"/>
                            <wpg:cNvGrpSpPr/>
                            <wpg:grpSpPr>
                              <a:xfrm>
                                <a:off x="0" y="0"/>
                                <a:ext cx="6241446" cy="3855721"/>
                                <a:chOff x="0" y="0"/>
                                <a:chExt cx="6241446" cy="3855721"/>
                              </a:xfrm>
                            </wpg:grpSpPr>
                            <wpg:grpSp>
                              <wpg:cNvPr id="22" name="Groep 22"/>
                              <wpg:cNvGrpSpPr/>
                              <wpg:grpSpPr>
                                <a:xfrm>
                                  <a:off x="0" y="0"/>
                                  <a:ext cx="6241446" cy="3855721"/>
                                  <a:chOff x="0" y="0"/>
                                  <a:chExt cx="6241446" cy="3855721"/>
                                </a:xfrm>
                              </wpg:grpSpPr>
                              <wpg:grpSp>
                                <wpg:cNvPr id="13" name="Groep 13"/>
                                <wpg:cNvGrpSpPr/>
                                <wpg:grpSpPr>
                                  <a:xfrm>
                                    <a:off x="0" y="0"/>
                                    <a:ext cx="6241446" cy="3855721"/>
                                    <a:chOff x="0" y="0"/>
                                    <a:chExt cx="6241446" cy="3855721"/>
                                  </a:xfrm>
                                </wpg:grpSpPr>
                                <wpg:grpSp>
                                  <wpg:cNvPr id="64" name="Groep 64"/>
                                  <wpg:cNvGrpSpPr/>
                                  <wpg:grpSpPr>
                                    <a:xfrm>
                                      <a:off x="0" y="0"/>
                                      <a:ext cx="6241446" cy="3855721"/>
                                      <a:chOff x="71251" y="0"/>
                                      <a:chExt cx="6241446" cy="3855721"/>
                                    </a:xfrm>
                                  </wpg:grpSpPr>
                                  <wpg:grpSp>
                                    <wpg:cNvPr id="44" name="Groep 44"/>
                                    <wpg:cNvGrpSpPr/>
                                    <wpg:grpSpPr>
                                      <a:xfrm>
                                        <a:off x="71251" y="0"/>
                                        <a:ext cx="6241446" cy="3855721"/>
                                        <a:chOff x="71855" y="0"/>
                                        <a:chExt cx="6241446" cy="3855721"/>
                                      </a:xfrm>
                                    </wpg:grpSpPr>
                                    <wpg:grpSp>
                                      <wpg:cNvPr id="30" name="Groep 30"/>
                                      <wpg:cNvGrpSpPr/>
                                      <wpg:grpSpPr>
                                        <a:xfrm>
                                          <a:off x="71855" y="0"/>
                                          <a:ext cx="6241446" cy="3855721"/>
                                          <a:chOff x="71855" y="0"/>
                                          <a:chExt cx="6241456" cy="3856139"/>
                                        </a:xfrm>
                                      </wpg:grpSpPr>
                                      <wpg:grpSp>
                                        <wpg:cNvPr id="57" name="Groep 57"/>
                                        <wpg:cNvGrpSpPr/>
                                        <wpg:grpSpPr>
                                          <a:xfrm>
                                            <a:off x="71855" y="0"/>
                                            <a:ext cx="6241456" cy="3856139"/>
                                            <a:chOff x="71855" y="632947"/>
                                            <a:chExt cx="6241456" cy="3856139"/>
                                          </a:xfrm>
                                        </wpg:grpSpPr>
                                        <wpg:grpSp>
                                          <wpg:cNvPr id="49" name="Groep 49"/>
                                          <wpg:cNvGrpSpPr/>
                                          <wpg:grpSpPr>
                                            <a:xfrm>
                                              <a:off x="71855" y="632947"/>
                                              <a:ext cx="6241456" cy="3856139"/>
                                              <a:chOff x="71862" y="596000"/>
                                              <a:chExt cx="6242050" cy="3856471"/>
                                            </a:xfrm>
                                          </wpg:grpSpPr>
                                          <wpg:grpSp>
                                            <wpg:cNvPr id="36" name="Groep 36"/>
                                            <wpg:cNvGrpSpPr/>
                                            <wpg:grpSpPr>
                                              <a:xfrm>
                                                <a:off x="71862" y="596000"/>
                                                <a:ext cx="6242050" cy="3856471"/>
                                                <a:chOff x="71862" y="-42355"/>
                                                <a:chExt cx="6242050" cy="3856471"/>
                                              </a:xfrm>
                                            </wpg:grpSpPr>
                                            <wpg:grpSp>
                                              <wpg:cNvPr id="34" name="Groep 34"/>
                                              <wpg:cNvGrpSpPr/>
                                              <wpg:grpSpPr>
                                                <a:xfrm>
                                                  <a:off x="610646" y="-42355"/>
                                                  <a:ext cx="5012950" cy="2062008"/>
                                                  <a:chOff x="618010" y="-42361"/>
                                                  <a:chExt cx="5013346" cy="2062290"/>
                                                </a:xfrm>
                                              </wpg:grpSpPr>
                                              <wpg:grpSp>
                                                <wpg:cNvPr id="33" name="Groep 33"/>
                                                <wpg:cNvGrpSpPr/>
                                                <wpg:grpSpPr>
                                                  <a:xfrm>
                                                    <a:off x="618010" y="-42361"/>
                                                    <a:ext cx="5013346" cy="1860256"/>
                                                    <a:chOff x="610715" y="-42370"/>
                                                    <a:chExt cx="5013504" cy="1860643"/>
                                                  </a:xfrm>
                                                </wpg:grpSpPr>
                                                <wps:wsp>
                                                  <wps:cNvPr id="8" name="Tekstvak 8"/>
                                                  <wps:cNvSpPr txBox="1"/>
                                                  <wps:spPr>
                                                    <a:xfrm>
                                                      <a:off x="2427905" y="-42370"/>
                                                      <a:ext cx="1378365" cy="2762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40B31" w14:textId="77777777" w:rsidR="00A726AB" w:rsidRPr="00CF7AD5" w:rsidRDefault="00A726AB" w:rsidP="00F17A84">
                                                        <w:pPr>
                                                          <w:jc w:val="center"/>
                                                          <w:rPr>
                                                            <w:sz w:val="20"/>
                                                            <w:szCs w:val="20"/>
                                                          </w:rPr>
                                                        </w:pPr>
                                                        <w:r w:rsidRPr="00CF7AD5">
                                                          <w:rPr>
                                                            <w:sz w:val="20"/>
                                                            <w:szCs w:val="20"/>
                                                          </w:rPr>
                                                          <w:t xml:space="preserve">CFO </w:t>
                                                        </w:r>
                                                        <w:r w:rsidRPr="00CF7AD5">
                                                          <w:rPr>
                                                            <w:sz w:val="20"/>
                                                            <w:szCs w:val="20"/>
                                                            <w:lang w:val="en-GB"/>
                                                          </w:rPr>
                                                          <w:t>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kstvak 19"/>
                                                  <wps:cNvSpPr txBox="1"/>
                                                  <wps:spPr>
                                                    <a:xfrm>
                                                      <a:off x="3730649" y="606481"/>
                                                      <a:ext cx="1893570" cy="2762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1E300A" w14:textId="77777777" w:rsidR="00A726AB" w:rsidRPr="00292254" w:rsidRDefault="00A726AB" w:rsidP="00F17A84">
                                                        <w:pPr>
                                                          <w:jc w:val="center"/>
                                                          <w:rPr>
                                                            <w:sz w:val="20"/>
                                                            <w:szCs w:val="20"/>
                                                            <w:lang w:val="en-GB"/>
                                                          </w:rPr>
                                                        </w:pPr>
                                                        <w:r w:rsidRPr="00292254">
                                                          <w:rPr>
                                                            <w:sz w:val="20"/>
                                                            <w:szCs w:val="20"/>
                                                            <w:lang w:val="en-GB"/>
                                                          </w:rPr>
                                                          <w:t xml:space="preserve">Managerial </w:t>
                                                        </w:r>
                                                        <w:r>
                                                          <w:rPr>
                                                            <w:sz w:val="20"/>
                                                            <w:szCs w:val="20"/>
                                                            <w:lang w:val="en-GB"/>
                                                          </w:rPr>
                                                          <w:t>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kstvak 20"/>
                                                  <wps:cNvSpPr txBox="1"/>
                                                  <wps:spPr>
                                                    <a:xfrm>
                                                      <a:off x="3730214" y="1542048"/>
                                                      <a:ext cx="1893556" cy="2762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5D648" w14:textId="77777777" w:rsidR="00A726AB" w:rsidRPr="00292254" w:rsidRDefault="00A726AB" w:rsidP="00F17A84">
                                                        <w:pPr>
                                                          <w:jc w:val="center"/>
                                                          <w:rPr>
                                                            <w:sz w:val="20"/>
                                                            <w:szCs w:val="20"/>
                                                            <w:lang w:val="en-GB"/>
                                                          </w:rPr>
                                                        </w:pPr>
                                                        <w:r>
                                                          <w:rPr>
                                                            <w:sz w:val="20"/>
                                                            <w:szCs w:val="20"/>
                                                            <w:lang w:val="en-GB"/>
                                                          </w:rPr>
                                                          <w:t>Performance 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kstvak 24"/>
                                                  <wps:cNvSpPr txBox="1"/>
                                                  <wps:spPr>
                                                    <a:xfrm>
                                                      <a:off x="610860" y="605642"/>
                                                      <a:ext cx="1894114" cy="2762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A82AB" w14:textId="77777777" w:rsidR="00A726AB" w:rsidRPr="00292254" w:rsidRDefault="00A726AB" w:rsidP="00F17A84">
                                                        <w:pPr>
                                                          <w:jc w:val="center"/>
                                                          <w:rPr>
                                                            <w:sz w:val="20"/>
                                                            <w:szCs w:val="20"/>
                                                            <w:lang w:val="en-GB"/>
                                                          </w:rPr>
                                                        </w:pPr>
                                                        <w:r w:rsidRPr="00292254">
                                                          <w:rPr>
                                                            <w:sz w:val="20"/>
                                                            <w:szCs w:val="20"/>
                                                            <w:lang w:val="en-GB"/>
                                                          </w:rPr>
                                                          <w:t xml:space="preserve">Fiduciary </w:t>
                                                        </w:r>
                                                        <w:r>
                                                          <w:rPr>
                                                            <w:sz w:val="20"/>
                                                            <w:szCs w:val="20"/>
                                                            <w:lang w:val="en-GB"/>
                                                          </w:rPr>
                                                          <w:t>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kstvak 25"/>
                                                  <wps:cNvSpPr txBox="1"/>
                                                  <wps:spPr>
                                                    <a:xfrm>
                                                      <a:off x="610715" y="1541232"/>
                                                      <a:ext cx="1894108" cy="274649"/>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38CEC" w14:textId="77777777" w:rsidR="00A726AB" w:rsidRPr="00292254" w:rsidRDefault="00A726AB" w:rsidP="00F17A84">
                                                        <w:pPr>
                                                          <w:jc w:val="center"/>
                                                          <w:rPr>
                                                            <w:sz w:val="20"/>
                                                            <w:szCs w:val="20"/>
                                                            <w:lang w:val="en-GB"/>
                                                          </w:rPr>
                                                        </w:pPr>
                                                        <w:r>
                                                          <w:rPr>
                                                            <w:sz w:val="20"/>
                                                            <w:szCs w:val="20"/>
                                                            <w:lang w:val="en-GB"/>
                                                          </w:rPr>
                                                          <w:t>Performance 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echte verbindingslijn met pijl 27"/>
                                                  <wps:cNvCnPr>
                                                    <a:stCxn id="8" idx="2"/>
                                                    <a:endCxn id="19" idx="0"/>
                                                  </wps:cNvCnPr>
                                                  <wps:spPr>
                                                    <a:xfrm>
                                                      <a:off x="3117088" y="233855"/>
                                                      <a:ext cx="1560346" cy="37262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8" name="Rechte verbindingslijn met pijl 28"/>
                                                  <wps:cNvCnPr>
                                                    <a:stCxn id="8" idx="2"/>
                                                    <a:endCxn id="24" idx="0"/>
                                                  </wps:cNvCnPr>
                                                  <wps:spPr>
                                                    <a:xfrm flipH="1">
                                                      <a:off x="1557917" y="233855"/>
                                                      <a:ext cx="1559170" cy="371787"/>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21" name="Rechte verbindingslijn met pijl 21"/>
                                                <wps:cNvCnPr>
                                                  <a:stCxn id="31" idx="0"/>
                                                  <a:endCxn id="20" idx="2"/>
                                                </wps:cNvCnPr>
                                                <wps:spPr>
                                                  <a:xfrm flipH="1" flipV="1">
                                                    <a:off x="4684160" y="1817895"/>
                                                    <a:ext cx="43" cy="202034"/>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35" name="Tekstvak 35"/>
                                              <wps:cNvSpPr txBox="1"/>
                                              <wps:spPr>
                                                <a:xfrm>
                                                  <a:off x="71862" y="3547706"/>
                                                  <a:ext cx="6242050" cy="266410"/>
                                                </a:xfrm>
                                                <a:prstGeom prst="rect">
                                                  <a:avLst/>
                                                </a:prstGeom>
                                                <a:solidFill>
                                                  <a:prstClr val="white"/>
                                                </a:solidFill>
                                                <a:ln>
                                                  <a:noFill/>
                                                </a:ln>
                                                <a:effectLst/>
                                              </wps:spPr>
                                              <wps:txbx>
                                                <w:txbxContent>
                                                  <w:p w14:paraId="7892196A" w14:textId="06212549" w:rsidR="00A726AB" w:rsidRPr="00435C83" w:rsidRDefault="00A726AB" w:rsidP="00A726AB">
                                                    <w:pPr>
                                                      <w:pStyle w:val="Kop5"/>
                                                      <w:rPr>
                                                        <w:noProof/>
                                                      </w:rPr>
                                                    </w:pPr>
                                                    <w:r w:rsidRPr="00435C83">
                                                      <w:t xml:space="preserve">Figure </w:t>
                                                    </w:r>
                                                    <w:r w:rsidRPr="00435C83">
                                                      <w:fldChar w:fldCharType="begin"/>
                                                    </w:r>
                                                    <w:r w:rsidRPr="00435C83">
                                                      <w:instrText xml:space="preserve"> SEQ Figuur \* ARABIC </w:instrText>
                                                    </w:r>
                                                    <w:r w:rsidRPr="00435C83">
                                                      <w:fldChar w:fldCharType="separate"/>
                                                    </w:r>
                                                    <w:r w:rsidR="004043A1">
                                                      <w:rPr>
                                                        <w:noProof/>
                                                      </w:rPr>
                                                      <w:t>1</w:t>
                                                    </w:r>
                                                    <w:r w:rsidRPr="00435C83">
                                                      <w:fldChar w:fldCharType="end"/>
                                                    </w:r>
                                                    <w:r w:rsidR="00427E2A">
                                                      <w:t>: Conceptual f</w:t>
                                                    </w:r>
                                                    <w:r w:rsidRPr="00435C83">
                                                      <w:t>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38" name="Tekstvak 38"/>
                                            <wps:cNvSpPr txBox="1"/>
                                            <wps:spPr>
                                              <a:xfrm>
                                                <a:off x="610643" y="2648422"/>
                                                <a:ext cx="1893901" cy="2755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5F5FD" w14:textId="77777777" w:rsidR="00A726AB" w:rsidRPr="00A028DE" w:rsidRDefault="00A726AB" w:rsidP="00F17A84">
                                                  <w:pPr>
                                                    <w:jc w:val="center"/>
                                                    <w:rPr>
                                                      <w:sz w:val="20"/>
                                                      <w:szCs w:val="20"/>
                                                      <w:lang w:val="en-GB"/>
                                                    </w:rPr>
                                                  </w:pPr>
                                                  <w:r w:rsidRPr="00A028DE">
                                                    <w:rPr>
                                                      <w:sz w:val="20"/>
                                                      <w:szCs w:val="20"/>
                                                      <w:lang w:val="en-GB"/>
                                                    </w:rPr>
                                                    <w:t>Fiduciary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 name="Rechte verbindingslijn met pijl 54"/>
                                          <wps:cNvCnPr>
                                            <a:stCxn id="7" idx="0"/>
                                            <a:endCxn id="24" idx="2"/>
                                          </wps:cNvCnPr>
                                          <wps:spPr>
                                            <a:xfrm flipV="1">
                                              <a:off x="1557519" y="1556786"/>
                                              <a:ext cx="76" cy="185943"/>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55" name="Rechte verbindingslijn met pijl 55"/>
                                          <wps:cNvCnPr>
                                            <a:stCxn id="10" idx="0"/>
                                            <a:endCxn id="19" idx="2"/>
                                          </wps:cNvCnPr>
                                          <wps:spPr>
                                            <a:xfrm flipV="1">
                                              <a:off x="4676247" y="1557624"/>
                                              <a:ext cx="224" cy="189869"/>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9" name="Tekstvak 9"/>
                                        <wps:cNvSpPr txBox="1"/>
                                        <wps:spPr>
                                          <a:xfrm>
                                            <a:off x="2447743" y="2656622"/>
                                            <a:ext cx="1378089" cy="3028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02A89" w14:textId="58AC52DC" w:rsidR="00A726AB" w:rsidRPr="009C4034" w:rsidRDefault="00A726AB" w:rsidP="009C4034">
                                              <w:pPr>
                                                <w:spacing w:line="240" w:lineRule="auto"/>
                                                <w:jc w:val="center"/>
                                                <w:rPr>
                                                  <w:sz w:val="20"/>
                                                  <w:szCs w:val="20"/>
                                                  <w:lang w:val="en-GB"/>
                                                </w:rPr>
                                              </w:pPr>
                                              <w:r w:rsidRPr="00292254">
                                                <w:rPr>
                                                  <w:sz w:val="20"/>
                                                  <w:szCs w:val="20"/>
                                                </w:rPr>
                                                <w:t xml:space="preserve">CFO </w:t>
                                              </w:r>
                                              <w:r>
                                                <w:rPr>
                                                  <w:sz w:val="20"/>
                                                  <w:szCs w:val="20"/>
                                                  <w:lang w:val="en-GB"/>
                                                </w:rPr>
                                                <w:t>Compensation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hte verbindingslijn met pijl 29"/>
                                        <wps:cNvCnPr>
                                          <a:stCxn id="9" idx="0"/>
                                          <a:endCxn id="38" idx="2"/>
                                        </wps:cNvCnPr>
                                        <wps:spPr>
                                          <a:xfrm flipH="1" flipV="1">
                                            <a:off x="1557445" y="2327811"/>
                                            <a:ext cx="1579342" cy="328811"/>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31" name="Tekstvak 31"/>
                                      <wps:cNvSpPr txBox="1"/>
                                      <wps:spPr>
                                        <a:xfrm>
                                          <a:off x="3729489" y="2061608"/>
                                          <a:ext cx="1893150" cy="2749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CC16E" w14:textId="77777777" w:rsidR="00A726AB" w:rsidRPr="00292254" w:rsidRDefault="00A726AB" w:rsidP="00F17A84">
                                            <w:pPr>
                                              <w:jc w:val="center"/>
                                              <w:rPr>
                                                <w:sz w:val="20"/>
                                                <w:szCs w:val="20"/>
                                              </w:rPr>
                                            </w:pPr>
                                            <w:r>
                                              <w:rPr>
                                                <w:sz w:val="20"/>
                                                <w:szCs w:val="20"/>
                                              </w:rPr>
                                              <w:t xml:space="preserve">Managerial </w:t>
                                            </w:r>
                                            <w:r>
                                              <w:rPr>
                                                <w:sz w:val="20"/>
                                                <w:szCs w:val="20"/>
                                                <w:lang w:val="en-GB"/>
                                              </w:rPr>
                                              <w:t>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hte verbindingslijn met pijl 32"/>
                                      <wps:cNvCnPr>
                                        <a:stCxn id="9" idx="0"/>
                                        <a:endCxn id="31" idx="2"/>
                                      </wps:cNvCnPr>
                                      <wps:spPr>
                                        <a:xfrm flipV="1">
                                          <a:off x="3136782" y="2336563"/>
                                          <a:ext cx="1539283" cy="319771"/>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51" name="Rechte verbindingslijn met pijl 51"/>
                                    <wps:cNvCnPr>
                                      <a:stCxn id="38" idx="0"/>
                                      <a:endCxn id="25" idx="2"/>
                                    </wps:cNvCnPr>
                                    <wps:spPr>
                                      <a:xfrm flipV="1">
                                        <a:off x="1556839" y="1857249"/>
                                        <a:ext cx="2" cy="194774"/>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7" name="Tekstvak 7"/>
                                  <wps:cNvSpPr txBox="1"/>
                                  <wps:spPr>
                                    <a:xfrm>
                                      <a:off x="538877" y="1109662"/>
                                      <a:ext cx="1893570" cy="2755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575F3" w14:textId="77777777" w:rsidR="00A726AB" w:rsidRPr="00292254" w:rsidRDefault="00A726AB" w:rsidP="00F17A84">
                                        <w:pPr>
                                          <w:jc w:val="center"/>
                                          <w:rPr>
                                            <w:sz w:val="20"/>
                                            <w:szCs w:val="20"/>
                                            <w:lang w:val="en-GB"/>
                                          </w:rPr>
                                        </w:pPr>
                                        <w:r>
                                          <w:rPr>
                                            <w:sz w:val="20"/>
                                            <w:szCs w:val="20"/>
                                            <w:lang w:val="en-GB"/>
                                          </w:rPr>
                                          <w:t>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kstvak 10"/>
                                  <wps:cNvSpPr txBox="1"/>
                                  <wps:spPr>
                                    <a:xfrm>
                                      <a:off x="3657600" y="1114425"/>
                                      <a:ext cx="1893570" cy="2755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AAEB7" w14:textId="77777777" w:rsidR="00A726AB" w:rsidRPr="00292254" w:rsidRDefault="00A726AB" w:rsidP="00F17A84">
                                        <w:pPr>
                                          <w:jc w:val="center"/>
                                          <w:rPr>
                                            <w:sz w:val="20"/>
                                            <w:szCs w:val="20"/>
                                            <w:lang w:val="en-GB"/>
                                          </w:rPr>
                                        </w:pPr>
                                        <w:r>
                                          <w:rPr>
                                            <w:sz w:val="20"/>
                                            <w:szCs w:val="20"/>
                                            <w:lang w:val="en-GB"/>
                                          </w:rPr>
                                          <w:t>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Rechte verbindingslijn met pijl 11"/>
                                <wps:cNvCnPr>
                                  <a:stCxn id="25" idx="0"/>
                                  <a:endCxn id="7" idx="2"/>
                                </wps:cNvCnPr>
                                <wps:spPr>
                                  <a:xfrm flipV="1">
                                    <a:off x="1485590" y="1385252"/>
                                    <a:ext cx="72" cy="197496"/>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2" name="Rechte verbindingslijn met pijl 12"/>
                                <wps:cNvCnPr>
                                  <a:stCxn id="20" idx="0"/>
                                  <a:endCxn id="10" idx="2"/>
                                </wps:cNvCnPr>
                                <wps:spPr>
                                  <a:xfrm flipV="1">
                                    <a:off x="4604167" y="1390015"/>
                                    <a:ext cx="218" cy="193549"/>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52" name="Rechte verbindingslijn 52"/>
                              <wps:cNvCnPr>
                                <a:stCxn id="9" idx="1"/>
                              </wps:cNvCnPr>
                              <wps:spPr>
                                <a:xfrm flipH="1">
                                  <a:off x="176211" y="2807718"/>
                                  <a:ext cx="2199673"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56" name="Rechte verbindingslijn met pijl 56"/>
                              <wps:cNvCnPr>
                                <a:endCxn id="7" idx="1"/>
                              </wps:cNvCnPr>
                              <wps:spPr>
                                <a:xfrm flipV="1">
                                  <a:off x="176211" y="1247457"/>
                                  <a:ext cx="362666" cy="113"/>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8" name="Rechte verbindingslijn 58"/>
                              <wps:cNvCnPr/>
                              <wps:spPr>
                                <a:xfrm>
                                  <a:off x="176207" y="1247160"/>
                                  <a:ext cx="4" cy="1560557"/>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1" name="Rechte verbindingslijn 61"/>
                            <wps:cNvCnPr>
                              <a:endCxn id="9" idx="3"/>
                            </wps:cNvCnPr>
                            <wps:spPr>
                              <a:xfrm flipH="1">
                                <a:off x="3753971" y="2807718"/>
                                <a:ext cx="2142111"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65" name="Rechte verbindingslijn met pijl 65"/>
                          <wps:cNvCnPr>
                            <a:endCxn id="10" idx="3"/>
                          </wps:cNvCnPr>
                          <wps:spPr>
                            <a:xfrm flipH="1">
                              <a:off x="5551171" y="1252220"/>
                              <a:ext cx="3449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ep 14" o:spid="_x0000_s1026" style="position:absolute;left:0;text-align:left;margin-left:-8.85pt;margin-top:15.75pt;width:491.45pt;height:303.6pt;z-index:251761664" coordsize="62414,3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">
                <v:line id="Rechte verbindingslijn 63" o:spid="_x0000_s1027" style="position:absolute;visibility:visible;mso-wrap-style:square" from="58960,12508" to="58960,2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gdsIAAADbAAAADwAAAGRycy9kb3ducmV2LnhtbESPQWsCMRSE70L/Q3hCb5pV6aKrWSnS&#10;0lJP2np/bJ67y25e1iTV9N83hYLHYWa+YTbbaHpxJedbywpm0wwEcWV1y7WCr8/XyRKED8gae8uk&#10;4Ic8bMuH0QYLbW98oOsx1CJB2BeooAlhKKT0VUMG/dQOxMk7W2cwJOlqqR3eEtz0cp5luTTYclpo&#10;cKBdQ1V3/DaJMjtdjHzrVnj6cHv3ssjjU7wo9TiOz2sQgWK4h//b71pBvoC/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BgdsIAAADbAAAADwAAAAAAAAAAAAAA&#10;AAChAgAAZHJzL2Rvd25yZXYueG1sUEsFBgAAAAAEAAQA+QAAAJADAAAAAA==&#10;" strokecolor="black [3040]"/>
                <v:group id="Groep 66" o:spid="_x0000_s1028" style="position:absolute;width:62414;height:38557" coordsize="62414,3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ep 62" o:spid="_x0000_s1029" style="position:absolute;width:62414;height:38557" coordsize="62414,3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ep 59" o:spid="_x0000_s1030" style="position:absolute;width:62414;height:38557" coordsize="62414,3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ep 22" o:spid="_x0000_s1031" style="position:absolute;width:62414;height:38557" coordsize="62414,3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ep 13" o:spid="_x0000_s1032" style="position:absolute;width:62414;height:38557" coordsize="62414,3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ep 64" o:spid="_x0000_s1033" style="position:absolute;width:62414;height:38557" coordorigin="712" coordsize="62414,3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ep 44" o:spid="_x0000_s1034" style="position:absolute;left:712;width:62414;height:38557" coordorigin="718" coordsize="62414,3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ep 30" o:spid="_x0000_s1035" style="position:absolute;left:718;width:62415;height:38557" coordorigin="718" coordsize="62414,3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ep 57" o:spid="_x0000_s1036" style="position:absolute;left:718;width:62415;height:38561" coordorigin="718,6329" coordsize="62414,3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ep 49" o:spid="_x0000_s1037" style="position:absolute;left:718;top:6329;width:62415;height:38561" coordorigin="718,5960" coordsize="62420,38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ep 36" o:spid="_x0000_s1038" style="position:absolute;left:718;top:5960;width:62421;height:38564" coordorigin="718,-423" coordsize="62420,38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ep 34" o:spid="_x0000_s1039" style="position:absolute;left:6106;top:-423;width:50129;height:20619" coordorigin="6180,-423" coordsize="50133,2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ep 33" o:spid="_x0000_s1040" style="position:absolute;left:6180;top:-423;width:50133;height:18601" coordorigin="6107,-423" coordsize="50135,18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kstvak 8" o:spid="_x0000_s1041" type="#_x0000_t202" style="position:absolute;left:24279;top:-423;width:13783;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ue8IA&#10;AADaAAAADwAAAGRycy9kb3ducmV2LnhtbERPy2rCQBTdF/yH4Rbc1UldSIgZpQpioLZQzcbdJXOb&#10;xGTuhMw0j7/vLApdHs473U+mFQP1rras4HUVgSAurK65VJDfTi8xCOeRNbaWScFMDva7xVOKibYj&#10;f9Fw9aUIIewSVFB53yVSuqIig25lO+LAfdveoA+wL6XucQzhppXrKNpIgzWHhgo7OlZUNNcfo6A5&#10;nI/5+/qezedHfPmcm8vgPmKlls/T2xaEp8n/i//cmVYQtoYr4Qb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e57wgAAANoAAAAPAAAAAAAAAAAAAAAAAJgCAABkcnMvZG93&#10;bnJldi54bWxQSwUGAAAAAAQABAD1AAAAhwMAAAAA&#10;" fillcolor="white [3201]" strokeweight="1pt">
                                            <v:textbox>
                                              <w:txbxContent>
                                                <w:p w14:paraId="4EB40B31" w14:textId="77777777" w:rsidR="00A726AB" w:rsidRPr="00CF7AD5" w:rsidRDefault="00A726AB" w:rsidP="00F17A84">
                                                  <w:pPr>
                                                    <w:jc w:val="center"/>
                                                    <w:rPr>
                                                      <w:sz w:val="20"/>
                                                      <w:szCs w:val="20"/>
                                                    </w:rPr>
                                                  </w:pPr>
                                                  <w:r w:rsidRPr="00CF7AD5">
                                                    <w:rPr>
                                                      <w:sz w:val="20"/>
                                                      <w:szCs w:val="20"/>
                                                    </w:rPr>
                                                    <w:t xml:space="preserve">CFO </w:t>
                                                  </w:r>
                                                  <w:r w:rsidRPr="00CF7AD5">
                                                    <w:rPr>
                                                      <w:sz w:val="20"/>
                                                      <w:szCs w:val="20"/>
                                                      <w:lang w:val="en-GB"/>
                                                    </w:rPr>
                                                    <w:t>Responsibilities</w:t>
                                                  </w:r>
                                                </w:p>
                                              </w:txbxContent>
                                            </v:textbox>
                                          </v:shape>
                                          <v:shape id="Tekstvak 19" o:spid="_x0000_s1042" type="#_x0000_t202" style="position:absolute;left:37306;top:6064;width:18936;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ZGMMA&#10;AADbAAAADwAAAGRycy9kb3ducmV2LnhtbERPS2vCQBC+F/wPywje6kYPJY2uooIoaAs+Lt6G7JjE&#10;ZGdDdhuTf98tFLzNx/ec+bIzlWipcYVlBZNxBII4tbrgTMH1sn2PQTiPrLGyTAp6crBcDN7mmGj7&#10;5BO1Z5+JEMIuQQW593UipUtzMujGtiYO3N02Bn2ATSZ1g88Qbio5jaIPabDg0JBjTZuc0vL8YxSU&#10;693mepje9v3uER+/+/LYuq9YqdGwW81AeOr8S/zv3usw/xP+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ZGMMAAADbAAAADwAAAAAAAAAAAAAAAACYAgAAZHJzL2Rv&#10;d25yZXYueG1sUEsFBgAAAAAEAAQA9QAAAIgDAAAAAA==&#10;" fillcolor="white [3201]" strokeweight="1pt">
                                            <v:textbox>
                                              <w:txbxContent>
                                                <w:p w14:paraId="6C1E300A" w14:textId="77777777" w:rsidR="00A726AB" w:rsidRPr="00292254" w:rsidRDefault="00A726AB" w:rsidP="00F17A84">
                                                  <w:pPr>
                                                    <w:jc w:val="center"/>
                                                    <w:rPr>
                                                      <w:sz w:val="20"/>
                                                      <w:szCs w:val="20"/>
                                                      <w:lang w:val="en-GB"/>
                                                    </w:rPr>
                                                  </w:pPr>
                                                  <w:r w:rsidRPr="00292254">
                                                    <w:rPr>
                                                      <w:sz w:val="20"/>
                                                      <w:szCs w:val="20"/>
                                                      <w:lang w:val="en-GB"/>
                                                    </w:rPr>
                                                    <w:t xml:space="preserve">Managerial </w:t>
                                                  </w:r>
                                                  <w:r>
                                                    <w:rPr>
                                                      <w:sz w:val="20"/>
                                                      <w:szCs w:val="20"/>
                                                      <w:lang w:val="en-GB"/>
                                                    </w:rPr>
                                                    <w:t>Duties</w:t>
                                                  </w:r>
                                                </w:p>
                                              </w:txbxContent>
                                            </v:textbox>
                                          </v:shape>
                                          <v:shape id="Tekstvak 20" o:spid="_x0000_s1043" type="#_x0000_t202" style="position:absolute;left:37302;top:15420;width:1893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6OMEA&#10;AADbAAAADwAAAGRycy9kb3ducmV2LnhtbERPTYvCMBC9L/gfwgje1tQepFSjqCAKqwurXrwNzdjW&#10;NpPSZGv7781hYY+P971c96YWHbWutKxgNo1AEGdWl5wruF33nwkI55E11pZJwUAO1qvRxxJTbV/8&#10;Q93F5yKEsEtRQeF9k0rpsoIMuqltiAP3sK1BH2CbS93iK4SbWsZRNJcGSw4NBTa0KyirLr9GQbU9&#10;7G5f8f04HJ7J6XuoTp07J0pNxv1mAcJT7//Ff+6jVhCH9eF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3ejjBAAAA2wAAAA8AAAAAAAAAAAAAAAAAmAIAAGRycy9kb3du&#10;cmV2LnhtbFBLBQYAAAAABAAEAPUAAACGAwAAAAA=&#10;" fillcolor="white [3201]" strokeweight="1pt">
                                            <v:textbox>
                                              <w:txbxContent>
                                                <w:p w14:paraId="5D25D648" w14:textId="77777777" w:rsidR="00A726AB" w:rsidRPr="00292254" w:rsidRDefault="00A726AB" w:rsidP="00F17A84">
                                                  <w:pPr>
                                                    <w:jc w:val="center"/>
                                                    <w:rPr>
                                                      <w:sz w:val="20"/>
                                                      <w:szCs w:val="20"/>
                                                      <w:lang w:val="en-GB"/>
                                                    </w:rPr>
                                                  </w:pPr>
                                                  <w:r>
                                                    <w:rPr>
                                                      <w:sz w:val="20"/>
                                                      <w:szCs w:val="20"/>
                                                      <w:lang w:val="en-GB"/>
                                                    </w:rPr>
                                                    <w:t>Performance Measurement</w:t>
                                                  </w:r>
                                                </w:p>
                                              </w:txbxContent>
                                            </v:textbox>
                                          </v:shape>
                                          <v:shape id="Tekstvak 24" o:spid="_x0000_s1044" type="#_x0000_t202" style="position:absolute;left:6108;top:6056;width:1894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8O8UA&#10;AADbAAAADwAAAGRycy9kb3ducmV2LnhtbESPT2vCQBTE7wW/w/IEb3VjKBJSV1FBFLQF/1x6e2Rf&#10;kzTZtyG7jcm3dwsFj8PM/IZZrHpTi45aV1pWMJtGIIgzq0vOFdyuu9cEhPPIGmvLpGAgB6vl6GWB&#10;qbZ3PlN38bkIEHYpKii8b1IpXVaQQTe1DXHwvm1r0AfZ5lK3eA9wU8s4iubSYMlhocCGtgVl1eXX&#10;KKg2++3tGH8dhv1PcvocqlPnPhKlJuN+/Q7CU++f4f/2QSuI3+D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Hw7xQAAANsAAAAPAAAAAAAAAAAAAAAAAJgCAABkcnMv&#10;ZG93bnJldi54bWxQSwUGAAAAAAQABAD1AAAAigMAAAAA&#10;" fillcolor="white [3201]" strokeweight="1pt">
                                            <v:textbox>
                                              <w:txbxContent>
                                                <w:p w14:paraId="0F9A82AB" w14:textId="77777777" w:rsidR="00A726AB" w:rsidRPr="00292254" w:rsidRDefault="00A726AB" w:rsidP="00F17A84">
                                                  <w:pPr>
                                                    <w:jc w:val="center"/>
                                                    <w:rPr>
                                                      <w:sz w:val="20"/>
                                                      <w:szCs w:val="20"/>
                                                      <w:lang w:val="en-GB"/>
                                                    </w:rPr>
                                                  </w:pPr>
                                                  <w:r w:rsidRPr="00292254">
                                                    <w:rPr>
                                                      <w:sz w:val="20"/>
                                                      <w:szCs w:val="20"/>
                                                      <w:lang w:val="en-GB"/>
                                                    </w:rPr>
                                                    <w:t xml:space="preserve">Fiduciary </w:t>
                                                  </w:r>
                                                  <w:r>
                                                    <w:rPr>
                                                      <w:sz w:val="20"/>
                                                      <w:szCs w:val="20"/>
                                                      <w:lang w:val="en-GB"/>
                                                    </w:rPr>
                                                    <w:t>Duties</w:t>
                                                  </w:r>
                                                </w:p>
                                              </w:txbxContent>
                                            </v:textbox>
                                          </v:shape>
                                          <v:shape id="Tekstvak 25" o:spid="_x0000_s1045" type="#_x0000_t202" style="position:absolute;left:6107;top:15412;width:1894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oMUA&#10;AADbAAAADwAAAGRycy9kb3ducmV2LnhtbESPT2vCQBTE7wW/w/IEb3VjoBJSV1FBFLQF/1x6e2Rf&#10;kzTZtyG7jcm3dwsFj8PM/IZZrHpTi45aV1pWMJtGIIgzq0vOFdyuu9cEhPPIGmvLpGAgB6vl6GWB&#10;qbZ3PlN38bkIEHYpKii8b1IpXVaQQTe1DXHwvm1r0AfZ5lK3eA9wU8s4iubSYMlhocCGtgVl1eXX&#10;KKg2++3tGH8dhv1PcvocqlPnPhKlJuN+/Q7CU++f4f/2QSuI3+D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NmgxQAAANsAAAAPAAAAAAAAAAAAAAAAAJgCAABkcnMv&#10;ZG93bnJldi54bWxQSwUGAAAAAAQABAD1AAAAigMAAAAA&#10;" fillcolor="white [3201]" strokeweight="1pt">
                                            <v:textbox>
                                              <w:txbxContent>
                                                <w:p w14:paraId="35938CEC" w14:textId="77777777" w:rsidR="00A726AB" w:rsidRPr="00292254" w:rsidRDefault="00A726AB" w:rsidP="00F17A84">
                                                  <w:pPr>
                                                    <w:jc w:val="center"/>
                                                    <w:rPr>
                                                      <w:sz w:val="20"/>
                                                      <w:szCs w:val="20"/>
                                                      <w:lang w:val="en-GB"/>
                                                    </w:rPr>
                                                  </w:pPr>
                                                  <w:r>
                                                    <w:rPr>
                                                      <w:sz w:val="20"/>
                                                      <w:szCs w:val="20"/>
                                                      <w:lang w:val="en-GB"/>
                                                    </w:rPr>
                                                    <w:t>Performance Measurement</w:t>
                                                  </w:r>
                                                </w:p>
                                              </w:txbxContent>
                                            </v:textbox>
                                          </v:shape>
                                          <v:shapetype id="_x0000_t32" coordsize="21600,21600" o:spt="32" o:oned="t" path="m,l21600,21600e" filled="f">
                                            <v:path arrowok="t" fillok="f" o:connecttype="none"/>
                                            <o:lock v:ext="edit" shapetype="t"/>
                                          </v:shapetype>
                                          <v:shape id="Rechte verbindingslijn met pijl 27" o:spid="_x0000_s1046" type="#_x0000_t32" style="position:absolute;left:31170;top:2338;width:15604;height:3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D78AAAADbAAAADwAAAGRycy9kb3ducmV2LnhtbESP3YrCMBSE7xf2HcJZ8GZZU0XWpRpF&#10;BKFe+vMAh+bYFJuTkqQ/vr0RhL0cZuYbZr0dbSN68qF2rGA2zUAQl07XXCm4Xg4/fyBCRNbYOCYF&#10;Dwqw3Xx+rDHXbuAT9edYiQThkKMCE2ObSxlKQxbD1LXEybs5bzEm6SupPQ4Jbhs5z7JfabHmtGCw&#10;pb2h8n7urALXszkuvm28y6687LAr9oMvlJp8jbsViEhj/A+/24VWMF/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BA+/AAAAA2wAAAA8AAAAAAAAAAAAAAAAA&#10;oQIAAGRycy9kb3ducmV2LnhtbFBLBQYAAAAABAAEAPkAAACOAwAAAAA=&#10;" strokecolor="black [3040]">
                                            <v:stroke endarrow="block"/>
                                          </v:shape>
                                          <v:shape id="Rechte verbindingslijn met pijl 28" o:spid="_x0000_s1047" type="#_x0000_t32" style="position:absolute;left:15579;top:2338;width:15591;height:37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9O8LwAAADbAAAADwAAAGRycy9kb3ducmV2LnhtbERPvQrCMBDeBd8hnOCmqQ4i1SgiCKKD&#10;WAUdj+Zsq82lNFHj25tBcPz4/ufLYGrxotZVlhWMhgkI4tzqigsF59NmMAXhPLLG2jIp+JCD5aLb&#10;mWOq7ZuP9Mp8IWIIuxQVlN43qZQuL8mgG9qGOHI32xr0EbaF1C2+Y7ip5ThJJtJgxbGhxIbWJeWP&#10;7GkU7C7320meq4AmC5PdPtkc6utIqX4vrGYgPAX/F//cW61gHMfG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A9O8LwAAADbAAAADwAAAAAAAAAAAAAAAAChAgAA&#10;ZHJzL2Rvd25yZXYueG1sUEsFBgAAAAAEAAQA+QAAAIoDAAAAAA==&#10;" strokecolor="black [3040]">
                                            <v:stroke endarrow="block"/>
                                          </v:shape>
                                        </v:group>
                                        <v:shape id="Rechte verbindingslijn met pijl 21" o:spid="_x0000_s1048" type="#_x0000_t32" style="position:absolute;left:46841;top:18178;width:1;height:20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yVMEAAADbAAAADwAAAGRycy9kb3ducmV2LnhtbESPzYoCMRCE78K+Q+gFb5pR8G80yuIq&#10;evCiuw/QTNqZsJPOmGR1fHsjCB6LqvqKWqxaW4sr+WAcKxj0MxDEhdOGSwW/P9veFESIyBprx6Tg&#10;TgFWy4/OAnPtbnyk6ymWIkE45KigirHJpQxFRRZD3zXEyTs7bzEm6UupPd4S3NZymGVjadFwWqiw&#10;oXVFxd/p3yr4nh3NYVzs5CyM/GZitoh1uCjV/Wy/5iAitfEdfrX3WsFwAM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wHJUwQAAANsAAAAPAAAAAAAAAAAAAAAA&#10;AKECAABkcnMvZG93bnJldi54bWxQSwUGAAAAAAQABAD5AAAAjwMAAAAA&#10;" strokecolor="black [3040]">
                                          <v:stroke startarrow="block"/>
                                        </v:shape>
                                      </v:group>
                                      <v:shape id="Tekstvak 35" o:spid="_x0000_s1049" type="#_x0000_t202" style="position:absolute;left:718;top:35477;width:62421;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14:paraId="7892196A" w14:textId="06212549" w:rsidR="00A726AB" w:rsidRPr="00435C83" w:rsidRDefault="00A726AB" w:rsidP="00A726AB">
                                              <w:pPr>
                                                <w:pStyle w:val="Kop5"/>
                                                <w:rPr>
                                                  <w:noProof/>
                                                </w:rPr>
                                              </w:pPr>
                                              <w:r w:rsidRPr="00435C83">
                                                <w:t xml:space="preserve">Figure </w:t>
                                              </w:r>
                                              <w:r w:rsidRPr="00435C83">
                                                <w:fldChar w:fldCharType="begin"/>
                                              </w:r>
                                              <w:r w:rsidRPr="00435C83">
                                                <w:instrText xml:space="preserve"> SEQ Figuur \* ARABIC </w:instrText>
                                              </w:r>
                                              <w:r w:rsidRPr="00435C83">
                                                <w:fldChar w:fldCharType="separate"/>
                                              </w:r>
                                              <w:r w:rsidR="004043A1">
                                                <w:rPr>
                                                  <w:noProof/>
                                                </w:rPr>
                                                <w:t>1</w:t>
                                              </w:r>
                                              <w:r w:rsidRPr="00435C83">
                                                <w:fldChar w:fldCharType="end"/>
                                              </w:r>
                                              <w:r w:rsidR="00427E2A">
                                                <w:t>: Conceptual f</w:t>
                                              </w:r>
                                              <w:r w:rsidRPr="00435C83">
                                                <w:t>ramework</w:t>
                                              </w:r>
                                            </w:p>
                                          </w:txbxContent>
                                        </v:textbox>
                                      </v:shape>
                                    </v:group>
                                    <v:shape id="Tekstvak 38" o:spid="_x0000_s1050" type="#_x0000_t202" style="position:absolute;left:6106;top:26484;width:1893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g48MA&#10;AADbAAAADwAAAGRycy9kb3ducmV2LnhtbERPTWuDQBC9F/IflgnkVtdYKGKzCYkQEkhaqM2lt8Gd&#10;qtWdFXdr9N93D4UeH+97s5tMJ0YaXGNZwTqKQRCXVjdcKbh9HB9TEM4ja+wsk4KZHOy2i4cNZtre&#10;+Z3GwlcihLDLUEHtfZ9J6cqaDLrI9sSB+7KDQR/gUEk94D2Em04mcfwsDTYcGmrsKa+pbIsfo6A9&#10;nPLbJfk8z6fv9Po2t9fRvaZKrZbT/gWEp8n/i//cZ63gKYwN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g48MAAADbAAAADwAAAAAAAAAAAAAAAACYAgAAZHJzL2Rv&#10;d25yZXYueG1sUEsFBgAAAAAEAAQA9QAAAIgDAAAAAA==&#10;" fillcolor="white [3201]" strokeweight="1pt">
                                      <v:textbox>
                                        <w:txbxContent>
                                          <w:p w14:paraId="17E5F5FD" w14:textId="77777777" w:rsidR="00A726AB" w:rsidRPr="00A028DE" w:rsidRDefault="00A726AB" w:rsidP="00F17A84">
                                            <w:pPr>
                                              <w:jc w:val="center"/>
                                              <w:rPr>
                                                <w:sz w:val="20"/>
                                                <w:szCs w:val="20"/>
                                                <w:lang w:val="en-GB"/>
                                              </w:rPr>
                                            </w:pPr>
                                            <w:r w:rsidRPr="00A028DE">
                                              <w:rPr>
                                                <w:sz w:val="20"/>
                                                <w:szCs w:val="20"/>
                                                <w:lang w:val="en-GB"/>
                                              </w:rPr>
                                              <w:t>Fiduciary Performance</w:t>
                                            </w:r>
                                          </w:p>
                                        </w:txbxContent>
                                      </v:textbox>
                                    </v:shape>
                                  </v:group>
                                  <v:shape id="Rechte verbindingslijn met pijl 54" o:spid="_x0000_s1051" type="#_x0000_t32" style="position:absolute;left:15575;top:15567;width:0;height:18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UnMEAAADbAAAADwAAAGRycy9kb3ducmV2LnhtbESPQWvCQBSE7wX/w/IEb3Wj2CLRVUQQ&#10;PIlN9f7IPpNo9m3Mrsnqr+8WCj0OM/MNs1wHU4uOWldZVjAZJyCIc6srLhScvnfvcxDOI2usLZOC&#10;JzlYrwZvS0y17fmLuswXIkLYpaig9L5JpXR5SQbd2DbE0bvY1qCPsi2kbrGPcFPLaZJ8SoMVx4US&#10;G9qWlN+yh1GQhWNvznh99Xw+dTS1hyrcH0qNhmGzAOEp+P/wX3uvFXzM4PdL/AF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xScwQAAANsAAAAPAAAAAAAAAAAAAAAA&#10;AKECAABkcnMvZG93bnJldi54bWxQSwUGAAAAAAQABAD5AAAAjwMAAAAA&#10;" strokecolor="black [3040]">
                                    <v:stroke startarrow="block"/>
                                  </v:shape>
                                  <v:shape id="Rechte verbindingslijn met pijl 55" o:spid="_x0000_s1052" type="#_x0000_t32" style="position:absolute;left:46762;top:15576;width:2;height:18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xB8EAAADbAAAADwAAAGRycy9kb3ducmV2LnhtbESPQYvCMBSE7wv+h/AEb2uq4LJUo4gg&#10;eBK36v3RPNtq81Kb2EZ//WZB2OMwM98wi1UwteiodZVlBZNxAoI4t7riQsHpuP38BuE8ssbaMil4&#10;koPVcvCxwFTbnn+oy3whIoRdigpK75tUSpeXZNCNbUMcvYttDfoo20LqFvsIN7WcJsmXNFhxXCix&#10;oU1J+S17GAVZOPTmjNdXz+dTR1O7r8L9odRoGNZzEJ6C/w+/2zutYDaDvy/x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F7EHwQAAANsAAAAPAAAAAAAAAAAAAAAA&#10;AKECAABkcnMvZG93bnJldi54bWxQSwUGAAAAAAQABAD5AAAAjwMAAAAA&#10;" strokecolor="black [3040]">
                                    <v:stroke startarrow="block"/>
                                  </v:shape>
                                </v:group>
                                <v:shape id="Tekstvak 9" o:spid="_x0000_s1053" type="#_x0000_t202" style="position:absolute;left:24477;top:26566;width:13781;height:3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4MQA&#10;AADaAAAADwAAAGRycy9kb3ducmV2LnhtbESPT2vCQBTE7wW/w/IEb3Wjh5JGV1FBFLQF/1y8PbLP&#10;JCb7NmS3Mfn23ULB4zAzv2Hmy85UoqXGFZYVTMYRCOLU6oIzBdfL9j0G4TyyxsoyKejJwXIxeJtj&#10;ou2TT9SefSYChF2CCnLv60RKl+Zk0I1tTRy8u20M+iCbTOoGnwFuKjmNog9psOCwkGNNm5zS8vxj&#10;FJTr3eZ6mN72/e4RH7/78ti6r1ip0bBbzUB46vwr/N/eawWf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JS+DEAAAA2gAAAA8AAAAAAAAAAAAAAAAAmAIAAGRycy9k&#10;b3ducmV2LnhtbFBLBQYAAAAABAAEAPUAAACJAwAAAAA=&#10;" fillcolor="white [3201]" strokeweight="1pt">
                                  <v:textbox>
                                    <w:txbxContent>
                                      <w:p w14:paraId="73102A89" w14:textId="58AC52DC" w:rsidR="00A726AB" w:rsidRPr="009C4034" w:rsidRDefault="00A726AB" w:rsidP="009C4034">
                                        <w:pPr>
                                          <w:spacing w:line="240" w:lineRule="auto"/>
                                          <w:jc w:val="center"/>
                                          <w:rPr>
                                            <w:sz w:val="20"/>
                                            <w:szCs w:val="20"/>
                                            <w:lang w:val="en-GB"/>
                                          </w:rPr>
                                        </w:pPr>
                                        <w:r w:rsidRPr="00292254">
                                          <w:rPr>
                                            <w:sz w:val="20"/>
                                            <w:szCs w:val="20"/>
                                          </w:rPr>
                                          <w:t xml:space="preserve">CFO </w:t>
                                        </w:r>
                                        <w:r>
                                          <w:rPr>
                                            <w:sz w:val="20"/>
                                            <w:szCs w:val="20"/>
                                            <w:lang w:val="en-GB"/>
                                          </w:rPr>
                                          <w:t>Compensation</w:t>
                                        </w:r>
                                      </w:p>
                                    </w:txbxContent>
                                  </v:textbox>
                                </v:shape>
                                <v:shape id="Rechte verbindingslijn met pijl 29" o:spid="_x0000_s1054" type="#_x0000_t32" style="position:absolute;left:15574;top:23278;width:15793;height:32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Z+UsMAAADbAAAADwAAAGRycy9kb3ducmV2LnhtbESPzW7CMBCE75X6DtZW4lacIhVIiIOq&#10;UkQPXPh5gFW8TazG69Q2EN4eV0LiOJqZbzTlcrCdOJMPxrGCt3EGgrh22nCj4HhYv85BhIissXNM&#10;Cq4UYFk9P5VYaHfhHZ33sREJwqFABW2MfSFlqFuyGMauJ07ej/MWY5K+kdrjJcFtJydZNpUWDaeF&#10;Fnv6bKn+3Z+sglW+M9tpvZF5ePdfM7NG7MKfUqOX4WMBItIQH+F7+1srmOTw/yX9AF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2flLDAAAA2wAAAA8AAAAAAAAAAAAA&#10;AAAAoQIAAGRycy9kb3ducmV2LnhtbFBLBQYAAAAABAAEAPkAAACRAwAAAAA=&#10;" strokecolor="black [3040]">
                                  <v:stroke startarrow="block"/>
                                </v:shape>
                              </v:group>
                              <v:shape id="Tekstvak 31" o:spid="_x0000_s1055" type="#_x0000_t202" style="position:absolute;left:37294;top:20616;width:18932;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JfsQA&#10;AADbAAAADwAAAGRycy9kb3ducmV2LnhtbESPQWvCQBSE7wX/w/IEb3WjBQnRVVQQBW2h6sXbI/tM&#10;YrJvQ3Ybk3/vFgo9DjPzDbNYdaYSLTWusKxgMo5AEKdWF5wpuF527zEI55E1VpZJQU8OVsvB2wIT&#10;bZ/8Te3ZZyJA2CWoIPe+TqR0aU4G3djWxMG728agD7LJpG7wGeCmktMomkmDBYeFHGva5pSW5x+j&#10;oNzst9fj9Hbo94/49NWXp9Z9xkqNht16DsJT5//Df+2DVvAxgd8v4Qf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SX7EAAAA2wAAAA8AAAAAAAAAAAAAAAAAmAIAAGRycy9k&#10;b3ducmV2LnhtbFBLBQYAAAAABAAEAPUAAACJAwAAAAA=&#10;" fillcolor="white [3201]" strokeweight="1pt">
                                <v:textbox>
                                  <w:txbxContent>
                                    <w:p w14:paraId="4E3CC16E" w14:textId="77777777" w:rsidR="00A726AB" w:rsidRPr="00292254" w:rsidRDefault="00A726AB" w:rsidP="00F17A84">
                                      <w:pPr>
                                        <w:jc w:val="center"/>
                                        <w:rPr>
                                          <w:sz w:val="20"/>
                                          <w:szCs w:val="20"/>
                                        </w:rPr>
                                      </w:pPr>
                                      <w:r>
                                        <w:rPr>
                                          <w:sz w:val="20"/>
                                          <w:szCs w:val="20"/>
                                        </w:rPr>
                                        <w:t xml:space="preserve">Managerial </w:t>
                                      </w:r>
                                      <w:r>
                                        <w:rPr>
                                          <w:sz w:val="20"/>
                                          <w:szCs w:val="20"/>
                                          <w:lang w:val="en-GB"/>
                                        </w:rPr>
                                        <w:t>Performance</w:t>
                                      </w:r>
                                    </w:p>
                                  </w:txbxContent>
                                </v:textbox>
                              </v:shape>
                              <v:shape id="Rechte verbindingslijn met pijl 32" o:spid="_x0000_s1056" type="#_x0000_t32" style="position:absolute;left:31367;top:23365;width:15393;height:3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08EAAADbAAAADwAAAGRycy9kb3ducmV2LnhtbESPQWvCQBSE7wX/w/IEb3VjhCKpq4gg&#10;eCo1NfdH9jWJZt/G7Jps++vdQsHjMDPfMOttMK0YqHeNZQWLeQKCuLS64UrB+evwugLhPLLG1jIp&#10;+CEH283kZY2ZtiOfaMh9JSKEXYYKau+7TEpX1mTQzW1HHL1v2xv0UfaV1D2OEW5amSbJmzTYcFyo&#10;saN9TeU1vxsFefgcTYGX35GL80Cp/WjC7a7UbBp27yA8Bf8M/7ePWsEyhb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IczTwQAAANsAAAAPAAAAAAAAAAAAAAAA&#10;AKECAABkcnMvZG93bnJldi54bWxQSwUGAAAAAAQABAD5AAAAjwMAAAAA&#10;" strokecolor="black [3040]">
                                <v:stroke startarrow="block"/>
                              </v:shape>
                            </v:group>
                            <v:shape id="Rechte verbindingslijn met pijl 51" o:spid="_x0000_s1057" type="#_x0000_t32" style="position:absolute;left:15568;top:18572;width:0;height:19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3BMEAAADbAAAADwAAAGRycy9kb3ducmV2LnhtbESPQYvCMBSE78L+h/AW9qapwopUo8iC&#10;4Em06v3RvG27Ni/dJrbRX28EweMwM98wi1UwteiodZVlBeNRAoI4t7riQsHpuBnOQDiPrLG2TApu&#10;5GC1/BgsMNW25wN1mS9EhLBLUUHpfZNK6fKSDLqRbYij92tbgz7KtpC6xT7CTS0nSTKVBiuOCyU2&#10;9FNSfsmuRkEW9r0549+95/Opo4ndVeH/qtTXZ1jPQXgK/h1+tbdawfcYnl/i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LcEwQAAANsAAAAPAAAAAAAAAAAAAAAA&#10;AKECAABkcnMvZG93bnJldi54bWxQSwUGAAAAAAQABAD5AAAAjwMAAAAA&#10;" strokecolor="black [3040]">
                              <v:stroke startarrow="block"/>
                            </v:shape>
                          </v:group>
                          <v:shape id="Tekstvak 7" o:spid="_x0000_s1058" type="#_x0000_t202" style="position:absolute;left:5388;top:11096;width:1893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p6CcQA&#10;AADaAAAADwAAAGRycy9kb3ducmV2LnhtbESPT2vCQBTE7wW/w/IEb3WjhzZEV1FBFLQF/1y8PbLP&#10;JCb7NmS3Mfn23ULB4zAzv2Hmy85UoqXGFZYVTMYRCOLU6oIzBdfL9j0G4TyyxsoyKejJwXIxeJtj&#10;ou2TT9SefSYChF2CCnLv60RKl+Zk0I1tTRy8u20M+iCbTOoGnwFuKjmNog9psOCwkGNNm5zS8vxj&#10;FJTr3eZ6mN72/e4RH7/78ti6r1ip0bBbzUB46vwr/N/eawWf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egnEAAAA2gAAAA8AAAAAAAAAAAAAAAAAmAIAAGRycy9k&#10;b3ducmV2LnhtbFBLBQYAAAAABAAEAPUAAACJAwAAAAA=&#10;" fillcolor="white [3201]" strokeweight="1pt">
                            <v:textbox>
                              <w:txbxContent>
                                <w:p w14:paraId="0BD575F3" w14:textId="77777777" w:rsidR="00A726AB" w:rsidRPr="00292254" w:rsidRDefault="00A726AB" w:rsidP="00F17A84">
                                  <w:pPr>
                                    <w:jc w:val="center"/>
                                    <w:rPr>
                                      <w:sz w:val="20"/>
                                      <w:szCs w:val="20"/>
                                      <w:lang w:val="en-GB"/>
                                    </w:rPr>
                                  </w:pPr>
                                  <w:r>
                                    <w:rPr>
                                      <w:sz w:val="20"/>
                                      <w:szCs w:val="20"/>
                                      <w:lang w:val="en-GB"/>
                                    </w:rPr>
                                    <w:t>Effort</w:t>
                                  </w:r>
                                </w:p>
                              </w:txbxContent>
                            </v:textbox>
                          </v:shape>
                          <v:shape id="Tekstvak 10" o:spid="_x0000_s1059" type="#_x0000_t202" style="position:absolute;left:36576;top:11144;width:18935;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hcYA&#10;AADbAAAADwAAAGRycy9kb3ducmV2LnhtbESPT2vCQBDF74V+h2WE3upGDyWkrmKFoqAt+OfS25Ad&#10;kzTZ2ZBdY/LtO4eCtxnem/d+s1gNrlE9daHybGA2TUAR595WXBi4nD9fU1AhIltsPJOBkQKsls9P&#10;C8ysv/OR+lMslIRwyNBAGWObaR3ykhyGqW+JRbv6zmGUtSu07fAu4a7R8yR50w4rloYSW9qUlNen&#10;mzNQf2w3l/38Zzduf9PD91gf+vCVGvMyGdbvoCIN8WH+v95ZwRd6+UU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uwhcYAAADbAAAADwAAAAAAAAAAAAAAAACYAgAAZHJz&#10;L2Rvd25yZXYueG1sUEsFBgAAAAAEAAQA9QAAAIsDAAAAAA==&#10;" fillcolor="white [3201]" strokeweight="1pt">
                            <v:textbox>
                              <w:txbxContent>
                                <w:p w14:paraId="171AAEB7" w14:textId="77777777" w:rsidR="00A726AB" w:rsidRPr="00292254" w:rsidRDefault="00A726AB" w:rsidP="00F17A84">
                                  <w:pPr>
                                    <w:jc w:val="center"/>
                                    <w:rPr>
                                      <w:sz w:val="20"/>
                                      <w:szCs w:val="20"/>
                                      <w:lang w:val="en-GB"/>
                                    </w:rPr>
                                  </w:pPr>
                                  <w:r>
                                    <w:rPr>
                                      <w:sz w:val="20"/>
                                      <w:szCs w:val="20"/>
                                      <w:lang w:val="en-GB"/>
                                    </w:rPr>
                                    <w:t>Effort</w:t>
                                  </w:r>
                                </w:p>
                              </w:txbxContent>
                            </v:textbox>
                          </v:shape>
                        </v:group>
                        <v:shape id="Rechte verbindingslijn met pijl 11" o:spid="_x0000_s1060" type="#_x0000_t32" style="position:absolute;left:14855;top:13852;width:1;height:1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YOxMAAAADbAAAADwAAAGRycy9kb3ducmV2LnhtbERPTWvCQBC9F/wPywje6kYPpaTZiAhC&#10;T6VNk/uQnSbR7GzMrsnWX+8Khd7m8T4n2wXTi4lG11lWsFknIIhrqztuFJTfx+dXEM4ja+wtk4Jf&#10;crDLF08ZptrO/EVT4RsRQ9ilqKD1fkildHVLBt3aDsSR+7GjQR/h2Eg94hzDTS+3SfIiDXYcG1oc&#10;6NBSfS6uRkERPmdT4ek2c1VOtLUfXbhclVotw/4NhKfg/8V/7ncd52/g8Us8QOZ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GDsTAAAAA2wAAAA8AAAAAAAAAAAAAAAAA&#10;oQIAAGRycy9kb3ducmV2LnhtbFBLBQYAAAAABAAEAPkAAACOAwAAAAA=&#10;" strokecolor="black [3040]">
                          <v:stroke startarrow="block"/>
                        </v:shape>
                        <v:shape id="Rechte verbindingslijn met pijl 12" o:spid="_x0000_s1061" type="#_x0000_t32" style="position:absolute;left:46041;top:13900;width:2;height:19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SQs74AAADbAAAADwAAAGRycy9kb3ducmV2LnhtbERPTYvCMBC9L/gfwgh7W1N7kKUaRQTB&#10;k6xdvQ/N2FabSW1im91fbwTB2zze5yxWwTSip87VlhVMJwkI4sLqmksFx9/t1zcI55E1NpZJwR85&#10;WC1HHwvMtB34QH3uSxFD2GWooPK+zaR0RUUG3cS2xJE7286gj7Arpe5wiOGmkWmSzKTBmmNDhS1t&#10;Kiqu+d0oyMPPYE54+R/4dOwptfs63O5KfY7Deg7CU/Bv8cu903F+Cs9f4gFy+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JCzvgAAANsAAAAPAAAAAAAAAAAAAAAAAKEC&#10;AABkcnMvZG93bnJldi54bWxQSwUGAAAAAAQABAD5AAAAjAMAAAAA&#10;" strokecolor="black [3040]">
                          <v:stroke startarrow="block"/>
                        </v:shape>
                      </v:group>
                      <v:line id="Rechte verbindingslijn 52" o:spid="_x0000_s1062" style="position:absolute;flip:x;visibility:visible;mso-wrap-style:square" from="1762,28077" to="23758,2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lg8UAAADbAAAADwAAAGRycy9kb3ducmV2LnhtbESPS2vDMBCE74H8B7GB3hK5gTb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6lg8UAAADbAAAADwAAAAAAAAAA&#10;AAAAAAChAgAAZHJzL2Rvd25yZXYueG1sUEsFBgAAAAAEAAQA+QAAAJMDAAAAAA==&#10;" strokecolor="black [3040]"/>
                      <v:shape id="Rechte verbindingslijn met pijl 56" o:spid="_x0000_s1063" type="#_x0000_t32" style="position:absolute;left:1762;top:12474;width:362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oMZMIAAADbAAAADwAAAGRycy9kb3ducmV2LnhtbESPQYvCMBSE74L/ITzBm6YKFqlGEUEQ&#10;9yBbBT0+mmdbbV5Kk9X47zcLCx6HmfmGWa6DacSTOldbVjAZJyCIC6trLhWcT7vRHITzyBoby6Tg&#10;TQ7Wq35viZm2L/6mZ+5LESHsMlRQed9mUrqiIoNubFvi6N1sZ9BH2ZVSd/iKcNPIaZKk0mDNcaHC&#10;lrYVFY/8xyg4XO63kzzXAU0e0sNXsjs214lSw0HYLEB4Cv4T/m/vtYJZC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oMZMIAAADbAAAADwAAAAAAAAAAAAAA&#10;AAChAgAAZHJzL2Rvd25yZXYueG1sUEsFBgAAAAAEAAQA+QAAAJADAAAAAA==&#10;" strokecolor="black [3040]">
                        <v:stroke endarrow="block"/>
                      </v:shape>
                      <v:line id="Rechte verbindingslijn 58" o:spid="_x0000_s1064" style="position:absolute;visibility:visible;mso-wrap-style:square" from="1762,12471" to="1762,2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4usIAAADbAAAADwAAAGRycy9kb3ducmV2LnhtbESPwW7CMAyG70h7h8iTuEHKEIgVApqm&#10;oU3bCRh3qzFtReOUJED29vNh0o7W7/+zv9Umu07dKMTWs4HJuABFXHnbcm3g+7AdLUDFhGyx80wG&#10;fijCZv0wWGFp/Z13dNunWgmEY4kGmpT6UutYNeQwjn1PLNnJB4dJxlBrG/AucNfpp6KYa4cty4UG&#10;e3ptqDrvr04ok+PF6ffzMx4/w1d4m87zLF+MGT7mlyWoRDn9L/+1P6yBmTwr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g4usIAAADbAAAADwAAAAAAAAAAAAAA&#10;AAChAgAAZHJzL2Rvd25yZXYueG1sUEsFBgAAAAAEAAQA+QAAAJADAAAAAA==&#10;" strokecolor="black [3040]"/>
                    </v:group>
                    <v:line id="Rechte verbindingslijn 61" o:spid="_x0000_s1065" style="position:absolute;flip:x;visibility:visible;mso-wrap-style:square" from="37539,28077" to="58960,2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xScMAAADbAAAADwAAAGRycy9kb3ducmV2LnhtbESPT4vCMBTE74LfITzBm6b1oEs1FhEE&#10;2cVF3fXg7dG8/sHmpTTR1m+/EYQ9DjPzG2aV9qYWD2pdZVlBPI1AEGdWV1wo+P3ZTT5AOI+ssbZM&#10;Cp7kIF0PBytMtO34RI+zL0SAsEtQQel9k0jpspIMuqltiIOX29agD7ItpG6xC3BTy1kUzaXBisNC&#10;iQ1tS8pu57tRkLt7s71etM8Xn4fTIf8qvrE7KjUe9ZslCE+9/w+/23utYB7D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w8UnDAAAA2wAAAA8AAAAAAAAAAAAA&#10;AAAAoQIAAGRycy9kb3ducmV2LnhtbFBLBQYAAAAABAAEAPkAAACRAwAAAAA=&#10;" strokecolor="black [3040]"/>
                  </v:group>
                  <v:shape id="Rechte verbindingslijn met pijl 65" o:spid="_x0000_s1066" type="#_x0000_t32" style="position:absolute;left:55511;top:12522;width:34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RYrsIAAADbAAAADwAAAGRycy9kb3ducmV2LnhtbESPQYvCMBSE74L/ITzBm6YKFqlGEUEQ&#10;9yBbBT0+mmdbbV5Kk9X47zcLCx6HmfmGWa6DacSTOldbVjAZJyCIC6trLhWcT7vRHITzyBoby6Tg&#10;TQ7Wq35viZm2L/6mZ+5LESHsMlRQed9mUrqiIoNubFvi6N1sZ9BH2ZVSd/iKcNPIaZKk0mDNcaHC&#10;lrYVFY/8xyg4XO63kzzXAU0e0sNXsjs214lSw0HYLEB4Cv4T/m/vtYJ0B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RYrsIAAADbAAAADwAAAAAAAAAAAAAA&#10;AAChAgAAZHJzL2Rvd25yZXYueG1sUEsFBgAAAAAEAAQA+QAAAJADAAAAAA==&#10;" strokecolor="black [3040]">
                    <v:stroke endarrow="block"/>
                  </v:shape>
                </v:group>
              </v:group>
            </w:pict>
          </mc:Fallback>
        </mc:AlternateContent>
      </w:r>
    </w:p>
    <w:p w14:paraId="438ADA66" w14:textId="5EFB7636" w:rsidR="00F17A84" w:rsidRDefault="00F17A84" w:rsidP="00C9241F">
      <w:pPr>
        <w:rPr>
          <w:lang w:val="en-GB"/>
        </w:rPr>
      </w:pPr>
      <w:r>
        <w:rPr>
          <w:lang w:val="en-GB"/>
        </w:rPr>
        <w:br w:type="page"/>
      </w:r>
    </w:p>
    <w:p w14:paraId="51567C18" w14:textId="0E6628E5" w:rsidR="003A3ED6" w:rsidRPr="00E43A89" w:rsidRDefault="007338F7" w:rsidP="00E43A89">
      <w:pPr>
        <w:pStyle w:val="Kop2"/>
      </w:pPr>
      <w:bookmarkStart w:id="28" w:name="_Toc439346634"/>
      <w:r>
        <w:lastRenderedPageBreak/>
        <w:t>3.2</w:t>
      </w:r>
      <w:r w:rsidR="003A3ED6">
        <w:t xml:space="preserve"> </w:t>
      </w:r>
      <w:r w:rsidR="00BB336D">
        <w:t>Hypothesis development</w:t>
      </w:r>
      <w:bookmarkEnd w:id="28"/>
      <w:r w:rsidR="003A3ED6">
        <w:t xml:space="preserve"> </w:t>
      </w:r>
    </w:p>
    <w:p w14:paraId="301C2312" w14:textId="4A5B0B4B" w:rsidR="00AC00A5" w:rsidRDefault="00364211" w:rsidP="00DB5CD5">
      <w:pPr>
        <w:spacing w:line="360" w:lineRule="auto"/>
        <w:jc w:val="both"/>
        <w:rPr>
          <w:lang w:val="en-GB"/>
        </w:rPr>
      </w:pPr>
      <w:r>
        <w:rPr>
          <w:lang w:val="en-GB"/>
        </w:rPr>
        <w:t>T</w:t>
      </w:r>
      <w:r w:rsidR="00AC00A5" w:rsidRPr="00242901">
        <w:rPr>
          <w:lang w:val="en-GB"/>
        </w:rPr>
        <w:t xml:space="preserve">he typical point of departure </w:t>
      </w:r>
      <w:r>
        <w:rPr>
          <w:lang w:val="en-GB"/>
        </w:rPr>
        <w:t>is</w:t>
      </w:r>
      <w:r w:rsidR="00AC00A5" w:rsidRPr="00242901">
        <w:rPr>
          <w:lang w:val="en-GB"/>
        </w:rPr>
        <w:t xml:space="preserve"> the contract between the CFO and the shareholders. CFOs may not act in the manner desired by the firm’s owners, so </w:t>
      </w:r>
      <w:r w:rsidR="00AC00A5">
        <w:rPr>
          <w:lang w:val="en-GB"/>
        </w:rPr>
        <w:t>incentives</w:t>
      </w:r>
      <w:r w:rsidR="00AC00A5" w:rsidRPr="00242901">
        <w:rPr>
          <w:lang w:val="en-GB"/>
        </w:rPr>
        <w:t xml:space="preserve"> should place some weight on the performance measures that provide incremental information about the directions in which the owner want</w:t>
      </w:r>
      <w:r w:rsidR="00994754">
        <w:rPr>
          <w:lang w:val="en-GB"/>
        </w:rPr>
        <w:t>s</w:t>
      </w:r>
      <w:r w:rsidR="00AC00A5" w:rsidRPr="00242901">
        <w:rPr>
          <w:lang w:val="en-GB"/>
        </w:rPr>
        <w:t xml:space="preserve"> a performance.</w:t>
      </w:r>
      <w:r w:rsidR="002654B6">
        <w:rPr>
          <w:lang w:val="en-GB"/>
        </w:rPr>
        <w:t xml:space="preserve"> The relation this thesis tends to research is the influence of equity-based compensation on CFO’s fiduciary and managerial performance. This relation is examined by means of several hypotheses. These hypotheses are presented in this paragraph even as the Libby boxes that mention the association on conceptual and operational level.  </w:t>
      </w:r>
    </w:p>
    <w:p w14:paraId="7C6B8FA2" w14:textId="2F60E1F8" w:rsidR="00DD20F1" w:rsidRDefault="002654B6" w:rsidP="002654B6">
      <w:pPr>
        <w:spacing w:line="360" w:lineRule="auto"/>
        <w:jc w:val="both"/>
        <w:rPr>
          <w:lang w:val="en-GB"/>
        </w:rPr>
      </w:pPr>
      <w:r>
        <w:rPr>
          <w:lang w:val="en-GB"/>
        </w:rPr>
        <w:t xml:space="preserve">In practice, the fiduciary and managerial tasks of the CFO are intertwined, which makes it difficult to make a distinction when empirically examining this tasks. In addition, the empirical evidence shows that there are only a few studies that explicitly examine the managerial and fiduciary performance </w:t>
      </w:r>
      <w:r>
        <w:rPr>
          <w:lang w:val="en-GB"/>
        </w:rPr>
        <w:fldChar w:fldCharType="begin"/>
      </w:r>
      <w:r>
        <w:rPr>
          <w:lang w:val="en-GB"/>
        </w:rPr>
        <w:instrText>ADDIN RW.CITE{{7 Indjejikian,Raffi 2009; 6 Hoitash,Rani 2012}}</w:instrText>
      </w:r>
      <w:r>
        <w:rPr>
          <w:lang w:val="en-GB"/>
        </w:rPr>
        <w:fldChar w:fldCharType="separate"/>
      </w:r>
      <w:r w:rsidR="00254F5A" w:rsidRPr="00254F5A">
        <w:rPr>
          <w:rFonts w:ascii="Calibri" w:hAnsi="Calibri"/>
          <w:lang w:val="en-GB"/>
        </w:rPr>
        <w:t>(Hoitash et al., 2012; Indjejikian &amp; Matêjka, 2009)</w:t>
      </w:r>
      <w:r>
        <w:rPr>
          <w:lang w:val="en-GB"/>
        </w:rPr>
        <w:fldChar w:fldCharType="end"/>
      </w:r>
      <w:r>
        <w:rPr>
          <w:lang w:val="en-GB"/>
        </w:rPr>
        <w:t xml:space="preserve">. This indicates that the CFO performance is complicated to define, but also that there is a gap in the literature, that provides for empirically addressing this issue. This thesis focuses thus </w:t>
      </w:r>
      <w:r w:rsidR="00DD20F1">
        <w:rPr>
          <w:lang w:val="en-GB"/>
        </w:rPr>
        <w:t>on both</w:t>
      </w:r>
      <w:r>
        <w:rPr>
          <w:lang w:val="en-GB"/>
        </w:rPr>
        <w:t xml:space="preserve"> fiduciary</w:t>
      </w:r>
      <w:r w:rsidR="00DD20F1">
        <w:rPr>
          <w:lang w:val="en-GB"/>
        </w:rPr>
        <w:t xml:space="preserve"> and managerial</w:t>
      </w:r>
      <w:r>
        <w:rPr>
          <w:lang w:val="en-GB"/>
        </w:rPr>
        <w:t xml:space="preserve"> responsibility and performance, </w:t>
      </w:r>
      <w:r w:rsidR="00DD20F1">
        <w:rPr>
          <w:lang w:val="en-GB"/>
        </w:rPr>
        <w:t>and makes an explicit distinction between them</w:t>
      </w:r>
      <w:r>
        <w:rPr>
          <w:lang w:val="en-GB"/>
        </w:rPr>
        <w:t xml:space="preserve">. </w:t>
      </w:r>
    </w:p>
    <w:p w14:paraId="1F8CA54E" w14:textId="7710B506" w:rsidR="002654B6" w:rsidRDefault="00DD20F1" w:rsidP="002654B6">
      <w:pPr>
        <w:spacing w:line="360" w:lineRule="auto"/>
        <w:jc w:val="both"/>
        <w:rPr>
          <w:lang w:val="en-GB"/>
        </w:rPr>
      </w:pPr>
      <w:r>
        <w:rPr>
          <w:lang w:val="en-GB"/>
        </w:rPr>
        <w:t xml:space="preserve">CFO fiduciary </w:t>
      </w:r>
      <w:r w:rsidR="00DD3278">
        <w:rPr>
          <w:lang w:val="en-GB"/>
        </w:rPr>
        <w:t xml:space="preserve">and managerial </w:t>
      </w:r>
      <w:r>
        <w:rPr>
          <w:lang w:val="en-GB"/>
        </w:rPr>
        <w:t>performance</w:t>
      </w:r>
      <w:r w:rsidR="002654B6">
        <w:rPr>
          <w:lang w:val="en-GB"/>
        </w:rPr>
        <w:t xml:space="preserve"> </w:t>
      </w:r>
      <w:r w:rsidR="00DD3278">
        <w:rPr>
          <w:lang w:val="en-GB"/>
        </w:rPr>
        <w:t>are</w:t>
      </w:r>
      <w:r w:rsidR="00C35A4E">
        <w:rPr>
          <w:lang w:val="en-GB"/>
        </w:rPr>
        <w:t xml:space="preserve"> measureable and are</w:t>
      </w:r>
      <w:r w:rsidR="002654B6">
        <w:rPr>
          <w:lang w:val="en-GB"/>
        </w:rPr>
        <w:t xml:space="preserve"> captured in a variable by previous research </w:t>
      </w:r>
      <w:r w:rsidR="002654B6">
        <w:rPr>
          <w:lang w:val="en-GB"/>
        </w:rPr>
        <w:fldChar w:fldCharType="begin"/>
      </w:r>
      <w:r w:rsidR="002654B6">
        <w:rPr>
          <w:lang w:val="en-GB"/>
        </w:rPr>
        <w:instrText>ADDIN RW.CITE{{7 Indjejikian,Raffi 2009; 6 Hoitash,Rani 2012}}</w:instrText>
      </w:r>
      <w:r w:rsidR="002654B6">
        <w:rPr>
          <w:lang w:val="en-GB"/>
        </w:rPr>
        <w:fldChar w:fldCharType="separate"/>
      </w:r>
      <w:r w:rsidR="00254F5A" w:rsidRPr="00254F5A">
        <w:rPr>
          <w:rFonts w:ascii="Calibri" w:hAnsi="Calibri"/>
          <w:lang w:val="en-GB"/>
        </w:rPr>
        <w:t>(Hoitash et al., 2012; Indjejikian &amp; Matêjka, 2009)</w:t>
      </w:r>
      <w:r w:rsidR="002654B6">
        <w:rPr>
          <w:lang w:val="en-GB"/>
        </w:rPr>
        <w:fldChar w:fldCharType="end"/>
      </w:r>
      <w:r w:rsidR="002654B6">
        <w:rPr>
          <w:lang w:val="en-GB"/>
        </w:rPr>
        <w:t xml:space="preserve">. Results of Hoitash et al. </w:t>
      </w:r>
      <w:r w:rsidR="00AD3FE1">
        <w:rPr>
          <w:lang w:val="en-GB"/>
        </w:rPr>
        <w:t xml:space="preserve">(2012) </w:t>
      </w:r>
      <w:r w:rsidR="002654B6">
        <w:rPr>
          <w:lang w:val="en-GB"/>
        </w:rPr>
        <w:t>indicate that  CFO bonuses are negatively related with CFO fiduciary performance and Indjejikian &amp; Matêjka</w:t>
      </w:r>
      <w:r w:rsidR="00AD3FE1">
        <w:rPr>
          <w:lang w:val="en-GB"/>
        </w:rPr>
        <w:t xml:space="preserve"> (2009)</w:t>
      </w:r>
      <w:r w:rsidR="002654B6">
        <w:rPr>
          <w:lang w:val="en-GB"/>
        </w:rPr>
        <w:t xml:space="preserve"> show that firms adjust their incentive schemes to emphasize fiduciary performance. This thesis focuses on CFO fiduciary </w:t>
      </w:r>
      <w:r w:rsidR="00DD3278">
        <w:rPr>
          <w:lang w:val="en-GB"/>
        </w:rPr>
        <w:t xml:space="preserve">and managerial </w:t>
      </w:r>
      <w:r w:rsidR="002654B6">
        <w:rPr>
          <w:lang w:val="en-GB"/>
        </w:rPr>
        <w:t xml:space="preserve">performance </w:t>
      </w:r>
      <w:r w:rsidR="00DD3278">
        <w:rPr>
          <w:lang w:val="en-GB"/>
        </w:rPr>
        <w:t>as a part of CFO total performance and the association between</w:t>
      </w:r>
      <w:r w:rsidR="002654B6">
        <w:rPr>
          <w:lang w:val="en-GB"/>
        </w:rPr>
        <w:t xml:space="preserve"> incentive compensation in the form of equity</w:t>
      </w:r>
      <w:r w:rsidR="002654B6" w:rsidRPr="00F17A84">
        <w:rPr>
          <w:lang w:val="en-GB"/>
        </w:rPr>
        <w:t>-</w:t>
      </w:r>
      <w:r w:rsidR="00DD3278">
        <w:rPr>
          <w:lang w:val="en-GB"/>
        </w:rPr>
        <w:t>based compensation. According to the literature, the performance on the fiduciary duty and managerial duty should add up to CFO’s total performance</w:t>
      </w:r>
      <w:r w:rsidR="00C35A4E">
        <w:rPr>
          <w:lang w:val="en-GB"/>
        </w:rPr>
        <w:t xml:space="preserve"> </w:t>
      </w:r>
      <w:r w:rsidR="00C35A4E">
        <w:rPr>
          <w:lang w:val="en-GB"/>
        </w:rPr>
        <w:fldChar w:fldCharType="begin"/>
      </w:r>
      <w:r w:rsidR="00C35A4E">
        <w:rPr>
          <w:lang w:val="en-GB"/>
        </w:rPr>
        <w:instrText>ADDIN RW.CITE{{7 Indjejikian,Raffi 2009}}</w:instrText>
      </w:r>
      <w:r w:rsidR="00C35A4E">
        <w:rPr>
          <w:lang w:val="en-GB"/>
        </w:rPr>
        <w:fldChar w:fldCharType="separate"/>
      </w:r>
      <w:r w:rsidR="00254F5A" w:rsidRPr="00254F5A">
        <w:rPr>
          <w:rFonts w:ascii="Calibri" w:hAnsi="Calibri"/>
          <w:lang w:val="en-GB"/>
        </w:rPr>
        <w:t>(Indjejikian &amp; Matêjka, 2009)</w:t>
      </w:r>
      <w:r w:rsidR="00C35A4E">
        <w:rPr>
          <w:lang w:val="en-GB"/>
        </w:rPr>
        <w:fldChar w:fldCharType="end"/>
      </w:r>
      <w:r w:rsidR="00DD3278">
        <w:rPr>
          <w:lang w:val="en-GB"/>
        </w:rPr>
        <w:t>. This implicates that e</w:t>
      </w:r>
      <w:r w:rsidR="00867D4E">
        <w:rPr>
          <w:lang w:val="en-GB"/>
        </w:rPr>
        <w:t>quity-based incentives</w:t>
      </w:r>
      <w:r w:rsidR="00867D4E" w:rsidRPr="00867D4E">
        <w:rPr>
          <w:lang w:val="en-GB"/>
        </w:rPr>
        <w:t xml:space="preserve"> </w:t>
      </w:r>
      <w:r w:rsidR="00867D4E">
        <w:rPr>
          <w:lang w:val="en-GB"/>
        </w:rPr>
        <w:t>on fiduciary o</w:t>
      </w:r>
      <w:r w:rsidR="00994754">
        <w:rPr>
          <w:lang w:val="en-GB"/>
        </w:rPr>
        <w:t>r managerial performance impact</w:t>
      </w:r>
      <w:r w:rsidR="00867D4E">
        <w:rPr>
          <w:lang w:val="en-GB"/>
        </w:rPr>
        <w:t xml:space="preserve"> the CFO’s total performance.</w:t>
      </w:r>
    </w:p>
    <w:p w14:paraId="71AE6A04" w14:textId="4D27E244" w:rsidR="002654B6" w:rsidRDefault="002654B6" w:rsidP="002654B6">
      <w:pPr>
        <w:spacing w:line="360" w:lineRule="auto"/>
        <w:jc w:val="both"/>
        <w:rPr>
          <w:lang w:val="en-GB"/>
        </w:rPr>
      </w:pPr>
      <w:r>
        <w:rPr>
          <w:lang w:val="en-GB"/>
        </w:rPr>
        <w:t xml:space="preserve">Overall, literature provides </w:t>
      </w:r>
      <w:r w:rsidR="00495C0A">
        <w:rPr>
          <w:lang w:val="en-GB"/>
        </w:rPr>
        <w:t>ambiguity</w:t>
      </w:r>
      <w:r>
        <w:rPr>
          <w:lang w:val="en-GB"/>
        </w:rPr>
        <w:t xml:space="preserve"> regarding the association between equity-based compensation and executive performance. While theoretical and mathematical models indicate that equity-based compensation increases goal alignment of the executive and the firm </w:t>
      </w:r>
      <w:r>
        <w:rPr>
          <w:lang w:val="en-GB"/>
        </w:rPr>
        <w:fldChar w:fldCharType="begin"/>
      </w:r>
      <w:r>
        <w:rPr>
          <w:lang w:val="en-GB"/>
        </w:rPr>
        <w:instrText>ADDIN RW.CITE{{56 Grossman,SanfordJ 1986 /pe.g. ; 55 Harris,Milton 1979; 54 Hölmstrom,Bengt 1979; 57 Jensen,MichaelC 1990}}</w:instrText>
      </w:r>
      <w:r>
        <w:rPr>
          <w:lang w:val="en-GB"/>
        </w:rPr>
        <w:fldChar w:fldCharType="separate"/>
      </w:r>
      <w:r w:rsidR="00254F5A" w:rsidRPr="00254F5A">
        <w:rPr>
          <w:rFonts w:ascii="Calibri" w:hAnsi="Calibri"/>
          <w:lang w:val="en-GB"/>
        </w:rPr>
        <w:t>(e.g. Grossman &amp; Hart, 1986; Harris &amp; Raviv, 1979; Hölmstrom, 1979; Jensen &amp; Murphy, 1990)</w:t>
      </w:r>
      <w:r>
        <w:rPr>
          <w:lang w:val="en-GB"/>
        </w:rPr>
        <w:fldChar w:fldCharType="end"/>
      </w:r>
      <w:r>
        <w:rPr>
          <w:lang w:val="en-GB"/>
        </w:rPr>
        <w:t xml:space="preserve">, empirical studies show several </w:t>
      </w:r>
      <w:r w:rsidR="00495C0A">
        <w:rPr>
          <w:lang w:val="en-GB"/>
        </w:rPr>
        <w:t>objections</w:t>
      </w:r>
      <w:r>
        <w:rPr>
          <w:lang w:val="en-GB"/>
        </w:rPr>
        <w:t xml:space="preserve"> to this </w:t>
      </w:r>
      <w:r w:rsidR="00495C0A">
        <w:rPr>
          <w:lang w:val="en-GB"/>
        </w:rPr>
        <w:t xml:space="preserve">association </w:t>
      </w:r>
      <w:r>
        <w:rPr>
          <w:lang w:val="en-GB"/>
        </w:rPr>
        <w:fldChar w:fldCharType="begin"/>
      </w:r>
      <w:r>
        <w:rPr>
          <w:lang w:val="en-GB"/>
        </w:rPr>
        <w:instrText>ADDIN RW.CITE{{60 Armstrong,ChristopherS. 2013 /pe.g. ; 65 Bergstresser,Daniel 2006; 66 Burns,Natasha 2006; 68 Cheng,Qiang 2008; 64 Cheng,Qiang 2005}}</w:instrText>
      </w:r>
      <w:r>
        <w:rPr>
          <w:lang w:val="en-GB"/>
        </w:rPr>
        <w:fldChar w:fldCharType="separate"/>
      </w:r>
      <w:r w:rsidR="00254F5A" w:rsidRPr="00254F5A">
        <w:rPr>
          <w:rFonts w:ascii="Calibri" w:hAnsi="Calibri"/>
          <w:lang w:val="en-GB"/>
        </w:rPr>
        <w:t>(e.g. Armstrong et al., 2013; Bergstresser &amp; Philippon, 2006; Burns &amp; Kedia, 2006; Cheng &amp; Warfield, 2005; Cheng &amp; Farber, 2008)</w:t>
      </w:r>
      <w:r>
        <w:rPr>
          <w:lang w:val="en-GB"/>
        </w:rPr>
        <w:fldChar w:fldCharType="end"/>
      </w:r>
      <w:r>
        <w:rPr>
          <w:lang w:val="en-GB"/>
        </w:rPr>
        <w:t xml:space="preserve">. </w:t>
      </w:r>
    </w:p>
    <w:p w14:paraId="574805C9" w14:textId="1F0E90EE" w:rsidR="00DD20F1" w:rsidRPr="00F17A84" w:rsidRDefault="00DD20F1" w:rsidP="00DD20F1">
      <w:pPr>
        <w:pStyle w:val="Kop3"/>
      </w:pPr>
      <w:bookmarkStart w:id="29" w:name="_Toc439346635"/>
      <w:r>
        <w:lastRenderedPageBreak/>
        <w:t>3.2.1 Hypothesis 1</w:t>
      </w:r>
      <w:bookmarkEnd w:id="29"/>
    </w:p>
    <w:p w14:paraId="5A7861AD" w14:textId="5FDC1FAF" w:rsidR="00DD20F1" w:rsidRDefault="0066541B" w:rsidP="002654B6">
      <w:pPr>
        <w:spacing w:line="360" w:lineRule="auto"/>
        <w:jc w:val="both"/>
        <w:rPr>
          <w:lang w:val="en-GB"/>
        </w:rPr>
      </w:pPr>
      <w:r>
        <w:rPr>
          <w:lang w:val="en-GB"/>
        </w:rPr>
        <w:t>The first hypothese</w:t>
      </w:r>
      <w:r w:rsidR="0085001F">
        <w:rPr>
          <w:lang w:val="en-GB"/>
        </w:rPr>
        <w:t>s</w:t>
      </w:r>
      <w:r w:rsidR="00DD20F1">
        <w:rPr>
          <w:lang w:val="en-GB"/>
        </w:rPr>
        <w:t xml:space="preserve"> </w:t>
      </w:r>
      <w:r>
        <w:rPr>
          <w:lang w:val="en-GB"/>
        </w:rPr>
        <w:t>distinguish</w:t>
      </w:r>
      <w:r w:rsidR="007C52B7">
        <w:rPr>
          <w:lang w:val="en-GB"/>
        </w:rPr>
        <w:t xml:space="preserve"> managerial and fiduciary duty </w:t>
      </w:r>
      <w:r>
        <w:rPr>
          <w:lang w:val="en-GB"/>
        </w:rPr>
        <w:t>and use</w:t>
      </w:r>
      <w:r w:rsidR="00DD20F1">
        <w:rPr>
          <w:lang w:val="en-GB"/>
        </w:rPr>
        <w:t xml:space="preserve"> the </w:t>
      </w:r>
      <w:r w:rsidR="003016C7">
        <w:rPr>
          <w:lang w:val="en-GB"/>
        </w:rPr>
        <w:t>theoretical prediction that equity-based compensation is effective</w:t>
      </w:r>
      <w:r w:rsidR="007C52B7">
        <w:rPr>
          <w:lang w:val="en-GB"/>
        </w:rPr>
        <w:t xml:space="preserve"> </w:t>
      </w:r>
      <w:r w:rsidR="007C52B7">
        <w:rPr>
          <w:lang w:val="en-GB"/>
        </w:rPr>
        <w:fldChar w:fldCharType="begin"/>
      </w:r>
      <w:r w:rsidR="007C52B7">
        <w:rPr>
          <w:lang w:val="en-GB"/>
        </w:rPr>
        <w:instrText>ADDIN RW.CITE{{54 Hölmstrom,Bengt 1979 /pe.g. ; 53 Mehran,Hamid 1995}}</w:instrText>
      </w:r>
      <w:r w:rsidR="007C52B7">
        <w:rPr>
          <w:lang w:val="en-GB"/>
        </w:rPr>
        <w:fldChar w:fldCharType="separate"/>
      </w:r>
      <w:r w:rsidR="007C52B7" w:rsidRPr="007C52B7">
        <w:rPr>
          <w:rFonts w:ascii="Calibri" w:hAnsi="Calibri"/>
          <w:lang w:val="en-GB"/>
        </w:rPr>
        <w:t>(e.g. Hölmstrom, 1979; Mehran, 1995)</w:t>
      </w:r>
      <w:r w:rsidR="007C52B7">
        <w:rPr>
          <w:lang w:val="en-GB"/>
        </w:rPr>
        <w:fldChar w:fldCharType="end"/>
      </w:r>
      <w:r w:rsidR="003016C7">
        <w:rPr>
          <w:lang w:val="en-GB"/>
        </w:rPr>
        <w:t xml:space="preserve">. </w:t>
      </w:r>
      <w:r w:rsidR="00867D4E">
        <w:rPr>
          <w:lang w:val="en-GB"/>
        </w:rPr>
        <w:t>The following hypothese</w:t>
      </w:r>
      <w:r w:rsidR="00DD3278">
        <w:rPr>
          <w:lang w:val="en-GB"/>
        </w:rPr>
        <w:t xml:space="preserve">s </w:t>
      </w:r>
      <w:r w:rsidR="00867D4E">
        <w:rPr>
          <w:lang w:val="en-GB"/>
        </w:rPr>
        <w:t>are</w:t>
      </w:r>
      <w:r w:rsidR="00DD3278">
        <w:rPr>
          <w:lang w:val="en-GB"/>
        </w:rPr>
        <w:t xml:space="preserve"> constructed to support the main research question:</w:t>
      </w:r>
    </w:p>
    <w:p w14:paraId="4B25FCA3" w14:textId="15813EA6" w:rsidR="002654B6" w:rsidRDefault="002654B6" w:rsidP="002654B6">
      <w:pPr>
        <w:spacing w:line="360" w:lineRule="auto"/>
        <w:jc w:val="both"/>
        <w:rPr>
          <w:i/>
          <w:lang w:val="en-GB"/>
        </w:rPr>
      </w:pPr>
      <w:r w:rsidRPr="001E281C">
        <w:rPr>
          <w:i/>
          <w:lang w:val="en-GB"/>
        </w:rPr>
        <w:t>H1</w:t>
      </w:r>
      <w:r w:rsidR="007C52B7">
        <w:rPr>
          <w:i/>
          <w:lang w:val="en-GB"/>
        </w:rPr>
        <w:t>a</w:t>
      </w:r>
      <w:r w:rsidRPr="001E281C">
        <w:rPr>
          <w:i/>
          <w:lang w:val="en-GB"/>
        </w:rPr>
        <w:t xml:space="preserve">: </w:t>
      </w:r>
      <w:r>
        <w:rPr>
          <w:i/>
          <w:lang w:val="en-GB"/>
        </w:rPr>
        <w:t xml:space="preserve">Equity-based compensated CFOs perform better on </w:t>
      </w:r>
      <w:r w:rsidR="003016C7">
        <w:rPr>
          <w:i/>
          <w:lang w:val="en-GB"/>
        </w:rPr>
        <w:t>managerial</w:t>
      </w:r>
      <w:r>
        <w:rPr>
          <w:i/>
          <w:lang w:val="en-GB"/>
        </w:rPr>
        <w:t xml:space="preserve"> responsibilities than CFOs who are not equity-based compensated </w:t>
      </w:r>
    </w:p>
    <w:p w14:paraId="44D6EFBD" w14:textId="55C8C374" w:rsidR="007C52B7" w:rsidRPr="001E281C" w:rsidRDefault="007C52B7" w:rsidP="002654B6">
      <w:pPr>
        <w:spacing w:line="360" w:lineRule="auto"/>
        <w:jc w:val="both"/>
        <w:rPr>
          <w:i/>
          <w:lang w:val="en-GB"/>
        </w:rPr>
      </w:pPr>
      <w:r w:rsidRPr="001E281C">
        <w:rPr>
          <w:i/>
          <w:lang w:val="en-GB"/>
        </w:rPr>
        <w:t>H1</w:t>
      </w:r>
      <w:r>
        <w:rPr>
          <w:i/>
          <w:lang w:val="en-GB"/>
        </w:rPr>
        <w:t>b</w:t>
      </w:r>
      <w:r w:rsidRPr="001E281C">
        <w:rPr>
          <w:i/>
          <w:lang w:val="en-GB"/>
        </w:rPr>
        <w:t xml:space="preserve">: </w:t>
      </w:r>
      <w:r>
        <w:rPr>
          <w:i/>
          <w:lang w:val="en-GB"/>
        </w:rPr>
        <w:t xml:space="preserve">Equity-based compensated CFOs perform better on fiduciary responsibilities than CFOs who are not equity-based compensated </w:t>
      </w:r>
    </w:p>
    <w:p w14:paraId="15AB3E51" w14:textId="40A01D16" w:rsidR="00942C16" w:rsidRDefault="004B19FF" w:rsidP="004B19FF">
      <w:pPr>
        <w:pStyle w:val="Kop4"/>
      </w:pPr>
      <w:bookmarkStart w:id="30" w:name="_Toc439346636"/>
      <w:r>
        <w:t>3.2.1.1</w:t>
      </w:r>
      <w:r w:rsidR="00942C16">
        <w:t xml:space="preserve"> Libby boxes</w:t>
      </w:r>
      <w:bookmarkEnd w:id="30"/>
      <w:r w:rsidR="002654B6">
        <w:t xml:space="preserve"> </w:t>
      </w:r>
    </w:p>
    <w:p w14:paraId="65826930" w14:textId="4CC00B2D" w:rsidR="00942C16" w:rsidRDefault="00023813" w:rsidP="004B19FF">
      <w:pPr>
        <w:spacing w:line="360" w:lineRule="auto"/>
        <w:jc w:val="both"/>
        <w:rPr>
          <w:lang w:val="en-GB"/>
        </w:rPr>
      </w:pPr>
      <w:r>
        <w:rPr>
          <w:noProof/>
          <w:lang w:val="en-GB" w:eastAsia="en-GB"/>
        </w:rPr>
        <mc:AlternateContent>
          <mc:Choice Requires="wpg">
            <w:drawing>
              <wp:anchor distT="0" distB="0" distL="114300" distR="114300" simplePos="0" relativeHeight="251763712" behindDoc="0" locked="0" layoutInCell="1" allowOverlap="1" wp14:anchorId="570A4661" wp14:editId="19D2E367">
                <wp:simplePos x="0" y="0"/>
                <wp:positionH relativeFrom="column">
                  <wp:posOffset>-219710</wp:posOffset>
                </wp:positionH>
                <wp:positionV relativeFrom="paragraph">
                  <wp:posOffset>649605</wp:posOffset>
                </wp:positionV>
                <wp:extent cx="6236970" cy="3274060"/>
                <wp:effectExtent l="0" t="0" r="11430" b="21590"/>
                <wp:wrapTopAndBottom/>
                <wp:docPr id="6" name="Groep 6"/>
                <wp:cNvGraphicFramePr/>
                <a:graphic xmlns:a="http://schemas.openxmlformats.org/drawingml/2006/main">
                  <a:graphicData uri="http://schemas.microsoft.com/office/word/2010/wordprocessingGroup">
                    <wpg:wgp>
                      <wpg:cNvGrpSpPr/>
                      <wpg:grpSpPr>
                        <a:xfrm>
                          <a:off x="0" y="0"/>
                          <a:ext cx="6236970" cy="3274060"/>
                          <a:chOff x="795212" y="648588"/>
                          <a:chExt cx="6242892" cy="3275159"/>
                        </a:xfrm>
                      </wpg:grpSpPr>
                      <wpg:grpSp>
                        <wpg:cNvPr id="1" name="Groep 1"/>
                        <wpg:cNvGrpSpPr/>
                        <wpg:grpSpPr>
                          <a:xfrm>
                            <a:off x="795212" y="1405889"/>
                            <a:ext cx="6242891" cy="1774535"/>
                            <a:chOff x="785685" y="-3813"/>
                            <a:chExt cx="6242897" cy="1775676"/>
                          </a:xfrm>
                        </wpg:grpSpPr>
                        <wpg:grpSp>
                          <wpg:cNvPr id="39" name="Groep 39"/>
                          <wpg:cNvGrpSpPr/>
                          <wpg:grpSpPr>
                            <a:xfrm>
                              <a:off x="785685" y="-3813"/>
                              <a:ext cx="6242897" cy="701677"/>
                              <a:chOff x="2078126" y="177831"/>
                              <a:chExt cx="3221957" cy="537386"/>
                            </a:xfrm>
                          </wpg:grpSpPr>
                          <wps:wsp>
                            <wps:cNvPr id="15" name="Tekstvak 15"/>
                            <wps:cNvSpPr txBox="1"/>
                            <wps:spPr>
                              <a:xfrm>
                                <a:off x="2078126" y="177831"/>
                                <a:ext cx="1406125" cy="534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5ADE2" w14:textId="0702C860" w:rsidR="00A726AB" w:rsidRPr="00C82614" w:rsidRDefault="00A726AB" w:rsidP="00942C16">
                                  <w:pPr>
                                    <w:pStyle w:val="Geenafstand"/>
                                    <w:rPr>
                                      <w:lang w:val="en-GB"/>
                                    </w:rPr>
                                  </w:pPr>
                                  <w:r>
                                    <w:rPr>
                                      <w:u w:val="single"/>
                                      <w:lang w:val="en-GB"/>
                                    </w:rPr>
                                    <w:t xml:space="preserve">Conceptual X </w:t>
                                  </w:r>
                                </w:p>
                                <w:p w14:paraId="49FC7BA9" w14:textId="77777777" w:rsidR="00A726AB" w:rsidRPr="00D6413D" w:rsidRDefault="00A726AB" w:rsidP="00942C16">
                                  <w:pPr>
                                    <w:pStyle w:val="Geenafstand"/>
                                    <w:rPr>
                                      <w:lang w:val="en-GB"/>
                                    </w:rPr>
                                  </w:pPr>
                                  <w:r>
                                    <w:rPr>
                                      <w:lang w:val="en-GB"/>
                                    </w:rPr>
                                    <w:t>- CFO equity-based compensation</w:t>
                                  </w:r>
                                </w:p>
                                <w:p w14:paraId="7620E3F3" w14:textId="77777777" w:rsidR="00A726AB" w:rsidRPr="007C52B7" w:rsidRDefault="00A726AB" w:rsidP="00942C16">
                                  <w:pPr>
                                    <w:pStyle w:val="Geenafstand"/>
                                    <w:rPr>
                                      <w:lang w:val="en-GB"/>
                                    </w:rPr>
                                  </w:pPr>
                                </w:p>
                                <w:p w14:paraId="66D5CE25" w14:textId="77777777" w:rsidR="00A726AB" w:rsidRPr="005F6677" w:rsidRDefault="00A726AB" w:rsidP="00942C1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kstvak 16"/>
                            <wps:cNvSpPr txBox="1"/>
                            <wps:spPr>
                              <a:xfrm>
                                <a:off x="3879241" y="180752"/>
                                <a:ext cx="1420842" cy="534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525ECC" w14:textId="10CDC0FA" w:rsidR="00A726AB" w:rsidRDefault="00A726AB" w:rsidP="00942C16">
                                  <w:pPr>
                                    <w:pStyle w:val="Geenafstand"/>
                                    <w:rPr>
                                      <w:u w:val="single"/>
                                      <w:lang w:val="en-GB"/>
                                    </w:rPr>
                                  </w:pPr>
                                  <w:r>
                                    <w:rPr>
                                      <w:u w:val="single"/>
                                      <w:lang w:val="en-GB"/>
                                    </w:rPr>
                                    <w:t xml:space="preserve">Conceptual Y </w:t>
                                  </w:r>
                                </w:p>
                                <w:p w14:paraId="7A0B8D86" w14:textId="20E7DDA3" w:rsidR="00A726AB" w:rsidRDefault="00A726AB" w:rsidP="00942C16">
                                  <w:pPr>
                                    <w:pStyle w:val="Geenafstand"/>
                                    <w:rPr>
                                      <w:lang w:val="en-GB"/>
                                    </w:rPr>
                                  </w:pPr>
                                  <w:r>
                                    <w:rPr>
                                      <w:lang w:val="en-GB"/>
                                    </w:rPr>
                                    <w:t>- CFO managerial performance (H1a)</w:t>
                                  </w:r>
                                </w:p>
                                <w:p w14:paraId="28415095" w14:textId="7104F5C8" w:rsidR="00A726AB" w:rsidRDefault="00A726AB" w:rsidP="00942C16">
                                  <w:pPr>
                                    <w:pStyle w:val="Geenafstand"/>
                                    <w:rPr>
                                      <w:lang w:val="en-GB"/>
                                    </w:rPr>
                                  </w:pPr>
                                  <w:r>
                                    <w:rPr>
                                      <w:lang w:val="en-GB"/>
                                    </w:rPr>
                                    <w:t>- CFO fiduciary performance (H1b)</w:t>
                                  </w:r>
                                </w:p>
                                <w:p w14:paraId="6CBD2431" w14:textId="77777777" w:rsidR="00A726AB" w:rsidRDefault="00A726AB" w:rsidP="00942C16">
                                  <w:pPr>
                                    <w:pStyle w:val="Geenafstand"/>
                                    <w:rPr>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hte verbindingslijn met pijl 18"/>
                            <wps:cNvCnPr>
                              <a:stCxn id="15" idx="3"/>
                              <a:endCxn id="16" idx="1"/>
                            </wps:cNvCnPr>
                            <wps:spPr>
                              <a:xfrm>
                                <a:off x="3484251" y="445064"/>
                                <a:ext cx="394990" cy="292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43" name="Groep 43"/>
                          <wpg:cNvGrpSpPr/>
                          <wpg:grpSpPr>
                            <a:xfrm>
                              <a:off x="785686" y="967281"/>
                              <a:ext cx="6242896" cy="804582"/>
                              <a:chOff x="2078168" y="325237"/>
                              <a:chExt cx="3436830" cy="700489"/>
                            </a:xfrm>
                          </wpg:grpSpPr>
                          <wps:wsp>
                            <wps:cNvPr id="45" name="Tekstvak 45"/>
                            <wps:cNvSpPr txBox="1"/>
                            <wps:spPr>
                              <a:xfrm>
                                <a:off x="2078168" y="325237"/>
                                <a:ext cx="1499899" cy="700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225141" w14:textId="16569C75" w:rsidR="00A726AB" w:rsidRPr="00C82614" w:rsidRDefault="00A726AB" w:rsidP="00942C16">
                                  <w:pPr>
                                    <w:pStyle w:val="Geenafstand"/>
                                    <w:rPr>
                                      <w:u w:val="single"/>
                                      <w:lang w:val="en-GB"/>
                                    </w:rPr>
                                  </w:pPr>
                                  <w:r>
                                    <w:rPr>
                                      <w:u w:val="single"/>
                                      <w:lang w:val="en-GB"/>
                                    </w:rPr>
                                    <w:t xml:space="preserve">Operational X </w:t>
                                  </w:r>
                                </w:p>
                                <w:p w14:paraId="5294025A" w14:textId="4ED2F9F1" w:rsidR="00A726AB" w:rsidRDefault="00A726AB" w:rsidP="00942C16">
                                  <w:pPr>
                                    <w:pStyle w:val="Geenafstand"/>
                                    <w:rPr>
                                      <w:lang w:val="en-GB"/>
                                    </w:rPr>
                                  </w:pPr>
                                  <w:r w:rsidRPr="00C82614">
                                    <w:rPr>
                                      <w:lang w:val="en-GB"/>
                                    </w:rPr>
                                    <w:t xml:space="preserve">- </w:t>
                                  </w:r>
                                  <w:r>
                                    <w:rPr>
                                      <w:lang w:val="en-GB"/>
                                    </w:rPr>
                                    <w:t>Presence of equity-based compensation in compensation package</w:t>
                                  </w:r>
                                </w:p>
                                <w:p w14:paraId="132B2B70" w14:textId="77777777" w:rsidR="00A726AB" w:rsidRPr="00D6413D" w:rsidRDefault="00A726AB" w:rsidP="00942C16">
                                  <w:pPr>
                                    <w:pStyle w:val="Geenafstand"/>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kstvak 46"/>
                            <wps:cNvSpPr txBox="1"/>
                            <wps:spPr>
                              <a:xfrm>
                                <a:off x="4007241" y="325237"/>
                                <a:ext cx="1507757" cy="6968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E1B03" w14:textId="13BD049B" w:rsidR="00A726AB" w:rsidRDefault="00A726AB" w:rsidP="00942C16">
                                  <w:pPr>
                                    <w:pStyle w:val="Geenafstand"/>
                                    <w:rPr>
                                      <w:u w:val="single"/>
                                      <w:lang w:val="en-GB"/>
                                    </w:rPr>
                                  </w:pPr>
                                  <w:r>
                                    <w:rPr>
                                      <w:u w:val="single"/>
                                      <w:lang w:val="en-GB"/>
                                    </w:rPr>
                                    <w:t>Operational</w:t>
                                  </w:r>
                                  <w:r w:rsidRPr="00C82614">
                                    <w:rPr>
                                      <w:u w:val="single"/>
                                      <w:lang w:val="en-GB"/>
                                    </w:rPr>
                                    <w:t xml:space="preserve"> </w:t>
                                  </w:r>
                                  <w:r>
                                    <w:rPr>
                                      <w:u w:val="single"/>
                                      <w:lang w:val="en-GB"/>
                                    </w:rPr>
                                    <w:t xml:space="preserve">Y </w:t>
                                  </w:r>
                                </w:p>
                                <w:p w14:paraId="07DF0F13" w14:textId="0ECB7BFA" w:rsidR="00A726AB" w:rsidRDefault="00A726AB" w:rsidP="007C52B7">
                                  <w:pPr>
                                    <w:pStyle w:val="Geenafstand"/>
                                    <w:rPr>
                                      <w:lang w:val="en-GB"/>
                                    </w:rPr>
                                  </w:pPr>
                                  <w:r>
                                    <w:rPr>
                                      <w:lang w:val="en-GB"/>
                                    </w:rPr>
                                    <w:t>- Firm financial performance (H1a)</w:t>
                                  </w:r>
                                </w:p>
                                <w:p w14:paraId="1351F305" w14:textId="4141A3BB" w:rsidR="00A726AB" w:rsidRDefault="00A726AB" w:rsidP="00942C16">
                                  <w:pPr>
                                    <w:pStyle w:val="Geenafstand"/>
                                    <w:rPr>
                                      <w:lang w:val="en-GB"/>
                                    </w:rPr>
                                  </w:pPr>
                                  <w:r>
                                    <w:rPr>
                                      <w:lang w:val="en-GB"/>
                                    </w:rPr>
                                    <w:t>- Disclosure of ICMW (H1b)</w:t>
                                  </w:r>
                                </w:p>
                                <w:p w14:paraId="49B699EE" w14:textId="0E330518" w:rsidR="00A726AB" w:rsidRPr="007C52B7" w:rsidRDefault="00A726AB" w:rsidP="00942C16">
                                  <w:pPr>
                                    <w:pStyle w:val="Geenafstand"/>
                                    <w:rPr>
                                      <w:lang w:val="en-GB"/>
                                    </w:rPr>
                                  </w:pPr>
                                  <w:r>
                                    <w:rPr>
                                      <w:lang w:val="en-GB"/>
                                    </w:rPr>
                                    <w:t>- Restatement (H1b)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hte verbindingslijn met pijl 47"/>
                            <wps:cNvCnPr>
                              <a:stCxn id="45" idx="3"/>
                              <a:endCxn id="46" idx="1"/>
                            </wps:cNvCnPr>
                            <wps:spPr>
                              <a:xfrm flipV="1">
                                <a:off x="3578067" y="673638"/>
                                <a:ext cx="429173" cy="184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s:wsp>
                        <wps:cNvPr id="2" name="Tekstvak 2"/>
                        <wps:cNvSpPr txBox="1"/>
                        <wps:spPr>
                          <a:xfrm>
                            <a:off x="4951818" y="648588"/>
                            <a:ext cx="2086285" cy="513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E4B340" w14:textId="4070EFD7" w:rsidR="00A726AB" w:rsidRDefault="00A726AB" w:rsidP="00942C16">
                              <w:pPr>
                                <w:pStyle w:val="Geenafstand"/>
                                <w:rPr>
                                  <w:u w:val="single"/>
                                  <w:lang w:val="en-GB"/>
                                </w:rPr>
                              </w:pPr>
                              <w:r>
                                <w:rPr>
                                  <w:u w:val="single"/>
                                  <w:lang w:val="en-GB"/>
                                </w:rPr>
                                <w:t>Conceptual Z</w:t>
                              </w:r>
                            </w:p>
                            <w:p w14:paraId="02D57E3F" w14:textId="30E44F87" w:rsidR="00A726AB" w:rsidRPr="00870C9B" w:rsidRDefault="00A726AB" w:rsidP="00942C16">
                              <w:pPr>
                                <w:pStyle w:val="Geenafstand"/>
                                <w:rPr>
                                  <w:lang w:val="en-GB"/>
                                </w:rPr>
                              </w:pPr>
                              <w:r>
                                <w:rPr>
                                  <w:lang w:val="en-GB"/>
                                </w:rPr>
                                <w:t>- Size of 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kstvak 3"/>
                        <wps:cNvSpPr txBox="1"/>
                        <wps:spPr>
                          <a:xfrm>
                            <a:off x="4951818" y="3429000"/>
                            <a:ext cx="2086286" cy="4947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58EF3B" w14:textId="55666874" w:rsidR="00A726AB" w:rsidRDefault="00A726AB" w:rsidP="00942C16">
                              <w:pPr>
                                <w:pStyle w:val="Geenafstand"/>
                                <w:rPr>
                                  <w:u w:val="single"/>
                                  <w:lang w:val="en-GB"/>
                                </w:rPr>
                              </w:pPr>
                              <w:r>
                                <w:rPr>
                                  <w:u w:val="single"/>
                                  <w:lang w:val="en-GB"/>
                                </w:rPr>
                                <w:t>Operational Z</w:t>
                              </w:r>
                            </w:p>
                            <w:p w14:paraId="15DE9B0E" w14:textId="56571A1F" w:rsidR="00A726AB" w:rsidRDefault="00A726AB" w:rsidP="00942C16">
                              <w:pPr>
                                <w:pStyle w:val="Geenafstand"/>
                                <w:rPr>
                                  <w:lang w:val="en-GB"/>
                                </w:rPr>
                              </w:pPr>
                              <w:r>
                                <w:rPr>
                                  <w:lang w:val="en-GB"/>
                                </w:rPr>
                                <w:t>- Revenue</w:t>
                              </w:r>
                            </w:p>
                            <w:p w14:paraId="117A6446" w14:textId="77777777" w:rsidR="00A726AB" w:rsidRDefault="00A726AB" w:rsidP="00942C16">
                              <w:pPr>
                                <w:pStyle w:val="Geenafstand"/>
                                <w:rPr>
                                  <w:lang w:val="en-GB"/>
                                </w:rPr>
                              </w:pPr>
                            </w:p>
                            <w:p w14:paraId="1F658BA7" w14:textId="77777777" w:rsidR="00A726AB" w:rsidRDefault="00A726AB" w:rsidP="00942C16">
                              <w:pPr>
                                <w:pStyle w:val="Geenafstand"/>
                                <w:rPr>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hte verbindingslijn met pijl 4"/>
                        <wps:cNvCnPr/>
                        <wps:spPr>
                          <a:xfrm>
                            <a:off x="5962650" y="1162050"/>
                            <a:ext cx="0" cy="2438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 name="Rechte verbindingslijn met pijl 5"/>
                        <wps:cNvCnPr/>
                        <wps:spPr>
                          <a:xfrm flipV="1">
                            <a:off x="5962650" y="3190875"/>
                            <a:ext cx="0" cy="23812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6" o:spid="_x0000_s1067" style="position:absolute;left:0;text-align:left;margin-left:-17.3pt;margin-top:51.15pt;width:491.1pt;height:257.8pt;z-index:251763712;mso-width-relative:margin;mso-height-relative:margin" coordorigin="7952,6485" coordsize="62428,3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">
                <v:group id="Groep 1" o:spid="_x0000_s1068" style="position:absolute;left:7952;top:14058;width:62429;height:17746" coordorigin="7856,-38" coordsize="62428,1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ep 39" o:spid="_x0000_s1069" style="position:absolute;left:7856;top:-38;width:62429;height:7016" coordorigin="20781,1778" coordsize="32219,5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kstvak 15" o:spid="_x0000_s1070" type="#_x0000_t202" style="position:absolute;left:20781;top:1778;width:14061;height:5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3855ADE2" w14:textId="0702C860" w:rsidR="00A726AB" w:rsidRPr="00C82614" w:rsidRDefault="00A726AB" w:rsidP="00942C16">
                            <w:pPr>
                              <w:pStyle w:val="Geenafstand"/>
                              <w:rPr>
                                <w:lang w:val="en-GB"/>
                              </w:rPr>
                            </w:pPr>
                            <w:r>
                              <w:rPr>
                                <w:u w:val="single"/>
                                <w:lang w:val="en-GB"/>
                              </w:rPr>
                              <w:t xml:space="preserve">Conceptual X </w:t>
                            </w:r>
                          </w:p>
                          <w:p w14:paraId="49FC7BA9" w14:textId="77777777" w:rsidR="00A726AB" w:rsidRPr="00D6413D" w:rsidRDefault="00A726AB" w:rsidP="00942C16">
                            <w:pPr>
                              <w:pStyle w:val="Geenafstand"/>
                              <w:rPr>
                                <w:lang w:val="en-GB"/>
                              </w:rPr>
                            </w:pPr>
                            <w:r>
                              <w:rPr>
                                <w:lang w:val="en-GB"/>
                              </w:rPr>
                              <w:t>- CFO equity-based compensation</w:t>
                            </w:r>
                          </w:p>
                          <w:p w14:paraId="7620E3F3" w14:textId="77777777" w:rsidR="00A726AB" w:rsidRPr="007C52B7" w:rsidRDefault="00A726AB" w:rsidP="00942C16">
                            <w:pPr>
                              <w:pStyle w:val="Geenafstand"/>
                              <w:rPr>
                                <w:lang w:val="en-GB"/>
                              </w:rPr>
                            </w:pPr>
                          </w:p>
                          <w:p w14:paraId="66D5CE25" w14:textId="77777777" w:rsidR="00A726AB" w:rsidRPr="005F6677" w:rsidRDefault="00A726AB" w:rsidP="00942C16">
                            <w:pPr>
                              <w:rPr>
                                <w:lang w:val="en-GB"/>
                              </w:rPr>
                            </w:pPr>
                          </w:p>
                        </w:txbxContent>
                      </v:textbox>
                    </v:shape>
                    <v:shape id="Tekstvak 16" o:spid="_x0000_s1071" type="#_x0000_t202" style="position:absolute;left:38792;top:1807;width:14208;height:5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33525ECC" w14:textId="10CDC0FA" w:rsidR="00A726AB" w:rsidRDefault="00A726AB" w:rsidP="00942C16">
                            <w:pPr>
                              <w:pStyle w:val="Geenafstand"/>
                              <w:rPr>
                                <w:u w:val="single"/>
                                <w:lang w:val="en-GB"/>
                              </w:rPr>
                            </w:pPr>
                            <w:r>
                              <w:rPr>
                                <w:u w:val="single"/>
                                <w:lang w:val="en-GB"/>
                              </w:rPr>
                              <w:t xml:space="preserve">Conceptual Y </w:t>
                            </w:r>
                          </w:p>
                          <w:p w14:paraId="7A0B8D86" w14:textId="20E7DDA3" w:rsidR="00A726AB" w:rsidRDefault="00A726AB" w:rsidP="00942C16">
                            <w:pPr>
                              <w:pStyle w:val="Geenafstand"/>
                              <w:rPr>
                                <w:lang w:val="en-GB"/>
                              </w:rPr>
                            </w:pPr>
                            <w:r>
                              <w:rPr>
                                <w:lang w:val="en-GB"/>
                              </w:rPr>
                              <w:t>- CFO managerial performance (H1a)</w:t>
                            </w:r>
                          </w:p>
                          <w:p w14:paraId="28415095" w14:textId="7104F5C8" w:rsidR="00A726AB" w:rsidRDefault="00A726AB" w:rsidP="00942C16">
                            <w:pPr>
                              <w:pStyle w:val="Geenafstand"/>
                              <w:rPr>
                                <w:lang w:val="en-GB"/>
                              </w:rPr>
                            </w:pPr>
                            <w:r>
                              <w:rPr>
                                <w:lang w:val="en-GB"/>
                              </w:rPr>
                              <w:t>- CFO fiduciary performance (H1b)</w:t>
                            </w:r>
                          </w:p>
                          <w:p w14:paraId="6CBD2431" w14:textId="77777777" w:rsidR="00A726AB" w:rsidRDefault="00A726AB" w:rsidP="00942C16">
                            <w:pPr>
                              <w:pStyle w:val="Geenafstand"/>
                              <w:rPr>
                                <w:u w:val="single"/>
                                <w:lang w:val="en-GB"/>
                              </w:rPr>
                            </w:pPr>
                          </w:p>
                        </w:txbxContent>
                      </v:textbox>
                    </v:shape>
                    <v:shape id="Rechte verbindingslijn met pijl 18" o:spid="_x0000_s1072" type="#_x0000_t32" style="position:absolute;left:34842;top:4450;width:3950;height: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dIMEAAADbAAAADwAAAGRycy9kb3ducmV2LnhtbESPzWrDMBCE74G+g9hCL6WRW0oIbuQQ&#10;AgX32CQPsFhby9haGUn+6dt3D4XcdpnZmW8Px9UPaqaYusAGXrcFKOIm2I5bA7fr58seVMrIFofA&#10;ZOCXEhyrh80BSxsW/qb5klslIZxKNOByHkutU+PIY9qGkVi0nxA9Zlljq23ERcL9oN+KYqc9diwN&#10;Dkc6O2r6y+QNhJnd1/uzz72emusJp/q8xNqYp8f19AEq05rv5v/r2gq+wMovMo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Ml0gwQAAANsAAAAPAAAAAAAAAAAAAAAA&#10;AKECAABkcnMvZG93bnJldi54bWxQSwUGAAAAAAQABAD5AAAAjwMAAAAA&#10;" strokecolor="black [3040]">
                      <v:stroke endarrow="block"/>
                    </v:shape>
                  </v:group>
                  <v:group id="Groep 43" o:spid="_x0000_s1073" style="position:absolute;left:7856;top:9672;width:62429;height:8046" coordorigin="20781,3252" coordsize="34368,7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kstvak 45" o:spid="_x0000_s1074" type="#_x0000_t202" style="position:absolute;left:20781;top:3252;width:14999;height:7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14:paraId="2F225141" w14:textId="16569C75" w:rsidR="00A726AB" w:rsidRPr="00C82614" w:rsidRDefault="00A726AB" w:rsidP="00942C16">
                            <w:pPr>
                              <w:pStyle w:val="Geenafstand"/>
                              <w:rPr>
                                <w:u w:val="single"/>
                                <w:lang w:val="en-GB"/>
                              </w:rPr>
                            </w:pPr>
                            <w:r>
                              <w:rPr>
                                <w:u w:val="single"/>
                                <w:lang w:val="en-GB"/>
                              </w:rPr>
                              <w:t xml:space="preserve">Operational X </w:t>
                            </w:r>
                          </w:p>
                          <w:p w14:paraId="5294025A" w14:textId="4ED2F9F1" w:rsidR="00A726AB" w:rsidRDefault="00A726AB" w:rsidP="00942C16">
                            <w:pPr>
                              <w:pStyle w:val="Geenafstand"/>
                              <w:rPr>
                                <w:lang w:val="en-GB"/>
                              </w:rPr>
                            </w:pPr>
                            <w:r w:rsidRPr="00C82614">
                              <w:rPr>
                                <w:lang w:val="en-GB"/>
                              </w:rPr>
                              <w:t xml:space="preserve">- </w:t>
                            </w:r>
                            <w:r>
                              <w:rPr>
                                <w:lang w:val="en-GB"/>
                              </w:rPr>
                              <w:t>Presence of equity-based compensation in compensation package</w:t>
                            </w:r>
                          </w:p>
                          <w:p w14:paraId="132B2B70" w14:textId="77777777" w:rsidR="00A726AB" w:rsidRPr="00D6413D" w:rsidRDefault="00A726AB" w:rsidP="00942C16">
                            <w:pPr>
                              <w:pStyle w:val="Geenafstand"/>
                              <w:rPr>
                                <w:lang w:val="en-GB"/>
                              </w:rPr>
                            </w:pPr>
                          </w:p>
                        </w:txbxContent>
                      </v:textbox>
                    </v:shape>
                    <v:shape id="Tekstvak 46" o:spid="_x0000_s1075" type="#_x0000_t202" style="position:absolute;left:40072;top:3252;width:15077;height:6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14:paraId="7A2E1B03" w14:textId="13BD049B" w:rsidR="00A726AB" w:rsidRDefault="00A726AB" w:rsidP="00942C16">
                            <w:pPr>
                              <w:pStyle w:val="Geenafstand"/>
                              <w:rPr>
                                <w:u w:val="single"/>
                                <w:lang w:val="en-GB"/>
                              </w:rPr>
                            </w:pPr>
                            <w:r>
                              <w:rPr>
                                <w:u w:val="single"/>
                                <w:lang w:val="en-GB"/>
                              </w:rPr>
                              <w:t>Operational</w:t>
                            </w:r>
                            <w:r w:rsidRPr="00C82614">
                              <w:rPr>
                                <w:u w:val="single"/>
                                <w:lang w:val="en-GB"/>
                              </w:rPr>
                              <w:t xml:space="preserve"> </w:t>
                            </w:r>
                            <w:r>
                              <w:rPr>
                                <w:u w:val="single"/>
                                <w:lang w:val="en-GB"/>
                              </w:rPr>
                              <w:t xml:space="preserve">Y </w:t>
                            </w:r>
                          </w:p>
                          <w:p w14:paraId="07DF0F13" w14:textId="0ECB7BFA" w:rsidR="00A726AB" w:rsidRDefault="00A726AB" w:rsidP="007C52B7">
                            <w:pPr>
                              <w:pStyle w:val="Geenafstand"/>
                              <w:rPr>
                                <w:lang w:val="en-GB"/>
                              </w:rPr>
                            </w:pPr>
                            <w:r>
                              <w:rPr>
                                <w:lang w:val="en-GB"/>
                              </w:rPr>
                              <w:t>- Firm financial performance (H1a)</w:t>
                            </w:r>
                          </w:p>
                          <w:p w14:paraId="1351F305" w14:textId="4141A3BB" w:rsidR="00A726AB" w:rsidRDefault="00A726AB" w:rsidP="00942C16">
                            <w:pPr>
                              <w:pStyle w:val="Geenafstand"/>
                              <w:rPr>
                                <w:lang w:val="en-GB"/>
                              </w:rPr>
                            </w:pPr>
                            <w:r>
                              <w:rPr>
                                <w:lang w:val="en-GB"/>
                              </w:rPr>
                              <w:t>- Disclosure of ICMW (H1b)</w:t>
                            </w:r>
                          </w:p>
                          <w:p w14:paraId="49B699EE" w14:textId="0E330518" w:rsidR="00A726AB" w:rsidRPr="007C52B7" w:rsidRDefault="00A726AB" w:rsidP="00942C16">
                            <w:pPr>
                              <w:pStyle w:val="Geenafstand"/>
                              <w:rPr>
                                <w:lang w:val="en-GB"/>
                              </w:rPr>
                            </w:pPr>
                            <w:r>
                              <w:rPr>
                                <w:lang w:val="en-GB"/>
                              </w:rPr>
                              <w:t>- Restatement (H1b)</w:t>
                            </w:r>
                          </w:p>
                        </w:txbxContent>
                      </v:textbox>
                    </v:shape>
                    <v:shape id="Rechte verbindingslijn met pijl 47" o:spid="_x0000_s1076" type="#_x0000_t32" style="position:absolute;left:35780;top:6736;width:4292;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IsQAAADbAAAADwAAAGRycy9kb3ducmV2LnhtbESPQWvCQBSE7wX/w/KE3ppNSrGSuooI&#10;gWIPxSRgj4/sM0mbfRuyW13/vVsQehxm5htmtQlmEGeaXG9ZQZakIIgbq3tuFdRV8bQE4TyyxsEy&#10;KbiSg8169rDCXNsLH+hc+lZECLscFXTej7mUrunIoEvsSBy9k50M+iinVuoJLxFuBvmcpgtpsOe4&#10;0OFIu46an/LXKNgfv0+VrPuApgyL/UdafA5fmVKP87B9A+Ep+P/wvf2uFby8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z8ixAAAANsAAAAPAAAAAAAAAAAA&#10;AAAAAKECAABkcnMvZG93bnJldi54bWxQSwUGAAAAAAQABAD5AAAAkgMAAAAA&#10;" strokecolor="black [3040]">
                      <v:stroke endarrow="block"/>
                    </v:shape>
                  </v:group>
                </v:group>
                <v:shape id="Tekstvak 2" o:spid="_x0000_s1077" type="#_x0000_t202" style="position:absolute;left:49518;top:6485;width:20863;height:5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49E4B340" w14:textId="4070EFD7" w:rsidR="00A726AB" w:rsidRDefault="00A726AB" w:rsidP="00942C16">
                        <w:pPr>
                          <w:pStyle w:val="Geenafstand"/>
                          <w:rPr>
                            <w:u w:val="single"/>
                            <w:lang w:val="en-GB"/>
                          </w:rPr>
                        </w:pPr>
                        <w:r>
                          <w:rPr>
                            <w:u w:val="single"/>
                            <w:lang w:val="en-GB"/>
                          </w:rPr>
                          <w:t>Conceptual Z</w:t>
                        </w:r>
                      </w:p>
                      <w:p w14:paraId="02D57E3F" w14:textId="30E44F87" w:rsidR="00A726AB" w:rsidRPr="00870C9B" w:rsidRDefault="00A726AB" w:rsidP="00942C16">
                        <w:pPr>
                          <w:pStyle w:val="Geenafstand"/>
                          <w:rPr>
                            <w:lang w:val="en-GB"/>
                          </w:rPr>
                        </w:pPr>
                        <w:r>
                          <w:rPr>
                            <w:lang w:val="en-GB"/>
                          </w:rPr>
                          <w:t>- Size of firm</w:t>
                        </w:r>
                      </w:p>
                    </w:txbxContent>
                  </v:textbox>
                </v:shape>
                <v:shape id="Tekstvak 3" o:spid="_x0000_s1078" type="#_x0000_t202" style="position:absolute;left:49518;top:34290;width:20863;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5358EF3B" w14:textId="55666874" w:rsidR="00A726AB" w:rsidRDefault="00A726AB" w:rsidP="00942C16">
                        <w:pPr>
                          <w:pStyle w:val="Geenafstand"/>
                          <w:rPr>
                            <w:u w:val="single"/>
                            <w:lang w:val="en-GB"/>
                          </w:rPr>
                        </w:pPr>
                        <w:r>
                          <w:rPr>
                            <w:u w:val="single"/>
                            <w:lang w:val="en-GB"/>
                          </w:rPr>
                          <w:t>Operational Z</w:t>
                        </w:r>
                      </w:p>
                      <w:p w14:paraId="15DE9B0E" w14:textId="56571A1F" w:rsidR="00A726AB" w:rsidRDefault="00A726AB" w:rsidP="00942C16">
                        <w:pPr>
                          <w:pStyle w:val="Geenafstand"/>
                          <w:rPr>
                            <w:lang w:val="en-GB"/>
                          </w:rPr>
                        </w:pPr>
                        <w:r>
                          <w:rPr>
                            <w:lang w:val="en-GB"/>
                          </w:rPr>
                          <w:t>- Revenue</w:t>
                        </w:r>
                      </w:p>
                      <w:p w14:paraId="117A6446" w14:textId="77777777" w:rsidR="00A726AB" w:rsidRDefault="00A726AB" w:rsidP="00942C16">
                        <w:pPr>
                          <w:pStyle w:val="Geenafstand"/>
                          <w:rPr>
                            <w:lang w:val="en-GB"/>
                          </w:rPr>
                        </w:pPr>
                      </w:p>
                      <w:p w14:paraId="1F658BA7" w14:textId="77777777" w:rsidR="00A726AB" w:rsidRDefault="00A726AB" w:rsidP="00942C16">
                        <w:pPr>
                          <w:pStyle w:val="Geenafstand"/>
                          <w:rPr>
                            <w:u w:val="single"/>
                            <w:lang w:val="en-GB"/>
                          </w:rPr>
                        </w:pPr>
                      </w:p>
                    </w:txbxContent>
                  </v:textbox>
                </v:shape>
                <v:shape id="Rechte verbindingslijn met pijl 4" o:spid="_x0000_s1079" type="#_x0000_t32" style="position:absolute;left:59626;top:11620;width:0;height:2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7I74AAADaAAAADwAAAGRycy9kb3ducmV2LnhtbESP3YrCMBSE7wXfIRxhb0TTXWSRahQR&#10;hHqp7gMcmmNTbE5Kkv7s2xtB8HKYmW+Y7X60jejJh9qxgu9lBoK4dLrmSsHf7bRYgwgRWWPjmBT8&#10;U4D9bjrZYq7dwBfqr7ESCcIhRwUmxjaXMpSGLIala4mTd3feYkzSV1J7HBLcNvIny36lxZrTgsGW&#10;jobKx7WzClzP5rya2/iQXXk7YFccB18o9TUbDxsQkcb4Cb/bhVawgteVdAPk7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HLsjvgAAANoAAAAPAAAAAAAAAAAAAAAAAKEC&#10;AABkcnMvZG93bnJldi54bWxQSwUGAAAAAAQABAD5AAAAjAMAAAAA&#10;" strokecolor="black [3040]">
                  <v:stroke endarrow="block"/>
                </v:shape>
                <v:shape id="Rechte verbindingslijn met pijl 5" o:spid="_x0000_s1080" type="#_x0000_t32" style="position:absolute;left:59626;top:31908;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6rvMAAAADaAAAADwAAAGRycy9kb3ducmV2LnhtbESPQYvCMBSE7wv+h/AEb2uqoEg1igiC&#10;6EG2Cnp8NM+22ryUJmr89xtB8DjMzDfMbBFMLR7UusqygkE/AUGcW11xoeB4WP9OQDiPrLG2TApe&#10;5GAx7/zMMNX2yX/0yHwhIoRdigpK75tUSpeXZND1bUMcvYttDfoo20LqFp8Rbmo5TJKxNFhxXCix&#10;oVVJ+S27GwXb0/VykMcqoMnCeLtL1vv6PFCq1w3LKQhPwX/Dn/ZGKxjB+0q8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uq7zAAAAA2gAAAA8AAAAAAAAAAAAAAAAA&#10;oQIAAGRycy9kb3ducmV2LnhtbFBLBQYAAAAABAAEAPkAAACOAwAAAAA=&#10;" strokecolor="black [3040]">
                  <v:stroke endarrow="block"/>
                </v:shape>
                <w10:wrap type="topAndBottom"/>
              </v:group>
            </w:pict>
          </mc:Fallback>
        </mc:AlternateContent>
      </w:r>
      <w:r w:rsidR="004B19FF">
        <w:rPr>
          <w:lang w:val="en-GB"/>
        </w:rPr>
        <w:t xml:space="preserve">The Libby boxes presented </w:t>
      </w:r>
      <w:r w:rsidR="00105480">
        <w:rPr>
          <w:lang w:val="en-GB"/>
        </w:rPr>
        <w:t>in figure 2</w:t>
      </w:r>
      <w:r w:rsidR="004B19FF">
        <w:rPr>
          <w:lang w:val="en-GB"/>
        </w:rPr>
        <w:t xml:space="preserve"> show the construct of the</w:t>
      </w:r>
      <w:r w:rsidR="0066541B">
        <w:rPr>
          <w:lang w:val="en-GB"/>
        </w:rPr>
        <w:t xml:space="preserve"> relation indicated in hypothese</w:t>
      </w:r>
      <w:r w:rsidR="004B19FF">
        <w:rPr>
          <w:lang w:val="en-GB"/>
        </w:rPr>
        <w:t>s 1</w:t>
      </w:r>
      <w:r w:rsidR="0066541B">
        <w:rPr>
          <w:lang w:val="en-GB"/>
        </w:rPr>
        <w:t>a and 1b</w:t>
      </w:r>
      <w:r w:rsidR="004B19FF">
        <w:rPr>
          <w:lang w:val="en-GB"/>
        </w:rPr>
        <w:t xml:space="preserve"> on conceptual level and operational level</w:t>
      </w:r>
      <w:r w:rsidR="00236EDF">
        <w:rPr>
          <w:lang w:val="en-GB"/>
        </w:rPr>
        <w:t xml:space="preserve"> </w:t>
      </w:r>
      <w:r w:rsidR="00236EDF">
        <w:rPr>
          <w:lang w:val="en-GB"/>
        </w:rPr>
        <w:fldChar w:fldCharType="begin"/>
      </w:r>
      <w:r w:rsidR="00236EDF">
        <w:rPr>
          <w:lang w:val="en-GB"/>
        </w:rPr>
        <w:instrText>ADDIN RW.CITE{{92 Libby,Robert 1981}}</w:instrText>
      </w:r>
      <w:r w:rsidR="00236EDF">
        <w:rPr>
          <w:lang w:val="en-GB"/>
        </w:rPr>
        <w:fldChar w:fldCharType="separate"/>
      </w:r>
      <w:r w:rsidR="00236EDF" w:rsidRPr="00236EDF">
        <w:rPr>
          <w:rFonts w:ascii="Calibri" w:hAnsi="Calibri"/>
          <w:lang w:val="en-GB"/>
        </w:rPr>
        <w:t>(Libby, 1981)</w:t>
      </w:r>
      <w:r w:rsidR="00236EDF">
        <w:rPr>
          <w:lang w:val="en-GB"/>
        </w:rPr>
        <w:fldChar w:fldCharType="end"/>
      </w:r>
      <w:r w:rsidR="004B19FF">
        <w:rPr>
          <w:lang w:val="en-GB"/>
        </w:rPr>
        <w:t xml:space="preserve">. </w:t>
      </w:r>
    </w:p>
    <w:p w14:paraId="5CCA8BD1" w14:textId="4E83CCD0" w:rsidR="004B19FF" w:rsidRPr="004D733B" w:rsidRDefault="00023813" w:rsidP="004B19FF">
      <w:pPr>
        <w:spacing w:line="360" w:lineRule="auto"/>
        <w:jc w:val="both"/>
        <w:rPr>
          <w:lang w:val="en-GB"/>
        </w:rPr>
      </w:pPr>
      <w:r>
        <w:rPr>
          <w:noProof/>
          <w:lang w:val="en-GB" w:eastAsia="en-GB"/>
        </w:rPr>
        <mc:AlternateContent>
          <mc:Choice Requires="wps">
            <w:drawing>
              <wp:anchor distT="0" distB="0" distL="114300" distR="114300" simplePos="0" relativeHeight="251806720" behindDoc="0" locked="0" layoutInCell="1" allowOverlap="1" wp14:anchorId="00B55909" wp14:editId="45E636DC">
                <wp:simplePos x="0" y="0"/>
                <wp:positionH relativeFrom="column">
                  <wp:posOffset>13631</wp:posOffset>
                </wp:positionH>
                <wp:positionV relativeFrom="paragraph">
                  <wp:posOffset>3395345</wp:posOffset>
                </wp:positionV>
                <wp:extent cx="5840730" cy="635"/>
                <wp:effectExtent l="0" t="0" r="7620" b="0"/>
                <wp:wrapNone/>
                <wp:docPr id="70" name="Tekstvak 70"/>
                <wp:cNvGraphicFramePr/>
                <a:graphic xmlns:a="http://schemas.openxmlformats.org/drawingml/2006/main">
                  <a:graphicData uri="http://schemas.microsoft.com/office/word/2010/wordprocessingShape">
                    <wps:wsp>
                      <wps:cNvSpPr txBox="1"/>
                      <wps:spPr>
                        <a:xfrm>
                          <a:off x="0" y="0"/>
                          <a:ext cx="5840730" cy="635"/>
                        </a:xfrm>
                        <a:prstGeom prst="rect">
                          <a:avLst/>
                        </a:prstGeom>
                        <a:solidFill>
                          <a:prstClr val="white"/>
                        </a:solidFill>
                        <a:ln>
                          <a:noFill/>
                        </a:ln>
                        <a:effectLst/>
                      </wps:spPr>
                      <wps:txbx>
                        <w:txbxContent>
                          <w:p w14:paraId="12E86381" w14:textId="38125349" w:rsidR="00A726AB" w:rsidRPr="00023813" w:rsidRDefault="00A726AB" w:rsidP="00A726AB">
                            <w:pPr>
                              <w:pStyle w:val="Kop5"/>
                              <w:rPr>
                                <w:noProof/>
                              </w:rPr>
                            </w:pPr>
                            <w:r w:rsidRPr="00023813">
                              <w:t xml:space="preserve">Figure </w:t>
                            </w:r>
                            <w:r>
                              <w:t>2</w:t>
                            </w:r>
                            <w:r w:rsidRPr="00023813">
                              <w:t>: Libby boxes hypothesis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70" o:spid="_x0000_s1081" type="#_x0000_t202" style="position:absolute;left:0;text-align:left;margin-left:1.05pt;margin-top:267.35pt;width:459.9pt;height:.0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" stroked="f">
                <v:textbox style="mso-fit-shape-to-text:t" inset="0,0,0,0">
                  <w:txbxContent>
                    <w:p w14:paraId="12E86381" w14:textId="38125349" w:rsidR="00A726AB" w:rsidRPr="00023813" w:rsidRDefault="00A726AB" w:rsidP="00A726AB">
                      <w:pPr>
                        <w:pStyle w:val="Kop5"/>
                        <w:rPr>
                          <w:noProof/>
                        </w:rPr>
                      </w:pPr>
                      <w:r w:rsidRPr="00023813">
                        <w:t xml:space="preserve">Figure </w:t>
                      </w:r>
                      <w:r>
                        <w:t>2</w:t>
                      </w:r>
                      <w:r w:rsidRPr="00023813">
                        <w:t>: Libby boxes hypothesis 1</w:t>
                      </w:r>
                    </w:p>
                  </w:txbxContent>
                </v:textbox>
              </v:shape>
            </w:pict>
          </mc:Fallback>
        </mc:AlternateContent>
      </w:r>
    </w:p>
    <w:p w14:paraId="09B309E9" w14:textId="77777777" w:rsidR="00DD3278" w:rsidRDefault="00DD3278">
      <w:pPr>
        <w:rPr>
          <w:rFonts w:asciiTheme="majorHAnsi" w:eastAsiaTheme="majorEastAsia" w:hAnsiTheme="majorHAnsi" w:cstheme="majorBidi"/>
          <w:b/>
          <w:bCs/>
          <w:color w:val="4F81BD" w:themeColor="accent1"/>
          <w:sz w:val="24"/>
          <w:lang w:val="en-GB"/>
        </w:rPr>
      </w:pPr>
      <w:r w:rsidRPr="0025157D">
        <w:rPr>
          <w:lang w:val="en-GB"/>
        </w:rPr>
        <w:br w:type="page"/>
      </w:r>
    </w:p>
    <w:p w14:paraId="73FB63C6" w14:textId="6B7F3221" w:rsidR="00692EA4" w:rsidRDefault="004B19FF" w:rsidP="00692EA4">
      <w:pPr>
        <w:pStyle w:val="Kop3"/>
      </w:pPr>
      <w:bookmarkStart w:id="31" w:name="_Toc439346637"/>
      <w:r>
        <w:lastRenderedPageBreak/>
        <w:t>3.2.2</w:t>
      </w:r>
      <w:r w:rsidR="00692EA4">
        <w:t xml:space="preserve"> Hypothesis 2</w:t>
      </w:r>
      <w:bookmarkEnd w:id="31"/>
    </w:p>
    <w:p w14:paraId="271D62AB" w14:textId="03D6C35F" w:rsidR="001E281C" w:rsidRDefault="00F17A84" w:rsidP="00692EA4">
      <w:pPr>
        <w:spacing w:line="360" w:lineRule="auto"/>
        <w:jc w:val="both"/>
        <w:rPr>
          <w:lang w:val="en-GB"/>
        </w:rPr>
      </w:pPr>
      <w:r>
        <w:rPr>
          <w:lang w:val="en-GB"/>
        </w:rPr>
        <w:t>Researchers fail to agree on the effectiveness of equity-based com</w:t>
      </w:r>
      <w:r w:rsidR="001E281C">
        <w:rPr>
          <w:lang w:val="en-GB"/>
        </w:rPr>
        <w:t xml:space="preserve">pensation at different levels. </w:t>
      </w:r>
      <w:r>
        <w:rPr>
          <w:lang w:val="en-GB"/>
        </w:rPr>
        <w:t xml:space="preserve">Some provide evidence that equity based compensation is ineffective at all </w:t>
      </w:r>
      <w:r>
        <w:rPr>
          <w:lang w:val="en-GB"/>
        </w:rPr>
        <w:fldChar w:fldCharType="begin"/>
      </w:r>
      <w:r>
        <w:rPr>
          <w:lang w:val="en-GB"/>
        </w:rPr>
        <w:instrText>ADDIN RW.CITE{{81 JenkinsJr,GDouglas 1998; 80 JenkinsJr,GDouglas 1986}}</w:instrText>
      </w:r>
      <w:r>
        <w:rPr>
          <w:lang w:val="en-GB"/>
        </w:rPr>
        <w:fldChar w:fldCharType="separate"/>
      </w:r>
      <w:r w:rsidRPr="00F17A84">
        <w:rPr>
          <w:rFonts w:ascii="Calibri" w:hAnsi="Calibri"/>
          <w:lang w:val="en-GB"/>
        </w:rPr>
        <w:t>(Jenkins Jr, 1986; Jenkins Jr et al., 1998)</w:t>
      </w:r>
      <w:r>
        <w:rPr>
          <w:lang w:val="en-GB"/>
        </w:rPr>
        <w:fldChar w:fldCharType="end"/>
      </w:r>
      <w:r>
        <w:rPr>
          <w:lang w:val="en-GB"/>
        </w:rPr>
        <w:t xml:space="preserve"> or has even contrary effects </w:t>
      </w:r>
      <w:r>
        <w:rPr>
          <w:lang w:val="en-GB"/>
        </w:rPr>
        <w:fldChar w:fldCharType="begin"/>
      </w:r>
      <w:r>
        <w:rPr>
          <w:lang w:val="en-GB"/>
        </w:rPr>
        <w:instrText>ADDIN RW.CITE{{82 Kohn,Alfie 1993}}</w:instrText>
      </w:r>
      <w:r>
        <w:rPr>
          <w:lang w:val="en-GB"/>
        </w:rPr>
        <w:fldChar w:fldCharType="separate"/>
      </w:r>
      <w:r w:rsidRPr="00F17A84">
        <w:rPr>
          <w:rFonts w:ascii="Calibri" w:hAnsi="Calibri"/>
          <w:lang w:val="en-GB"/>
        </w:rPr>
        <w:t>(Kohn, 1993)</w:t>
      </w:r>
      <w:r>
        <w:rPr>
          <w:lang w:val="en-GB"/>
        </w:rPr>
        <w:fldChar w:fldCharType="end"/>
      </w:r>
      <w:r>
        <w:rPr>
          <w:lang w:val="en-GB"/>
        </w:rPr>
        <w:t xml:space="preserve">, while others argue that equity-based compensation is effective up to a certain level </w:t>
      </w:r>
      <w:r>
        <w:rPr>
          <w:lang w:val="en-GB"/>
        </w:rPr>
        <w:fldChar w:fldCharType="begin"/>
      </w:r>
      <w:r>
        <w:rPr>
          <w:lang w:val="en-GB"/>
        </w:rPr>
        <w:instrText>ADDIN RW.CITE{{59 Sloan,RichardG 1993; 58 Paul,JonathanM 1992}}</w:instrText>
      </w:r>
      <w:r>
        <w:rPr>
          <w:lang w:val="en-GB"/>
        </w:rPr>
        <w:fldChar w:fldCharType="separate"/>
      </w:r>
      <w:r w:rsidRPr="00F17A84">
        <w:rPr>
          <w:rFonts w:ascii="Calibri" w:hAnsi="Calibri"/>
          <w:lang w:val="en-GB"/>
        </w:rPr>
        <w:t>(Paul, 1992; Sloan, 1993)</w:t>
      </w:r>
      <w:r>
        <w:rPr>
          <w:lang w:val="en-GB"/>
        </w:rPr>
        <w:fldChar w:fldCharType="end"/>
      </w:r>
      <w:r>
        <w:rPr>
          <w:lang w:val="en-GB"/>
        </w:rPr>
        <w:t>.</w:t>
      </w:r>
      <w:r w:rsidR="001E281C">
        <w:rPr>
          <w:lang w:val="en-GB"/>
        </w:rPr>
        <w:t xml:space="preserve"> The second hypothesis </w:t>
      </w:r>
      <w:r w:rsidR="004B19FF">
        <w:rPr>
          <w:lang w:val="en-GB"/>
        </w:rPr>
        <w:t xml:space="preserve">distinguishes the managerial and fiduciary duty and also </w:t>
      </w:r>
      <w:r w:rsidR="001E281C">
        <w:rPr>
          <w:lang w:val="en-GB"/>
        </w:rPr>
        <w:t xml:space="preserve">examines the effectiveness of the proportion of equity-based compensation of the total compensation. </w:t>
      </w:r>
      <w:r w:rsidR="00692EA4">
        <w:rPr>
          <w:lang w:val="en-GB"/>
        </w:rPr>
        <w:t>The following hypothes</w:t>
      </w:r>
      <w:r w:rsidR="0066541B">
        <w:rPr>
          <w:lang w:val="en-GB"/>
        </w:rPr>
        <w:t>e</w:t>
      </w:r>
      <w:r w:rsidR="00692EA4">
        <w:rPr>
          <w:lang w:val="en-GB"/>
        </w:rPr>
        <w:t xml:space="preserve">s </w:t>
      </w:r>
      <w:r w:rsidR="0066541B">
        <w:rPr>
          <w:lang w:val="en-GB"/>
        </w:rPr>
        <w:t>are</w:t>
      </w:r>
      <w:r w:rsidR="00692EA4">
        <w:rPr>
          <w:lang w:val="en-GB"/>
        </w:rPr>
        <w:t xml:space="preserve"> constructed to support the main research question:</w:t>
      </w:r>
    </w:p>
    <w:p w14:paraId="2B1612AF" w14:textId="0F0898BE" w:rsidR="00F17A84" w:rsidRDefault="001E281C" w:rsidP="00692EA4">
      <w:pPr>
        <w:spacing w:line="360" w:lineRule="auto"/>
        <w:jc w:val="both"/>
        <w:rPr>
          <w:i/>
          <w:lang w:val="en-GB"/>
        </w:rPr>
      </w:pPr>
      <w:r w:rsidRPr="001E281C">
        <w:rPr>
          <w:i/>
          <w:lang w:val="en-GB"/>
        </w:rPr>
        <w:t>H2</w:t>
      </w:r>
      <w:r w:rsidR="004B19FF">
        <w:rPr>
          <w:i/>
          <w:lang w:val="en-GB"/>
        </w:rPr>
        <w:t>a</w:t>
      </w:r>
      <w:r w:rsidRPr="001E281C">
        <w:rPr>
          <w:i/>
          <w:lang w:val="en-GB"/>
        </w:rPr>
        <w:t xml:space="preserve">: </w:t>
      </w:r>
      <w:r w:rsidR="00255AA8">
        <w:rPr>
          <w:i/>
          <w:lang w:val="en-GB"/>
        </w:rPr>
        <w:t xml:space="preserve">Equity compensation increases the CFO </w:t>
      </w:r>
      <w:r w:rsidR="004B19FF">
        <w:rPr>
          <w:i/>
          <w:lang w:val="en-GB"/>
        </w:rPr>
        <w:t>managerial</w:t>
      </w:r>
      <w:r w:rsidR="00255AA8">
        <w:rPr>
          <w:i/>
          <w:lang w:val="en-GB"/>
        </w:rPr>
        <w:t xml:space="preserve"> performance only until a certain level of in the proportion of equity-based comp</w:t>
      </w:r>
      <w:r w:rsidR="004B19FF">
        <w:rPr>
          <w:i/>
          <w:lang w:val="en-GB"/>
        </w:rPr>
        <w:t>ensation to total compensation</w:t>
      </w:r>
    </w:p>
    <w:p w14:paraId="5C305C20" w14:textId="11FF1694" w:rsidR="004B19FF" w:rsidRPr="001E281C" w:rsidRDefault="004B19FF" w:rsidP="00692EA4">
      <w:pPr>
        <w:spacing w:line="360" w:lineRule="auto"/>
        <w:jc w:val="both"/>
        <w:rPr>
          <w:i/>
          <w:lang w:val="en-GB"/>
        </w:rPr>
      </w:pPr>
      <w:r w:rsidRPr="001E281C">
        <w:rPr>
          <w:i/>
          <w:lang w:val="en-GB"/>
        </w:rPr>
        <w:t>H2</w:t>
      </w:r>
      <w:r>
        <w:rPr>
          <w:i/>
          <w:lang w:val="en-GB"/>
        </w:rPr>
        <w:t>b</w:t>
      </w:r>
      <w:r w:rsidRPr="001E281C">
        <w:rPr>
          <w:i/>
          <w:lang w:val="en-GB"/>
        </w:rPr>
        <w:t xml:space="preserve">: </w:t>
      </w:r>
      <w:r>
        <w:rPr>
          <w:i/>
          <w:lang w:val="en-GB"/>
        </w:rPr>
        <w:t>Equity compensation increases the CFO fiduciary performance only until a certain level of in the proportion of equity-based compensation to total compensation</w:t>
      </w:r>
    </w:p>
    <w:p w14:paraId="53E187BC" w14:textId="5988BE57" w:rsidR="002654B6" w:rsidRDefault="002654B6" w:rsidP="004B19FF">
      <w:pPr>
        <w:pStyle w:val="Kop4"/>
      </w:pPr>
      <w:bookmarkStart w:id="32" w:name="_Toc439346638"/>
      <w:r>
        <w:t>3.2.</w:t>
      </w:r>
      <w:r w:rsidR="004B19FF">
        <w:t>2.1</w:t>
      </w:r>
      <w:r>
        <w:t xml:space="preserve"> Libby boxes</w:t>
      </w:r>
      <w:bookmarkEnd w:id="32"/>
      <w:r>
        <w:t xml:space="preserve"> </w:t>
      </w:r>
    </w:p>
    <w:p w14:paraId="42E9C165" w14:textId="15C055D5" w:rsidR="004B19FF" w:rsidRDefault="00023813" w:rsidP="004B19FF">
      <w:pPr>
        <w:spacing w:line="360" w:lineRule="auto"/>
        <w:jc w:val="both"/>
        <w:rPr>
          <w:lang w:val="en-GB"/>
        </w:rPr>
      </w:pPr>
      <w:r>
        <w:rPr>
          <w:noProof/>
          <w:lang w:val="en-GB" w:eastAsia="en-GB"/>
        </w:rPr>
        <mc:AlternateContent>
          <mc:Choice Requires="wpg">
            <w:drawing>
              <wp:anchor distT="0" distB="0" distL="114300" distR="114300" simplePos="0" relativeHeight="251765760" behindDoc="0" locked="0" layoutInCell="1" allowOverlap="1" wp14:anchorId="1B736913" wp14:editId="79556F1F">
                <wp:simplePos x="0" y="0"/>
                <wp:positionH relativeFrom="column">
                  <wp:posOffset>-166370</wp:posOffset>
                </wp:positionH>
                <wp:positionV relativeFrom="paragraph">
                  <wp:posOffset>710565</wp:posOffset>
                </wp:positionV>
                <wp:extent cx="6240145" cy="3317240"/>
                <wp:effectExtent l="0" t="0" r="27305" b="16510"/>
                <wp:wrapTopAndBottom/>
                <wp:docPr id="84" name="Groep 84"/>
                <wp:cNvGraphicFramePr/>
                <a:graphic xmlns:a="http://schemas.openxmlformats.org/drawingml/2006/main">
                  <a:graphicData uri="http://schemas.microsoft.com/office/word/2010/wordprocessingGroup">
                    <wpg:wgp>
                      <wpg:cNvGrpSpPr/>
                      <wpg:grpSpPr>
                        <a:xfrm>
                          <a:off x="0" y="0"/>
                          <a:ext cx="6240145" cy="3317240"/>
                          <a:chOff x="594374" y="627326"/>
                          <a:chExt cx="6242954" cy="3317961"/>
                        </a:xfrm>
                      </wpg:grpSpPr>
                      <wpg:grpSp>
                        <wpg:cNvPr id="85" name="Groep 85"/>
                        <wpg:cNvGrpSpPr/>
                        <wpg:grpSpPr>
                          <a:xfrm>
                            <a:off x="594374" y="1409701"/>
                            <a:ext cx="6242953" cy="1774957"/>
                            <a:chOff x="584845" y="1"/>
                            <a:chExt cx="6242960" cy="1776099"/>
                          </a:xfrm>
                        </wpg:grpSpPr>
                        <wpg:grpSp>
                          <wpg:cNvPr id="86" name="Groep 86"/>
                          <wpg:cNvGrpSpPr/>
                          <wpg:grpSpPr>
                            <a:xfrm>
                              <a:off x="584847" y="1"/>
                              <a:ext cx="6242957" cy="699408"/>
                              <a:chOff x="1974474" y="180752"/>
                              <a:chExt cx="3221988" cy="535648"/>
                            </a:xfrm>
                          </wpg:grpSpPr>
                          <wps:wsp>
                            <wps:cNvPr id="87" name="Tekstvak 87"/>
                            <wps:cNvSpPr txBox="1"/>
                            <wps:spPr>
                              <a:xfrm>
                                <a:off x="1974474" y="181934"/>
                                <a:ext cx="1433093" cy="534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C34C6" w14:textId="6B31C441" w:rsidR="00A726AB" w:rsidRPr="00C82614" w:rsidRDefault="00A726AB" w:rsidP="004B19FF">
                                  <w:pPr>
                                    <w:pStyle w:val="Geenafstand"/>
                                    <w:rPr>
                                      <w:lang w:val="en-GB"/>
                                    </w:rPr>
                                  </w:pPr>
                                  <w:r>
                                    <w:rPr>
                                      <w:u w:val="single"/>
                                      <w:lang w:val="en-GB"/>
                                    </w:rPr>
                                    <w:t xml:space="preserve">Conceptual X </w:t>
                                  </w:r>
                                </w:p>
                                <w:p w14:paraId="5A814354" w14:textId="4DDBDA55" w:rsidR="00A726AB" w:rsidRPr="00D6413D" w:rsidRDefault="00A726AB" w:rsidP="004B19FF">
                                  <w:pPr>
                                    <w:pStyle w:val="Geenafstand"/>
                                    <w:rPr>
                                      <w:lang w:val="en-GB"/>
                                    </w:rPr>
                                  </w:pPr>
                                  <w:r>
                                    <w:rPr>
                                      <w:lang w:val="en-GB"/>
                                    </w:rPr>
                                    <w:t>- Proportion CFO equity-based compensation</w:t>
                                  </w:r>
                                </w:p>
                                <w:p w14:paraId="2C00DE95" w14:textId="77777777" w:rsidR="00A726AB" w:rsidRPr="007C52B7" w:rsidRDefault="00A726AB" w:rsidP="004B19FF">
                                  <w:pPr>
                                    <w:pStyle w:val="Geenafstand"/>
                                    <w:rPr>
                                      <w:lang w:val="en-GB"/>
                                    </w:rPr>
                                  </w:pPr>
                                </w:p>
                                <w:p w14:paraId="3867D7A4" w14:textId="77777777" w:rsidR="00A726AB" w:rsidRPr="005F6677" w:rsidRDefault="00A726AB" w:rsidP="004B19F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kstvak 88"/>
                            <wps:cNvSpPr txBox="1"/>
                            <wps:spPr>
                              <a:xfrm>
                                <a:off x="3791365" y="180752"/>
                                <a:ext cx="1405097" cy="534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87C6F" w14:textId="24C66C34" w:rsidR="00A726AB" w:rsidRDefault="00A726AB" w:rsidP="004B19FF">
                                  <w:pPr>
                                    <w:pStyle w:val="Geenafstand"/>
                                    <w:rPr>
                                      <w:u w:val="single"/>
                                      <w:lang w:val="en-GB"/>
                                    </w:rPr>
                                  </w:pPr>
                                  <w:r>
                                    <w:rPr>
                                      <w:u w:val="single"/>
                                      <w:lang w:val="en-GB"/>
                                    </w:rPr>
                                    <w:t xml:space="preserve">Conceptual Y </w:t>
                                  </w:r>
                                </w:p>
                                <w:p w14:paraId="605A573C" w14:textId="05969DB4" w:rsidR="00A726AB" w:rsidRDefault="00A726AB" w:rsidP="004B19FF">
                                  <w:pPr>
                                    <w:pStyle w:val="Geenafstand"/>
                                    <w:rPr>
                                      <w:lang w:val="en-GB"/>
                                    </w:rPr>
                                  </w:pPr>
                                  <w:r>
                                    <w:rPr>
                                      <w:lang w:val="en-GB"/>
                                    </w:rPr>
                                    <w:t>- CFO managerial performance (H2a)</w:t>
                                  </w:r>
                                </w:p>
                                <w:p w14:paraId="04D17963" w14:textId="153E4353" w:rsidR="00A726AB" w:rsidRDefault="00A726AB" w:rsidP="004B19FF">
                                  <w:pPr>
                                    <w:pStyle w:val="Geenafstand"/>
                                    <w:rPr>
                                      <w:lang w:val="en-GB"/>
                                    </w:rPr>
                                  </w:pPr>
                                  <w:r>
                                    <w:rPr>
                                      <w:lang w:val="en-GB"/>
                                    </w:rPr>
                                    <w:t>- CFO fiduciary performance (H2b)</w:t>
                                  </w:r>
                                </w:p>
                                <w:p w14:paraId="732A743F" w14:textId="77777777" w:rsidR="00A726AB" w:rsidRDefault="00A726AB" w:rsidP="004B19FF">
                                  <w:pPr>
                                    <w:pStyle w:val="Geenafstand"/>
                                    <w:rPr>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Rechte verbindingslijn met pijl 89"/>
                            <wps:cNvCnPr>
                              <a:stCxn id="87" idx="3"/>
                              <a:endCxn id="88" idx="1"/>
                            </wps:cNvCnPr>
                            <wps:spPr>
                              <a:xfrm flipV="1">
                                <a:off x="3407567" y="447985"/>
                                <a:ext cx="383798" cy="118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90" name="Groep 90"/>
                          <wpg:cNvGrpSpPr/>
                          <wpg:grpSpPr>
                            <a:xfrm>
                              <a:off x="584845" y="971517"/>
                              <a:ext cx="6242960" cy="804583"/>
                              <a:chOff x="1967601" y="328925"/>
                              <a:chExt cx="3436865" cy="700490"/>
                            </a:xfrm>
                          </wpg:grpSpPr>
                          <wps:wsp>
                            <wps:cNvPr id="91" name="Tekstvak 91"/>
                            <wps:cNvSpPr txBox="1"/>
                            <wps:spPr>
                              <a:xfrm>
                                <a:off x="1967601" y="328925"/>
                                <a:ext cx="1528667" cy="700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BA9850" w14:textId="27C50E93" w:rsidR="00A726AB" w:rsidRPr="00C82614" w:rsidRDefault="00A726AB" w:rsidP="004B19FF">
                                  <w:pPr>
                                    <w:pStyle w:val="Geenafstand"/>
                                    <w:rPr>
                                      <w:u w:val="single"/>
                                      <w:lang w:val="en-GB"/>
                                    </w:rPr>
                                  </w:pPr>
                                  <w:r>
                                    <w:rPr>
                                      <w:u w:val="single"/>
                                      <w:lang w:val="en-GB"/>
                                    </w:rPr>
                                    <w:t xml:space="preserve">Operational X </w:t>
                                  </w:r>
                                </w:p>
                                <w:p w14:paraId="1771FF9E" w14:textId="467BEB04" w:rsidR="00A726AB" w:rsidRDefault="00A726AB" w:rsidP="004B19FF">
                                  <w:pPr>
                                    <w:pStyle w:val="Geenafstand"/>
                                    <w:rPr>
                                      <w:lang w:val="en-GB"/>
                                    </w:rPr>
                                  </w:pPr>
                                  <w:r w:rsidRPr="00C82614">
                                    <w:rPr>
                                      <w:lang w:val="en-GB"/>
                                    </w:rPr>
                                    <w:t xml:space="preserve">- </w:t>
                                  </w:r>
                                  <w:r>
                                    <w:rPr>
                                      <w:lang w:val="en-GB"/>
                                    </w:rPr>
                                    <w:t>Proportion equity-based compensation of total compensation</w:t>
                                  </w:r>
                                </w:p>
                                <w:p w14:paraId="0B681FFA" w14:textId="77777777" w:rsidR="00A726AB" w:rsidRPr="00D6413D" w:rsidRDefault="00A726AB" w:rsidP="004B19FF">
                                  <w:pPr>
                                    <w:pStyle w:val="Geenafstand"/>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kstvak 92"/>
                            <wps:cNvSpPr txBox="1"/>
                            <wps:spPr>
                              <a:xfrm>
                                <a:off x="3905664" y="332614"/>
                                <a:ext cx="1498802" cy="6968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F698D" w14:textId="54C2022E" w:rsidR="00A726AB" w:rsidRDefault="00A726AB" w:rsidP="004B19FF">
                                  <w:pPr>
                                    <w:pStyle w:val="Geenafstand"/>
                                    <w:rPr>
                                      <w:u w:val="single"/>
                                      <w:lang w:val="en-GB"/>
                                    </w:rPr>
                                  </w:pPr>
                                  <w:r>
                                    <w:rPr>
                                      <w:u w:val="single"/>
                                      <w:lang w:val="en-GB"/>
                                    </w:rPr>
                                    <w:t>Operational</w:t>
                                  </w:r>
                                  <w:r w:rsidRPr="00C82614">
                                    <w:rPr>
                                      <w:u w:val="single"/>
                                      <w:lang w:val="en-GB"/>
                                    </w:rPr>
                                    <w:t xml:space="preserve"> </w:t>
                                  </w:r>
                                  <w:r>
                                    <w:rPr>
                                      <w:u w:val="single"/>
                                      <w:lang w:val="en-GB"/>
                                    </w:rPr>
                                    <w:t xml:space="preserve">Y </w:t>
                                  </w:r>
                                </w:p>
                                <w:p w14:paraId="62A114BF" w14:textId="1AF3D2E5" w:rsidR="00A726AB" w:rsidRDefault="00A726AB" w:rsidP="004B19FF">
                                  <w:pPr>
                                    <w:pStyle w:val="Geenafstand"/>
                                    <w:rPr>
                                      <w:lang w:val="en-GB"/>
                                    </w:rPr>
                                  </w:pPr>
                                  <w:r>
                                    <w:rPr>
                                      <w:lang w:val="en-GB"/>
                                    </w:rPr>
                                    <w:t>- Firm financial performance (H2a)</w:t>
                                  </w:r>
                                </w:p>
                                <w:p w14:paraId="58A5CB03" w14:textId="4B6E70B0" w:rsidR="00A726AB" w:rsidRDefault="00A726AB" w:rsidP="004B19FF">
                                  <w:pPr>
                                    <w:pStyle w:val="Geenafstand"/>
                                    <w:rPr>
                                      <w:lang w:val="en-GB"/>
                                    </w:rPr>
                                  </w:pPr>
                                  <w:r>
                                    <w:rPr>
                                      <w:lang w:val="en-GB"/>
                                    </w:rPr>
                                    <w:t>- Disclosure of ICMW (H2b)</w:t>
                                  </w:r>
                                </w:p>
                                <w:p w14:paraId="6B6A13F2" w14:textId="461C82CE" w:rsidR="00A726AB" w:rsidRPr="007C52B7" w:rsidRDefault="00A726AB" w:rsidP="004B19FF">
                                  <w:pPr>
                                    <w:pStyle w:val="Geenafstand"/>
                                    <w:rPr>
                                      <w:lang w:val="en-GB"/>
                                    </w:rPr>
                                  </w:pPr>
                                  <w:r>
                                    <w:rPr>
                                      <w:lang w:val="en-GB"/>
                                    </w:rPr>
                                    <w:t>- Restatement (H2b)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Rechte verbindingslijn met pijl 93"/>
                            <wps:cNvCnPr>
                              <a:stCxn id="91" idx="3"/>
                              <a:endCxn id="92" idx="1"/>
                            </wps:cNvCnPr>
                            <wps:spPr>
                              <a:xfrm>
                                <a:off x="3496268" y="679170"/>
                                <a:ext cx="409396" cy="184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s:wsp>
                        <wps:cNvPr id="94" name="Tekstvak 94"/>
                        <wps:cNvSpPr txBox="1"/>
                        <wps:spPr>
                          <a:xfrm>
                            <a:off x="4781550" y="627326"/>
                            <a:ext cx="2055778" cy="534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C0D4B" w14:textId="70205E16" w:rsidR="00A726AB" w:rsidRDefault="00A726AB" w:rsidP="004B19FF">
                              <w:pPr>
                                <w:pStyle w:val="Geenafstand"/>
                                <w:rPr>
                                  <w:u w:val="single"/>
                                  <w:lang w:val="en-GB"/>
                                </w:rPr>
                              </w:pPr>
                              <w:r>
                                <w:rPr>
                                  <w:u w:val="single"/>
                                  <w:lang w:val="en-GB"/>
                                </w:rPr>
                                <w:t>Conceptual Z</w:t>
                              </w:r>
                            </w:p>
                            <w:p w14:paraId="7F1A0F87" w14:textId="5EDCD44C" w:rsidR="00A726AB" w:rsidRPr="00870C9B" w:rsidRDefault="00A726AB" w:rsidP="004B19FF">
                              <w:pPr>
                                <w:pStyle w:val="Geenafstand"/>
                                <w:rPr>
                                  <w:lang w:val="en-GB"/>
                                </w:rPr>
                              </w:pPr>
                              <w:r>
                                <w:rPr>
                                  <w:lang w:val="en-GB"/>
                                </w:rPr>
                                <w:t xml:space="preserve">- Size of firm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kstvak 95"/>
                        <wps:cNvSpPr txBox="1"/>
                        <wps:spPr>
                          <a:xfrm>
                            <a:off x="4781550" y="3429000"/>
                            <a:ext cx="2055778" cy="516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2BA89" w14:textId="31DA88F6" w:rsidR="00A726AB" w:rsidRDefault="00A726AB" w:rsidP="004B19FF">
                              <w:pPr>
                                <w:pStyle w:val="Geenafstand"/>
                                <w:rPr>
                                  <w:u w:val="single"/>
                                  <w:lang w:val="en-GB"/>
                                </w:rPr>
                              </w:pPr>
                              <w:r>
                                <w:rPr>
                                  <w:u w:val="single"/>
                                  <w:lang w:val="en-GB"/>
                                </w:rPr>
                                <w:t>Operational Z</w:t>
                              </w:r>
                            </w:p>
                            <w:p w14:paraId="6F561D39" w14:textId="6691FE23" w:rsidR="00A726AB" w:rsidRDefault="00A726AB" w:rsidP="004B19FF">
                              <w:pPr>
                                <w:pStyle w:val="Geenafstand"/>
                                <w:rPr>
                                  <w:lang w:val="en-GB"/>
                                </w:rPr>
                              </w:pPr>
                              <w:r>
                                <w:rPr>
                                  <w:lang w:val="en-GB"/>
                                </w:rPr>
                                <w:t>- Revenue</w:t>
                              </w:r>
                            </w:p>
                            <w:p w14:paraId="55AC0286" w14:textId="77777777" w:rsidR="00A726AB" w:rsidRDefault="00A726AB" w:rsidP="004B19FF">
                              <w:pPr>
                                <w:pStyle w:val="Geenafstand"/>
                                <w:rPr>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Rechte verbindingslijn met pijl 96"/>
                        <wps:cNvCnPr/>
                        <wps:spPr>
                          <a:xfrm>
                            <a:off x="5962650" y="1162050"/>
                            <a:ext cx="0" cy="2438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7" name="Rechte verbindingslijn met pijl 97"/>
                        <wps:cNvCnPr/>
                        <wps:spPr>
                          <a:xfrm flipV="1">
                            <a:off x="5962650" y="3190875"/>
                            <a:ext cx="0" cy="23812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84" o:spid="_x0000_s1082" style="position:absolute;left:0;text-align:left;margin-left:-13.1pt;margin-top:55.95pt;width:491.35pt;height:261.2pt;z-index:251765760;mso-width-relative:margin;mso-height-relative:margin" coordorigin="5943,6273" coordsize="62429,3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">
                <v:group id="Groep 85" o:spid="_x0000_s1083" style="position:absolute;left:5943;top:14097;width:62430;height:17749" coordorigin="5848" coordsize="62429,17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ep 86" o:spid="_x0000_s1084" style="position:absolute;left:5848;width:62430;height:6994" coordorigin="19744,1807" coordsize="32219,5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kstvak 87" o:spid="_x0000_s1085" type="#_x0000_t202" style="position:absolute;left:19744;top:1819;width:14331;height:5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kcIA&#10;AADbAAAADwAAAGRycy9kb3ducmV2LnhtbESPQWsCMRSE74X+h/AKvdVse6jrahRbbCl4qornx+aZ&#10;BDcvS5Ku23/fCEKPw8x8wyxWo+/EQDG5wAqeJxUI4jZox0bBYf/xVINIGVljF5gU/FKC1fL+boGN&#10;Dhf+pmGXjSgQTg0qsDn3jZSpteQxTUJPXLxTiB5zkdFIHfFS4L6TL1X1Kj06LgsWe3q31J53P17B&#10;5s3MTFtjtJtaOzeMx9PWfCr1+DCu5yAyjfk/fGt/aQX1FK5fy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GaRwgAAANsAAAAPAAAAAAAAAAAAAAAAAJgCAABkcnMvZG93&#10;bnJldi54bWxQSwUGAAAAAAQABAD1AAAAhwMAAAAA&#10;" fillcolor="white [3201]" strokeweight=".5pt">
                      <v:textbox>
                        <w:txbxContent>
                          <w:p w14:paraId="04FC34C6" w14:textId="6B31C441" w:rsidR="00A726AB" w:rsidRPr="00C82614" w:rsidRDefault="00A726AB" w:rsidP="004B19FF">
                            <w:pPr>
                              <w:pStyle w:val="Geenafstand"/>
                              <w:rPr>
                                <w:lang w:val="en-GB"/>
                              </w:rPr>
                            </w:pPr>
                            <w:r>
                              <w:rPr>
                                <w:u w:val="single"/>
                                <w:lang w:val="en-GB"/>
                              </w:rPr>
                              <w:t xml:space="preserve">Conceptual X </w:t>
                            </w:r>
                          </w:p>
                          <w:p w14:paraId="5A814354" w14:textId="4DDBDA55" w:rsidR="00A726AB" w:rsidRPr="00D6413D" w:rsidRDefault="00A726AB" w:rsidP="004B19FF">
                            <w:pPr>
                              <w:pStyle w:val="Geenafstand"/>
                              <w:rPr>
                                <w:lang w:val="en-GB"/>
                              </w:rPr>
                            </w:pPr>
                            <w:r>
                              <w:rPr>
                                <w:lang w:val="en-GB"/>
                              </w:rPr>
                              <w:t>- Proportion CFO equity-based compensation</w:t>
                            </w:r>
                          </w:p>
                          <w:p w14:paraId="2C00DE95" w14:textId="77777777" w:rsidR="00A726AB" w:rsidRPr="007C52B7" w:rsidRDefault="00A726AB" w:rsidP="004B19FF">
                            <w:pPr>
                              <w:pStyle w:val="Geenafstand"/>
                              <w:rPr>
                                <w:lang w:val="en-GB"/>
                              </w:rPr>
                            </w:pPr>
                          </w:p>
                          <w:p w14:paraId="3867D7A4" w14:textId="77777777" w:rsidR="00A726AB" w:rsidRPr="005F6677" w:rsidRDefault="00A726AB" w:rsidP="004B19FF">
                            <w:pPr>
                              <w:rPr>
                                <w:lang w:val="en-GB"/>
                              </w:rPr>
                            </w:pPr>
                          </w:p>
                        </w:txbxContent>
                      </v:textbox>
                    </v:shape>
                    <v:shape id="Tekstvak 88" o:spid="_x0000_s1086" type="#_x0000_t202" style="position:absolute;left:37913;top:1807;width:14051;height:5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y474A&#10;AADbAAAADwAAAGRycy9kb3ducmV2LnhtbERPTWsCMRC9F/ofwgjeatYeZLsaRYsthZ6q4nnYjElw&#10;M1mSdF3/vTkUeny879Vm9J0YKCYXWMF8VoEgboN2bBScjh8vNYiUkTV2gUnBnRJs1s9PK2x0uPEP&#10;DYdsRAnh1KACm3PfSJlaSx7TLPTEhbuE6DEXGI3UEW8l3HfytaoW0qPj0mCxp3dL7fXw6xXsd+bN&#10;tDVGu6+1c8N4vnybT6Wmk3G7BJFpzP/iP/eXVlCXs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r8uO+AAAA2wAAAA8AAAAAAAAAAAAAAAAAmAIAAGRycy9kb3ducmV2&#10;LnhtbFBLBQYAAAAABAAEAPUAAACDAwAAAAA=&#10;" fillcolor="white [3201]" strokeweight=".5pt">
                      <v:textbox>
                        <w:txbxContent>
                          <w:p w14:paraId="02C87C6F" w14:textId="24C66C34" w:rsidR="00A726AB" w:rsidRDefault="00A726AB" w:rsidP="004B19FF">
                            <w:pPr>
                              <w:pStyle w:val="Geenafstand"/>
                              <w:rPr>
                                <w:u w:val="single"/>
                                <w:lang w:val="en-GB"/>
                              </w:rPr>
                            </w:pPr>
                            <w:r>
                              <w:rPr>
                                <w:u w:val="single"/>
                                <w:lang w:val="en-GB"/>
                              </w:rPr>
                              <w:t xml:space="preserve">Conceptual Y </w:t>
                            </w:r>
                          </w:p>
                          <w:p w14:paraId="605A573C" w14:textId="05969DB4" w:rsidR="00A726AB" w:rsidRDefault="00A726AB" w:rsidP="004B19FF">
                            <w:pPr>
                              <w:pStyle w:val="Geenafstand"/>
                              <w:rPr>
                                <w:lang w:val="en-GB"/>
                              </w:rPr>
                            </w:pPr>
                            <w:r>
                              <w:rPr>
                                <w:lang w:val="en-GB"/>
                              </w:rPr>
                              <w:t>- CFO managerial performance (H2a)</w:t>
                            </w:r>
                          </w:p>
                          <w:p w14:paraId="04D17963" w14:textId="153E4353" w:rsidR="00A726AB" w:rsidRDefault="00A726AB" w:rsidP="004B19FF">
                            <w:pPr>
                              <w:pStyle w:val="Geenafstand"/>
                              <w:rPr>
                                <w:lang w:val="en-GB"/>
                              </w:rPr>
                            </w:pPr>
                            <w:r>
                              <w:rPr>
                                <w:lang w:val="en-GB"/>
                              </w:rPr>
                              <w:t>- CFO fiduciary performance (H2b)</w:t>
                            </w:r>
                          </w:p>
                          <w:p w14:paraId="732A743F" w14:textId="77777777" w:rsidR="00A726AB" w:rsidRDefault="00A726AB" w:rsidP="004B19FF">
                            <w:pPr>
                              <w:pStyle w:val="Geenafstand"/>
                              <w:rPr>
                                <w:u w:val="single"/>
                                <w:lang w:val="en-GB"/>
                              </w:rPr>
                            </w:pPr>
                          </w:p>
                        </w:txbxContent>
                      </v:textbox>
                    </v:shape>
                    <v:shape id="Rechte verbindingslijn met pijl 89" o:spid="_x0000_s1087" type="#_x0000_t32" style="position:absolute;left:34075;top:4479;width:3838;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W0UcQAAADbAAAADwAAAGRycy9kb3ducmV2LnhtbESPQWvCQBSE74X+h+UJvdWNPYSYukoR&#10;hGIPYiLo8ZF9Jmmzb0N2a9Z/7wqCx2FmvmEWq2A6caHBtZYVzKYJCOLK6pZrBYdy856BcB5ZY2eZ&#10;FFzJwWr5+rLAXNuR93QpfC0ihF2OChrv+1xKVzVk0E1tTxy9sx0M+iiHWuoBxwg3nfxIklQabDku&#10;NNjTuqHqr/g3CrbH33MpD21AU4R0+5Nsdt1pptTbJHx9gvAU/DP8aH9rBdkc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bRRxAAAANsAAAAPAAAAAAAAAAAA&#10;AAAAAKECAABkcnMvZG93bnJldi54bWxQSwUGAAAAAAQABAD5AAAAkgMAAAAA&#10;" strokecolor="black [3040]">
                      <v:stroke endarrow="block"/>
                    </v:shape>
                  </v:group>
                  <v:group id="Groep 90" o:spid="_x0000_s1088" style="position:absolute;left:5848;top:9715;width:62430;height:8046" coordorigin="19676,3289" coordsize="34368,7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kstvak 91" o:spid="_x0000_s1089" type="#_x0000_t202" style="position:absolute;left:19676;top:3289;width:15286;height:7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No8IA&#10;AADbAAAADwAAAGRycy9kb3ducmV2LnhtbESPT2sCMRTE74V+h/AKvdWsHsq6NYotthQ8+YeeH5tn&#10;Ety8LElct9++KQgeh5n5DbNYjb4TA8XkAiuYTioQxG3Qjo2C4+HzpQaRMrLGLjAp+KUEq+XjwwIb&#10;Ha68o2GfjSgQTg0qsDn3jZSpteQxTUJPXLxTiB5zkdFIHfFa4L6Ts6p6lR4dlwWLPX1Yas/7i1ew&#10;eTdz09YY7abWzg3jz2lrvpR6fhrXbyAyjfkevrW/tYL5FP6/l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2jwgAAANsAAAAPAAAAAAAAAAAAAAAAAJgCAABkcnMvZG93&#10;bnJldi54bWxQSwUGAAAAAAQABAD1AAAAhwMAAAAA&#10;" fillcolor="white [3201]" strokeweight=".5pt">
                      <v:textbox>
                        <w:txbxContent>
                          <w:p w14:paraId="3EBA9850" w14:textId="27C50E93" w:rsidR="00A726AB" w:rsidRPr="00C82614" w:rsidRDefault="00A726AB" w:rsidP="004B19FF">
                            <w:pPr>
                              <w:pStyle w:val="Geenafstand"/>
                              <w:rPr>
                                <w:u w:val="single"/>
                                <w:lang w:val="en-GB"/>
                              </w:rPr>
                            </w:pPr>
                            <w:r>
                              <w:rPr>
                                <w:u w:val="single"/>
                                <w:lang w:val="en-GB"/>
                              </w:rPr>
                              <w:t xml:space="preserve">Operational X </w:t>
                            </w:r>
                          </w:p>
                          <w:p w14:paraId="1771FF9E" w14:textId="467BEB04" w:rsidR="00A726AB" w:rsidRDefault="00A726AB" w:rsidP="004B19FF">
                            <w:pPr>
                              <w:pStyle w:val="Geenafstand"/>
                              <w:rPr>
                                <w:lang w:val="en-GB"/>
                              </w:rPr>
                            </w:pPr>
                            <w:r w:rsidRPr="00C82614">
                              <w:rPr>
                                <w:lang w:val="en-GB"/>
                              </w:rPr>
                              <w:t xml:space="preserve">- </w:t>
                            </w:r>
                            <w:r>
                              <w:rPr>
                                <w:lang w:val="en-GB"/>
                              </w:rPr>
                              <w:t>Proportion equity-based compensation of total compensation</w:t>
                            </w:r>
                          </w:p>
                          <w:p w14:paraId="0B681FFA" w14:textId="77777777" w:rsidR="00A726AB" w:rsidRPr="00D6413D" w:rsidRDefault="00A726AB" w:rsidP="004B19FF">
                            <w:pPr>
                              <w:pStyle w:val="Geenafstand"/>
                              <w:rPr>
                                <w:lang w:val="en-GB"/>
                              </w:rPr>
                            </w:pPr>
                          </w:p>
                        </w:txbxContent>
                      </v:textbox>
                    </v:shape>
                    <v:shape id="Tekstvak 92" o:spid="_x0000_s1090" type="#_x0000_t202" style="position:absolute;left:39056;top:3326;width:14988;height:6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14:paraId="349F698D" w14:textId="54C2022E" w:rsidR="00A726AB" w:rsidRDefault="00A726AB" w:rsidP="004B19FF">
                            <w:pPr>
                              <w:pStyle w:val="Geenafstand"/>
                              <w:rPr>
                                <w:u w:val="single"/>
                                <w:lang w:val="en-GB"/>
                              </w:rPr>
                            </w:pPr>
                            <w:r>
                              <w:rPr>
                                <w:u w:val="single"/>
                                <w:lang w:val="en-GB"/>
                              </w:rPr>
                              <w:t>Operational</w:t>
                            </w:r>
                            <w:r w:rsidRPr="00C82614">
                              <w:rPr>
                                <w:u w:val="single"/>
                                <w:lang w:val="en-GB"/>
                              </w:rPr>
                              <w:t xml:space="preserve"> </w:t>
                            </w:r>
                            <w:r>
                              <w:rPr>
                                <w:u w:val="single"/>
                                <w:lang w:val="en-GB"/>
                              </w:rPr>
                              <w:t xml:space="preserve">Y </w:t>
                            </w:r>
                          </w:p>
                          <w:p w14:paraId="62A114BF" w14:textId="1AF3D2E5" w:rsidR="00A726AB" w:rsidRDefault="00A726AB" w:rsidP="004B19FF">
                            <w:pPr>
                              <w:pStyle w:val="Geenafstand"/>
                              <w:rPr>
                                <w:lang w:val="en-GB"/>
                              </w:rPr>
                            </w:pPr>
                            <w:r>
                              <w:rPr>
                                <w:lang w:val="en-GB"/>
                              </w:rPr>
                              <w:t>- Firm financial performance (H2a)</w:t>
                            </w:r>
                          </w:p>
                          <w:p w14:paraId="58A5CB03" w14:textId="4B6E70B0" w:rsidR="00A726AB" w:rsidRDefault="00A726AB" w:rsidP="004B19FF">
                            <w:pPr>
                              <w:pStyle w:val="Geenafstand"/>
                              <w:rPr>
                                <w:lang w:val="en-GB"/>
                              </w:rPr>
                            </w:pPr>
                            <w:r>
                              <w:rPr>
                                <w:lang w:val="en-GB"/>
                              </w:rPr>
                              <w:t>- Disclosure of ICMW (H2b)</w:t>
                            </w:r>
                          </w:p>
                          <w:p w14:paraId="6B6A13F2" w14:textId="461C82CE" w:rsidR="00A726AB" w:rsidRPr="007C52B7" w:rsidRDefault="00A726AB" w:rsidP="004B19FF">
                            <w:pPr>
                              <w:pStyle w:val="Geenafstand"/>
                              <w:rPr>
                                <w:lang w:val="en-GB"/>
                              </w:rPr>
                            </w:pPr>
                            <w:r>
                              <w:rPr>
                                <w:lang w:val="en-GB"/>
                              </w:rPr>
                              <w:t>- Restatement (H2b)</w:t>
                            </w:r>
                          </w:p>
                        </w:txbxContent>
                      </v:textbox>
                    </v:shape>
                    <v:shape id="Rechte verbindingslijn met pijl 93" o:spid="_x0000_s1091" type="#_x0000_t32" style="position:absolute;left:34962;top:6791;width:4094;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MC8EAAADbAAAADwAAAGRycy9kb3ducmV2LnhtbESP3WoCMRSE7wu+QzhCb4pmbUV0NYoI&#10;he2lPw9w2Bw3i5uTJcn+9O2bguDlMDPfMLvDaBvRkw+1YwWLeQaCuHS65krB7fo9W4MIEVlj45gU&#10;/FKAw37ytsNcu4HP1F9iJRKEQ44KTIxtLmUoDVkMc9cSJ+/uvMWYpK+k9jgkuG3kZ5atpMWa04LB&#10;lk6Gyselswpcz+Zn+WHjQ3bl9YhdcRp8odT7dDxuQUQa4yv8bBdaweYL/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cwLwQAAANsAAAAPAAAAAAAAAAAAAAAA&#10;AKECAABkcnMvZG93bnJldi54bWxQSwUGAAAAAAQABAD5AAAAjwMAAAAA&#10;" strokecolor="black [3040]">
                      <v:stroke endarrow="block"/>
                    </v:shape>
                  </v:group>
                </v:group>
                <v:shape id="Tekstvak 94" o:spid="_x0000_s1092" type="#_x0000_t202" style="position:absolute;left:47815;top:6273;width:20558;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uO8IA&#10;AADbAAAADwAAAGRycy9kb3ducmV2LnhtbESPQUsDMRSE74L/ITzBm80qIt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247wgAAANsAAAAPAAAAAAAAAAAAAAAAAJgCAABkcnMvZG93&#10;bnJldi54bWxQSwUGAAAAAAQABAD1AAAAhwMAAAAA&#10;" fillcolor="white [3201]" strokeweight=".5pt">
                  <v:textbox>
                    <w:txbxContent>
                      <w:p w14:paraId="5F8C0D4B" w14:textId="70205E16" w:rsidR="00A726AB" w:rsidRDefault="00A726AB" w:rsidP="004B19FF">
                        <w:pPr>
                          <w:pStyle w:val="Geenafstand"/>
                          <w:rPr>
                            <w:u w:val="single"/>
                            <w:lang w:val="en-GB"/>
                          </w:rPr>
                        </w:pPr>
                        <w:r>
                          <w:rPr>
                            <w:u w:val="single"/>
                            <w:lang w:val="en-GB"/>
                          </w:rPr>
                          <w:t>Conceptual Z</w:t>
                        </w:r>
                      </w:p>
                      <w:p w14:paraId="7F1A0F87" w14:textId="5EDCD44C" w:rsidR="00A726AB" w:rsidRPr="00870C9B" w:rsidRDefault="00A726AB" w:rsidP="004B19FF">
                        <w:pPr>
                          <w:pStyle w:val="Geenafstand"/>
                          <w:rPr>
                            <w:lang w:val="en-GB"/>
                          </w:rPr>
                        </w:pPr>
                        <w:r>
                          <w:rPr>
                            <w:lang w:val="en-GB"/>
                          </w:rPr>
                          <w:t xml:space="preserve">- Size of firm </w:t>
                        </w:r>
                      </w:p>
                    </w:txbxContent>
                  </v:textbox>
                </v:shape>
                <v:shape id="Tekstvak 95" o:spid="_x0000_s1093" type="#_x0000_t202" style="position:absolute;left:47815;top:34290;width:20558;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oMIA&#10;AADbAAAADwAAAGRycy9kb3ducmV2LnhtbESPQUsDMRSE74L/ITzBm80qK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8ugwgAAANsAAAAPAAAAAAAAAAAAAAAAAJgCAABkcnMvZG93&#10;bnJldi54bWxQSwUGAAAAAAQABAD1AAAAhwMAAAAA&#10;" fillcolor="white [3201]" strokeweight=".5pt">
                  <v:textbox>
                    <w:txbxContent>
                      <w:p w14:paraId="25D2BA89" w14:textId="31DA88F6" w:rsidR="00A726AB" w:rsidRDefault="00A726AB" w:rsidP="004B19FF">
                        <w:pPr>
                          <w:pStyle w:val="Geenafstand"/>
                          <w:rPr>
                            <w:u w:val="single"/>
                            <w:lang w:val="en-GB"/>
                          </w:rPr>
                        </w:pPr>
                        <w:r>
                          <w:rPr>
                            <w:u w:val="single"/>
                            <w:lang w:val="en-GB"/>
                          </w:rPr>
                          <w:t>Operational Z</w:t>
                        </w:r>
                      </w:p>
                      <w:p w14:paraId="6F561D39" w14:textId="6691FE23" w:rsidR="00A726AB" w:rsidRDefault="00A726AB" w:rsidP="004B19FF">
                        <w:pPr>
                          <w:pStyle w:val="Geenafstand"/>
                          <w:rPr>
                            <w:lang w:val="en-GB"/>
                          </w:rPr>
                        </w:pPr>
                        <w:r>
                          <w:rPr>
                            <w:lang w:val="en-GB"/>
                          </w:rPr>
                          <w:t>- Revenue</w:t>
                        </w:r>
                      </w:p>
                      <w:p w14:paraId="55AC0286" w14:textId="77777777" w:rsidR="00A726AB" w:rsidRDefault="00A726AB" w:rsidP="004B19FF">
                        <w:pPr>
                          <w:pStyle w:val="Geenafstand"/>
                          <w:rPr>
                            <w:u w:val="single"/>
                            <w:lang w:val="en-GB"/>
                          </w:rPr>
                        </w:pPr>
                      </w:p>
                    </w:txbxContent>
                  </v:textbox>
                </v:shape>
                <v:shape id="Rechte verbindingslijn met pijl 96" o:spid="_x0000_s1094" type="#_x0000_t32" style="position:absolute;left:59626;top:11620;width:0;height:2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vk8AAAADbAAAADwAAAGRycy9kb3ducmV2LnhtbESP3YrCMBSE7wXfIRxhb0RTF5G1GkUE&#10;oXup7gMcmmNTbE5Kkv749mZhYS+HmfmG2R9H24iefKgdK1gtMxDEpdM1Vwp+7pfFF4gQkTU2jknB&#10;iwIcD9PJHnPtBr5Sf4uVSBAOOSowMba5lKE0ZDEsXUucvIfzFmOSvpLa45DgtpGfWbaRFmtOCwZb&#10;Ohsqn7fOKnA9m+/13Man7Mr7CbviPPhCqY/ZeNqBiDTG//Bfu9AKt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yb5PAAAAA2wAAAA8AAAAAAAAAAAAAAAAA&#10;oQIAAGRycy9kb3ducmV2LnhtbFBLBQYAAAAABAAEAPkAAACOAwAAAAA=&#10;" strokecolor="black [3040]">
                  <v:stroke endarrow="block"/>
                </v:shape>
                <v:shape id="Rechte verbindingslijn met pijl 97" o:spid="_x0000_s1095" type="#_x0000_t32" style="position:absolute;left:59626;top:31908;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8TZcMAAADbAAAADwAAAGRycy9kb3ducmV2LnhtbESPQYvCMBSE7wv+h/AEb2uqB127RhFB&#10;ED2IreAeH82z7W7zUpqo8d8bQdjjMDPfMPNlMI24UedqywpGwwQEcWF1zaWCU775/ALhPLLGxjIp&#10;eJCD5aL3McdU2zsf6Zb5UkQIuxQVVN63qZSuqMigG9qWOHoX2xn0UXal1B3eI9w0cpwkE2mw5rhQ&#10;YUvrioq/7GoU7M6/l1ye6oAmC5PdPtkcmp+RUoN+WH2D8BT8f/jd3moFsym8vs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vE2XDAAAA2wAAAA8AAAAAAAAAAAAA&#10;AAAAoQIAAGRycy9kb3ducmV2LnhtbFBLBQYAAAAABAAEAPkAAACRAwAAAAA=&#10;" strokecolor="black [3040]">
                  <v:stroke endarrow="block"/>
                </v:shape>
                <w10:wrap type="topAndBottom"/>
              </v:group>
            </w:pict>
          </mc:Fallback>
        </mc:AlternateContent>
      </w:r>
      <w:r w:rsidR="004B19FF">
        <w:rPr>
          <w:lang w:val="en-GB"/>
        </w:rPr>
        <w:t xml:space="preserve">The Libby boxes presented </w:t>
      </w:r>
      <w:r w:rsidR="00427E2A">
        <w:rPr>
          <w:lang w:val="en-GB"/>
        </w:rPr>
        <w:t>in figure 3</w:t>
      </w:r>
      <w:r w:rsidR="004B19FF">
        <w:rPr>
          <w:lang w:val="en-GB"/>
        </w:rPr>
        <w:t xml:space="preserve"> show the construct of the</w:t>
      </w:r>
      <w:r w:rsidR="0066541B">
        <w:rPr>
          <w:lang w:val="en-GB"/>
        </w:rPr>
        <w:t xml:space="preserve"> relation indicated in hypothese</w:t>
      </w:r>
      <w:r w:rsidR="004B19FF">
        <w:rPr>
          <w:lang w:val="en-GB"/>
        </w:rPr>
        <w:t xml:space="preserve">s </w:t>
      </w:r>
      <w:r w:rsidR="0066541B">
        <w:rPr>
          <w:lang w:val="en-GB"/>
        </w:rPr>
        <w:t>2a and 2b</w:t>
      </w:r>
      <w:r w:rsidR="004B19FF">
        <w:rPr>
          <w:lang w:val="en-GB"/>
        </w:rPr>
        <w:t xml:space="preserve"> on conceptual level and operational level</w:t>
      </w:r>
      <w:r w:rsidR="00236EDF">
        <w:rPr>
          <w:lang w:val="en-GB"/>
        </w:rPr>
        <w:t xml:space="preserve"> </w:t>
      </w:r>
      <w:r w:rsidR="00236EDF">
        <w:rPr>
          <w:lang w:val="en-GB"/>
        </w:rPr>
        <w:fldChar w:fldCharType="begin"/>
      </w:r>
      <w:r w:rsidR="00236EDF">
        <w:rPr>
          <w:lang w:val="en-GB"/>
        </w:rPr>
        <w:instrText>ADDIN RW.CITE{{92 Libby,Robert 1981}}</w:instrText>
      </w:r>
      <w:r w:rsidR="00236EDF">
        <w:rPr>
          <w:lang w:val="en-GB"/>
        </w:rPr>
        <w:fldChar w:fldCharType="separate"/>
      </w:r>
      <w:r w:rsidR="00236EDF" w:rsidRPr="00236EDF">
        <w:rPr>
          <w:rFonts w:ascii="Calibri" w:hAnsi="Calibri"/>
          <w:lang w:val="en-GB"/>
        </w:rPr>
        <w:t>(Libby, 1981)</w:t>
      </w:r>
      <w:r w:rsidR="00236EDF">
        <w:rPr>
          <w:lang w:val="en-GB"/>
        </w:rPr>
        <w:fldChar w:fldCharType="end"/>
      </w:r>
      <w:r w:rsidR="004B19FF">
        <w:rPr>
          <w:lang w:val="en-GB"/>
        </w:rPr>
        <w:t xml:space="preserve">. </w:t>
      </w:r>
    </w:p>
    <w:p w14:paraId="7AF4FC2F" w14:textId="021F93F6" w:rsidR="00A400D5" w:rsidRDefault="00023813">
      <w:pPr>
        <w:rPr>
          <w:rFonts w:asciiTheme="majorHAnsi" w:eastAsiaTheme="majorEastAsia" w:hAnsiTheme="majorHAnsi" w:cstheme="majorBidi"/>
          <w:b/>
          <w:bCs/>
          <w:color w:val="4F81BD" w:themeColor="accent1"/>
          <w:sz w:val="24"/>
          <w:lang w:val="en-GB"/>
        </w:rPr>
      </w:pPr>
      <w:r>
        <w:rPr>
          <w:noProof/>
          <w:lang w:val="en-GB" w:eastAsia="en-GB"/>
        </w:rPr>
        <mc:AlternateContent>
          <mc:Choice Requires="wps">
            <w:drawing>
              <wp:anchor distT="0" distB="0" distL="114300" distR="114300" simplePos="0" relativeHeight="251808768" behindDoc="0" locked="0" layoutInCell="1" allowOverlap="1" wp14:anchorId="2C259BB2" wp14:editId="05D154AB">
                <wp:simplePos x="0" y="0"/>
                <wp:positionH relativeFrom="column">
                  <wp:posOffset>-38558</wp:posOffset>
                </wp:positionH>
                <wp:positionV relativeFrom="paragraph">
                  <wp:posOffset>3389689</wp:posOffset>
                </wp:positionV>
                <wp:extent cx="3976577" cy="635"/>
                <wp:effectExtent l="0" t="0" r="5080" b="0"/>
                <wp:wrapNone/>
                <wp:docPr id="71" name="Tekstvak 71"/>
                <wp:cNvGraphicFramePr/>
                <a:graphic xmlns:a="http://schemas.openxmlformats.org/drawingml/2006/main">
                  <a:graphicData uri="http://schemas.microsoft.com/office/word/2010/wordprocessingShape">
                    <wps:wsp>
                      <wps:cNvSpPr txBox="1"/>
                      <wps:spPr>
                        <a:xfrm>
                          <a:off x="0" y="0"/>
                          <a:ext cx="3976577" cy="635"/>
                        </a:xfrm>
                        <a:prstGeom prst="rect">
                          <a:avLst/>
                        </a:prstGeom>
                        <a:solidFill>
                          <a:prstClr val="white"/>
                        </a:solidFill>
                        <a:ln>
                          <a:noFill/>
                        </a:ln>
                        <a:effectLst/>
                      </wps:spPr>
                      <wps:txbx>
                        <w:txbxContent>
                          <w:p w14:paraId="1605EEA1" w14:textId="0E805481" w:rsidR="00A726AB" w:rsidRPr="00023813" w:rsidRDefault="00A726AB" w:rsidP="00A726AB">
                            <w:pPr>
                              <w:pStyle w:val="Kop5"/>
                              <w:rPr>
                                <w:noProof/>
                              </w:rPr>
                            </w:pPr>
                            <w:r w:rsidRPr="00023813">
                              <w:t xml:space="preserve">Figure </w:t>
                            </w:r>
                            <w:r>
                              <w:t>3</w:t>
                            </w:r>
                            <w:r w:rsidRPr="00023813">
                              <w:t>: Libby boxes hypothesis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71" o:spid="_x0000_s1096" type="#_x0000_t202" style="position:absolute;margin-left:-3.05pt;margin-top:266.9pt;width:313.1pt;height:.0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" stroked="f">
                <v:textbox style="mso-fit-shape-to-text:t" inset="0,0,0,0">
                  <w:txbxContent>
                    <w:p w14:paraId="1605EEA1" w14:textId="0E805481" w:rsidR="00A726AB" w:rsidRPr="00023813" w:rsidRDefault="00A726AB" w:rsidP="00A726AB">
                      <w:pPr>
                        <w:pStyle w:val="Kop5"/>
                        <w:rPr>
                          <w:noProof/>
                        </w:rPr>
                      </w:pPr>
                      <w:r w:rsidRPr="00023813">
                        <w:t xml:space="preserve">Figure </w:t>
                      </w:r>
                      <w:r>
                        <w:t>3</w:t>
                      </w:r>
                      <w:r w:rsidRPr="00023813">
                        <w:t>: Libby boxes hypothesis 2</w:t>
                      </w:r>
                    </w:p>
                  </w:txbxContent>
                </v:textbox>
              </v:shape>
            </w:pict>
          </mc:Fallback>
        </mc:AlternateContent>
      </w:r>
      <w:r w:rsidR="00A400D5" w:rsidRPr="008E6D77">
        <w:rPr>
          <w:lang w:val="en-GB"/>
        </w:rPr>
        <w:br w:type="page"/>
      </w:r>
    </w:p>
    <w:p w14:paraId="695D98C4" w14:textId="6F5DC254" w:rsidR="004B19FF" w:rsidRDefault="004B19FF" w:rsidP="004B19FF">
      <w:pPr>
        <w:pStyle w:val="Kop3"/>
      </w:pPr>
      <w:bookmarkStart w:id="33" w:name="_Toc439346639"/>
      <w:r>
        <w:lastRenderedPageBreak/>
        <w:t>3.2.3 Hypothesis 3</w:t>
      </w:r>
      <w:bookmarkEnd w:id="33"/>
    </w:p>
    <w:p w14:paraId="277F0060" w14:textId="01188654" w:rsidR="004B19FF" w:rsidRDefault="00850BFB" w:rsidP="008D09A1">
      <w:pPr>
        <w:spacing w:line="360" w:lineRule="auto"/>
        <w:jc w:val="both"/>
        <w:rPr>
          <w:lang w:val="en-GB"/>
        </w:rPr>
      </w:pPr>
      <w:r>
        <w:rPr>
          <w:lang w:val="en-GB"/>
        </w:rPr>
        <w:t>According to the theoretical approach of the two CFO duties</w:t>
      </w:r>
      <w:r w:rsidR="00DD3278">
        <w:rPr>
          <w:lang w:val="en-GB"/>
        </w:rPr>
        <w:t xml:space="preserve"> </w:t>
      </w:r>
      <w:r w:rsidR="00DD3278">
        <w:rPr>
          <w:lang w:val="en-GB"/>
        </w:rPr>
        <w:fldChar w:fldCharType="begin"/>
      </w:r>
      <w:r w:rsidR="00DD3278">
        <w:rPr>
          <w:lang w:val="en-GB"/>
        </w:rPr>
        <w:instrText>ADDIN RW.CITE{{6 Hoitash,Rani 2012; 7 Indjejikian,Raffi 2009}}</w:instrText>
      </w:r>
      <w:r w:rsidR="00DD3278">
        <w:rPr>
          <w:lang w:val="en-GB"/>
        </w:rPr>
        <w:fldChar w:fldCharType="separate"/>
      </w:r>
      <w:r w:rsidR="00254F5A" w:rsidRPr="00254F5A">
        <w:rPr>
          <w:rFonts w:ascii="Calibri" w:hAnsi="Calibri"/>
          <w:lang w:val="en-GB"/>
        </w:rPr>
        <w:t>(Hoitash et al., 2012; Indjejikian &amp; Matêjka, 2009)</w:t>
      </w:r>
      <w:r w:rsidR="00DD3278">
        <w:rPr>
          <w:lang w:val="en-GB"/>
        </w:rPr>
        <w:fldChar w:fldCharType="end"/>
      </w:r>
      <w:r w:rsidR="004B19FF">
        <w:rPr>
          <w:lang w:val="en-GB"/>
        </w:rPr>
        <w:t>, CFO managerial and fiduciary performance should add up to CFO to</w:t>
      </w:r>
      <w:r>
        <w:rPr>
          <w:lang w:val="en-GB"/>
        </w:rPr>
        <w:t>tal performance.</w:t>
      </w:r>
      <w:r w:rsidR="00046786">
        <w:rPr>
          <w:lang w:val="en-GB"/>
        </w:rPr>
        <w:t xml:space="preserve"> </w:t>
      </w:r>
      <w:r w:rsidR="00B55485">
        <w:rPr>
          <w:lang w:val="en-GB"/>
        </w:rPr>
        <w:t xml:space="preserve">This </w:t>
      </w:r>
      <w:r w:rsidR="008D09A1">
        <w:rPr>
          <w:lang w:val="en-GB"/>
        </w:rPr>
        <w:t xml:space="preserve">means that the </w:t>
      </w:r>
      <w:r w:rsidR="00DD3278">
        <w:rPr>
          <w:lang w:val="en-GB"/>
        </w:rPr>
        <w:t xml:space="preserve">managerial or fiduciary </w:t>
      </w:r>
      <w:r w:rsidR="008D09A1">
        <w:rPr>
          <w:lang w:val="en-GB"/>
        </w:rPr>
        <w:t xml:space="preserve">performance and total performance are not only related, but directly linked to each other. </w:t>
      </w:r>
      <w:r w:rsidR="00DD3278">
        <w:rPr>
          <w:lang w:val="en-GB"/>
        </w:rPr>
        <w:t>The following hypothesis is constructed to support the main research question:</w:t>
      </w:r>
    </w:p>
    <w:p w14:paraId="0E8D6F1D" w14:textId="25855911" w:rsidR="008D09A1" w:rsidRPr="00410940" w:rsidRDefault="008D09A1" w:rsidP="004B19FF">
      <w:pPr>
        <w:spacing w:line="360" w:lineRule="auto"/>
        <w:jc w:val="both"/>
        <w:rPr>
          <w:i/>
          <w:lang w:val="en-GB"/>
        </w:rPr>
      </w:pPr>
      <w:r>
        <w:rPr>
          <w:i/>
          <w:lang w:val="en-GB"/>
        </w:rPr>
        <w:t>H3</w:t>
      </w:r>
      <w:r w:rsidRPr="001E281C">
        <w:rPr>
          <w:i/>
          <w:lang w:val="en-GB"/>
        </w:rPr>
        <w:t xml:space="preserve">: </w:t>
      </w:r>
      <w:r>
        <w:rPr>
          <w:i/>
          <w:lang w:val="en-GB"/>
        </w:rPr>
        <w:t>Managerial and fiduciary performance of the CFO are positively related to CFO’</w:t>
      </w:r>
      <w:r w:rsidR="00410940">
        <w:rPr>
          <w:i/>
          <w:lang w:val="en-GB"/>
        </w:rPr>
        <w:t>s total performance</w:t>
      </w:r>
    </w:p>
    <w:p w14:paraId="442C9B7D" w14:textId="6DFAF847" w:rsidR="004B19FF" w:rsidRDefault="004B19FF" w:rsidP="004B19FF">
      <w:pPr>
        <w:pStyle w:val="Kop4"/>
      </w:pPr>
      <w:bookmarkStart w:id="34" w:name="_Toc439346640"/>
      <w:r>
        <w:t>3.2.3.1 Libby boxes</w:t>
      </w:r>
      <w:bookmarkEnd w:id="34"/>
      <w:r>
        <w:t xml:space="preserve"> </w:t>
      </w:r>
    </w:p>
    <w:p w14:paraId="7E55E1C6" w14:textId="45E32C38" w:rsidR="004B19FF" w:rsidRDefault="00105480" w:rsidP="004B19FF">
      <w:pPr>
        <w:spacing w:line="360" w:lineRule="auto"/>
        <w:jc w:val="both"/>
        <w:rPr>
          <w:lang w:val="en-GB"/>
        </w:rPr>
      </w:pPr>
      <w:r>
        <w:rPr>
          <w:noProof/>
          <w:lang w:val="en-GB" w:eastAsia="en-GB"/>
        </w:rPr>
        <mc:AlternateContent>
          <mc:Choice Requires="wpg">
            <w:drawing>
              <wp:anchor distT="0" distB="0" distL="114300" distR="114300" simplePos="0" relativeHeight="251767808" behindDoc="0" locked="0" layoutInCell="1" allowOverlap="1" wp14:anchorId="2273DB8D" wp14:editId="2E7A0E16">
                <wp:simplePos x="0" y="0"/>
                <wp:positionH relativeFrom="column">
                  <wp:posOffset>-198120</wp:posOffset>
                </wp:positionH>
                <wp:positionV relativeFrom="paragraph">
                  <wp:posOffset>829310</wp:posOffset>
                </wp:positionV>
                <wp:extent cx="6134100" cy="3173095"/>
                <wp:effectExtent l="0" t="0" r="19050" b="27305"/>
                <wp:wrapTopAndBottom/>
                <wp:docPr id="98" name="Groep 98"/>
                <wp:cNvGraphicFramePr/>
                <a:graphic xmlns:a="http://schemas.openxmlformats.org/drawingml/2006/main">
                  <a:graphicData uri="http://schemas.microsoft.com/office/word/2010/wordprocessingGroup">
                    <wpg:wgp>
                      <wpg:cNvGrpSpPr/>
                      <wpg:grpSpPr>
                        <a:xfrm>
                          <a:off x="0" y="0"/>
                          <a:ext cx="6134100" cy="3173095"/>
                          <a:chOff x="499763" y="691236"/>
                          <a:chExt cx="6135686" cy="3176458"/>
                        </a:xfrm>
                      </wpg:grpSpPr>
                      <wpg:grpSp>
                        <wpg:cNvPr id="99" name="Groep 99"/>
                        <wpg:cNvGrpSpPr/>
                        <wpg:grpSpPr>
                          <a:xfrm>
                            <a:off x="499763" y="1412322"/>
                            <a:ext cx="6135686" cy="1772336"/>
                            <a:chOff x="490234" y="2624"/>
                            <a:chExt cx="6135693" cy="1773476"/>
                          </a:xfrm>
                        </wpg:grpSpPr>
                        <wpg:grpSp>
                          <wpg:cNvPr id="100" name="Groep 100"/>
                          <wpg:cNvGrpSpPr/>
                          <wpg:grpSpPr>
                            <a:xfrm>
                              <a:off x="499762" y="2624"/>
                              <a:ext cx="6126165" cy="697865"/>
                              <a:chOff x="1930561" y="182761"/>
                              <a:chExt cx="3161711" cy="534466"/>
                            </a:xfrm>
                          </wpg:grpSpPr>
                          <wps:wsp>
                            <wps:cNvPr id="101" name="Tekstvak 101"/>
                            <wps:cNvSpPr txBox="1"/>
                            <wps:spPr>
                              <a:xfrm>
                                <a:off x="1930561" y="182761"/>
                                <a:ext cx="1405726" cy="534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1AC2D" w14:textId="7E986A04" w:rsidR="00A726AB" w:rsidRPr="00C82614" w:rsidRDefault="00A726AB" w:rsidP="004B19FF">
                                  <w:pPr>
                                    <w:pStyle w:val="Geenafstand"/>
                                    <w:rPr>
                                      <w:lang w:val="en-GB"/>
                                    </w:rPr>
                                  </w:pPr>
                                  <w:r>
                                    <w:rPr>
                                      <w:u w:val="single"/>
                                      <w:lang w:val="en-GB"/>
                                    </w:rPr>
                                    <w:t xml:space="preserve">Conceptual X </w:t>
                                  </w:r>
                                </w:p>
                                <w:p w14:paraId="5CD7E04F" w14:textId="60C52418" w:rsidR="00A726AB" w:rsidRPr="00D6413D" w:rsidRDefault="00A726AB" w:rsidP="004B19FF">
                                  <w:pPr>
                                    <w:pStyle w:val="Geenafstand"/>
                                    <w:rPr>
                                      <w:lang w:val="en-GB"/>
                                    </w:rPr>
                                  </w:pPr>
                                  <w:r>
                                    <w:rPr>
                                      <w:lang w:val="en-GB"/>
                                    </w:rPr>
                                    <w:t>- CFO managerial performance</w:t>
                                  </w:r>
                                </w:p>
                                <w:p w14:paraId="481BB81B" w14:textId="053E4224" w:rsidR="00A726AB" w:rsidRPr="007C52B7" w:rsidRDefault="00A726AB" w:rsidP="004B19FF">
                                  <w:pPr>
                                    <w:pStyle w:val="Geenafstand"/>
                                    <w:rPr>
                                      <w:lang w:val="en-GB"/>
                                    </w:rPr>
                                  </w:pPr>
                                  <w:r>
                                    <w:rPr>
                                      <w:lang w:val="en-GB"/>
                                    </w:rPr>
                                    <w:t>- CFO fiduciary performance</w:t>
                                  </w:r>
                                </w:p>
                                <w:p w14:paraId="6A72D1E0" w14:textId="77777777" w:rsidR="00A726AB" w:rsidRPr="005F6677" w:rsidRDefault="00A726AB" w:rsidP="004B19F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kstvak 102"/>
                            <wps:cNvSpPr txBox="1"/>
                            <wps:spPr>
                              <a:xfrm>
                                <a:off x="3730993" y="182762"/>
                                <a:ext cx="1361279" cy="534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A780F" w14:textId="74E7E065" w:rsidR="00A726AB" w:rsidRDefault="00A726AB" w:rsidP="004B19FF">
                                  <w:pPr>
                                    <w:pStyle w:val="Geenafstand"/>
                                    <w:rPr>
                                      <w:u w:val="single"/>
                                      <w:lang w:val="en-GB"/>
                                    </w:rPr>
                                  </w:pPr>
                                  <w:r>
                                    <w:rPr>
                                      <w:u w:val="single"/>
                                      <w:lang w:val="en-GB"/>
                                    </w:rPr>
                                    <w:t xml:space="preserve">Conceptual Y </w:t>
                                  </w:r>
                                </w:p>
                                <w:p w14:paraId="20E33697" w14:textId="2C987F02" w:rsidR="00A726AB" w:rsidRDefault="00A726AB" w:rsidP="00DD3278">
                                  <w:pPr>
                                    <w:pStyle w:val="Geenafstand"/>
                                    <w:rPr>
                                      <w:lang w:val="en-GB"/>
                                    </w:rPr>
                                  </w:pPr>
                                  <w:r>
                                    <w:rPr>
                                      <w:lang w:val="en-GB"/>
                                    </w:rPr>
                                    <w:t>- CFO total performance</w:t>
                                  </w:r>
                                </w:p>
                                <w:p w14:paraId="47B212DA" w14:textId="77777777" w:rsidR="00A726AB" w:rsidRDefault="00A726AB" w:rsidP="004B19FF">
                                  <w:pPr>
                                    <w:pStyle w:val="Geenafstand"/>
                                    <w:rPr>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Rechte verbindingslijn met pijl 103"/>
                            <wps:cNvCnPr>
                              <a:stCxn id="101" idx="3"/>
                              <a:endCxn id="102" idx="1"/>
                            </wps:cNvCnPr>
                            <wps:spPr>
                              <a:xfrm>
                                <a:off x="3336287" y="449994"/>
                                <a:ext cx="394706" cy="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104" name="Groep 104"/>
                          <wpg:cNvGrpSpPr/>
                          <wpg:grpSpPr>
                            <a:xfrm>
                              <a:off x="490234" y="971518"/>
                              <a:ext cx="6135693" cy="804582"/>
                              <a:chOff x="1915516" y="328926"/>
                              <a:chExt cx="3377813" cy="700489"/>
                            </a:xfrm>
                          </wpg:grpSpPr>
                          <wps:wsp>
                            <wps:cNvPr id="105" name="Tekstvak 105"/>
                            <wps:cNvSpPr txBox="1"/>
                            <wps:spPr>
                              <a:xfrm>
                                <a:off x="1915516" y="328926"/>
                                <a:ext cx="1504720" cy="700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8A006D" w14:textId="4DCCE2A3" w:rsidR="00A726AB" w:rsidRPr="00C82614" w:rsidRDefault="00A726AB" w:rsidP="004B19FF">
                                  <w:pPr>
                                    <w:pStyle w:val="Geenafstand"/>
                                    <w:rPr>
                                      <w:u w:val="single"/>
                                      <w:lang w:val="en-GB"/>
                                    </w:rPr>
                                  </w:pPr>
                                  <w:r>
                                    <w:rPr>
                                      <w:u w:val="single"/>
                                      <w:lang w:val="en-GB"/>
                                    </w:rPr>
                                    <w:t xml:space="preserve">Operational X </w:t>
                                  </w:r>
                                </w:p>
                                <w:p w14:paraId="27906062" w14:textId="214A3474" w:rsidR="00A726AB" w:rsidRDefault="00A726AB" w:rsidP="00DD3278">
                                  <w:pPr>
                                    <w:pStyle w:val="Geenafstand"/>
                                    <w:rPr>
                                      <w:lang w:val="en-GB"/>
                                    </w:rPr>
                                  </w:pPr>
                                  <w:r w:rsidRPr="00C82614">
                                    <w:rPr>
                                      <w:lang w:val="en-GB"/>
                                    </w:rPr>
                                    <w:t xml:space="preserve">- </w:t>
                                  </w:r>
                                  <w:r>
                                    <w:rPr>
                                      <w:lang w:val="en-GB"/>
                                    </w:rPr>
                                    <w:t>Firm financial performance</w:t>
                                  </w:r>
                                </w:p>
                                <w:p w14:paraId="68CE60D3" w14:textId="1CEFC14D" w:rsidR="00A726AB" w:rsidRDefault="00A726AB" w:rsidP="00DD3278">
                                  <w:pPr>
                                    <w:pStyle w:val="Geenafstand"/>
                                    <w:rPr>
                                      <w:lang w:val="en-GB"/>
                                    </w:rPr>
                                  </w:pPr>
                                  <w:r>
                                    <w:rPr>
                                      <w:lang w:val="en-GB"/>
                                    </w:rPr>
                                    <w:t>- Disclosure of ICMW</w:t>
                                  </w:r>
                                </w:p>
                                <w:p w14:paraId="50656B99" w14:textId="48DF4C9C" w:rsidR="00A726AB" w:rsidRPr="007C52B7" w:rsidRDefault="00A726AB" w:rsidP="00DD3278">
                                  <w:pPr>
                                    <w:pStyle w:val="Geenafstand"/>
                                    <w:rPr>
                                      <w:lang w:val="en-GB"/>
                                    </w:rPr>
                                  </w:pPr>
                                  <w:r>
                                    <w:rPr>
                                      <w:lang w:val="en-GB"/>
                                    </w:rPr>
                                    <w:t>- Restatement</w:t>
                                  </w:r>
                                </w:p>
                                <w:p w14:paraId="6A3F1728" w14:textId="03351C6E" w:rsidR="00A726AB" w:rsidRDefault="00A726AB" w:rsidP="004B19FF">
                                  <w:pPr>
                                    <w:pStyle w:val="Geenafstand"/>
                                    <w:rPr>
                                      <w:lang w:val="en-GB"/>
                                    </w:rPr>
                                  </w:pPr>
                                </w:p>
                                <w:p w14:paraId="11685744" w14:textId="77777777" w:rsidR="00A726AB" w:rsidRPr="00D6413D" w:rsidRDefault="00A726AB" w:rsidP="004B19FF">
                                  <w:pPr>
                                    <w:pStyle w:val="Geenafstand"/>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kstvak 106"/>
                            <wps:cNvSpPr txBox="1"/>
                            <wps:spPr>
                              <a:xfrm>
                                <a:off x="3841265" y="332614"/>
                                <a:ext cx="1452064" cy="6968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E8773C" w14:textId="481F5AC2" w:rsidR="00A726AB" w:rsidRDefault="00A726AB" w:rsidP="004B19FF">
                                  <w:pPr>
                                    <w:pStyle w:val="Geenafstand"/>
                                    <w:rPr>
                                      <w:u w:val="single"/>
                                      <w:lang w:val="en-GB"/>
                                    </w:rPr>
                                  </w:pPr>
                                  <w:r>
                                    <w:rPr>
                                      <w:u w:val="single"/>
                                      <w:lang w:val="en-GB"/>
                                    </w:rPr>
                                    <w:t>Operational</w:t>
                                  </w:r>
                                  <w:r w:rsidRPr="00C82614">
                                    <w:rPr>
                                      <w:u w:val="single"/>
                                      <w:lang w:val="en-GB"/>
                                    </w:rPr>
                                    <w:t xml:space="preserve"> </w:t>
                                  </w:r>
                                  <w:r>
                                    <w:rPr>
                                      <w:u w:val="single"/>
                                      <w:lang w:val="en-GB"/>
                                    </w:rPr>
                                    <w:t xml:space="preserve">Y </w:t>
                                  </w:r>
                                </w:p>
                                <w:p w14:paraId="2D647215" w14:textId="34D7664A" w:rsidR="00A726AB" w:rsidRPr="007C52B7" w:rsidRDefault="00A726AB" w:rsidP="00DD3278">
                                  <w:pPr>
                                    <w:pStyle w:val="Geenafstand"/>
                                    <w:rPr>
                                      <w:lang w:val="en-GB"/>
                                    </w:rPr>
                                  </w:pPr>
                                  <w:r>
                                    <w:rPr>
                                      <w:lang w:val="en-GB"/>
                                    </w:rPr>
                                    <w:t>- Stock price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Rechte verbindingslijn met pijl 107"/>
                            <wps:cNvCnPr>
                              <a:stCxn id="105" idx="3"/>
                              <a:endCxn id="106" idx="1"/>
                            </wps:cNvCnPr>
                            <wps:spPr>
                              <a:xfrm>
                                <a:off x="3420236" y="679170"/>
                                <a:ext cx="421029" cy="184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s:wsp>
                        <wps:cNvPr id="108" name="Tekstvak 108"/>
                        <wps:cNvSpPr txBox="1"/>
                        <wps:spPr>
                          <a:xfrm>
                            <a:off x="4664571" y="691236"/>
                            <a:ext cx="1970878" cy="492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795804" w14:textId="6F42E8BF" w:rsidR="00A726AB" w:rsidRDefault="00A726AB" w:rsidP="004B19FF">
                              <w:pPr>
                                <w:pStyle w:val="Geenafstand"/>
                                <w:rPr>
                                  <w:u w:val="single"/>
                                  <w:lang w:val="en-GB"/>
                                </w:rPr>
                              </w:pPr>
                              <w:r>
                                <w:rPr>
                                  <w:u w:val="single"/>
                                  <w:lang w:val="en-GB"/>
                                </w:rPr>
                                <w:t>Conceptual Z</w:t>
                              </w:r>
                            </w:p>
                            <w:p w14:paraId="5237E8E0" w14:textId="6516B0CD" w:rsidR="00A726AB" w:rsidRPr="00870C9B" w:rsidRDefault="00A726AB" w:rsidP="004B19FF">
                              <w:pPr>
                                <w:pStyle w:val="Geenafstand"/>
                                <w:rPr>
                                  <w:lang w:val="en-GB"/>
                                </w:rPr>
                              </w:pPr>
                              <w:r>
                                <w:rPr>
                                  <w:lang w:val="en-GB"/>
                                </w:rPr>
                                <w:t xml:space="preserve">- Size of firm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kstvak 109"/>
                        <wps:cNvSpPr txBox="1"/>
                        <wps:spPr>
                          <a:xfrm>
                            <a:off x="4621969" y="3403435"/>
                            <a:ext cx="2013479" cy="4642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DC20D" w14:textId="75E9B29E" w:rsidR="00A726AB" w:rsidRDefault="00A726AB" w:rsidP="004B19FF">
                              <w:pPr>
                                <w:pStyle w:val="Geenafstand"/>
                                <w:rPr>
                                  <w:u w:val="single"/>
                                  <w:lang w:val="en-GB"/>
                                </w:rPr>
                              </w:pPr>
                              <w:r>
                                <w:rPr>
                                  <w:u w:val="single"/>
                                  <w:lang w:val="en-GB"/>
                                </w:rPr>
                                <w:t>Operational Z</w:t>
                              </w:r>
                            </w:p>
                            <w:p w14:paraId="6F810265" w14:textId="09CF6D9E" w:rsidR="00A726AB" w:rsidRDefault="00A726AB" w:rsidP="004B19FF">
                              <w:pPr>
                                <w:pStyle w:val="Geenafstand"/>
                                <w:rPr>
                                  <w:lang w:val="en-GB"/>
                                </w:rPr>
                              </w:pPr>
                              <w:r>
                                <w:rPr>
                                  <w:lang w:val="en-GB"/>
                                </w:rPr>
                                <w:t>- Revenue</w:t>
                              </w:r>
                            </w:p>
                            <w:p w14:paraId="4345D733" w14:textId="77777777" w:rsidR="00A726AB" w:rsidRDefault="00A726AB" w:rsidP="004B19FF">
                              <w:pPr>
                                <w:pStyle w:val="Geenafstand"/>
                                <w:rPr>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Rechte verbindingslijn met pijl 110"/>
                        <wps:cNvCnPr/>
                        <wps:spPr>
                          <a:xfrm>
                            <a:off x="5962650" y="1162050"/>
                            <a:ext cx="0" cy="2438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1" name="Rechte verbindingslijn met pijl 111"/>
                        <wps:cNvCnPr/>
                        <wps:spPr>
                          <a:xfrm flipV="1">
                            <a:off x="5962650" y="3190875"/>
                            <a:ext cx="0" cy="23812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98" o:spid="_x0000_s1097" style="position:absolute;left:0;text-align:left;margin-left:-15.6pt;margin-top:65.3pt;width:483pt;height:249.85pt;z-index:251767808;mso-width-relative:margin;mso-height-relative:margin" coordorigin="4997,6912" coordsize="61356,3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">
                <v:group id="Groep 99" o:spid="_x0000_s1098" style="position:absolute;left:4997;top:14123;width:61357;height:17723" coordorigin="4902,26" coordsize="61356,17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ep 100" o:spid="_x0000_s1099" style="position:absolute;left:4997;top:26;width:61262;height:6978" coordorigin="19305,1827" coordsize="31617,5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kstvak 101" o:spid="_x0000_s1100" type="#_x0000_t202" style="position:absolute;left:19305;top:1827;width:14057;height:5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qysAA&#10;AADcAAAADwAAAGRycy9kb3ducmV2LnhtbERPTWsCMRC9F/ofwhR6q1l7KNvVKFq0CD1VxfOwGZPg&#10;ZrIkcd3+e1Mo9DaP9znz5eg7MVBMLrCC6aQCQdwG7dgoOB62LzWIlJE1doFJwQ8lWC4eH+bY6HDj&#10;bxr22YgSwqlBBTbnvpEytZY8pknoiQt3DtFjLjAaqSPeSrjv5GtVvUmPjkuDxZ4+LLWX/dUr2KzN&#10;u2lrjHZTa+eG8XT+Mp9KPT+NqxmITGP+F/+5d7rMr6b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sqysAAAADcAAAADwAAAAAAAAAAAAAAAACYAgAAZHJzL2Rvd25y&#10;ZXYueG1sUEsFBgAAAAAEAAQA9QAAAIUDAAAAAA==&#10;" fillcolor="white [3201]" strokeweight=".5pt">
                      <v:textbox>
                        <w:txbxContent>
                          <w:p w14:paraId="5DC1AC2D" w14:textId="7E986A04" w:rsidR="00A726AB" w:rsidRPr="00C82614" w:rsidRDefault="00A726AB" w:rsidP="004B19FF">
                            <w:pPr>
                              <w:pStyle w:val="Geenafstand"/>
                              <w:rPr>
                                <w:lang w:val="en-GB"/>
                              </w:rPr>
                            </w:pPr>
                            <w:r>
                              <w:rPr>
                                <w:u w:val="single"/>
                                <w:lang w:val="en-GB"/>
                              </w:rPr>
                              <w:t xml:space="preserve">Conceptual X </w:t>
                            </w:r>
                          </w:p>
                          <w:p w14:paraId="5CD7E04F" w14:textId="60C52418" w:rsidR="00A726AB" w:rsidRPr="00D6413D" w:rsidRDefault="00A726AB" w:rsidP="004B19FF">
                            <w:pPr>
                              <w:pStyle w:val="Geenafstand"/>
                              <w:rPr>
                                <w:lang w:val="en-GB"/>
                              </w:rPr>
                            </w:pPr>
                            <w:r>
                              <w:rPr>
                                <w:lang w:val="en-GB"/>
                              </w:rPr>
                              <w:t>- CFO managerial performance</w:t>
                            </w:r>
                          </w:p>
                          <w:p w14:paraId="481BB81B" w14:textId="053E4224" w:rsidR="00A726AB" w:rsidRPr="007C52B7" w:rsidRDefault="00A726AB" w:rsidP="004B19FF">
                            <w:pPr>
                              <w:pStyle w:val="Geenafstand"/>
                              <w:rPr>
                                <w:lang w:val="en-GB"/>
                              </w:rPr>
                            </w:pPr>
                            <w:r>
                              <w:rPr>
                                <w:lang w:val="en-GB"/>
                              </w:rPr>
                              <w:t>- CFO fiduciary performance</w:t>
                            </w:r>
                          </w:p>
                          <w:p w14:paraId="6A72D1E0" w14:textId="77777777" w:rsidR="00A726AB" w:rsidRPr="005F6677" w:rsidRDefault="00A726AB" w:rsidP="004B19FF">
                            <w:pPr>
                              <w:rPr>
                                <w:lang w:val="en-GB"/>
                              </w:rPr>
                            </w:pPr>
                          </w:p>
                        </w:txbxContent>
                      </v:textbox>
                    </v:shape>
                    <v:shape id="Tekstvak 102" o:spid="_x0000_s1101" type="#_x0000_t202" style="position:absolute;left:37309;top:1827;width:13613;height:5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0vcAA&#10;AADcAAAADwAAAGRycy9kb3ducmV2LnhtbERPTWsCMRC9F/ofwgi91aweynY1ihZbhJ6qpedhMybB&#10;zWRJ0nX7701B8DaP9znL9eg7MVBMLrCC2bQCQdwG7dgo+D6+P9cgUkbW2AUmBX+UYL16fFhio8OF&#10;v2g4ZCNKCKcGFdic+0bK1FrymKahJy7cKUSPucBopI54KeG+k/OqepEeHZcGiz29WWrPh1+vYLc1&#10;r6atMdpdrZ0bxp/Tp/lQ6mkybhYgMo35Lr6597rMr+b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m0vcAAAADcAAAADwAAAAAAAAAAAAAAAACYAgAAZHJzL2Rvd25y&#10;ZXYueG1sUEsFBgAAAAAEAAQA9QAAAIUDAAAAAA==&#10;" fillcolor="white [3201]" strokeweight=".5pt">
                      <v:textbox>
                        <w:txbxContent>
                          <w:p w14:paraId="51EA780F" w14:textId="74E7E065" w:rsidR="00A726AB" w:rsidRDefault="00A726AB" w:rsidP="004B19FF">
                            <w:pPr>
                              <w:pStyle w:val="Geenafstand"/>
                              <w:rPr>
                                <w:u w:val="single"/>
                                <w:lang w:val="en-GB"/>
                              </w:rPr>
                            </w:pPr>
                            <w:r>
                              <w:rPr>
                                <w:u w:val="single"/>
                                <w:lang w:val="en-GB"/>
                              </w:rPr>
                              <w:t xml:space="preserve">Conceptual Y </w:t>
                            </w:r>
                          </w:p>
                          <w:p w14:paraId="20E33697" w14:textId="2C987F02" w:rsidR="00A726AB" w:rsidRDefault="00A726AB" w:rsidP="00DD3278">
                            <w:pPr>
                              <w:pStyle w:val="Geenafstand"/>
                              <w:rPr>
                                <w:lang w:val="en-GB"/>
                              </w:rPr>
                            </w:pPr>
                            <w:r>
                              <w:rPr>
                                <w:lang w:val="en-GB"/>
                              </w:rPr>
                              <w:t>- CFO total performance</w:t>
                            </w:r>
                          </w:p>
                          <w:p w14:paraId="47B212DA" w14:textId="77777777" w:rsidR="00A726AB" w:rsidRDefault="00A726AB" w:rsidP="004B19FF">
                            <w:pPr>
                              <w:pStyle w:val="Geenafstand"/>
                              <w:rPr>
                                <w:u w:val="single"/>
                                <w:lang w:val="en-GB"/>
                              </w:rPr>
                            </w:pPr>
                          </w:p>
                        </w:txbxContent>
                      </v:textbox>
                    </v:shape>
                    <v:shape id="Rechte verbindingslijn met pijl 103" o:spid="_x0000_s1102" type="#_x0000_t32" style="position:absolute;left:33362;top:4499;width:3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yITr4AAADcAAAADwAAAGRycy9kb3ducmV2LnhtbERP24rCMBB9F/yHMMK+iKa6IlKNIsJC&#10;93HVDxiasSk2k5Kkl/17s7Dg2xzOdQ6n0TaiJx9qxwpWywwEcel0zZWC++1rsQMRIrLGxjEp+KUA&#10;p+N0csBcu4F/qL/GSqQQDjkqMDG2uZShNGQxLF1LnLiH8xZjgr6S2uOQwm0j11m2lRZrTg0GW7oY&#10;Kp/XzipwPZvvzdzGp+zK2xm74jL4QqmP2Xjeg4g0xrf4313oND/7hL9n0gXy+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XIhOvgAAANwAAAAPAAAAAAAAAAAAAAAAAKEC&#10;AABkcnMvZG93bnJldi54bWxQSwUGAAAAAAQABAD5AAAAjAMAAAAA&#10;" strokecolor="black [3040]">
                      <v:stroke endarrow="block"/>
                    </v:shape>
                  </v:group>
                  <v:group id="Groep 104" o:spid="_x0000_s1103" style="position:absolute;left:4902;top:9715;width:61357;height:8046" coordorigin="19155,3289" coordsize="33778,7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kstvak 105" o:spid="_x0000_s1104" type="#_x0000_t202" style="position:absolute;left:19155;top:3289;width:15047;height:7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ycAA&#10;AADcAAAADwAAAGRycy9kb3ducmV2LnhtbERPTWsCMRC9F/ofwhR6q9kWK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AsycAAAADcAAAADwAAAAAAAAAAAAAAAACYAgAAZHJzL2Rvd25y&#10;ZXYueG1sUEsFBgAAAAAEAAQA9QAAAIUDAAAAAA==&#10;" fillcolor="white [3201]" strokeweight=".5pt">
                      <v:textbox>
                        <w:txbxContent>
                          <w:p w14:paraId="158A006D" w14:textId="4DCCE2A3" w:rsidR="00A726AB" w:rsidRPr="00C82614" w:rsidRDefault="00A726AB" w:rsidP="004B19FF">
                            <w:pPr>
                              <w:pStyle w:val="Geenafstand"/>
                              <w:rPr>
                                <w:u w:val="single"/>
                                <w:lang w:val="en-GB"/>
                              </w:rPr>
                            </w:pPr>
                            <w:r>
                              <w:rPr>
                                <w:u w:val="single"/>
                                <w:lang w:val="en-GB"/>
                              </w:rPr>
                              <w:t xml:space="preserve">Operational X </w:t>
                            </w:r>
                          </w:p>
                          <w:p w14:paraId="27906062" w14:textId="214A3474" w:rsidR="00A726AB" w:rsidRDefault="00A726AB" w:rsidP="00DD3278">
                            <w:pPr>
                              <w:pStyle w:val="Geenafstand"/>
                              <w:rPr>
                                <w:lang w:val="en-GB"/>
                              </w:rPr>
                            </w:pPr>
                            <w:r w:rsidRPr="00C82614">
                              <w:rPr>
                                <w:lang w:val="en-GB"/>
                              </w:rPr>
                              <w:t xml:space="preserve">- </w:t>
                            </w:r>
                            <w:r>
                              <w:rPr>
                                <w:lang w:val="en-GB"/>
                              </w:rPr>
                              <w:t>Firm financial performance</w:t>
                            </w:r>
                          </w:p>
                          <w:p w14:paraId="68CE60D3" w14:textId="1CEFC14D" w:rsidR="00A726AB" w:rsidRDefault="00A726AB" w:rsidP="00DD3278">
                            <w:pPr>
                              <w:pStyle w:val="Geenafstand"/>
                              <w:rPr>
                                <w:lang w:val="en-GB"/>
                              </w:rPr>
                            </w:pPr>
                            <w:r>
                              <w:rPr>
                                <w:lang w:val="en-GB"/>
                              </w:rPr>
                              <w:t>- Disclosure of ICMW</w:t>
                            </w:r>
                          </w:p>
                          <w:p w14:paraId="50656B99" w14:textId="48DF4C9C" w:rsidR="00A726AB" w:rsidRPr="007C52B7" w:rsidRDefault="00A726AB" w:rsidP="00DD3278">
                            <w:pPr>
                              <w:pStyle w:val="Geenafstand"/>
                              <w:rPr>
                                <w:lang w:val="en-GB"/>
                              </w:rPr>
                            </w:pPr>
                            <w:r>
                              <w:rPr>
                                <w:lang w:val="en-GB"/>
                              </w:rPr>
                              <w:t>- Restatement</w:t>
                            </w:r>
                          </w:p>
                          <w:p w14:paraId="6A3F1728" w14:textId="03351C6E" w:rsidR="00A726AB" w:rsidRDefault="00A726AB" w:rsidP="004B19FF">
                            <w:pPr>
                              <w:pStyle w:val="Geenafstand"/>
                              <w:rPr>
                                <w:lang w:val="en-GB"/>
                              </w:rPr>
                            </w:pPr>
                          </w:p>
                          <w:p w14:paraId="11685744" w14:textId="77777777" w:rsidR="00A726AB" w:rsidRPr="00D6413D" w:rsidRDefault="00A726AB" w:rsidP="004B19FF">
                            <w:pPr>
                              <w:pStyle w:val="Geenafstand"/>
                              <w:rPr>
                                <w:lang w:val="en-GB"/>
                              </w:rPr>
                            </w:pPr>
                          </w:p>
                        </w:txbxContent>
                      </v:textbox>
                    </v:shape>
                    <v:shape id="Tekstvak 106" o:spid="_x0000_s1105" type="#_x0000_t202" style="position:absolute;left:38412;top:3326;width:14521;height:6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vsAA&#10;AADcAAAADwAAAGRycy9kb3ducmV2LnhtbERPTWsCMRC9F/ofwgjeatYeZLsaRYsthZ6qpedhMybB&#10;zWRJ0nX9901B8DaP9zmrzeg7MVBMLrCC+awCQdwG7dgo+D6+PdUgUkbW2AUmBVdKsFk/Pqyw0eHC&#10;XzQcshElhFODCmzOfSNlai15TLPQExfuFKLHXGA0Uke8lHDfyeeqWkiPjkuDxZ5eLbXnw69XsN+Z&#10;F9PWGO2+1s4N48/p07wrNZ2M2yWITGO+i2/uD13mVwv4f6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yvsAAAADcAAAADwAAAAAAAAAAAAAAAACYAgAAZHJzL2Rvd25y&#10;ZXYueG1sUEsFBgAAAAAEAAQA9QAAAIUDAAAAAA==&#10;" fillcolor="white [3201]" strokeweight=".5pt">
                      <v:textbox>
                        <w:txbxContent>
                          <w:p w14:paraId="6AE8773C" w14:textId="481F5AC2" w:rsidR="00A726AB" w:rsidRDefault="00A726AB" w:rsidP="004B19FF">
                            <w:pPr>
                              <w:pStyle w:val="Geenafstand"/>
                              <w:rPr>
                                <w:u w:val="single"/>
                                <w:lang w:val="en-GB"/>
                              </w:rPr>
                            </w:pPr>
                            <w:r>
                              <w:rPr>
                                <w:u w:val="single"/>
                                <w:lang w:val="en-GB"/>
                              </w:rPr>
                              <w:t>Operational</w:t>
                            </w:r>
                            <w:r w:rsidRPr="00C82614">
                              <w:rPr>
                                <w:u w:val="single"/>
                                <w:lang w:val="en-GB"/>
                              </w:rPr>
                              <w:t xml:space="preserve"> </w:t>
                            </w:r>
                            <w:r>
                              <w:rPr>
                                <w:u w:val="single"/>
                                <w:lang w:val="en-GB"/>
                              </w:rPr>
                              <w:t xml:space="preserve">Y </w:t>
                            </w:r>
                          </w:p>
                          <w:p w14:paraId="2D647215" w14:textId="34D7664A" w:rsidR="00A726AB" w:rsidRPr="007C52B7" w:rsidRDefault="00A726AB" w:rsidP="00DD3278">
                            <w:pPr>
                              <w:pStyle w:val="Geenafstand"/>
                              <w:rPr>
                                <w:lang w:val="en-GB"/>
                              </w:rPr>
                            </w:pPr>
                            <w:r>
                              <w:rPr>
                                <w:lang w:val="en-GB"/>
                              </w:rPr>
                              <w:t>- Stock price performance</w:t>
                            </w:r>
                          </w:p>
                        </w:txbxContent>
                      </v:textbox>
                    </v:shape>
                    <v:shape id="Rechte verbindingslijn met pijl 107" o:spid="_x0000_s1106" type="#_x0000_t32" style="position:absolute;left:34202;top:6791;width:4210;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eOTb4AAADcAAAADwAAAGRycy9kb3ducmV2LnhtbERP24rCMBB9F/yHMMK+iKbKolKNIsJC&#10;93HVDxiasSk2k5Kkl/17s7Dg2xzOdQ6n0TaiJx9qxwpWywwEcel0zZWC++1rsQMRIrLGxjEp+KUA&#10;p+N0csBcu4F/qL/GSqQQDjkqMDG2uZShNGQxLF1LnLiH8xZjgr6S2uOQwm0j11m2kRZrTg0GW7oY&#10;Kp/XzipwPZvvz7mNT9mVtzN2xWXwhVIfs/G8BxFpjG/xv7vQaX62hb9n0gXy+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Z45NvgAAANwAAAAPAAAAAAAAAAAAAAAAAKEC&#10;AABkcnMvZG93bnJldi54bWxQSwUGAAAAAAQABAD5AAAAjAMAAAAA&#10;" strokecolor="black [3040]">
                      <v:stroke endarrow="block"/>
                    </v:shape>
                  </v:group>
                </v:group>
                <v:shape id="Tekstvak 108" o:spid="_x0000_s1107" type="#_x0000_t202" style="position:absolute;left:46645;top:6912;width:19709;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DV8IA&#10;AADcAAAADwAAAGRycy9kb3ducmV2LnhtbESPQUsDMRCF74L/IUzBm83Wg6xr06JSRfBkW3oeNtMk&#10;uJksSdyu/945CN5meG/e+2a9neOgJsolJDawWjagiPtkAzsDx8PrbQuqVGSLQ2Iy8EMFtpvrqzV2&#10;Nl34k6Z9dUpCuHRowNc6dlqX3lPEskwjsWjnlCNWWbPTNuNFwuOg75rmXkcMLA0eR3rx1H/tv6OB&#10;3bN7cH2L2e9aG8I0n84f7s2Ym8X89Aiq0lz/zX/X71bwG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YNXwgAAANwAAAAPAAAAAAAAAAAAAAAAAJgCAABkcnMvZG93&#10;bnJldi54bWxQSwUGAAAAAAQABAD1AAAAhwMAAAAA&#10;" fillcolor="white [3201]" strokeweight=".5pt">
                  <v:textbox>
                    <w:txbxContent>
                      <w:p w14:paraId="01795804" w14:textId="6F42E8BF" w:rsidR="00A726AB" w:rsidRDefault="00A726AB" w:rsidP="004B19FF">
                        <w:pPr>
                          <w:pStyle w:val="Geenafstand"/>
                          <w:rPr>
                            <w:u w:val="single"/>
                            <w:lang w:val="en-GB"/>
                          </w:rPr>
                        </w:pPr>
                        <w:r>
                          <w:rPr>
                            <w:u w:val="single"/>
                            <w:lang w:val="en-GB"/>
                          </w:rPr>
                          <w:t>Conceptual Z</w:t>
                        </w:r>
                      </w:p>
                      <w:p w14:paraId="5237E8E0" w14:textId="6516B0CD" w:rsidR="00A726AB" w:rsidRPr="00870C9B" w:rsidRDefault="00A726AB" w:rsidP="004B19FF">
                        <w:pPr>
                          <w:pStyle w:val="Geenafstand"/>
                          <w:rPr>
                            <w:lang w:val="en-GB"/>
                          </w:rPr>
                        </w:pPr>
                        <w:r>
                          <w:rPr>
                            <w:lang w:val="en-GB"/>
                          </w:rPr>
                          <w:t xml:space="preserve">- Size of firm </w:t>
                        </w:r>
                      </w:p>
                    </w:txbxContent>
                  </v:textbox>
                </v:shape>
                <v:shape id="Tekstvak 109" o:spid="_x0000_s1108" type="#_x0000_t202" style="position:absolute;left:46219;top:34034;width:20135;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mzMAA&#10;AADcAAAADwAAAGRycy9kb3ducmV2LnhtbERPTWsCMRC9F/ofwgjeatYeZF2NosWWQk9q6XnYjElw&#10;M1mSdN3++6ZQ8DaP9znr7eg7MVBMLrCC+awCQdwG7dgo+Dy/PtUgUkbW2AUmBT+UYLt5fFhjo8ON&#10;jzScshElhFODCmzOfSNlai15TLPQExfuEqLHXGA0Uke8lXDfyeeqWkiPjkuDxZ5eLLXX07dXcNib&#10;pWlrjPZQa+eG8evyYd6Umk7G3QpEpjHfxf/ud13mV0v4e6Z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0mzMAAAADcAAAADwAAAAAAAAAAAAAAAACYAgAAZHJzL2Rvd25y&#10;ZXYueG1sUEsFBgAAAAAEAAQA9QAAAIUDAAAAAA==&#10;" fillcolor="white [3201]" strokeweight=".5pt">
                  <v:textbox>
                    <w:txbxContent>
                      <w:p w14:paraId="45EDC20D" w14:textId="75E9B29E" w:rsidR="00A726AB" w:rsidRDefault="00A726AB" w:rsidP="004B19FF">
                        <w:pPr>
                          <w:pStyle w:val="Geenafstand"/>
                          <w:rPr>
                            <w:u w:val="single"/>
                            <w:lang w:val="en-GB"/>
                          </w:rPr>
                        </w:pPr>
                        <w:r>
                          <w:rPr>
                            <w:u w:val="single"/>
                            <w:lang w:val="en-GB"/>
                          </w:rPr>
                          <w:t>Operational Z</w:t>
                        </w:r>
                      </w:p>
                      <w:p w14:paraId="6F810265" w14:textId="09CF6D9E" w:rsidR="00A726AB" w:rsidRDefault="00A726AB" w:rsidP="004B19FF">
                        <w:pPr>
                          <w:pStyle w:val="Geenafstand"/>
                          <w:rPr>
                            <w:lang w:val="en-GB"/>
                          </w:rPr>
                        </w:pPr>
                        <w:r>
                          <w:rPr>
                            <w:lang w:val="en-GB"/>
                          </w:rPr>
                          <w:t>- Revenue</w:t>
                        </w:r>
                      </w:p>
                      <w:p w14:paraId="4345D733" w14:textId="77777777" w:rsidR="00A726AB" w:rsidRDefault="00A726AB" w:rsidP="004B19FF">
                        <w:pPr>
                          <w:pStyle w:val="Geenafstand"/>
                          <w:rPr>
                            <w:u w:val="single"/>
                            <w:lang w:val="en-GB"/>
                          </w:rPr>
                        </w:pPr>
                      </w:p>
                    </w:txbxContent>
                  </v:textbox>
                </v:shape>
                <v:shape id="Rechte verbindingslijn met pijl 110" o:spid="_x0000_s1109" type="#_x0000_t32" style="position:absolute;left:59626;top:11620;width:0;height:2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eA5MIAAADcAAAADwAAAGRycy9kb3ducmV2LnhtbESPzWoDMQyE74G+g1Ghl9B4E0op2zgh&#10;BAKbY5M+gFir6yVrebG9P3n76hDITWJGM5+2+9l3aqSY2sAG1qsCFHEdbMuNgd/r6f0LVMrIFrvA&#10;ZOBOCfa7l8UWSxsm/qHxkhslIZxKNOBy7kutU+3IY1qFnli0vxA9Zlljo23EScJ9pzdF8ak9tiwN&#10;Dns6Oqpvl8EbCCO788fS55se6usBh+o4xcqYt9f58A0q05yf5sd1ZQV/LfjyjEyg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eA5MIAAADcAAAADwAAAAAAAAAAAAAA&#10;AAChAgAAZHJzL2Rvd25yZXYueG1sUEsFBgAAAAAEAAQA+QAAAJADAAAAAA==&#10;" strokecolor="black [3040]">
                  <v:stroke endarrow="block"/>
                </v:shape>
                <v:shape id="Rechte verbindingslijn met pijl 111" o:spid="_x0000_s1110" type="#_x0000_t32" style="position:absolute;left:59626;top:31908;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VEsEAAADcAAAADwAAAGRycy9kb3ducmV2LnhtbERPTYvCMBC9L/gfwgje1rQeZOkayyIU&#10;RA9iFfQ4NGPb3WZSmqjx35sFwds83ucs8mA6caPBtZYVpNMEBHFldcu1guOh+PwC4Tyyxs4yKXiQ&#10;g3w5+lhgpu2d93QrfS1iCLsMFTTe95mUrmrIoJvanjhyFzsY9BEOtdQD3mO46eQsSebSYMuxocGe&#10;Vg1Vf+XVKNicfi8HeWwDmjLMN9uk2HXnVKnJOPx8g/AU/Fv8cq91nJ+m8P9Mv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pUSwQAAANwAAAAPAAAAAAAAAAAAAAAA&#10;AKECAABkcnMvZG93bnJldi54bWxQSwUGAAAAAAQABAD5AAAAjwMAAAAA&#10;" strokecolor="black [3040]">
                  <v:stroke endarrow="block"/>
                </v:shape>
                <w10:wrap type="topAndBottom"/>
              </v:group>
            </w:pict>
          </mc:Fallback>
        </mc:AlternateContent>
      </w:r>
      <w:r w:rsidR="004B19FF">
        <w:rPr>
          <w:lang w:val="en-GB"/>
        </w:rPr>
        <w:t xml:space="preserve">The Libby boxes presented </w:t>
      </w:r>
      <w:r>
        <w:rPr>
          <w:lang w:val="en-GB"/>
        </w:rPr>
        <w:t>in figure 4</w:t>
      </w:r>
      <w:r w:rsidR="004B19FF">
        <w:rPr>
          <w:lang w:val="en-GB"/>
        </w:rPr>
        <w:t xml:space="preserve"> show the construct of the relation indicated in hypothesis 3 on conceptual level and operational level</w:t>
      </w:r>
      <w:r w:rsidR="00236EDF">
        <w:rPr>
          <w:lang w:val="en-GB"/>
        </w:rPr>
        <w:t xml:space="preserve"> </w:t>
      </w:r>
      <w:r w:rsidR="00236EDF">
        <w:rPr>
          <w:lang w:val="en-GB"/>
        </w:rPr>
        <w:fldChar w:fldCharType="begin"/>
      </w:r>
      <w:r w:rsidR="00236EDF">
        <w:rPr>
          <w:lang w:val="en-GB"/>
        </w:rPr>
        <w:instrText>ADDIN RW.CITE{{92 Libby,Robert 1981}}</w:instrText>
      </w:r>
      <w:r w:rsidR="00236EDF">
        <w:rPr>
          <w:lang w:val="en-GB"/>
        </w:rPr>
        <w:fldChar w:fldCharType="separate"/>
      </w:r>
      <w:r w:rsidR="00236EDF" w:rsidRPr="00236EDF">
        <w:rPr>
          <w:rFonts w:ascii="Calibri" w:hAnsi="Calibri"/>
          <w:lang w:val="en-GB"/>
        </w:rPr>
        <w:t>(Libby, 1981)</w:t>
      </w:r>
      <w:r w:rsidR="00236EDF">
        <w:rPr>
          <w:lang w:val="en-GB"/>
        </w:rPr>
        <w:fldChar w:fldCharType="end"/>
      </w:r>
      <w:r w:rsidR="004B19FF">
        <w:rPr>
          <w:lang w:val="en-GB"/>
        </w:rPr>
        <w:t xml:space="preserve">. </w:t>
      </w:r>
    </w:p>
    <w:p w14:paraId="65B05EF2" w14:textId="17DC0FE2" w:rsidR="00E15040" w:rsidRDefault="00105480" w:rsidP="004B19FF">
      <w:pPr>
        <w:spacing w:line="360" w:lineRule="auto"/>
        <w:jc w:val="both"/>
        <w:rPr>
          <w:lang w:val="en-GB"/>
        </w:rPr>
      </w:pPr>
      <w:r>
        <w:rPr>
          <w:noProof/>
          <w:lang w:val="en-GB" w:eastAsia="en-GB"/>
        </w:rPr>
        <mc:AlternateContent>
          <mc:Choice Requires="wps">
            <w:drawing>
              <wp:anchor distT="0" distB="0" distL="114300" distR="114300" simplePos="0" relativeHeight="251810816" behindDoc="0" locked="0" layoutInCell="1" allowOverlap="1" wp14:anchorId="268A2D90" wp14:editId="3FB47203">
                <wp:simplePos x="0" y="0"/>
                <wp:positionH relativeFrom="column">
                  <wp:posOffset>-70205</wp:posOffset>
                </wp:positionH>
                <wp:positionV relativeFrom="paragraph">
                  <wp:posOffset>3434080</wp:posOffset>
                </wp:positionV>
                <wp:extent cx="6113721" cy="635"/>
                <wp:effectExtent l="0" t="0" r="1905" b="0"/>
                <wp:wrapNone/>
                <wp:docPr id="72" name="Tekstvak 72"/>
                <wp:cNvGraphicFramePr/>
                <a:graphic xmlns:a="http://schemas.openxmlformats.org/drawingml/2006/main">
                  <a:graphicData uri="http://schemas.microsoft.com/office/word/2010/wordprocessingShape">
                    <wps:wsp>
                      <wps:cNvSpPr txBox="1"/>
                      <wps:spPr>
                        <a:xfrm>
                          <a:off x="0" y="0"/>
                          <a:ext cx="6113721" cy="635"/>
                        </a:xfrm>
                        <a:prstGeom prst="rect">
                          <a:avLst/>
                        </a:prstGeom>
                        <a:solidFill>
                          <a:prstClr val="white"/>
                        </a:solidFill>
                        <a:ln>
                          <a:noFill/>
                        </a:ln>
                        <a:effectLst/>
                      </wps:spPr>
                      <wps:txbx>
                        <w:txbxContent>
                          <w:p w14:paraId="73BF274B" w14:textId="1B86C533" w:rsidR="00A726AB" w:rsidRPr="00105480" w:rsidRDefault="00A726AB" w:rsidP="00A726AB">
                            <w:pPr>
                              <w:pStyle w:val="Kop5"/>
                              <w:rPr>
                                <w:noProof/>
                              </w:rPr>
                            </w:pPr>
                            <w:r w:rsidRPr="00105480">
                              <w:t>Figure 4: Libby boxes hypothesis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72" o:spid="_x0000_s1111" type="#_x0000_t202" style="position:absolute;left:0;text-align:left;margin-left:-5.55pt;margin-top:270.4pt;width:481.4pt;height:.0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" stroked="f">
                <v:textbox style="mso-fit-shape-to-text:t" inset="0,0,0,0">
                  <w:txbxContent>
                    <w:p w14:paraId="73BF274B" w14:textId="1B86C533" w:rsidR="00A726AB" w:rsidRPr="00105480" w:rsidRDefault="00A726AB" w:rsidP="00A726AB">
                      <w:pPr>
                        <w:pStyle w:val="Kop5"/>
                        <w:rPr>
                          <w:noProof/>
                        </w:rPr>
                      </w:pPr>
                      <w:r w:rsidRPr="00105480">
                        <w:t>Figure 4: Libby boxes hypothesis 3</w:t>
                      </w:r>
                    </w:p>
                  </w:txbxContent>
                </v:textbox>
              </v:shape>
            </w:pict>
          </mc:Fallback>
        </mc:AlternateContent>
      </w:r>
    </w:p>
    <w:p w14:paraId="714D3482" w14:textId="791959FE" w:rsidR="00DD3278" w:rsidRDefault="00DD3278" w:rsidP="004B19FF">
      <w:pPr>
        <w:spacing w:line="360" w:lineRule="auto"/>
        <w:jc w:val="both"/>
        <w:rPr>
          <w:lang w:val="en-GB"/>
        </w:rPr>
      </w:pPr>
    </w:p>
    <w:p w14:paraId="3FC36131" w14:textId="77777777" w:rsidR="004B19FF" w:rsidRPr="004D733B" w:rsidRDefault="004B19FF" w:rsidP="004B19FF">
      <w:pPr>
        <w:spacing w:line="360" w:lineRule="auto"/>
        <w:jc w:val="both"/>
        <w:rPr>
          <w:lang w:val="en-GB"/>
        </w:rPr>
      </w:pPr>
    </w:p>
    <w:p w14:paraId="45745CCF" w14:textId="77777777" w:rsidR="004B19FF" w:rsidRDefault="004B19FF" w:rsidP="004B19FF">
      <w:pPr>
        <w:spacing w:line="360" w:lineRule="auto"/>
        <w:jc w:val="both"/>
        <w:rPr>
          <w:lang w:val="en-GB"/>
        </w:rPr>
      </w:pPr>
    </w:p>
    <w:p w14:paraId="1F2AC3BF" w14:textId="77777777" w:rsidR="00A400D5" w:rsidRDefault="00A400D5">
      <w:pPr>
        <w:rPr>
          <w:rFonts w:asciiTheme="majorHAnsi" w:eastAsiaTheme="majorEastAsia" w:hAnsiTheme="majorHAnsi" w:cstheme="majorBidi"/>
          <w:b/>
          <w:bCs/>
          <w:color w:val="4F81BD" w:themeColor="accent1"/>
          <w:sz w:val="24"/>
          <w:lang w:val="en-GB"/>
        </w:rPr>
      </w:pPr>
      <w:r w:rsidRPr="008E6D77">
        <w:rPr>
          <w:lang w:val="en-GB"/>
        </w:rPr>
        <w:br w:type="page"/>
      </w:r>
    </w:p>
    <w:p w14:paraId="20B1D085" w14:textId="6F049DE8" w:rsidR="00410940" w:rsidRDefault="00410940" w:rsidP="00410940">
      <w:pPr>
        <w:pStyle w:val="Kop3"/>
      </w:pPr>
      <w:bookmarkStart w:id="35" w:name="_Toc439346641"/>
      <w:r>
        <w:lastRenderedPageBreak/>
        <w:t>3.2.4 Hypothesis 4</w:t>
      </w:r>
      <w:bookmarkEnd w:id="35"/>
    </w:p>
    <w:p w14:paraId="7BB06E49" w14:textId="42AEA92E" w:rsidR="00DD3278" w:rsidRDefault="00DD3278" w:rsidP="00410940">
      <w:pPr>
        <w:spacing w:line="360" w:lineRule="auto"/>
        <w:jc w:val="both"/>
        <w:rPr>
          <w:lang w:val="en-GB"/>
        </w:rPr>
      </w:pPr>
      <w:r>
        <w:rPr>
          <w:lang w:val="en-GB"/>
        </w:rPr>
        <w:t xml:space="preserve">The two CFO duties together are considered to be CFO’s total performance. This implicates that the relation between each duty and equity-based compensation should also be visible when the two duties are assembled. According to the literature </w:t>
      </w:r>
      <w:r>
        <w:rPr>
          <w:lang w:val="en-GB"/>
        </w:rPr>
        <w:fldChar w:fldCharType="begin"/>
      </w:r>
      <w:r>
        <w:rPr>
          <w:lang w:val="en-GB"/>
        </w:rPr>
        <w:instrText>ADDIN RW.CITE{{54 Hölmstrom,Bengt 1979; 53 Mehran,Hamid 1995}}</w:instrText>
      </w:r>
      <w:r>
        <w:rPr>
          <w:lang w:val="en-GB"/>
        </w:rPr>
        <w:fldChar w:fldCharType="separate"/>
      </w:r>
      <w:r w:rsidRPr="00DD3278">
        <w:rPr>
          <w:rFonts w:ascii="Calibri" w:hAnsi="Calibri"/>
          <w:lang w:val="en-GB"/>
        </w:rPr>
        <w:t>(Hölmstrom, 1979; Mehran, 1995)</w:t>
      </w:r>
      <w:r>
        <w:rPr>
          <w:lang w:val="en-GB"/>
        </w:rPr>
        <w:fldChar w:fldCharType="end"/>
      </w:r>
      <w:r>
        <w:rPr>
          <w:lang w:val="en-GB"/>
        </w:rPr>
        <w:t>, equity-based compensation in the compensation package should have its effects on the CFO’s total performance. Therefore, the dissension regarding the effectiveness of equity in CFO’s compensation package is addressed by examining different proportions of equity-based compensation. The following hypothesis is constructed to support the main research question:</w:t>
      </w:r>
    </w:p>
    <w:p w14:paraId="55432BE3" w14:textId="419D164A" w:rsidR="00DD3278" w:rsidRPr="00410940" w:rsidRDefault="00DD3278" w:rsidP="00410940">
      <w:pPr>
        <w:spacing w:line="360" w:lineRule="auto"/>
        <w:jc w:val="both"/>
        <w:rPr>
          <w:i/>
          <w:lang w:val="en-GB"/>
        </w:rPr>
      </w:pPr>
      <w:r>
        <w:rPr>
          <w:i/>
          <w:lang w:val="en-GB"/>
        </w:rPr>
        <w:t>H4</w:t>
      </w:r>
      <w:r w:rsidRPr="001E281C">
        <w:rPr>
          <w:i/>
          <w:lang w:val="en-GB"/>
        </w:rPr>
        <w:t xml:space="preserve">: </w:t>
      </w:r>
      <w:r>
        <w:rPr>
          <w:i/>
          <w:lang w:val="en-GB"/>
        </w:rPr>
        <w:t>Equity compensation increases the CFO total performance only until a certain level of in the proportion of equity-based compensation to total compensation</w:t>
      </w:r>
    </w:p>
    <w:p w14:paraId="631048E0" w14:textId="5013B27B" w:rsidR="00410940" w:rsidRDefault="00410940" w:rsidP="00410940">
      <w:pPr>
        <w:pStyle w:val="Kop4"/>
      </w:pPr>
      <w:bookmarkStart w:id="36" w:name="_Toc439346642"/>
      <w:r>
        <w:t>3.2.4.1 Libby boxes</w:t>
      </w:r>
      <w:bookmarkEnd w:id="36"/>
      <w:r>
        <w:t xml:space="preserve"> </w:t>
      </w:r>
    </w:p>
    <w:p w14:paraId="02C89CCF" w14:textId="56AF4088" w:rsidR="00410940" w:rsidRDefault="00105480" w:rsidP="00410940">
      <w:pPr>
        <w:spacing w:line="360" w:lineRule="auto"/>
        <w:jc w:val="both"/>
        <w:rPr>
          <w:lang w:val="en-GB"/>
        </w:rPr>
      </w:pPr>
      <w:r>
        <w:rPr>
          <w:noProof/>
          <w:lang w:val="en-GB" w:eastAsia="en-GB"/>
        </w:rPr>
        <mc:AlternateContent>
          <mc:Choice Requires="wpg">
            <w:drawing>
              <wp:anchor distT="0" distB="0" distL="114300" distR="114300" simplePos="0" relativeHeight="251769856" behindDoc="0" locked="0" layoutInCell="1" allowOverlap="1" wp14:anchorId="3BC5C193" wp14:editId="4ED6322F">
                <wp:simplePos x="0" y="0"/>
                <wp:positionH relativeFrom="column">
                  <wp:posOffset>-155575</wp:posOffset>
                </wp:positionH>
                <wp:positionV relativeFrom="paragraph">
                  <wp:posOffset>721995</wp:posOffset>
                </wp:positionV>
                <wp:extent cx="6177280" cy="3259455"/>
                <wp:effectExtent l="0" t="0" r="13970" b="17145"/>
                <wp:wrapTopAndBottom/>
                <wp:docPr id="17" name="Groep 17"/>
                <wp:cNvGraphicFramePr/>
                <a:graphic xmlns:a="http://schemas.openxmlformats.org/drawingml/2006/main">
                  <a:graphicData uri="http://schemas.microsoft.com/office/word/2010/wordprocessingGroup">
                    <wpg:wgp>
                      <wpg:cNvGrpSpPr/>
                      <wpg:grpSpPr>
                        <a:xfrm>
                          <a:off x="0" y="0"/>
                          <a:ext cx="6177280" cy="3259455"/>
                          <a:chOff x="542258" y="651484"/>
                          <a:chExt cx="6177543" cy="3261297"/>
                        </a:xfrm>
                      </wpg:grpSpPr>
                      <wpg:grpSp>
                        <wpg:cNvPr id="23" name="Groep 23"/>
                        <wpg:cNvGrpSpPr/>
                        <wpg:grpSpPr>
                          <a:xfrm>
                            <a:off x="542258" y="1409700"/>
                            <a:ext cx="6177543" cy="1785545"/>
                            <a:chOff x="532729" y="0"/>
                            <a:chExt cx="6177549" cy="1786694"/>
                          </a:xfrm>
                        </wpg:grpSpPr>
                        <wpg:grpSp>
                          <wpg:cNvPr id="26" name="Groep 26"/>
                          <wpg:cNvGrpSpPr/>
                          <wpg:grpSpPr>
                            <a:xfrm>
                              <a:off x="532730" y="0"/>
                              <a:ext cx="6177548" cy="697865"/>
                              <a:chOff x="1947576" y="180751"/>
                              <a:chExt cx="3188230" cy="534466"/>
                            </a:xfrm>
                          </wpg:grpSpPr>
                          <wps:wsp>
                            <wps:cNvPr id="37" name="Tekstvak 37"/>
                            <wps:cNvSpPr txBox="1"/>
                            <wps:spPr>
                              <a:xfrm>
                                <a:off x="1947576" y="180751"/>
                                <a:ext cx="1355403" cy="534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6C882" w14:textId="3B7AF884" w:rsidR="00A726AB" w:rsidRPr="00C82614" w:rsidRDefault="00A726AB" w:rsidP="00410940">
                                  <w:pPr>
                                    <w:pStyle w:val="Geenafstand"/>
                                    <w:rPr>
                                      <w:lang w:val="en-GB"/>
                                    </w:rPr>
                                  </w:pPr>
                                  <w:r>
                                    <w:rPr>
                                      <w:u w:val="single"/>
                                      <w:lang w:val="en-GB"/>
                                    </w:rPr>
                                    <w:t xml:space="preserve">Conceptual X </w:t>
                                  </w:r>
                                </w:p>
                                <w:p w14:paraId="6E971F3B" w14:textId="77777777" w:rsidR="00A726AB" w:rsidRPr="00D6413D" w:rsidRDefault="00A726AB" w:rsidP="00410940">
                                  <w:pPr>
                                    <w:pStyle w:val="Geenafstand"/>
                                    <w:rPr>
                                      <w:lang w:val="en-GB"/>
                                    </w:rPr>
                                  </w:pPr>
                                  <w:r>
                                    <w:rPr>
                                      <w:lang w:val="en-GB"/>
                                    </w:rPr>
                                    <w:t>- Proportion CFO equity-based compensation</w:t>
                                  </w:r>
                                </w:p>
                                <w:p w14:paraId="36960BF3" w14:textId="77777777" w:rsidR="00A726AB" w:rsidRPr="007C52B7" w:rsidRDefault="00A726AB" w:rsidP="00410940">
                                  <w:pPr>
                                    <w:pStyle w:val="Geenafstand"/>
                                    <w:rPr>
                                      <w:lang w:val="en-GB"/>
                                    </w:rPr>
                                  </w:pPr>
                                </w:p>
                                <w:p w14:paraId="35554A4F" w14:textId="77777777" w:rsidR="00A726AB" w:rsidRPr="005F6677" w:rsidRDefault="00A726AB" w:rsidP="0041094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kstvak 40"/>
                            <wps:cNvSpPr txBox="1"/>
                            <wps:spPr>
                              <a:xfrm>
                                <a:off x="3741977" y="180752"/>
                                <a:ext cx="1393829" cy="534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D1AEF" w14:textId="72C2EFEB" w:rsidR="00A726AB" w:rsidRDefault="00A726AB" w:rsidP="00410940">
                                  <w:pPr>
                                    <w:pStyle w:val="Geenafstand"/>
                                    <w:rPr>
                                      <w:u w:val="single"/>
                                      <w:lang w:val="en-GB"/>
                                    </w:rPr>
                                  </w:pPr>
                                  <w:r>
                                    <w:rPr>
                                      <w:u w:val="single"/>
                                      <w:lang w:val="en-GB"/>
                                    </w:rPr>
                                    <w:t xml:space="preserve">Conceptual Y </w:t>
                                  </w:r>
                                </w:p>
                                <w:p w14:paraId="3801EF9D" w14:textId="47CF615C" w:rsidR="00A726AB" w:rsidRDefault="00A726AB" w:rsidP="00DD3278">
                                  <w:pPr>
                                    <w:pStyle w:val="Geenafstand"/>
                                    <w:rPr>
                                      <w:lang w:val="en-GB"/>
                                    </w:rPr>
                                  </w:pPr>
                                  <w:r>
                                    <w:rPr>
                                      <w:lang w:val="en-GB"/>
                                    </w:rPr>
                                    <w:t>- CFO total performance</w:t>
                                  </w:r>
                                </w:p>
                                <w:p w14:paraId="3D5236DF" w14:textId="77777777" w:rsidR="00A726AB" w:rsidRDefault="00A726AB" w:rsidP="00410940">
                                  <w:pPr>
                                    <w:pStyle w:val="Geenafstand"/>
                                    <w:rPr>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Rechte verbindingslijn met pijl 41"/>
                            <wps:cNvCnPr>
                              <a:stCxn id="37" idx="3"/>
                              <a:endCxn id="40" idx="1"/>
                            </wps:cNvCnPr>
                            <wps:spPr>
                              <a:xfrm>
                                <a:off x="3302979" y="447984"/>
                                <a:ext cx="438998"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42" name="Groep 42"/>
                          <wpg:cNvGrpSpPr/>
                          <wpg:grpSpPr>
                            <a:xfrm>
                              <a:off x="532729" y="980916"/>
                              <a:ext cx="6177547" cy="805778"/>
                              <a:chOff x="1938910" y="337108"/>
                              <a:chExt cx="3400854" cy="701530"/>
                            </a:xfrm>
                          </wpg:grpSpPr>
                          <wps:wsp>
                            <wps:cNvPr id="48" name="Tekstvak 48"/>
                            <wps:cNvSpPr txBox="1"/>
                            <wps:spPr>
                              <a:xfrm>
                                <a:off x="1938910" y="337108"/>
                                <a:ext cx="1445797" cy="700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C335F" w14:textId="6DFB6200" w:rsidR="00A726AB" w:rsidRPr="00C82614" w:rsidRDefault="00A726AB" w:rsidP="00410940">
                                  <w:pPr>
                                    <w:pStyle w:val="Geenafstand"/>
                                    <w:rPr>
                                      <w:u w:val="single"/>
                                      <w:lang w:val="en-GB"/>
                                    </w:rPr>
                                  </w:pPr>
                                  <w:r>
                                    <w:rPr>
                                      <w:u w:val="single"/>
                                      <w:lang w:val="en-GB"/>
                                    </w:rPr>
                                    <w:t xml:space="preserve">Operational X </w:t>
                                  </w:r>
                                </w:p>
                                <w:p w14:paraId="06DBC717" w14:textId="392E81D7" w:rsidR="00A726AB" w:rsidRDefault="00A726AB" w:rsidP="00410940">
                                  <w:pPr>
                                    <w:pStyle w:val="Geenafstand"/>
                                    <w:rPr>
                                      <w:lang w:val="en-GB"/>
                                    </w:rPr>
                                  </w:pPr>
                                  <w:r w:rsidRPr="00C82614">
                                    <w:rPr>
                                      <w:lang w:val="en-GB"/>
                                    </w:rPr>
                                    <w:t xml:space="preserve">- </w:t>
                                  </w:r>
                                  <w:r>
                                    <w:rPr>
                                      <w:lang w:val="en-GB"/>
                                    </w:rPr>
                                    <w:t>Proportion equity-based compensation of total compensation</w:t>
                                  </w:r>
                                </w:p>
                                <w:p w14:paraId="38716F55" w14:textId="77777777" w:rsidR="00A726AB" w:rsidRPr="00D6413D" w:rsidRDefault="00A726AB" w:rsidP="00410940">
                                  <w:pPr>
                                    <w:pStyle w:val="Geenafstand"/>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kstvak 50"/>
                            <wps:cNvSpPr txBox="1"/>
                            <wps:spPr>
                              <a:xfrm>
                                <a:off x="3852981" y="341837"/>
                                <a:ext cx="1486783" cy="6968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E1F4D" w14:textId="2176580D" w:rsidR="00A726AB" w:rsidRDefault="00A726AB" w:rsidP="00410940">
                                  <w:pPr>
                                    <w:pStyle w:val="Geenafstand"/>
                                    <w:rPr>
                                      <w:u w:val="single"/>
                                      <w:lang w:val="en-GB"/>
                                    </w:rPr>
                                  </w:pPr>
                                  <w:r>
                                    <w:rPr>
                                      <w:u w:val="single"/>
                                      <w:lang w:val="en-GB"/>
                                    </w:rPr>
                                    <w:t>Operational</w:t>
                                  </w:r>
                                  <w:r w:rsidRPr="00C82614">
                                    <w:rPr>
                                      <w:u w:val="single"/>
                                      <w:lang w:val="en-GB"/>
                                    </w:rPr>
                                    <w:t xml:space="preserve"> </w:t>
                                  </w:r>
                                  <w:r>
                                    <w:rPr>
                                      <w:u w:val="single"/>
                                      <w:lang w:val="en-GB"/>
                                    </w:rPr>
                                    <w:t xml:space="preserve">Y </w:t>
                                  </w:r>
                                </w:p>
                                <w:p w14:paraId="794D05F4" w14:textId="4837D744" w:rsidR="00A726AB" w:rsidRPr="007C52B7" w:rsidRDefault="00A726AB" w:rsidP="00DD3278">
                                  <w:pPr>
                                    <w:pStyle w:val="Geenafstand"/>
                                    <w:rPr>
                                      <w:lang w:val="en-GB"/>
                                    </w:rPr>
                                  </w:pPr>
                                  <w:r>
                                    <w:rPr>
                                      <w:lang w:val="en-GB"/>
                                    </w:rPr>
                                    <w:t>- Stock price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Rechte verbindingslijn met pijl 53"/>
                            <wps:cNvCnPr>
                              <a:stCxn id="48" idx="3"/>
                              <a:endCxn id="50" idx="1"/>
                            </wps:cNvCnPr>
                            <wps:spPr>
                              <a:xfrm>
                                <a:off x="3384707" y="687353"/>
                                <a:ext cx="468274" cy="288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s:wsp>
                        <wps:cNvPr id="60" name="Tekstvak 60"/>
                        <wps:cNvSpPr txBox="1"/>
                        <wps:spPr>
                          <a:xfrm>
                            <a:off x="4685855" y="651484"/>
                            <a:ext cx="2033946" cy="523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F77EF0" w14:textId="382807E0" w:rsidR="00A726AB" w:rsidRDefault="00A726AB" w:rsidP="00410940">
                              <w:pPr>
                                <w:pStyle w:val="Geenafstand"/>
                                <w:rPr>
                                  <w:u w:val="single"/>
                                  <w:lang w:val="en-GB"/>
                                </w:rPr>
                              </w:pPr>
                              <w:r>
                                <w:rPr>
                                  <w:u w:val="single"/>
                                  <w:lang w:val="en-GB"/>
                                </w:rPr>
                                <w:t>Conceptual Z</w:t>
                              </w:r>
                            </w:p>
                            <w:p w14:paraId="329BDB54" w14:textId="5EE3A446" w:rsidR="00A726AB" w:rsidRPr="00870C9B" w:rsidRDefault="00A726AB" w:rsidP="00410940">
                              <w:pPr>
                                <w:pStyle w:val="Geenafstand"/>
                                <w:rPr>
                                  <w:lang w:val="en-GB"/>
                                </w:rPr>
                              </w:pPr>
                              <w:r>
                                <w:rPr>
                                  <w:lang w:val="en-GB"/>
                                </w:rPr>
                                <w:t>- Size of 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kstvak 67"/>
                        <wps:cNvSpPr txBox="1"/>
                        <wps:spPr>
                          <a:xfrm>
                            <a:off x="4685855" y="3429000"/>
                            <a:ext cx="2033946" cy="4837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156E5" w14:textId="541CBFEA" w:rsidR="00A726AB" w:rsidRDefault="00A726AB" w:rsidP="00410940">
                              <w:pPr>
                                <w:pStyle w:val="Geenafstand"/>
                                <w:rPr>
                                  <w:u w:val="single"/>
                                  <w:lang w:val="en-GB"/>
                                </w:rPr>
                              </w:pPr>
                              <w:r>
                                <w:rPr>
                                  <w:u w:val="single"/>
                                  <w:lang w:val="en-GB"/>
                                </w:rPr>
                                <w:t>Operational Z</w:t>
                              </w:r>
                            </w:p>
                            <w:p w14:paraId="4D2C13AB" w14:textId="75AD0543" w:rsidR="00A726AB" w:rsidRDefault="00A726AB" w:rsidP="00410940">
                              <w:pPr>
                                <w:pStyle w:val="Geenafstand"/>
                                <w:rPr>
                                  <w:lang w:val="en-GB"/>
                                </w:rPr>
                              </w:pPr>
                              <w:r>
                                <w:rPr>
                                  <w:lang w:val="en-GB"/>
                                </w:rPr>
                                <w:t>- Revenue</w:t>
                              </w:r>
                            </w:p>
                            <w:p w14:paraId="2EFB6CCD" w14:textId="77777777" w:rsidR="00A726AB" w:rsidRDefault="00A726AB" w:rsidP="00410940">
                              <w:pPr>
                                <w:pStyle w:val="Geenafstand"/>
                                <w:rPr>
                                  <w:lang w:val="en-GB"/>
                                </w:rPr>
                              </w:pPr>
                            </w:p>
                            <w:p w14:paraId="7E89BA9A" w14:textId="77777777" w:rsidR="00A726AB" w:rsidRDefault="00A726AB" w:rsidP="00410940">
                              <w:pPr>
                                <w:pStyle w:val="Geenafstand"/>
                                <w:rPr>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Rechte verbindingslijn met pijl 68"/>
                        <wps:cNvCnPr/>
                        <wps:spPr>
                          <a:xfrm>
                            <a:off x="5962650" y="1162050"/>
                            <a:ext cx="0" cy="2438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9" name="Rechte verbindingslijn met pijl 69"/>
                        <wps:cNvCnPr/>
                        <wps:spPr>
                          <a:xfrm flipV="1">
                            <a:off x="5962650" y="3190875"/>
                            <a:ext cx="0" cy="23812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17" o:spid="_x0000_s1112" style="position:absolute;left:0;text-align:left;margin-left:-12.25pt;margin-top:56.85pt;width:486.4pt;height:256.65pt;z-index:251769856;mso-width-relative:margin;mso-height-relative:margin" coordorigin="5422,6514" coordsize="61775,3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">
                <v:group id="Groep 23" o:spid="_x0000_s1113" style="position:absolute;left:5422;top:14097;width:61776;height:17855" coordorigin="5327" coordsize="61775,17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ep 26" o:spid="_x0000_s1114" style="position:absolute;left:5327;width:61775;height:6978" coordorigin="19475,1807" coordsize="31882,5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kstvak 37" o:spid="_x0000_s1115" type="#_x0000_t202" style="position:absolute;left:19475;top:1807;width:13554;height:5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14:paraId="7796C882" w14:textId="3B7AF884" w:rsidR="00A726AB" w:rsidRPr="00C82614" w:rsidRDefault="00A726AB" w:rsidP="00410940">
                            <w:pPr>
                              <w:pStyle w:val="Geenafstand"/>
                              <w:rPr>
                                <w:lang w:val="en-GB"/>
                              </w:rPr>
                            </w:pPr>
                            <w:r>
                              <w:rPr>
                                <w:u w:val="single"/>
                                <w:lang w:val="en-GB"/>
                              </w:rPr>
                              <w:t xml:space="preserve">Conceptual X </w:t>
                            </w:r>
                          </w:p>
                          <w:p w14:paraId="6E971F3B" w14:textId="77777777" w:rsidR="00A726AB" w:rsidRPr="00D6413D" w:rsidRDefault="00A726AB" w:rsidP="00410940">
                            <w:pPr>
                              <w:pStyle w:val="Geenafstand"/>
                              <w:rPr>
                                <w:lang w:val="en-GB"/>
                              </w:rPr>
                            </w:pPr>
                            <w:r>
                              <w:rPr>
                                <w:lang w:val="en-GB"/>
                              </w:rPr>
                              <w:t>- Proportion CFO equity-based compensation</w:t>
                            </w:r>
                          </w:p>
                          <w:p w14:paraId="36960BF3" w14:textId="77777777" w:rsidR="00A726AB" w:rsidRPr="007C52B7" w:rsidRDefault="00A726AB" w:rsidP="00410940">
                            <w:pPr>
                              <w:pStyle w:val="Geenafstand"/>
                              <w:rPr>
                                <w:lang w:val="en-GB"/>
                              </w:rPr>
                            </w:pPr>
                          </w:p>
                          <w:p w14:paraId="35554A4F" w14:textId="77777777" w:rsidR="00A726AB" w:rsidRPr="005F6677" w:rsidRDefault="00A726AB" w:rsidP="00410940">
                            <w:pPr>
                              <w:rPr>
                                <w:lang w:val="en-GB"/>
                              </w:rPr>
                            </w:pPr>
                          </w:p>
                        </w:txbxContent>
                      </v:textbox>
                    </v:shape>
                    <v:shape id="Tekstvak 40" o:spid="_x0000_s1116" type="#_x0000_t202" style="position:absolute;left:37419;top:1807;width:13939;height:5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14:paraId="2C1D1AEF" w14:textId="72C2EFEB" w:rsidR="00A726AB" w:rsidRDefault="00A726AB" w:rsidP="00410940">
                            <w:pPr>
                              <w:pStyle w:val="Geenafstand"/>
                              <w:rPr>
                                <w:u w:val="single"/>
                                <w:lang w:val="en-GB"/>
                              </w:rPr>
                            </w:pPr>
                            <w:r>
                              <w:rPr>
                                <w:u w:val="single"/>
                                <w:lang w:val="en-GB"/>
                              </w:rPr>
                              <w:t xml:space="preserve">Conceptual Y </w:t>
                            </w:r>
                          </w:p>
                          <w:p w14:paraId="3801EF9D" w14:textId="47CF615C" w:rsidR="00A726AB" w:rsidRDefault="00A726AB" w:rsidP="00DD3278">
                            <w:pPr>
                              <w:pStyle w:val="Geenafstand"/>
                              <w:rPr>
                                <w:lang w:val="en-GB"/>
                              </w:rPr>
                            </w:pPr>
                            <w:r>
                              <w:rPr>
                                <w:lang w:val="en-GB"/>
                              </w:rPr>
                              <w:t>- CFO total performance</w:t>
                            </w:r>
                          </w:p>
                          <w:p w14:paraId="3D5236DF" w14:textId="77777777" w:rsidR="00A726AB" w:rsidRDefault="00A726AB" w:rsidP="00410940">
                            <w:pPr>
                              <w:pStyle w:val="Geenafstand"/>
                              <w:rPr>
                                <w:u w:val="single"/>
                                <w:lang w:val="en-GB"/>
                              </w:rPr>
                            </w:pPr>
                          </w:p>
                        </w:txbxContent>
                      </v:textbox>
                    </v:shape>
                    <v:shape id="Rechte verbindingslijn met pijl 41" o:spid="_x0000_s1117" type="#_x0000_t32" style="position:absolute;left:33029;top:4479;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vboL8AAADbAAAADwAAAGRycy9kb3ducmV2LnhtbESP3YrCMBSE7wXfIRxhb0RTF1mkGkUE&#10;oV6u7gMcmmNTbE5Kkv749kYQ9nKYmW+Y3WG0jejJh9qxgtUyA0FcOl1zpeDvdl5sQISIrLFxTAqe&#10;FOCwn052mGs38C/111iJBOGQowITY5tLGUpDFsPStcTJuztvMSbpK6k9DgluG/mdZT/SYs1pwWBL&#10;J0Pl49pZBa5nc1nPbXzIrrwdsStOgy+U+pqNxy2ISGP8D3/ahVawXsH7S/oBcv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bvboL8AAADbAAAADwAAAAAAAAAAAAAAAACh&#10;AgAAZHJzL2Rvd25yZXYueG1sUEsFBgAAAAAEAAQA+QAAAI0DAAAAAA==&#10;" strokecolor="black [3040]">
                      <v:stroke endarrow="block"/>
                    </v:shape>
                  </v:group>
                  <v:group id="Groep 42" o:spid="_x0000_s1118" style="position:absolute;left:5327;top:9809;width:61775;height:8057" coordorigin="19389,3371" coordsize="34008,7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kstvak 48" o:spid="_x0000_s1119" type="#_x0000_t202" style="position:absolute;left:19389;top:3371;width:14458;height:7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14:paraId="7ACC335F" w14:textId="6DFB6200" w:rsidR="00A726AB" w:rsidRPr="00C82614" w:rsidRDefault="00A726AB" w:rsidP="00410940">
                            <w:pPr>
                              <w:pStyle w:val="Geenafstand"/>
                              <w:rPr>
                                <w:u w:val="single"/>
                                <w:lang w:val="en-GB"/>
                              </w:rPr>
                            </w:pPr>
                            <w:r>
                              <w:rPr>
                                <w:u w:val="single"/>
                                <w:lang w:val="en-GB"/>
                              </w:rPr>
                              <w:t xml:space="preserve">Operational X </w:t>
                            </w:r>
                          </w:p>
                          <w:p w14:paraId="06DBC717" w14:textId="392E81D7" w:rsidR="00A726AB" w:rsidRDefault="00A726AB" w:rsidP="00410940">
                            <w:pPr>
                              <w:pStyle w:val="Geenafstand"/>
                              <w:rPr>
                                <w:lang w:val="en-GB"/>
                              </w:rPr>
                            </w:pPr>
                            <w:r w:rsidRPr="00C82614">
                              <w:rPr>
                                <w:lang w:val="en-GB"/>
                              </w:rPr>
                              <w:t xml:space="preserve">- </w:t>
                            </w:r>
                            <w:r>
                              <w:rPr>
                                <w:lang w:val="en-GB"/>
                              </w:rPr>
                              <w:t>Proportion equity-based compensation of total compensation</w:t>
                            </w:r>
                          </w:p>
                          <w:p w14:paraId="38716F55" w14:textId="77777777" w:rsidR="00A726AB" w:rsidRPr="00D6413D" w:rsidRDefault="00A726AB" w:rsidP="00410940">
                            <w:pPr>
                              <w:pStyle w:val="Geenafstand"/>
                              <w:rPr>
                                <w:lang w:val="en-GB"/>
                              </w:rPr>
                            </w:pPr>
                          </w:p>
                        </w:txbxContent>
                      </v:textbox>
                    </v:shape>
                    <v:shape id="Tekstvak 50" o:spid="_x0000_s1120" type="#_x0000_t202" style="position:absolute;left:38529;top:3418;width:14868;height:6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14:paraId="219E1F4D" w14:textId="2176580D" w:rsidR="00A726AB" w:rsidRDefault="00A726AB" w:rsidP="00410940">
                            <w:pPr>
                              <w:pStyle w:val="Geenafstand"/>
                              <w:rPr>
                                <w:u w:val="single"/>
                                <w:lang w:val="en-GB"/>
                              </w:rPr>
                            </w:pPr>
                            <w:r>
                              <w:rPr>
                                <w:u w:val="single"/>
                                <w:lang w:val="en-GB"/>
                              </w:rPr>
                              <w:t>Operational</w:t>
                            </w:r>
                            <w:r w:rsidRPr="00C82614">
                              <w:rPr>
                                <w:u w:val="single"/>
                                <w:lang w:val="en-GB"/>
                              </w:rPr>
                              <w:t xml:space="preserve"> </w:t>
                            </w:r>
                            <w:r>
                              <w:rPr>
                                <w:u w:val="single"/>
                                <w:lang w:val="en-GB"/>
                              </w:rPr>
                              <w:t xml:space="preserve">Y </w:t>
                            </w:r>
                          </w:p>
                          <w:p w14:paraId="794D05F4" w14:textId="4837D744" w:rsidR="00A726AB" w:rsidRPr="007C52B7" w:rsidRDefault="00A726AB" w:rsidP="00DD3278">
                            <w:pPr>
                              <w:pStyle w:val="Geenafstand"/>
                              <w:rPr>
                                <w:lang w:val="en-GB"/>
                              </w:rPr>
                            </w:pPr>
                            <w:r>
                              <w:rPr>
                                <w:lang w:val="en-GB"/>
                              </w:rPr>
                              <w:t>- Stock price performance</w:t>
                            </w:r>
                          </w:p>
                        </w:txbxContent>
                      </v:textbox>
                    </v:shape>
                    <v:shape id="Rechte verbindingslijn met pijl 53" o:spid="_x0000_s1121" type="#_x0000_t32" style="position:absolute;left:33847;top:6873;width:4682;height: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2kcEAAADbAAAADwAAAGRycy9kb3ducmV2LnhtbESP3WoCMRSE7wu+QzhCb4pmbVVkNYoI&#10;he2lPw9w2Bw3i5uTJcn+9O2bguDlMDPfMLvDaBvRkw+1YwWLeQaCuHS65krB7fo924AIEVlj45gU&#10;/FKAw37ytsNcu4HP1F9iJRKEQ44KTIxtLmUoDVkMc9cSJ+/uvMWYpK+k9jgkuG3kZ5atpcWa04LB&#10;lk6Gyselswpcz+Zn+WHjQ3bl9YhdcRp8odT7dDxuQUQa4yv8bBdaweoL/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HaRwQAAANsAAAAPAAAAAAAAAAAAAAAA&#10;AKECAABkcnMvZG93bnJldi54bWxQSwUGAAAAAAQABAD5AAAAjwMAAAAA&#10;" strokecolor="black [3040]">
                      <v:stroke endarrow="block"/>
                    </v:shape>
                  </v:group>
                </v:group>
                <v:shape id="Tekstvak 60" o:spid="_x0000_s1122" type="#_x0000_t202" style="position:absolute;left:46858;top:6514;width:20340;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14:paraId="2DF77EF0" w14:textId="382807E0" w:rsidR="00A726AB" w:rsidRDefault="00A726AB" w:rsidP="00410940">
                        <w:pPr>
                          <w:pStyle w:val="Geenafstand"/>
                          <w:rPr>
                            <w:u w:val="single"/>
                            <w:lang w:val="en-GB"/>
                          </w:rPr>
                        </w:pPr>
                        <w:r>
                          <w:rPr>
                            <w:u w:val="single"/>
                            <w:lang w:val="en-GB"/>
                          </w:rPr>
                          <w:t>Conceptual Z</w:t>
                        </w:r>
                      </w:p>
                      <w:p w14:paraId="329BDB54" w14:textId="5EE3A446" w:rsidR="00A726AB" w:rsidRPr="00870C9B" w:rsidRDefault="00A726AB" w:rsidP="00410940">
                        <w:pPr>
                          <w:pStyle w:val="Geenafstand"/>
                          <w:rPr>
                            <w:lang w:val="en-GB"/>
                          </w:rPr>
                        </w:pPr>
                        <w:r>
                          <w:rPr>
                            <w:lang w:val="en-GB"/>
                          </w:rPr>
                          <w:t>- Size of firm</w:t>
                        </w:r>
                      </w:p>
                    </w:txbxContent>
                  </v:textbox>
                </v:shape>
                <v:shape id="Tekstvak 67" o:spid="_x0000_s1123" type="#_x0000_t202" style="position:absolute;left:46858;top:34290;width:20340;height:4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Aa8IA&#10;AADbAAAADwAAAGRycy9kb3ducmV2LnhtbESPQWsCMRSE74X+h/AK3mq2Peh2NUpbVAqeakvPj80z&#10;CW5eliRd13/fCEKPw8x8wyzXo+/EQDG5wAqephUI4jZox0bB99f2sQaRMrLGLjApuFCC9er+bomN&#10;Dmf+pOGQjSgQTg0qsDn3jZSpteQxTUNPXLxjiB5zkdFIHfFc4L6Tz1U1kx4dlwWLPb1bak+HX69g&#10;82ZeTFtjtJtaOzeMP8e92Sk1eRhfFyAyjfk/fGt/aAWzO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IBrwgAAANsAAAAPAAAAAAAAAAAAAAAAAJgCAABkcnMvZG93&#10;bnJldi54bWxQSwUGAAAAAAQABAD1AAAAhwMAAAAA&#10;" fillcolor="white [3201]" strokeweight=".5pt">
                  <v:textbox>
                    <w:txbxContent>
                      <w:p w14:paraId="695156E5" w14:textId="541CBFEA" w:rsidR="00A726AB" w:rsidRDefault="00A726AB" w:rsidP="00410940">
                        <w:pPr>
                          <w:pStyle w:val="Geenafstand"/>
                          <w:rPr>
                            <w:u w:val="single"/>
                            <w:lang w:val="en-GB"/>
                          </w:rPr>
                        </w:pPr>
                        <w:r>
                          <w:rPr>
                            <w:u w:val="single"/>
                            <w:lang w:val="en-GB"/>
                          </w:rPr>
                          <w:t>Operational Z</w:t>
                        </w:r>
                      </w:p>
                      <w:p w14:paraId="4D2C13AB" w14:textId="75AD0543" w:rsidR="00A726AB" w:rsidRDefault="00A726AB" w:rsidP="00410940">
                        <w:pPr>
                          <w:pStyle w:val="Geenafstand"/>
                          <w:rPr>
                            <w:lang w:val="en-GB"/>
                          </w:rPr>
                        </w:pPr>
                        <w:r>
                          <w:rPr>
                            <w:lang w:val="en-GB"/>
                          </w:rPr>
                          <w:t>- Revenue</w:t>
                        </w:r>
                      </w:p>
                      <w:p w14:paraId="2EFB6CCD" w14:textId="77777777" w:rsidR="00A726AB" w:rsidRDefault="00A726AB" w:rsidP="00410940">
                        <w:pPr>
                          <w:pStyle w:val="Geenafstand"/>
                          <w:rPr>
                            <w:lang w:val="en-GB"/>
                          </w:rPr>
                        </w:pPr>
                      </w:p>
                      <w:p w14:paraId="7E89BA9A" w14:textId="77777777" w:rsidR="00A726AB" w:rsidRDefault="00A726AB" w:rsidP="00410940">
                        <w:pPr>
                          <w:pStyle w:val="Geenafstand"/>
                          <w:rPr>
                            <w:u w:val="single"/>
                            <w:lang w:val="en-GB"/>
                          </w:rPr>
                        </w:pPr>
                      </w:p>
                    </w:txbxContent>
                  </v:textbox>
                </v:shape>
                <v:shape id="Rechte verbindingslijn met pijl 68" o:spid="_x0000_s1124" type="#_x0000_t32" style="position:absolute;left:59626;top:11620;width:0;height:2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uXb0AAADbAAAADwAAAGRycy9kb3ducmV2LnhtbERPy0rEMBTdC/5DuMJsxEkVGaROWkpB&#10;qEs7fsCluTalzU1J0sf8/WQx4PJw3udyt5NYyYfBsYLXYwaCuHN64F7B7+Xr5QNEiMgaJ8ek4EoB&#10;yuLx4Yy5dhv/0NrGXqQQDjkqMDHOuZShM2QxHN1MnLg/5y3GBH0vtccthdtJvmXZSVocODUYnKk2&#10;1I3tYhW4lc33+7ONo1y6S4VLU2++UerwtFefICLt8V98dzdawSmNTV/SD5DF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M0Ll29AAAA2wAAAA8AAAAAAAAAAAAAAAAAoQIA&#10;AGRycy9kb3ducmV2LnhtbFBLBQYAAAAABAAEAPkAAACLAwAAAAA=&#10;" strokecolor="black [3040]">
                  <v:stroke endarrow="block"/>
                </v:shape>
                <v:shape id="Rechte verbindingslijn met pijl 69" o:spid="_x0000_s1125" type="#_x0000_t32" style="position:absolute;left:59626;top:31908;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Sq8IAAADbAAAADwAAAGRycy9kb3ducmV2LnhtbESPQYvCMBSE78L+h/AW9qapeyhajbIs&#10;CIsexFrQ46N5ttXmpTRRs//eCILHYWa+YebLYFpxo941lhWMRwkI4tLqhisFxX41nIBwHllja5kU&#10;/JOD5eJjMMdM2zvv6Jb7SkQIuwwV1N53mZSurMmgG9mOOHon2xv0UfaV1D3eI9y08jtJUmmw4bhQ&#10;Y0e/NZWX/GoUrA/n014WTUCTh3S9SVbb9jhW6usz/MxAeAr+HX61/7SCdAr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lSq8IAAADbAAAADwAAAAAAAAAAAAAA&#10;AAChAgAAZHJzL2Rvd25yZXYueG1sUEsFBgAAAAAEAAQA+QAAAJADAAAAAA==&#10;" strokecolor="black [3040]">
                  <v:stroke endarrow="block"/>
                </v:shape>
                <w10:wrap type="topAndBottom"/>
              </v:group>
            </w:pict>
          </mc:Fallback>
        </mc:AlternateContent>
      </w:r>
      <w:r w:rsidR="00410940">
        <w:rPr>
          <w:lang w:val="en-GB"/>
        </w:rPr>
        <w:t xml:space="preserve">The Libby boxes presented </w:t>
      </w:r>
      <w:r>
        <w:rPr>
          <w:lang w:val="en-GB"/>
        </w:rPr>
        <w:t>in figure 5</w:t>
      </w:r>
      <w:r w:rsidR="00410940">
        <w:rPr>
          <w:lang w:val="en-GB"/>
        </w:rPr>
        <w:t xml:space="preserve"> show the construct of the relation i</w:t>
      </w:r>
      <w:r w:rsidR="00427E2A">
        <w:rPr>
          <w:lang w:val="en-GB"/>
        </w:rPr>
        <w:t>ndicated in hypothesis 4</w:t>
      </w:r>
      <w:r w:rsidR="00410940">
        <w:rPr>
          <w:lang w:val="en-GB"/>
        </w:rPr>
        <w:t xml:space="preserve"> on conceptual level and operational level</w:t>
      </w:r>
      <w:r w:rsidR="00236EDF">
        <w:rPr>
          <w:lang w:val="en-GB"/>
        </w:rPr>
        <w:t xml:space="preserve"> </w:t>
      </w:r>
      <w:r w:rsidR="00236EDF">
        <w:rPr>
          <w:lang w:val="en-GB"/>
        </w:rPr>
        <w:fldChar w:fldCharType="begin"/>
      </w:r>
      <w:r w:rsidR="00236EDF">
        <w:rPr>
          <w:lang w:val="en-GB"/>
        </w:rPr>
        <w:instrText>ADDIN RW.CITE{{92 Libby,Robert 1981}}</w:instrText>
      </w:r>
      <w:r w:rsidR="00236EDF">
        <w:rPr>
          <w:lang w:val="en-GB"/>
        </w:rPr>
        <w:fldChar w:fldCharType="separate"/>
      </w:r>
      <w:r w:rsidR="00236EDF" w:rsidRPr="00236EDF">
        <w:rPr>
          <w:rFonts w:ascii="Calibri" w:hAnsi="Calibri"/>
          <w:lang w:val="en-GB"/>
        </w:rPr>
        <w:t>(Libby, 1981)</w:t>
      </w:r>
      <w:r w:rsidR="00236EDF">
        <w:rPr>
          <w:lang w:val="en-GB"/>
        </w:rPr>
        <w:fldChar w:fldCharType="end"/>
      </w:r>
      <w:r w:rsidR="00410940">
        <w:rPr>
          <w:lang w:val="en-GB"/>
        </w:rPr>
        <w:t xml:space="preserve">. </w:t>
      </w:r>
    </w:p>
    <w:p w14:paraId="65346619" w14:textId="5DE8A198" w:rsidR="00410940" w:rsidRPr="004D733B" w:rsidRDefault="00352EBD" w:rsidP="00410940">
      <w:pPr>
        <w:spacing w:line="360" w:lineRule="auto"/>
        <w:jc w:val="both"/>
        <w:rPr>
          <w:lang w:val="en-GB"/>
        </w:rPr>
      </w:pPr>
      <w:r>
        <w:rPr>
          <w:noProof/>
          <w:lang w:val="en-GB" w:eastAsia="en-GB"/>
        </w:rPr>
        <mc:AlternateContent>
          <mc:Choice Requires="wps">
            <w:drawing>
              <wp:anchor distT="0" distB="0" distL="114300" distR="114300" simplePos="0" relativeHeight="251812864" behindDoc="0" locked="0" layoutInCell="1" allowOverlap="1" wp14:anchorId="6EF982A1" wp14:editId="6FF1C369">
                <wp:simplePos x="0" y="0"/>
                <wp:positionH relativeFrom="column">
                  <wp:posOffset>-6823</wp:posOffset>
                </wp:positionH>
                <wp:positionV relativeFrom="paragraph">
                  <wp:posOffset>3422325</wp:posOffset>
                </wp:positionV>
                <wp:extent cx="6286500" cy="635"/>
                <wp:effectExtent l="0" t="0" r="0" b="0"/>
                <wp:wrapNone/>
                <wp:docPr id="73" name="Tekstvak 73"/>
                <wp:cNvGraphicFramePr/>
                <a:graphic xmlns:a="http://schemas.openxmlformats.org/drawingml/2006/main">
                  <a:graphicData uri="http://schemas.microsoft.com/office/word/2010/wordprocessingShape">
                    <wps:wsp>
                      <wps:cNvSpPr txBox="1"/>
                      <wps:spPr>
                        <a:xfrm>
                          <a:off x="0" y="0"/>
                          <a:ext cx="6286500" cy="635"/>
                        </a:xfrm>
                        <a:prstGeom prst="rect">
                          <a:avLst/>
                        </a:prstGeom>
                        <a:solidFill>
                          <a:prstClr val="white"/>
                        </a:solidFill>
                        <a:ln>
                          <a:noFill/>
                        </a:ln>
                        <a:effectLst/>
                      </wps:spPr>
                      <wps:txbx>
                        <w:txbxContent>
                          <w:p w14:paraId="7EACF296" w14:textId="4524D4B7" w:rsidR="00A726AB" w:rsidRPr="00105480" w:rsidRDefault="00A726AB" w:rsidP="00A726AB">
                            <w:pPr>
                              <w:pStyle w:val="Kop5"/>
                              <w:rPr>
                                <w:noProof/>
                              </w:rPr>
                            </w:pPr>
                            <w:r w:rsidRPr="00105480">
                              <w:t>Figure 5: Libby boxes hypothesis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73" o:spid="_x0000_s1126" type="#_x0000_t202" style="position:absolute;left:0;text-align:left;margin-left:-.55pt;margin-top:269.45pt;width:495pt;height:.0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" stroked="f">
                <v:textbox style="mso-fit-shape-to-text:t" inset="0,0,0,0">
                  <w:txbxContent>
                    <w:p w14:paraId="7EACF296" w14:textId="4524D4B7" w:rsidR="00A726AB" w:rsidRPr="00105480" w:rsidRDefault="00A726AB" w:rsidP="00A726AB">
                      <w:pPr>
                        <w:pStyle w:val="Kop5"/>
                        <w:rPr>
                          <w:noProof/>
                        </w:rPr>
                      </w:pPr>
                      <w:r w:rsidRPr="00105480">
                        <w:t>Figure 5: Libby boxes hypothesis 4</w:t>
                      </w:r>
                    </w:p>
                  </w:txbxContent>
                </v:textbox>
              </v:shape>
            </w:pict>
          </mc:Fallback>
        </mc:AlternateContent>
      </w:r>
    </w:p>
    <w:p w14:paraId="263DB011" w14:textId="77777777" w:rsidR="00410940" w:rsidRDefault="00410940" w:rsidP="00410940">
      <w:pPr>
        <w:spacing w:line="360" w:lineRule="auto"/>
        <w:jc w:val="both"/>
        <w:rPr>
          <w:lang w:val="en-GB"/>
        </w:rPr>
      </w:pPr>
    </w:p>
    <w:p w14:paraId="2E47B7E5" w14:textId="77777777" w:rsidR="00A400D5" w:rsidRDefault="00A400D5">
      <w:pPr>
        <w:rPr>
          <w:rFonts w:asciiTheme="majorHAnsi" w:eastAsiaTheme="majorEastAsia" w:hAnsiTheme="majorHAnsi" w:cstheme="majorBidi"/>
          <w:b/>
          <w:bCs/>
          <w:color w:val="4F81BD" w:themeColor="accent1"/>
          <w:sz w:val="24"/>
          <w:lang w:val="en-GB"/>
        </w:rPr>
      </w:pPr>
      <w:r w:rsidRPr="008E6D77">
        <w:rPr>
          <w:lang w:val="en-GB"/>
        </w:rPr>
        <w:br w:type="page"/>
      </w:r>
    </w:p>
    <w:p w14:paraId="36074C4A" w14:textId="2DC04C24" w:rsidR="00692EA4" w:rsidRDefault="00A726AB" w:rsidP="00A726AB">
      <w:pPr>
        <w:pStyle w:val="Kop2"/>
      </w:pPr>
      <w:bookmarkStart w:id="37" w:name="_Toc439346643"/>
      <w:r>
        <w:lastRenderedPageBreak/>
        <w:t>3.3</w:t>
      </w:r>
      <w:r w:rsidR="00DE7052">
        <w:t xml:space="preserve"> </w:t>
      </w:r>
      <w:r w:rsidR="0017440F">
        <w:t>Measurement</w:t>
      </w:r>
      <w:r w:rsidR="00DE7052">
        <w:t xml:space="preserve"> </w:t>
      </w:r>
      <w:r w:rsidR="00FA7D2A">
        <w:t>of variables</w:t>
      </w:r>
      <w:bookmarkEnd w:id="37"/>
    </w:p>
    <w:p w14:paraId="2974F31F" w14:textId="20523C0F" w:rsidR="00236EDF" w:rsidRDefault="00D92622" w:rsidP="00731FEA">
      <w:pPr>
        <w:spacing w:line="360" w:lineRule="auto"/>
        <w:jc w:val="both"/>
        <w:rPr>
          <w:lang w:val="en-GB"/>
        </w:rPr>
      </w:pPr>
      <w:r>
        <w:rPr>
          <w:lang w:val="en-GB"/>
        </w:rPr>
        <w:t xml:space="preserve">While </w:t>
      </w:r>
      <w:r w:rsidR="00731FEA">
        <w:rPr>
          <w:lang w:val="en-GB"/>
        </w:rPr>
        <w:t xml:space="preserve">the Libby boxes </w:t>
      </w:r>
      <w:r>
        <w:rPr>
          <w:lang w:val="en-GB"/>
        </w:rPr>
        <w:t>only</w:t>
      </w:r>
      <w:r w:rsidR="00731FEA">
        <w:rPr>
          <w:lang w:val="en-GB"/>
        </w:rPr>
        <w:t xml:space="preserve"> mention the </w:t>
      </w:r>
      <w:r>
        <w:rPr>
          <w:lang w:val="en-GB"/>
        </w:rPr>
        <w:t xml:space="preserve">different operational </w:t>
      </w:r>
      <w:r w:rsidR="00731FEA">
        <w:rPr>
          <w:lang w:val="en-GB"/>
        </w:rPr>
        <w:t>variables, this paragraph discusses the literature regard</w:t>
      </w:r>
      <w:r w:rsidR="006203AC">
        <w:rPr>
          <w:lang w:val="en-GB"/>
        </w:rPr>
        <w:t xml:space="preserve">ing measurement of the concepts in order to </w:t>
      </w:r>
      <w:r w:rsidR="00125791">
        <w:rPr>
          <w:lang w:val="en-GB"/>
        </w:rPr>
        <w:t>suffice internal validity, external validity and construct validity as explained in the previous paragraph.</w:t>
      </w:r>
    </w:p>
    <w:p w14:paraId="539B70C6" w14:textId="199A88A2" w:rsidR="00AE3766" w:rsidRDefault="00F64769" w:rsidP="00731FEA">
      <w:pPr>
        <w:spacing w:line="360" w:lineRule="auto"/>
        <w:jc w:val="both"/>
        <w:rPr>
          <w:rFonts w:asciiTheme="majorHAnsi" w:eastAsiaTheme="majorEastAsia" w:hAnsiTheme="majorHAnsi" w:cstheme="majorBidi"/>
          <w:b/>
          <w:bCs/>
          <w:color w:val="365F91" w:themeColor="accent1" w:themeShade="BF"/>
          <w:sz w:val="28"/>
          <w:szCs w:val="28"/>
          <w:lang w:val="en-GB"/>
        </w:rPr>
      </w:pPr>
      <w:r>
        <w:rPr>
          <w:lang w:val="en-GB"/>
        </w:rPr>
        <w:t>A few</w:t>
      </w:r>
      <w:r w:rsidR="00E24AFA">
        <w:rPr>
          <w:lang w:val="en-GB"/>
        </w:rPr>
        <w:t xml:space="preserve"> studies explicitly measure the CFO’s fiduciary performance </w:t>
      </w:r>
      <w:r w:rsidR="00322FF6">
        <w:rPr>
          <w:lang w:val="en-GB"/>
        </w:rPr>
        <w:fldChar w:fldCharType="begin"/>
      </w:r>
      <w:r w:rsidR="00322FF6">
        <w:rPr>
          <w:lang w:val="en-GB"/>
        </w:rPr>
        <w:instrText>ADDIN RW.CITE{{6 Hoitash,Rani 2012; 7 Indjejikian,Raffi 2009}}</w:instrText>
      </w:r>
      <w:r w:rsidR="00322FF6">
        <w:rPr>
          <w:lang w:val="en-GB"/>
        </w:rPr>
        <w:fldChar w:fldCharType="separate"/>
      </w:r>
      <w:r w:rsidR="00254F5A" w:rsidRPr="00254F5A">
        <w:rPr>
          <w:rFonts w:ascii="Calibri" w:hAnsi="Calibri"/>
          <w:lang w:val="en-GB"/>
        </w:rPr>
        <w:t>(Hoitash et al., 2012; Indjejikian &amp; Matêjka, 2009)</w:t>
      </w:r>
      <w:r w:rsidR="00322FF6">
        <w:rPr>
          <w:lang w:val="en-GB"/>
        </w:rPr>
        <w:fldChar w:fldCharType="end"/>
      </w:r>
      <w:r w:rsidR="00322FF6">
        <w:rPr>
          <w:lang w:val="en-GB"/>
        </w:rPr>
        <w:t>, while Indje</w:t>
      </w:r>
      <w:r>
        <w:rPr>
          <w:lang w:val="en-GB"/>
        </w:rPr>
        <w:t xml:space="preserve">jikian &amp; Matêjka (2009) measures fiduciary performance as the residue of the total performance minus the managerial performance. Hoitash et al. (2012) measure fiduciary performance as the disclosure of an material negative event and use the disclosure of an internal control material weakness. Other studies that implicitly measure the CFO fiduciary performance use restatements </w:t>
      </w:r>
      <w:r w:rsidR="00491887">
        <w:rPr>
          <w:lang w:val="en-GB"/>
        </w:rPr>
        <w:fldChar w:fldCharType="begin"/>
      </w:r>
      <w:r w:rsidR="00491887">
        <w:rPr>
          <w:lang w:val="en-GB"/>
        </w:rPr>
        <w:instrText>ADDIN RW.CITE{{21 Burks,JeffreyJ. 2010; 20 Arthaud-Day,MarneL. 2006 /pe.g. }}</w:instrText>
      </w:r>
      <w:r w:rsidR="00491887">
        <w:rPr>
          <w:lang w:val="en-GB"/>
        </w:rPr>
        <w:fldChar w:fldCharType="separate"/>
      </w:r>
      <w:r w:rsidR="00491887" w:rsidRPr="00491887">
        <w:rPr>
          <w:rFonts w:ascii="Calibri" w:hAnsi="Calibri"/>
          <w:lang w:val="en-GB"/>
        </w:rPr>
        <w:t>(e.g. Arthaud-Day et al., 2006; Burks, 2010)</w:t>
      </w:r>
      <w:r w:rsidR="00491887">
        <w:rPr>
          <w:lang w:val="en-GB"/>
        </w:rPr>
        <w:fldChar w:fldCharType="end"/>
      </w:r>
      <w:r w:rsidR="00491887">
        <w:rPr>
          <w:lang w:val="en-GB"/>
        </w:rPr>
        <w:t xml:space="preserve"> </w:t>
      </w:r>
      <w:r>
        <w:rPr>
          <w:lang w:val="en-GB"/>
        </w:rPr>
        <w:t xml:space="preserve">or discretionary accruals </w:t>
      </w:r>
      <w:r>
        <w:rPr>
          <w:lang w:val="en-GB"/>
        </w:rPr>
        <w:fldChar w:fldCharType="begin"/>
      </w:r>
      <w:r>
        <w:rPr>
          <w:lang w:val="en-GB"/>
        </w:rPr>
        <w:instrText>ADDIN RW.CITE{{5 Geiger,MarshallA. 2006}}</w:instrText>
      </w:r>
      <w:r>
        <w:rPr>
          <w:lang w:val="en-GB"/>
        </w:rPr>
        <w:fldChar w:fldCharType="separate"/>
      </w:r>
      <w:r w:rsidR="00254F5A" w:rsidRPr="00254F5A">
        <w:rPr>
          <w:rFonts w:ascii="Calibri" w:hAnsi="Calibri"/>
          <w:lang w:val="en-GB"/>
        </w:rPr>
        <w:t>(Geiger &amp; North, 2006)</w:t>
      </w:r>
      <w:r>
        <w:rPr>
          <w:lang w:val="en-GB"/>
        </w:rPr>
        <w:fldChar w:fldCharType="end"/>
      </w:r>
      <w:r>
        <w:rPr>
          <w:lang w:val="en-GB"/>
        </w:rPr>
        <w:t xml:space="preserve">. </w:t>
      </w:r>
      <w:r w:rsidR="009C5B31">
        <w:rPr>
          <w:lang w:val="en-GB"/>
        </w:rPr>
        <w:t>This thesis uses the disclosure of an internal control material weakness and restatement as parameters for the CFO’s fiduciary performance.</w:t>
      </w:r>
    </w:p>
    <w:p w14:paraId="79D68F68" w14:textId="579C7853" w:rsidR="009C5B31" w:rsidRDefault="00491887" w:rsidP="009C5B31">
      <w:pPr>
        <w:spacing w:line="360" w:lineRule="auto"/>
        <w:jc w:val="both"/>
        <w:rPr>
          <w:lang w:val="en-GB"/>
        </w:rPr>
      </w:pPr>
      <w:r w:rsidRPr="00491887">
        <w:rPr>
          <w:lang w:val="en-GB"/>
        </w:rPr>
        <w:t xml:space="preserve">As already mentioned, </w:t>
      </w:r>
      <w:r w:rsidR="009C5B31">
        <w:rPr>
          <w:lang w:val="en-GB"/>
        </w:rPr>
        <w:t xml:space="preserve">Indjejikian &amp; Matêjka (2009) measure CFO’s managerial performance by the firm financial performance. This is the only study that tries to capture the </w:t>
      </w:r>
      <w:r w:rsidR="00FA6922">
        <w:rPr>
          <w:lang w:val="en-GB"/>
        </w:rPr>
        <w:t xml:space="preserve">CFO’s </w:t>
      </w:r>
      <w:r w:rsidR="009C5B31">
        <w:rPr>
          <w:lang w:val="en-GB"/>
        </w:rPr>
        <w:t>managerial performance, and thus this thesis also uses the firm financial performance as a parameter for managerial performance.</w:t>
      </w:r>
    </w:p>
    <w:p w14:paraId="1BFFAC06" w14:textId="20DAAA2A" w:rsidR="00D92622" w:rsidRDefault="00F01253" w:rsidP="009C5B31">
      <w:pPr>
        <w:spacing w:line="360" w:lineRule="auto"/>
        <w:jc w:val="both"/>
        <w:rPr>
          <w:lang w:val="en-GB"/>
        </w:rPr>
      </w:pPr>
      <w:r>
        <w:rPr>
          <w:lang w:val="en-GB"/>
        </w:rPr>
        <w:t>The</w:t>
      </w:r>
      <w:r w:rsidR="00D92622">
        <w:rPr>
          <w:lang w:val="en-GB"/>
        </w:rPr>
        <w:t xml:space="preserve"> total CFO performance is </w:t>
      </w:r>
      <w:r w:rsidR="009601C6">
        <w:rPr>
          <w:lang w:val="en-GB"/>
        </w:rPr>
        <w:t xml:space="preserve">a concept that has not been measured in previous research. This thesis considers the total CFO performance as the sum of fiduciary performance and managerial performance, as prior work suggests </w:t>
      </w:r>
      <w:r w:rsidR="009601C6">
        <w:rPr>
          <w:lang w:val="en-GB"/>
        </w:rPr>
        <w:fldChar w:fldCharType="begin"/>
      </w:r>
      <w:r w:rsidR="009601C6">
        <w:rPr>
          <w:lang w:val="en-GB"/>
        </w:rPr>
        <w:instrText>ADDIN RW.CITE{{7 Indjejikian,Raffi 2009}}</w:instrText>
      </w:r>
      <w:r w:rsidR="009601C6">
        <w:rPr>
          <w:lang w:val="en-GB"/>
        </w:rPr>
        <w:fldChar w:fldCharType="separate"/>
      </w:r>
      <w:r w:rsidR="00254F5A" w:rsidRPr="00254F5A">
        <w:rPr>
          <w:rFonts w:ascii="Calibri" w:hAnsi="Calibri"/>
          <w:lang w:val="en-GB"/>
        </w:rPr>
        <w:t>(Indjejikian &amp; Matêjka, 2009)</w:t>
      </w:r>
      <w:r w:rsidR="009601C6">
        <w:rPr>
          <w:lang w:val="en-GB"/>
        </w:rPr>
        <w:fldChar w:fldCharType="end"/>
      </w:r>
      <w:r w:rsidR="009601C6">
        <w:rPr>
          <w:lang w:val="en-GB"/>
        </w:rPr>
        <w:t xml:space="preserve">. </w:t>
      </w:r>
      <w:r w:rsidR="00DF337B">
        <w:rPr>
          <w:lang w:val="en-GB"/>
        </w:rPr>
        <w:t>Total CFO performance is measured by the company’s share price performance in the same fiscal year as the CFO compensation is about. This choice is made because of the lack of other measures, and the high cohes</w:t>
      </w:r>
      <w:r w:rsidR="00FA6922">
        <w:rPr>
          <w:lang w:val="en-GB"/>
        </w:rPr>
        <w:t>ion of CFO goals with CEO goals</w:t>
      </w:r>
      <w:r w:rsidR="00D92622">
        <w:rPr>
          <w:lang w:val="en-GB"/>
        </w:rPr>
        <w:t xml:space="preserve">. Since the literature </w:t>
      </w:r>
      <w:r w:rsidR="00D92622">
        <w:rPr>
          <w:lang w:val="en-GB"/>
        </w:rPr>
        <w:fldChar w:fldCharType="begin"/>
      </w:r>
      <w:r w:rsidR="00D92622">
        <w:rPr>
          <w:lang w:val="en-GB"/>
        </w:rPr>
        <w:instrText>ADDIN RW.CITE{{86 Bushman,RobertM. 1996; 87 Core,JohnE. 1999}}</w:instrText>
      </w:r>
      <w:r w:rsidR="00D92622">
        <w:rPr>
          <w:lang w:val="en-GB"/>
        </w:rPr>
        <w:fldChar w:fldCharType="separate"/>
      </w:r>
      <w:r w:rsidR="00D92622" w:rsidRPr="003A5948">
        <w:rPr>
          <w:rFonts w:ascii="Calibri" w:hAnsi="Calibri"/>
          <w:lang w:val="en-GB"/>
        </w:rPr>
        <w:t>(Bushman et al., 1996; Core et al., 1999)</w:t>
      </w:r>
      <w:r w:rsidR="00D92622">
        <w:rPr>
          <w:lang w:val="en-GB"/>
        </w:rPr>
        <w:fldChar w:fldCharType="end"/>
      </w:r>
      <w:r w:rsidR="00D92622">
        <w:rPr>
          <w:lang w:val="en-GB"/>
        </w:rPr>
        <w:t xml:space="preserve"> often evaluates CEO performance on the basis of share price performance, this measurement is applied with</w:t>
      </w:r>
      <w:r>
        <w:rPr>
          <w:lang w:val="en-GB"/>
        </w:rPr>
        <w:t xml:space="preserve"> regard to CFO performance.</w:t>
      </w:r>
    </w:p>
    <w:p w14:paraId="110A7AFF" w14:textId="61A929B6" w:rsidR="00491887" w:rsidRPr="00491887" w:rsidRDefault="00F15866" w:rsidP="009C5B31">
      <w:pPr>
        <w:spacing w:line="360" w:lineRule="auto"/>
        <w:jc w:val="both"/>
        <w:rPr>
          <w:rFonts w:asciiTheme="majorHAnsi" w:eastAsiaTheme="majorEastAsia" w:hAnsiTheme="majorHAnsi" w:cstheme="majorBidi"/>
          <w:b/>
          <w:bCs/>
          <w:color w:val="365F91" w:themeColor="accent1" w:themeShade="BF"/>
          <w:sz w:val="28"/>
          <w:szCs w:val="28"/>
          <w:lang w:val="en-GB"/>
        </w:rPr>
      </w:pPr>
      <w:r>
        <w:rPr>
          <w:lang w:val="en-GB"/>
        </w:rPr>
        <w:t>The variables regarding equity com</w:t>
      </w:r>
      <w:r w:rsidR="00043D52">
        <w:rPr>
          <w:lang w:val="en-GB"/>
        </w:rPr>
        <w:t xml:space="preserve">pensation </w:t>
      </w:r>
      <w:r w:rsidR="00106D21">
        <w:rPr>
          <w:lang w:val="en-GB"/>
        </w:rPr>
        <w:t>are based on the amount of stocks, stock options, and restricted stocks</w:t>
      </w:r>
      <w:r w:rsidR="0097512B">
        <w:rPr>
          <w:lang w:val="en-GB"/>
        </w:rPr>
        <w:t xml:space="preserve"> that are payed to the CFO in relation to a </w:t>
      </w:r>
      <w:r w:rsidR="00106D21">
        <w:rPr>
          <w:lang w:val="en-GB"/>
        </w:rPr>
        <w:t>fiscal year. The cash compensation variable</w:t>
      </w:r>
      <w:r w:rsidR="0097512B">
        <w:rPr>
          <w:lang w:val="en-GB"/>
        </w:rPr>
        <w:t>s</w:t>
      </w:r>
      <w:r w:rsidR="00106D21">
        <w:rPr>
          <w:lang w:val="en-GB"/>
        </w:rPr>
        <w:t xml:space="preserve"> are based on the amount of cash compensatio</w:t>
      </w:r>
      <w:r w:rsidR="0097512B">
        <w:rPr>
          <w:lang w:val="en-GB"/>
        </w:rPr>
        <w:t xml:space="preserve">n that is payed to the CFO in relation to a </w:t>
      </w:r>
      <w:r w:rsidR="00106D21">
        <w:rPr>
          <w:lang w:val="en-GB"/>
        </w:rPr>
        <w:t>fiscal year.</w:t>
      </w:r>
    </w:p>
    <w:p w14:paraId="0EA08186" w14:textId="2CC0F693" w:rsidR="001F7F74" w:rsidRDefault="00A726AB" w:rsidP="00A726AB">
      <w:pPr>
        <w:pStyle w:val="Kop2"/>
      </w:pPr>
      <w:bookmarkStart w:id="38" w:name="_Toc439346644"/>
      <w:r>
        <w:t>3.4</w:t>
      </w:r>
      <w:r w:rsidR="001F7F74">
        <w:t xml:space="preserve"> Internal validity, external validity and construct validity</w:t>
      </w:r>
      <w:bookmarkEnd w:id="38"/>
    </w:p>
    <w:p w14:paraId="7A86D38D" w14:textId="77777777" w:rsidR="00E65D3A" w:rsidRDefault="001F7F74" w:rsidP="001F7F74">
      <w:pPr>
        <w:spacing w:line="360" w:lineRule="auto"/>
        <w:jc w:val="both"/>
        <w:rPr>
          <w:lang w:val="en-GB"/>
        </w:rPr>
      </w:pPr>
      <w:r>
        <w:rPr>
          <w:lang w:val="en-GB"/>
        </w:rPr>
        <w:t>The theory started with series of undefined</w:t>
      </w:r>
      <w:r w:rsidR="00E65D3A">
        <w:rPr>
          <w:lang w:val="en-GB"/>
        </w:rPr>
        <w:t xml:space="preserve"> abstract</w:t>
      </w:r>
      <w:r>
        <w:rPr>
          <w:lang w:val="en-GB"/>
        </w:rPr>
        <w:t xml:space="preserve"> concepts. </w:t>
      </w:r>
      <w:r w:rsidR="00E65D3A">
        <w:rPr>
          <w:lang w:val="en-GB"/>
        </w:rPr>
        <w:t>Then, t</w:t>
      </w:r>
      <w:r>
        <w:rPr>
          <w:lang w:val="en-GB"/>
        </w:rPr>
        <w:t xml:space="preserve">he previous paragraphs describe several hypotheses, which are used to examine the research question. Subsequently, the Libby boxes graphically indicate </w:t>
      </w:r>
      <w:r w:rsidR="00E65D3A">
        <w:rPr>
          <w:lang w:val="en-GB"/>
        </w:rPr>
        <w:t>the choice for variables that</w:t>
      </w:r>
      <w:r>
        <w:rPr>
          <w:lang w:val="en-GB"/>
        </w:rPr>
        <w:t xml:space="preserve"> operationalize</w:t>
      </w:r>
      <w:r w:rsidR="00E65D3A">
        <w:rPr>
          <w:lang w:val="en-GB"/>
        </w:rPr>
        <w:t xml:space="preserve"> the concepts. </w:t>
      </w:r>
      <w:r w:rsidR="00E65D3A" w:rsidRPr="00E65D3A">
        <w:rPr>
          <w:lang w:val="en-GB"/>
        </w:rPr>
        <w:t xml:space="preserve">The choice </w:t>
      </w:r>
      <w:r w:rsidR="00E65D3A" w:rsidRPr="00E65D3A">
        <w:rPr>
          <w:lang w:val="en-GB"/>
        </w:rPr>
        <w:lastRenderedPageBreak/>
        <w:t>for variables that capture the concepts is a trade-off between reliability and construct validity on the one hand and between internal validity and external validity on the other</w:t>
      </w:r>
      <w:r w:rsidR="00E65D3A" w:rsidRPr="00E65D3A">
        <w:rPr>
          <w:i/>
          <w:lang w:val="en-GB"/>
        </w:rPr>
        <w:t xml:space="preserve"> </w:t>
      </w:r>
      <w:r w:rsidR="00E65D3A">
        <w:rPr>
          <w:lang w:val="en-GB"/>
        </w:rPr>
        <w:fldChar w:fldCharType="begin"/>
      </w:r>
      <w:r w:rsidR="00E65D3A">
        <w:rPr>
          <w:lang w:val="en-GB"/>
        </w:rPr>
        <w:instrText>ADDIN RW.CITE{{93 Smith,Malcolm 2014}}</w:instrText>
      </w:r>
      <w:r w:rsidR="00E65D3A">
        <w:rPr>
          <w:lang w:val="en-GB"/>
        </w:rPr>
        <w:fldChar w:fldCharType="separate"/>
      </w:r>
      <w:r w:rsidR="00E65D3A" w:rsidRPr="00E65D3A">
        <w:rPr>
          <w:rFonts w:ascii="Calibri" w:hAnsi="Calibri"/>
          <w:lang w:val="en-GB"/>
        </w:rPr>
        <w:t>(Smith, 2014)</w:t>
      </w:r>
      <w:r w:rsidR="00E65D3A">
        <w:rPr>
          <w:lang w:val="en-GB"/>
        </w:rPr>
        <w:fldChar w:fldCharType="end"/>
      </w:r>
      <w:r w:rsidR="00E65D3A">
        <w:rPr>
          <w:lang w:val="en-GB"/>
        </w:rPr>
        <w:t>. Reliability and construct validity is the common thread in this thesis. “</w:t>
      </w:r>
      <w:r w:rsidR="00E65D3A" w:rsidRPr="00E65D3A">
        <w:rPr>
          <w:i/>
          <w:lang w:val="en-GB"/>
        </w:rPr>
        <w:t>The degree to which inferences can legitimately be made from the operationalisations in this thesis to the theoretical constructs on which those operationalisations were based</w:t>
      </w:r>
      <w:r w:rsidR="00E65D3A">
        <w:rPr>
          <w:i/>
          <w:lang w:val="en-GB"/>
        </w:rPr>
        <w:t>”</w:t>
      </w:r>
      <w:r w:rsidR="00E65D3A" w:rsidRPr="00E65D3A">
        <w:rPr>
          <w:lang w:val="en-GB"/>
        </w:rPr>
        <w:t xml:space="preserve"> </w:t>
      </w:r>
      <w:r w:rsidR="00E65D3A">
        <w:rPr>
          <w:lang w:val="en-GB"/>
        </w:rPr>
        <w:fldChar w:fldCharType="begin"/>
      </w:r>
      <w:r w:rsidR="00E65D3A">
        <w:rPr>
          <w:lang w:val="en-GB"/>
        </w:rPr>
        <w:instrText>ADDIN RW.CITE{{94 Trochim,WilliamMK 2006}}</w:instrText>
      </w:r>
      <w:r w:rsidR="00E65D3A">
        <w:rPr>
          <w:lang w:val="en-GB"/>
        </w:rPr>
        <w:fldChar w:fldCharType="separate"/>
      </w:r>
      <w:r w:rsidR="00E65D3A" w:rsidRPr="00E65D3A">
        <w:rPr>
          <w:rFonts w:ascii="Calibri" w:hAnsi="Calibri"/>
          <w:lang w:val="en-GB"/>
        </w:rPr>
        <w:t>(Trochim, 2006)</w:t>
      </w:r>
      <w:r w:rsidR="00E65D3A">
        <w:rPr>
          <w:lang w:val="en-GB"/>
        </w:rPr>
        <w:fldChar w:fldCharType="end"/>
      </w:r>
      <w:r w:rsidR="00E65D3A" w:rsidRPr="00E65D3A">
        <w:rPr>
          <w:lang w:val="en-GB"/>
        </w:rPr>
        <w:t xml:space="preserve">. </w:t>
      </w:r>
    </w:p>
    <w:p w14:paraId="4CD951FF" w14:textId="419417AB" w:rsidR="00E65D3A" w:rsidRDefault="00E65D3A" w:rsidP="001F7F74">
      <w:pPr>
        <w:spacing w:line="360" w:lineRule="auto"/>
        <w:jc w:val="both"/>
        <w:rPr>
          <w:lang w:val="en-GB"/>
        </w:rPr>
      </w:pPr>
      <w:r>
        <w:rPr>
          <w:lang w:val="en-GB"/>
        </w:rPr>
        <w:t>The construction of a theoretical framework and the choice of operational variables results in a certain degree of internal validity. This is the certainty of knowing what is causing what because we are aware of and in control of other influential factors. Good theory, valid choice of variables and control variables should address this issue. The theoretical framework in paragraph 3.1 is the conceptual start, which is extended by the measurement of variables in paragraph 3.2.4.</w:t>
      </w:r>
    </w:p>
    <w:p w14:paraId="3E959AAA" w14:textId="242B7B53" w:rsidR="001F7F74" w:rsidRPr="00236EDF" w:rsidRDefault="00E65D3A" w:rsidP="001F7F74">
      <w:pPr>
        <w:spacing w:line="360" w:lineRule="auto"/>
        <w:jc w:val="both"/>
        <w:rPr>
          <w:lang w:val="en-GB"/>
        </w:rPr>
      </w:pPr>
      <w:r>
        <w:rPr>
          <w:lang w:val="en-GB"/>
        </w:rPr>
        <w:t>External validity on the other hand, include the generalizability of the results to the real world. This manifests itself in the ways samples represent real world conditions. Paragraph 4.3 elaborates on the sampling of this thesis.</w:t>
      </w:r>
    </w:p>
    <w:p w14:paraId="1D83E744" w14:textId="77777777" w:rsidR="00106D21" w:rsidRDefault="00106D21">
      <w:pPr>
        <w:rPr>
          <w:rFonts w:asciiTheme="majorHAnsi" w:eastAsiaTheme="majorEastAsia" w:hAnsiTheme="majorHAnsi" w:cstheme="majorBidi"/>
          <w:b/>
          <w:bCs/>
          <w:color w:val="365F91" w:themeColor="accent1" w:themeShade="BF"/>
          <w:sz w:val="28"/>
          <w:szCs w:val="28"/>
          <w:lang w:val="en-GB"/>
        </w:rPr>
      </w:pPr>
      <w:r w:rsidRPr="00106D21">
        <w:rPr>
          <w:lang w:val="en-GB"/>
        </w:rPr>
        <w:br w:type="page"/>
      </w:r>
    </w:p>
    <w:p w14:paraId="28663B61" w14:textId="124288B9" w:rsidR="004F6B69" w:rsidRDefault="006738D7" w:rsidP="00DD3278">
      <w:pPr>
        <w:pStyle w:val="Kop1"/>
      </w:pPr>
      <w:bookmarkStart w:id="39" w:name="_Toc439346645"/>
      <w:r>
        <w:lastRenderedPageBreak/>
        <w:t>4</w:t>
      </w:r>
      <w:r w:rsidR="004F6B69" w:rsidRPr="00242901">
        <w:t xml:space="preserve"> Methodology</w:t>
      </w:r>
      <w:bookmarkEnd w:id="39"/>
    </w:p>
    <w:p w14:paraId="4F34FA3D" w14:textId="1C964773" w:rsidR="0065619B" w:rsidRPr="0065619B" w:rsidRDefault="0065619B" w:rsidP="0065619B">
      <w:pPr>
        <w:spacing w:line="360" w:lineRule="auto"/>
        <w:jc w:val="both"/>
        <w:rPr>
          <w:lang w:val="en-GB"/>
        </w:rPr>
      </w:pPr>
      <w:r>
        <w:rPr>
          <w:lang w:val="en-GB"/>
        </w:rPr>
        <w:t xml:space="preserve">The previous chapters explained the position of this thesis in the theoretical framework. This chapter </w:t>
      </w:r>
      <w:r w:rsidR="00FA7D2A">
        <w:rPr>
          <w:lang w:val="en-GB"/>
        </w:rPr>
        <w:t>provides information</w:t>
      </w:r>
      <w:r w:rsidR="00B37415">
        <w:rPr>
          <w:lang w:val="en-GB"/>
        </w:rPr>
        <w:t xml:space="preserve"> regarding the data collection, </w:t>
      </w:r>
      <w:r w:rsidR="00FA7D2A">
        <w:rPr>
          <w:lang w:val="en-GB"/>
        </w:rPr>
        <w:t xml:space="preserve">and discusses </w:t>
      </w:r>
      <w:r w:rsidR="00692EA4">
        <w:rPr>
          <w:lang w:val="en-GB"/>
        </w:rPr>
        <w:t xml:space="preserve">the </w:t>
      </w:r>
      <w:r>
        <w:rPr>
          <w:lang w:val="en-GB"/>
        </w:rPr>
        <w:t>method</w:t>
      </w:r>
      <w:r w:rsidR="00FA7D2A">
        <w:rPr>
          <w:lang w:val="en-GB"/>
        </w:rPr>
        <w:t>s</w:t>
      </w:r>
      <w:r>
        <w:rPr>
          <w:lang w:val="en-GB"/>
        </w:rPr>
        <w:t xml:space="preserve"> for the analysis</w:t>
      </w:r>
      <w:r w:rsidR="00FA7D2A">
        <w:rPr>
          <w:lang w:val="en-GB"/>
        </w:rPr>
        <w:t xml:space="preserve"> in orde</w:t>
      </w:r>
      <w:r w:rsidR="00B37415">
        <w:rPr>
          <w:lang w:val="en-GB"/>
        </w:rPr>
        <w:t>r to explain how the research is</w:t>
      </w:r>
      <w:r w:rsidR="00FA7D2A">
        <w:rPr>
          <w:lang w:val="en-GB"/>
        </w:rPr>
        <w:t xml:space="preserve"> computed. The research is a statistical analysis on archival dat</w:t>
      </w:r>
      <w:r w:rsidR="00E15040">
        <w:rPr>
          <w:lang w:val="en-GB"/>
        </w:rPr>
        <w:t>a and thus</w:t>
      </w:r>
      <w:r w:rsidR="00FA7D2A">
        <w:rPr>
          <w:lang w:val="en-GB"/>
        </w:rPr>
        <w:t xml:space="preserve"> quantitative in nature, since the parameters are expressed in numbers. </w:t>
      </w:r>
    </w:p>
    <w:p w14:paraId="63D6AFFA" w14:textId="1F945E1D" w:rsidR="00393E05" w:rsidRPr="00DD3278" w:rsidRDefault="006738D7" w:rsidP="00DD3278">
      <w:pPr>
        <w:pStyle w:val="Kop2"/>
      </w:pPr>
      <w:bookmarkStart w:id="40" w:name="_Toc439346646"/>
      <w:r w:rsidRPr="00DD3278">
        <w:t>4.1</w:t>
      </w:r>
      <w:r w:rsidR="00393E05" w:rsidRPr="00DD3278">
        <w:t xml:space="preserve"> Data collection</w:t>
      </w:r>
      <w:bookmarkEnd w:id="40"/>
      <w:r w:rsidR="00393E05" w:rsidRPr="00DD3278">
        <w:t xml:space="preserve"> </w:t>
      </w:r>
    </w:p>
    <w:p w14:paraId="3D10A4C8" w14:textId="1AEBF4B8" w:rsidR="0056642F" w:rsidRPr="00242901" w:rsidRDefault="00393E05" w:rsidP="00A26D9E">
      <w:pPr>
        <w:spacing w:line="360" w:lineRule="auto"/>
        <w:jc w:val="both"/>
        <w:rPr>
          <w:lang w:val="en-GB"/>
        </w:rPr>
      </w:pPr>
      <w:r w:rsidRPr="00242901">
        <w:rPr>
          <w:lang w:val="en-GB"/>
        </w:rPr>
        <w:t>The data</w:t>
      </w:r>
      <w:r w:rsidR="00692EA4">
        <w:rPr>
          <w:lang w:val="en-GB"/>
        </w:rPr>
        <w:t>sets needed for this thesis are the Audit Analytics</w:t>
      </w:r>
      <w:r w:rsidR="005062DE">
        <w:rPr>
          <w:lang w:val="en-GB"/>
        </w:rPr>
        <w:t xml:space="preserve"> </w:t>
      </w:r>
      <w:r w:rsidR="005062DE">
        <w:rPr>
          <w:lang w:val="en-GB"/>
        </w:rPr>
        <w:fldChar w:fldCharType="begin"/>
      </w:r>
      <w:r w:rsidR="005062DE">
        <w:rPr>
          <w:lang w:val="en-GB"/>
        </w:rPr>
        <w:instrText>ADDIN RW.CITE{{60 Armstrong,ChristopherS. 2013}}</w:instrText>
      </w:r>
      <w:r w:rsidR="005062DE">
        <w:rPr>
          <w:lang w:val="en-GB"/>
        </w:rPr>
        <w:fldChar w:fldCharType="separate"/>
      </w:r>
      <w:r w:rsidR="005062DE" w:rsidRPr="005062DE">
        <w:rPr>
          <w:rFonts w:ascii="Calibri" w:hAnsi="Calibri"/>
          <w:lang w:val="en-GB"/>
        </w:rPr>
        <w:t>(Armstrong et al., 2013)</w:t>
      </w:r>
      <w:r w:rsidR="005062DE">
        <w:rPr>
          <w:lang w:val="en-GB"/>
        </w:rPr>
        <w:fldChar w:fldCharType="end"/>
      </w:r>
      <w:r w:rsidR="00692EA4">
        <w:rPr>
          <w:lang w:val="en-GB"/>
        </w:rPr>
        <w:t xml:space="preserve"> and ExecuComp </w:t>
      </w:r>
      <w:r w:rsidR="005062DE">
        <w:rPr>
          <w:lang w:val="en-GB"/>
        </w:rPr>
        <w:fldChar w:fldCharType="begin"/>
      </w:r>
      <w:r w:rsidR="005062DE">
        <w:rPr>
          <w:lang w:val="en-GB"/>
        </w:rPr>
        <w:instrText>ADDIN RW.CITE{{60 Armstrong,ChristopherS. 2013}}</w:instrText>
      </w:r>
      <w:r w:rsidR="005062DE">
        <w:rPr>
          <w:lang w:val="en-GB"/>
        </w:rPr>
        <w:fldChar w:fldCharType="separate"/>
      </w:r>
      <w:r w:rsidR="005062DE" w:rsidRPr="005062DE">
        <w:rPr>
          <w:rFonts w:ascii="Calibri" w:hAnsi="Calibri"/>
          <w:lang w:val="en-GB"/>
        </w:rPr>
        <w:t>(Armstrong et al., 2013)</w:t>
      </w:r>
      <w:r w:rsidR="005062DE">
        <w:rPr>
          <w:lang w:val="en-GB"/>
        </w:rPr>
        <w:fldChar w:fldCharType="end"/>
      </w:r>
      <w:r w:rsidR="005062DE">
        <w:rPr>
          <w:lang w:val="en-GB"/>
        </w:rPr>
        <w:t xml:space="preserve"> </w:t>
      </w:r>
      <w:r w:rsidR="00692EA4">
        <w:rPr>
          <w:lang w:val="en-GB"/>
        </w:rPr>
        <w:t>database, which are both provided</w:t>
      </w:r>
      <w:r w:rsidRPr="00242901">
        <w:rPr>
          <w:lang w:val="en-GB"/>
        </w:rPr>
        <w:t xml:space="preserve"> b</w:t>
      </w:r>
      <w:r w:rsidR="00692EA4">
        <w:rPr>
          <w:lang w:val="en-GB"/>
        </w:rPr>
        <w:t xml:space="preserve">y the Wharton Research Data Service. The Audit Analytics database consist of detailed audit information on over 1200 accounting firms and 15000 publicly registered companies. The ExecuComp database offers executive compensation data including current and historical data, total compensation, executive options and compensation of industry peers. </w:t>
      </w:r>
      <w:r w:rsidR="00B115F4">
        <w:rPr>
          <w:lang w:val="en-GB"/>
        </w:rPr>
        <w:t>The</w:t>
      </w:r>
      <w:r w:rsidR="00242901">
        <w:rPr>
          <w:lang w:val="en-GB"/>
        </w:rPr>
        <w:t>s</w:t>
      </w:r>
      <w:r w:rsidR="00B115F4">
        <w:rPr>
          <w:lang w:val="en-GB"/>
        </w:rPr>
        <w:t>e</w:t>
      </w:r>
      <w:r w:rsidR="00242901">
        <w:rPr>
          <w:lang w:val="en-GB"/>
        </w:rPr>
        <w:t xml:space="preserve"> database</w:t>
      </w:r>
      <w:r w:rsidR="00B115F4">
        <w:rPr>
          <w:lang w:val="en-GB"/>
        </w:rPr>
        <w:t>s</w:t>
      </w:r>
      <w:r w:rsidR="00242901">
        <w:rPr>
          <w:lang w:val="en-GB"/>
        </w:rPr>
        <w:t xml:space="preserve"> </w:t>
      </w:r>
      <w:r w:rsidR="00B115F4">
        <w:rPr>
          <w:lang w:val="en-GB"/>
        </w:rPr>
        <w:t>are</w:t>
      </w:r>
      <w:r w:rsidR="00242901">
        <w:rPr>
          <w:lang w:val="en-GB"/>
        </w:rPr>
        <w:t xml:space="preserve"> accessible </w:t>
      </w:r>
      <w:r w:rsidR="00FA7D2A">
        <w:rPr>
          <w:lang w:val="en-GB"/>
        </w:rPr>
        <w:t xml:space="preserve">via the Erasmus Data Service Centre </w:t>
      </w:r>
      <w:r w:rsidR="00242901">
        <w:rPr>
          <w:lang w:val="en-GB"/>
        </w:rPr>
        <w:t>in the library of t</w:t>
      </w:r>
      <w:r w:rsidR="00B115F4">
        <w:rPr>
          <w:lang w:val="en-GB"/>
        </w:rPr>
        <w:t>he Erasmus University Rotterdam or via Virtual Private Network connection.</w:t>
      </w:r>
      <w:r w:rsidR="00B37415">
        <w:rPr>
          <w:lang w:val="en-GB"/>
        </w:rPr>
        <w:t xml:space="preserve"> The </w:t>
      </w:r>
      <w:r w:rsidR="00E15040">
        <w:rPr>
          <w:lang w:val="en-GB"/>
        </w:rPr>
        <w:t>useful data of the two databases were</w:t>
      </w:r>
      <w:r w:rsidR="00A26D9E">
        <w:rPr>
          <w:lang w:val="en-GB"/>
        </w:rPr>
        <w:t xml:space="preserve"> linked and put together in one new database for this thesis.</w:t>
      </w:r>
    </w:p>
    <w:p w14:paraId="6CFD834A" w14:textId="1302A424" w:rsidR="00393E05" w:rsidRDefault="006738D7" w:rsidP="006E6DD6">
      <w:pPr>
        <w:pStyle w:val="Kop2"/>
        <w:jc w:val="both"/>
      </w:pPr>
      <w:bookmarkStart w:id="41" w:name="_Toc439346647"/>
      <w:r>
        <w:t>4.2</w:t>
      </w:r>
      <w:r w:rsidR="00393E05" w:rsidRPr="00242901">
        <w:t xml:space="preserve"> </w:t>
      </w:r>
      <w:r w:rsidR="00D2098E" w:rsidRPr="00242901">
        <w:t>V</w:t>
      </w:r>
      <w:r w:rsidR="00393E05" w:rsidRPr="00242901">
        <w:t>ariables</w:t>
      </w:r>
      <w:bookmarkEnd w:id="41"/>
    </w:p>
    <w:p w14:paraId="19822A4A" w14:textId="10920BE3" w:rsidR="00FA7D2A" w:rsidRPr="00FA7D2A" w:rsidRDefault="00FA7D2A" w:rsidP="005839A2">
      <w:pPr>
        <w:spacing w:line="360" w:lineRule="auto"/>
        <w:jc w:val="both"/>
        <w:rPr>
          <w:lang w:val="en-GB"/>
        </w:rPr>
      </w:pPr>
      <w:r>
        <w:rPr>
          <w:lang w:val="en-GB"/>
        </w:rPr>
        <w:t>The concepts that are de</w:t>
      </w:r>
      <w:r w:rsidR="0063004F">
        <w:rPr>
          <w:lang w:val="en-GB"/>
        </w:rPr>
        <w:t>scribed in the previous chapter</w:t>
      </w:r>
      <w:r>
        <w:rPr>
          <w:lang w:val="en-GB"/>
        </w:rPr>
        <w:t xml:space="preserve"> are </w:t>
      </w:r>
      <w:r w:rsidR="0063004F">
        <w:rPr>
          <w:lang w:val="en-GB"/>
        </w:rPr>
        <w:t>expressed in</w:t>
      </w:r>
      <w:r>
        <w:rPr>
          <w:lang w:val="en-GB"/>
        </w:rPr>
        <w:t xml:space="preserve"> variables, in order to capture the concept in a metric </w:t>
      </w:r>
      <w:r w:rsidR="0063004F">
        <w:rPr>
          <w:lang w:val="en-GB"/>
        </w:rPr>
        <w:t>format and use it for analysis on an operational level. This paragraph explains how the concepts are constructed into variables and how these variables are measured.</w:t>
      </w:r>
    </w:p>
    <w:p w14:paraId="7128FC93" w14:textId="556D00EF" w:rsidR="00FA0D4F" w:rsidRDefault="00FA0D4F" w:rsidP="005839A2">
      <w:pPr>
        <w:spacing w:line="360" w:lineRule="auto"/>
        <w:jc w:val="both"/>
        <w:rPr>
          <w:lang w:val="en-GB"/>
        </w:rPr>
      </w:pPr>
      <w:r>
        <w:rPr>
          <w:lang w:val="en-GB"/>
        </w:rPr>
        <w:t>The dependent variable of the first hypothesis are</w:t>
      </w:r>
      <w:r w:rsidR="00393E05" w:rsidRPr="00242901">
        <w:rPr>
          <w:lang w:val="en-GB"/>
        </w:rPr>
        <w:t xml:space="preserve"> the CFO </w:t>
      </w:r>
      <w:r>
        <w:rPr>
          <w:lang w:val="en-GB"/>
        </w:rPr>
        <w:t xml:space="preserve">managerial and fiduciary </w:t>
      </w:r>
      <w:r w:rsidR="009803B1">
        <w:rPr>
          <w:lang w:val="en-GB"/>
        </w:rPr>
        <w:t>performance</w:t>
      </w:r>
      <w:r w:rsidR="006948D6">
        <w:rPr>
          <w:lang w:val="en-GB"/>
        </w:rPr>
        <w:t>.</w:t>
      </w:r>
      <w:r w:rsidR="009803B1">
        <w:rPr>
          <w:lang w:val="en-GB"/>
        </w:rPr>
        <w:t xml:space="preserve"> </w:t>
      </w:r>
      <w:r>
        <w:rPr>
          <w:lang w:val="en-GB"/>
        </w:rPr>
        <w:t>The managerial performance is measured by the firm’s financial performance</w:t>
      </w:r>
      <w:r w:rsidR="0025157D">
        <w:rPr>
          <w:lang w:val="en-GB"/>
        </w:rPr>
        <w:t xml:space="preserve"> </w:t>
      </w:r>
      <w:r>
        <w:rPr>
          <w:lang w:val="en-GB"/>
        </w:rPr>
        <w:t xml:space="preserve">as in the studies of Indjejikian &amp; Matêjka (2009) and Hoitash et al. (2012). </w:t>
      </w:r>
      <w:r w:rsidRPr="00242901">
        <w:rPr>
          <w:lang w:val="en-GB"/>
        </w:rPr>
        <w:t xml:space="preserve">The fiduciary performance </w:t>
      </w:r>
      <w:r>
        <w:rPr>
          <w:lang w:val="en-GB"/>
        </w:rPr>
        <w:t xml:space="preserve">is measured in two ways: financial restatement and disclosure of material weakness. These two dependent variables indicate the CFO fiduciary performance in a certain year. A financial restatement of a firm in a </w:t>
      </w:r>
      <w:r w:rsidR="0025157D">
        <w:rPr>
          <w:lang w:val="en-GB"/>
        </w:rPr>
        <w:t xml:space="preserve">certain year is constructed as </w:t>
      </w:r>
      <w:r>
        <w:rPr>
          <w:lang w:val="en-GB"/>
        </w:rPr>
        <w:t xml:space="preserve">dummy variable, which is equal to 1 if the firm restates the financial report or 0 when the firm does not restate </w:t>
      </w:r>
      <w:r>
        <w:rPr>
          <w:lang w:val="en-GB"/>
        </w:rPr>
        <w:fldChar w:fldCharType="begin"/>
      </w:r>
      <w:r>
        <w:rPr>
          <w:lang w:val="en-GB"/>
        </w:rPr>
        <w:instrText>ADDIN RW.CITE{{20 Arthaud-Day,MarneL. 2006}}</w:instrText>
      </w:r>
      <w:r>
        <w:rPr>
          <w:lang w:val="en-GB"/>
        </w:rPr>
        <w:fldChar w:fldCharType="separate"/>
      </w:r>
      <w:r w:rsidRPr="0063004F">
        <w:rPr>
          <w:rFonts w:ascii="Calibri" w:hAnsi="Calibri"/>
          <w:lang w:val="en-GB"/>
        </w:rPr>
        <w:t>(Arthaud-Day et al., 2006)</w:t>
      </w:r>
      <w:r>
        <w:rPr>
          <w:lang w:val="en-GB"/>
        </w:rPr>
        <w:fldChar w:fldCharType="end"/>
      </w:r>
      <w:r>
        <w:rPr>
          <w:lang w:val="en-GB"/>
        </w:rPr>
        <w:t>. The disclosure of an internal control mate</w:t>
      </w:r>
      <w:r w:rsidR="00E223B5">
        <w:rPr>
          <w:lang w:val="en-GB"/>
        </w:rPr>
        <w:t>rial weakness is constructed as</w:t>
      </w:r>
      <w:r>
        <w:rPr>
          <w:lang w:val="en-GB"/>
        </w:rPr>
        <w:t xml:space="preserve"> dummy variable</w:t>
      </w:r>
      <w:r w:rsidRPr="00242901">
        <w:rPr>
          <w:lang w:val="en-GB"/>
        </w:rPr>
        <w:t xml:space="preserve">, which is equal to </w:t>
      </w:r>
      <w:r>
        <w:rPr>
          <w:lang w:val="en-GB"/>
        </w:rPr>
        <w:t>1</w:t>
      </w:r>
      <w:r w:rsidRPr="00242901">
        <w:rPr>
          <w:lang w:val="en-GB"/>
        </w:rPr>
        <w:t xml:space="preserve"> if the firm reports a material weakness in its Section 404 report or in at least one of its Section 302 reports in </w:t>
      </w:r>
      <w:r>
        <w:rPr>
          <w:lang w:val="en-GB"/>
        </w:rPr>
        <w:t xml:space="preserve">a certain year </w:t>
      </w:r>
      <w:r>
        <w:rPr>
          <w:lang w:val="en-GB"/>
        </w:rPr>
        <w:fldChar w:fldCharType="begin"/>
      </w:r>
      <w:r>
        <w:rPr>
          <w:lang w:val="en-GB"/>
        </w:rPr>
        <w:instrText>ADDIN RW.CITE{{6 Hoitash,Rani 2012}}</w:instrText>
      </w:r>
      <w:r>
        <w:rPr>
          <w:lang w:val="en-GB"/>
        </w:rPr>
        <w:fldChar w:fldCharType="separate"/>
      </w:r>
      <w:r w:rsidRPr="0063004F">
        <w:rPr>
          <w:rFonts w:ascii="Calibri" w:hAnsi="Calibri"/>
          <w:lang w:val="en-GB"/>
        </w:rPr>
        <w:t>(Hoitash et al., 2012)</w:t>
      </w:r>
      <w:r>
        <w:rPr>
          <w:lang w:val="en-GB"/>
        </w:rPr>
        <w:fldChar w:fldCharType="end"/>
      </w:r>
      <w:r w:rsidRPr="00242901">
        <w:rPr>
          <w:lang w:val="en-GB"/>
        </w:rPr>
        <w:t>.</w:t>
      </w:r>
      <w:r>
        <w:rPr>
          <w:lang w:val="en-GB"/>
        </w:rPr>
        <w:t xml:space="preserve"> </w:t>
      </w:r>
    </w:p>
    <w:p w14:paraId="5477224E" w14:textId="599B4DB3" w:rsidR="00FA0D4F" w:rsidRDefault="00FA0D4F" w:rsidP="005839A2">
      <w:pPr>
        <w:spacing w:line="360" w:lineRule="auto"/>
        <w:jc w:val="both"/>
        <w:rPr>
          <w:lang w:val="en-GB"/>
        </w:rPr>
      </w:pPr>
      <w:r>
        <w:rPr>
          <w:lang w:val="en-GB"/>
        </w:rPr>
        <w:t>The construct of dependent variables for hypothesis 1 also applies to the dependent variables of hypothesis 2.</w:t>
      </w:r>
    </w:p>
    <w:p w14:paraId="40672CA8" w14:textId="6B1DFB86" w:rsidR="004F38B2" w:rsidRPr="004900E4" w:rsidRDefault="00B962EB" w:rsidP="004F38B2">
      <w:pPr>
        <w:spacing w:line="360" w:lineRule="auto"/>
        <w:jc w:val="both"/>
        <w:rPr>
          <w:rFonts w:eastAsiaTheme="minorEastAsia"/>
          <w:lang w:val="en-GB"/>
        </w:rPr>
      </w:pPr>
      <w:r>
        <w:rPr>
          <w:lang w:val="en-GB"/>
        </w:rPr>
        <w:t xml:space="preserve">For the third hypothesis, total CFO performance is the dependent variable, </w:t>
      </w:r>
      <w:r w:rsidR="00DF337B">
        <w:rPr>
          <w:lang w:val="en-GB"/>
        </w:rPr>
        <w:t>measured by the company’</w:t>
      </w:r>
      <w:r w:rsidR="004F38B2">
        <w:rPr>
          <w:lang w:val="en-GB"/>
        </w:rPr>
        <w:t xml:space="preserve">s share price performance over a fiscal year. This is measured according to the following </w:t>
      </w:r>
      <w:r w:rsidR="004F38B2">
        <w:rPr>
          <w:lang w:val="en-GB"/>
        </w:rPr>
        <w:lastRenderedPageBreak/>
        <w:t xml:space="preserve">formula: </w:t>
      </w:r>
      <m:oMath>
        <m:r>
          <m:rPr>
            <m:sty m:val="p"/>
          </m:rPr>
          <w:rPr>
            <w:rFonts w:ascii="Cambria Math" w:hAnsi="Cambria Math"/>
            <w:lang w:val="en-GB"/>
          </w:rPr>
          <w:br/>
        </m:r>
      </m:oMath>
      <m:oMathPara>
        <m:oMath>
          <m:r>
            <m:rPr>
              <m:sty m:val="p"/>
            </m:rPr>
            <w:rPr>
              <w:rFonts w:ascii="Cambria Math" w:hAnsi="Cambria Math"/>
              <w:lang w:val="en-GB"/>
            </w:rPr>
            <m:t>Total Performance=</m:t>
          </m:r>
          <m:f>
            <m:fPr>
              <m:ctrlPr>
                <w:rPr>
                  <w:rFonts w:ascii="Cambria Math" w:hAnsi="Cambria Math"/>
                  <w:lang w:val="en-GB"/>
                </w:rPr>
              </m:ctrlPr>
            </m:fPr>
            <m:num>
              <m:r>
                <m:rPr>
                  <m:sty m:val="p"/>
                </m:rPr>
                <w:rPr>
                  <w:rFonts w:ascii="Cambria Math" w:hAnsi="Cambria Math"/>
                  <w:lang w:val="en-GB"/>
                </w:rPr>
                <m:t>Stock pric</m:t>
              </m:r>
              <m:sSub>
                <m:sSubPr>
                  <m:ctrlPr>
                    <w:rPr>
                      <w:rFonts w:ascii="Cambria Math" w:hAnsi="Cambria Math"/>
                      <w:lang w:val="en-GB"/>
                    </w:rPr>
                  </m:ctrlPr>
                </m:sSubPr>
                <m:e>
                  <m:r>
                    <m:rPr>
                      <m:sty m:val="p"/>
                    </m:rPr>
                    <w:rPr>
                      <w:rFonts w:ascii="Cambria Math" w:hAnsi="Cambria Math"/>
                      <w:lang w:val="en-GB"/>
                    </w:rPr>
                    <m:t>e</m:t>
                  </m:r>
                </m:e>
                <m:sub>
                  <m:r>
                    <m:rPr>
                      <m:sty m:val="p"/>
                    </m:rPr>
                    <w:rPr>
                      <w:rFonts w:ascii="Cambria Math" w:hAnsi="Cambria Math"/>
                      <w:lang w:val="en-GB"/>
                    </w:rPr>
                    <m:t>End of fiscal year</m:t>
                  </m:r>
                </m:sub>
              </m:sSub>
              <m:r>
                <m:rPr>
                  <m:sty m:val="p"/>
                </m:rPr>
                <w:rPr>
                  <w:rFonts w:ascii="Cambria Math" w:hAnsi="Cambria Math"/>
                  <w:lang w:val="en-GB"/>
                </w:rPr>
                <m:t>-Stock pric</m:t>
              </m:r>
              <m:sSub>
                <m:sSubPr>
                  <m:ctrlPr>
                    <w:rPr>
                      <w:rFonts w:ascii="Cambria Math" w:hAnsi="Cambria Math"/>
                      <w:lang w:val="en-GB"/>
                    </w:rPr>
                  </m:ctrlPr>
                </m:sSubPr>
                <m:e>
                  <m:r>
                    <m:rPr>
                      <m:sty m:val="p"/>
                    </m:rPr>
                    <w:rPr>
                      <w:rFonts w:ascii="Cambria Math" w:hAnsi="Cambria Math"/>
                      <w:lang w:val="en-GB"/>
                    </w:rPr>
                    <m:t>e</m:t>
                  </m:r>
                </m:e>
                <m:sub>
                  <m:r>
                    <m:rPr>
                      <m:sty m:val="p"/>
                    </m:rPr>
                    <w:rPr>
                      <w:rFonts w:ascii="Cambria Math" w:hAnsi="Cambria Math"/>
                      <w:lang w:val="en-GB"/>
                    </w:rPr>
                    <m:t>Begin of fiscal year</m:t>
                  </m:r>
                </m:sub>
              </m:sSub>
            </m:num>
            <m:den>
              <m:r>
                <m:rPr>
                  <m:sty m:val="p"/>
                </m:rPr>
                <w:rPr>
                  <w:rFonts w:ascii="Cambria Math" w:hAnsi="Cambria Math"/>
                  <w:lang w:val="en-GB"/>
                </w:rPr>
                <m:t>Stock pric</m:t>
              </m:r>
              <m:sSub>
                <m:sSubPr>
                  <m:ctrlPr>
                    <w:rPr>
                      <w:rFonts w:ascii="Cambria Math" w:hAnsi="Cambria Math"/>
                      <w:lang w:val="en-GB"/>
                    </w:rPr>
                  </m:ctrlPr>
                </m:sSubPr>
                <m:e>
                  <m:r>
                    <m:rPr>
                      <m:sty m:val="p"/>
                    </m:rPr>
                    <w:rPr>
                      <w:rFonts w:ascii="Cambria Math" w:hAnsi="Cambria Math"/>
                      <w:lang w:val="en-GB"/>
                    </w:rPr>
                    <m:t>e</m:t>
                  </m:r>
                </m:e>
                <m:sub>
                  <m:r>
                    <m:rPr>
                      <m:sty m:val="p"/>
                    </m:rPr>
                    <w:rPr>
                      <w:rFonts w:ascii="Cambria Math" w:hAnsi="Cambria Math"/>
                      <w:lang w:val="en-GB"/>
                    </w:rPr>
                    <m:t>Begin of fiscal year</m:t>
                  </m:r>
                </m:sub>
              </m:sSub>
            </m:den>
          </m:f>
        </m:oMath>
      </m:oMathPara>
    </w:p>
    <w:p w14:paraId="6E20CD3E" w14:textId="73F32D72" w:rsidR="004900E4" w:rsidRPr="004F38B2" w:rsidRDefault="004900E4" w:rsidP="004F38B2">
      <w:pPr>
        <w:spacing w:line="360" w:lineRule="auto"/>
        <w:jc w:val="both"/>
        <w:rPr>
          <w:rFonts w:eastAsiaTheme="minorEastAsia"/>
          <w:lang w:val="en-GB"/>
        </w:rPr>
      </w:pPr>
      <w:r>
        <w:rPr>
          <w:rFonts w:eastAsiaTheme="minorEastAsia"/>
          <w:lang w:val="en-GB"/>
        </w:rPr>
        <w:t xml:space="preserve">In addition, account is taken of outliers by eliminating the stock performances which are over </w:t>
      </w:r>
      <w:r w:rsidR="00C21B34">
        <w:rPr>
          <w:rFonts w:eastAsiaTheme="minorEastAsia"/>
          <w:lang w:val="en-GB"/>
        </w:rPr>
        <w:t>1500% increase or decrease.</w:t>
      </w:r>
    </w:p>
    <w:p w14:paraId="7EA538EB" w14:textId="4B41A139" w:rsidR="00FA0D4F" w:rsidRDefault="00FA0D4F" w:rsidP="005839A2">
      <w:pPr>
        <w:spacing w:line="360" w:lineRule="auto"/>
        <w:jc w:val="both"/>
        <w:rPr>
          <w:lang w:val="en-GB"/>
        </w:rPr>
      </w:pPr>
      <w:r>
        <w:rPr>
          <w:lang w:val="en-GB"/>
        </w:rPr>
        <w:t>The construct of the dependent variable for hypothesis 3 also applies to the de</w:t>
      </w:r>
      <w:r w:rsidR="003A5948">
        <w:rPr>
          <w:lang w:val="en-GB"/>
        </w:rPr>
        <w:t>pendent variable of hypothesis 4.</w:t>
      </w:r>
    </w:p>
    <w:p w14:paraId="2BF4F4EA" w14:textId="0767BB6C" w:rsidR="0063004F" w:rsidRDefault="0063004F" w:rsidP="005839A2">
      <w:pPr>
        <w:spacing w:line="360" w:lineRule="auto"/>
        <w:jc w:val="both"/>
        <w:rPr>
          <w:lang w:val="en-GB"/>
        </w:rPr>
      </w:pPr>
      <w:r>
        <w:rPr>
          <w:lang w:val="en-GB"/>
        </w:rPr>
        <w:t xml:space="preserve">The first independent variable is dummy variable </w:t>
      </w:r>
      <w:r w:rsidR="0095113D">
        <w:rPr>
          <w:lang w:val="en-GB"/>
        </w:rPr>
        <w:t>of equity compensation</w:t>
      </w:r>
      <w:r>
        <w:rPr>
          <w:lang w:val="en-GB"/>
        </w:rPr>
        <w:t>, that indicates the presence of equity-based compensation</w:t>
      </w:r>
      <w:r w:rsidR="003D712D" w:rsidRPr="00242901">
        <w:rPr>
          <w:lang w:val="en-GB"/>
        </w:rPr>
        <w:t xml:space="preserve"> </w:t>
      </w:r>
      <w:r>
        <w:rPr>
          <w:lang w:val="en-GB"/>
        </w:rPr>
        <w:t>in the CFO compen</w:t>
      </w:r>
      <w:r w:rsidR="0095113D">
        <w:rPr>
          <w:lang w:val="en-GB"/>
        </w:rPr>
        <w:t xml:space="preserve">sation package. If the equity compensation </w:t>
      </w:r>
      <w:r>
        <w:rPr>
          <w:lang w:val="en-GB"/>
        </w:rPr>
        <w:t xml:space="preserve">is larger than 0, the CFO is compensated with equity and the dummy variable is equal to 1. When the variable is equal to 0, the CFO is not compensated with equity and the dummy variable is equal to 0. </w:t>
      </w:r>
    </w:p>
    <w:p w14:paraId="75608FF5" w14:textId="70D8AC5D" w:rsidR="0063004F" w:rsidRDefault="0063004F" w:rsidP="005839A2">
      <w:pPr>
        <w:spacing w:line="360" w:lineRule="auto"/>
        <w:jc w:val="both"/>
        <w:rPr>
          <w:lang w:val="en-GB"/>
        </w:rPr>
      </w:pPr>
      <w:r>
        <w:rPr>
          <w:lang w:val="en-GB"/>
        </w:rPr>
        <w:t xml:space="preserve">The second independent variable is </w:t>
      </w:r>
      <w:r w:rsidR="0095113D">
        <w:rPr>
          <w:lang w:val="en-GB"/>
        </w:rPr>
        <w:t>the proportion of equity</w:t>
      </w:r>
      <w:r>
        <w:rPr>
          <w:lang w:val="en-GB"/>
        </w:rPr>
        <w:t>, that measures the proportion of equity-based compensation in a certain year according to the following formula:</w:t>
      </w:r>
    </w:p>
    <w:p w14:paraId="648E4B6B" w14:textId="1ECB7039" w:rsidR="0063004F" w:rsidRPr="00A14181" w:rsidRDefault="00A14181" w:rsidP="005839A2">
      <w:pPr>
        <w:spacing w:line="360" w:lineRule="auto"/>
        <w:jc w:val="both"/>
        <w:rPr>
          <w:rFonts w:eastAsiaTheme="minorEastAsia"/>
          <w:lang w:val="en-GB"/>
        </w:rPr>
      </w:pPr>
      <m:oMathPara>
        <m:oMath>
          <m:r>
            <m:rPr>
              <m:sty m:val="p"/>
            </m:rPr>
            <w:rPr>
              <w:rFonts w:ascii="Cambria Math" w:hAnsi="Cambria Math"/>
              <w:lang w:val="en-GB"/>
            </w:rPr>
            <m:t>Proportio</m:t>
          </m:r>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Equity</m:t>
              </m:r>
            </m:sub>
          </m:sSub>
          <m:r>
            <m:rPr>
              <m:sty m:val="p"/>
            </m:rPr>
            <w:rPr>
              <w:rFonts w:ascii="Cambria Math" w:hAnsi="Cambria Math"/>
              <w:lang w:val="en-GB"/>
            </w:rPr>
            <m:t>=</m:t>
          </m:r>
          <m:f>
            <m:fPr>
              <m:ctrlPr>
                <w:rPr>
                  <w:rFonts w:ascii="Cambria Math" w:hAnsi="Cambria Math"/>
                  <w:lang w:val="en-GB"/>
                </w:rPr>
              </m:ctrlPr>
            </m:fPr>
            <m:num>
              <m:eqArr>
                <m:eqArrPr>
                  <m:ctrlPr>
                    <w:rPr>
                      <w:rFonts w:ascii="Cambria Math" w:hAnsi="Cambria Math"/>
                      <w:lang w:val="en-GB"/>
                    </w:rPr>
                  </m:ctrlPr>
                </m:eqArrPr>
                <m:e>
                  <m:r>
                    <m:rPr>
                      <m:sty m:val="p"/>
                    </m:rPr>
                    <w:rPr>
                      <w:rFonts w:ascii="Cambria Math" w:hAnsi="Cambria Math"/>
                      <w:lang w:val="en-GB"/>
                    </w:rPr>
                    <m:t>Compensation</m:t>
                  </m:r>
                  <m:sSub>
                    <m:sSubPr>
                      <m:ctrlPr>
                        <w:rPr>
                          <w:rFonts w:ascii="Cambria Math" w:hAnsi="Cambria Math"/>
                          <w:lang w:val="en-GB"/>
                        </w:rPr>
                      </m:ctrlPr>
                    </m:sSubPr>
                    <m:e>
                      <m:r>
                        <m:rPr>
                          <m:sty m:val="p"/>
                        </m:rPr>
                        <w:rPr>
                          <w:rFonts w:ascii="Cambria Math" w:hAnsi="Cambria Math"/>
                          <w:lang w:val="en-GB"/>
                        </w:rPr>
                        <m:t>y</m:t>
                      </m:r>
                    </m:e>
                    <m:sub>
                      <m:r>
                        <m:rPr>
                          <m:sty m:val="p"/>
                        </m:rPr>
                        <w:rPr>
                          <w:rFonts w:ascii="Cambria Math" w:hAnsi="Cambria Math"/>
                          <w:lang w:val="en-GB"/>
                        </w:rPr>
                        <m:t>Equity</m:t>
                      </m:r>
                    </m:sub>
                  </m:sSub>
                </m:e>
              </m:eqArr>
            </m:num>
            <m:den>
              <m:eqArr>
                <m:eqArrPr>
                  <m:ctrlPr>
                    <w:rPr>
                      <w:rFonts w:ascii="Cambria Math" w:hAnsi="Cambria Math"/>
                      <w:lang w:val="en-GB"/>
                    </w:rPr>
                  </m:ctrlPr>
                </m:eqArrPr>
                <m:e>
                  <m:r>
                    <m:rPr>
                      <m:sty m:val="p"/>
                    </m:rPr>
                    <w:rPr>
                      <w:rFonts w:ascii="Cambria Math" w:hAnsi="Cambria Math"/>
                      <w:lang w:val="en-GB"/>
                    </w:rPr>
                    <m:t>Compensatio</m:t>
                  </m:r>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Equity</m:t>
                      </m:r>
                    </m:sub>
                  </m:sSub>
                  <m:r>
                    <m:rPr>
                      <m:sty m:val="p"/>
                    </m:rPr>
                    <w:rPr>
                      <w:rFonts w:ascii="Cambria Math" w:hAnsi="Cambria Math"/>
                      <w:lang w:val="en-GB"/>
                    </w:rPr>
                    <m:t>+Compensatio</m:t>
                  </m:r>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Cash</m:t>
                      </m:r>
                    </m:sub>
                  </m:sSub>
                </m:e>
              </m:eqArr>
            </m:den>
          </m:f>
        </m:oMath>
      </m:oMathPara>
    </w:p>
    <w:p w14:paraId="72B91A4B" w14:textId="4359689E" w:rsidR="0063004F" w:rsidRDefault="0063004F" w:rsidP="005839A2">
      <w:pPr>
        <w:spacing w:line="360" w:lineRule="auto"/>
        <w:jc w:val="both"/>
        <w:rPr>
          <w:lang w:val="en-GB"/>
        </w:rPr>
      </w:pPr>
      <w:r>
        <w:rPr>
          <w:lang w:val="en-GB"/>
        </w:rPr>
        <w:t xml:space="preserve">After measuring the proportion, the proportion is classified in a decile between 0 and 1, the higher the decile, the more compensation is equity-based. The concerned compensation is coded </w:t>
      </w:r>
      <w:r w:rsidR="001C3834">
        <w:rPr>
          <w:lang w:val="en-GB"/>
        </w:rPr>
        <w:t xml:space="preserve">as a </w:t>
      </w:r>
      <w:r w:rsidR="00893988">
        <w:rPr>
          <w:lang w:val="en-GB"/>
        </w:rPr>
        <w:t xml:space="preserve">number  from 1 to 10 </w:t>
      </w:r>
      <w:r>
        <w:rPr>
          <w:lang w:val="en-GB"/>
        </w:rPr>
        <w:t xml:space="preserve"> for </w:t>
      </w:r>
      <w:r w:rsidR="00893988">
        <w:rPr>
          <w:lang w:val="en-GB"/>
        </w:rPr>
        <w:t xml:space="preserve">the decile it is classified to. </w:t>
      </w:r>
      <w:r w:rsidR="001C3834">
        <w:rPr>
          <w:lang w:val="en-GB"/>
        </w:rPr>
        <w:t xml:space="preserve">In this way, the variable captures the various proportions of equity compensation. </w:t>
      </w:r>
    </w:p>
    <w:p w14:paraId="11251936" w14:textId="58B0A62D" w:rsidR="0025157D" w:rsidRDefault="0025157D" w:rsidP="005839A2">
      <w:pPr>
        <w:spacing w:line="360" w:lineRule="auto"/>
        <w:jc w:val="both"/>
        <w:rPr>
          <w:lang w:val="en-GB"/>
        </w:rPr>
      </w:pPr>
      <w:r>
        <w:rPr>
          <w:lang w:val="en-GB"/>
        </w:rPr>
        <w:t>The third dependent variable is the measure for managerial a</w:t>
      </w:r>
      <w:r w:rsidR="0095113D">
        <w:rPr>
          <w:lang w:val="en-GB"/>
        </w:rPr>
        <w:t xml:space="preserve">nd fiduciary performance, </w:t>
      </w:r>
      <w:r>
        <w:rPr>
          <w:lang w:val="en-GB"/>
        </w:rPr>
        <w:t xml:space="preserve">which are used as an dependent variables for hypothesis 1 and 2. The same approach holds for hypothesis 3, but then considered as an independent variable. </w:t>
      </w:r>
    </w:p>
    <w:p w14:paraId="4D5BB751" w14:textId="38251B7B" w:rsidR="0025157D" w:rsidRPr="0063004F" w:rsidRDefault="0025157D" w:rsidP="005839A2">
      <w:pPr>
        <w:spacing w:line="360" w:lineRule="auto"/>
        <w:jc w:val="both"/>
        <w:rPr>
          <w:rFonts w:eastAsiaTheme="minorEastAsia"/>
          <w:lang w:val="en-GB"/>
        </w:rPr>
      </w:pPr>
      <w:r>
        <w:rPr>
          <w:lang w:val="en-GB"/>
        </w:rPr>
        <w:t xml:space="preserve">For hypothesis 4, the variable </w:t>
      </w:r>
      <w:r w:rsidR="0095113D">
        <w:rPr>
          <w:lang w:val="en-GB"/>
        </w:rPr>
        <w:t>of equity proportion</w:t>
      </w:r>
      <w:r>
        <w:rPr>
          <w:lang w:val="en-GB"/>
        </w:rPr>
        <w:t xml:space="preserve"> is used as an independent variable, which is used in hypothesis 2 as well. The same approach holds for hypothesis 4.</w:t>
      </w:r>
    </w:p>
    <w:p w14:paraId="71CBC66B" w14:textId="55564E10" w:rsidR="0025157D" w:rsidRDefault="0063004F" w:rsidP="005839A2">
      <w:pPr>
        <w:spacing w:line="360" w:lineRule="auto"/>
        <w:jc w:val="both"/>
        <w:rPr>
          <w:lang w:val="en-GB"/>
        </w:rPr>
      </w:pPr>
      <w:r>
        <w:rPr>
          <w:lang w:val="en-GB"/>
        </w:rPr>
        <w:t>Control variables are needed to generate a valid capture of an effect by keeping other influences, that are not in the scope of the analysis, constant.</w:t>
      </w:r>
      <w:r w:rsidR="00893988">
        <w:rPr>
          <w:lang w:val="en-GB"/>
        </w:rPr>
        <w:t xml:space="preserve"> </w:t>
      </w:r>
      <w:r w:rsidR="0095113D">
        <w:rPr>
          <w:lang w:val="en-GB"/>
        </w:rPr>
        <w:t xml:space="preserve">The revenue of a company </w:t>
      </w:r>
      <w:r w:rsidR="0025157D">
        <w:rPr>
          <w:lang w:val="en-GB"/>
        </w:rPr>
        <w:t xml:space="preserve">is added to measure the </w:t>
      </w:r>
      <w:r w:rsidR="0095113D">
        <w:rPr>
          <w:lang w:val="en-GB"/>
        </w:rPr>
        <w:t>size</w:t>
      </w:r>
      <w:r w:rsidR="0025157D">
        <w:rPr>
          <w:lang w:val="en-GB"/>
        </w:rPr>
        <w:t xml:space="preserve"> of a firm, and capturing differences in size</w:t>
      </w:r>
      <w:r w:rsidR="00134C78">
        <w:rPr>
          <w:lang w:val="en-GB"/>
        </w:rPr>
        <w:t xml:space="preserve"> </w:t>
      </w:r>
      <w:r w:rsidR="00134C78">
        <w:rPr>
          <w:lang w:val="en-GB"/>
        </w:rPr>
        <w:fldChar w:fldCharType="begin"/>
      </w:r>
      <w:r w:rsidR="00134C78">
        <w:rPr>
          <w:lang w:val="en-GB"/>
        </w:rPr>
        <w:instrText>ADDIN RW.CITE{{7 Indjejikian,Raffi 2009}}</w:instrText>
      </w:r>
      <w:r w:rsidR="00134C78">
        <w:rPr>
          <w:lang w:val="en-GB"/>
        </w:rPr>
        <w:fldChar w:fldCharType="separate"/>
      </w:r>
      <w:r w:rsidR="00254F5A" w:rsidRPr="00254F5A">
        <w:rPr>
          <w:rFonts w:ascii="Calibri" w:hAnsi="Calibri"/>
          <w:lang w:val="en-GB"/>
        </w:rPr>
        <w:t>(Indjejikian &amp; Matêjka, 2009)</w:t>
      </w:r>
      <w:r w:rsidR="00134C78">
        <w:rPr>
          <w:lang w:val="en-GB"/>
        </w:rPr>
        <w:fldChar w:fldCharType="end"/>
      </w:r>
      <w:r w:rsidR="00036A41">
        <w:rPr>
          <w:lang w:val="en-GB"/>
        </w:rPr>
        <w:t xml:space="preserve">. </w:t>
      </w:r>
    </w:p>
    <w:p w14:paraId="631757D1" w14:textId="5517E065" w:rsidR="003C3591" w:rsidRDefault="003D712D" w:rsidP="00C52621">
      <w:pPr>
        <w:spacing w:line="240" w:lineRule="auto"/>
        <w:jc w:val="both"/>
        <w:rPr>
          <w:lang w:val="en-GB"/>
        </w:rPr>
      </w:pPr>
      <w:r w:rsidRPr="00242901">
        <w:rPr>
          <w:lang w:val="en-GB"/>
        </w:rPr>
        <w:t>See table</w:t>
      </w:r>
      <w:r w:rsidR="00352EBD">
        <w:rPr>
          <w:lang w:val="en-GB"/>
        </w:rPr>
        <w:t xml:space="preserve"> 1 and 2</w:t>
      </w:r>
      <w:r w:rsidRPr="00242901">
        <w:rPr>
          <w:lang w:val="en-GB"/>
        </w:rPr>
        <w:t xml:space="preserve"> for an overview of the </w:t>
      </w:r>
      <w:r w:rsidR="00352EBD">
        <w:rPr>
          <w:lang w:val="en-GB"/>
        </w:rPr>
        <w:t>dependent and independent variables</w:t>
      </w:r>
      <w:r w:rsidR="00B94ED4">
        <w:rPr>
          <w:lang w:val="en-GB"/>
        </w:rPr>
        <w:t>.</w:t>
      </w:r>
    </w:p>
    <w:p w14:paraId="10086E5E" w14:textId="46FF6507" w:rsidR="003C3591" w:rsidRPr="003C3591" w:rsidRDefault="003C3591" w:rsidP="00A726AB">
      <w:pPr>
        <w:pStyle w:val="Kop5"/>
      </w:pPr>
      <w:r w:rsidRPr="00C52621">
        <w:lastRenderedPageBreak/>
        <w:t xml:space="preserve">Table </w:t>
      </w:r>
      <w:r>
        <w:fldChar w:fldCharType="begin"/>
      </w:r>
      <w:r>
        <w:instrText xml:space="preserve"> SEQ Table \* ARABIC </w:instrText>
      </w:r>
      <w:r>
        <w:fldChar w:fldCharType="separate"/>
      </w:r>
      <w:r w:rsidR="004043A1">
        <w:rPr>
          <w:noProof/>
        </w:rPr>
        <w:t>1</w:t>
      </w:r>
      <w:r>
        <w:fldChar w:fldCharType="end"/>
      </w:r>
      <w:r w:rsidRPr="00C52621">
        <w:t>: Dependent variables</w:t>
      </w:r>
    </w:p>
    <w:tbl>
      <w:tblPr>
        <w:tblStyle w:val="Tabelraster"/>
        <w:tblpPr w:leftFromText="141" w:rightFromText="141" w:vertAnchor="text" w:horzAnchor="margin" w:tblpX="-459" w:tblpY="220"/>
        <w:tblW w:w="10173" w:type="dxa"/>
        <w:tblLook w:val="04A0" w:firstRow="1" w:lastRow="0" w:firstColumn="1" w:lastColumn="0" w:noHBand="0" w:noVBand="1"/>
      </w:tblPr>
      <w:tblGrid>
        <w:gridCol w:w="2802"/>
        <w:gridCol w:w="2585"/>
        <w:gridCol w:w="4786"/>
      </w:tblGrid>
      <w:tr w:rsidR="0008794F" w:rsidRPr="00242901" w14:paraId="49FE80C4" w14:textId="77777777" w:rsidTr="0008794F">
        <w:tc>
          <w:tcPr>
            <w:tcW w:w="2802" w:type="dxa"/>
          </w:tcPr>
          <w:p w14:paraId="6694EE5C" w14:textId="6A41FB26" w:rsidR="0008794F" w:rsidRPr="00393102" w:rsidRDefault="0008794F" w:rsidP="0008794F">
            <w:pPr>
              <w:jc w:val="center"/>
              <w:rPr>
                <w:b/>
                <w:lang w:val="en-GB"/>
              </w:rPr>
            </w:pPr>
            <w:r w:rsidRPr="00393102">
              <w:rPr>
                <w:b/>
                <w:lang w:val="en-GB"/>
              </w:rPr>
              <w:t>Variable</w:t>
            </w:r>
          </w:p>
        </w:tc>
        <w:tc>
          <w:tcPr>
            <w:tcW w:w="2585" w:type="dxa"/>
          </w:tcPr>
          <w:p w14:paraId="7A892AA4" w14:textId="004CDC97" w:rsidR="0008794F" w:rsidRDefault="0008794F" w:rsidP="0008794F">
            <w:pPr>
              <w:jc w:val="center"/>
              <w:rPr>
                <w:b/>
                <w:lang w:val="en-GB"/>
              </w:rPr>
            </w:pPr>
            <w:r>
              <w:rPr>
                <w:b/>
                <w:lang w:val="en-GB"/>
              </w:rPr>
              <w:t>Proxy</w:t>
            </w:r>
          </w:p>
        </w:tc>
        <w:tc>
          <w:tcPr>
            <w:tcW w:w="4786" w:type="dxa"/>
          </w:tcPr>
          <w:p w14:paraId="5AECD043" w14:textId="549349E5" w:rsidR="0008794F" w:rsidRPr="00393102" w:rsidRDefault="0008794F" w:rsidP="0008794F">
            <w:pPr>
              <w:jc w:val="center"/>
              <w:rPr>
                <w:b/>
                <w:lang w:val="en-GB"/>
              </w:rPr>
            </w:pPr>
            <w:r w:rsidRPr="00393102">
              <w:rPr>
                <w:b/>
                <w:lang w:val="en-GB"/>
              </w:rPr>
              <w:t>Definition</w:t>
            </w:r>
          </w:p>
        </w:tc>
      </w:tr>
      <w:tr w:rsidR="0008794F" w:rsidRPr="00A726AB" w14:paraId="550771A1" w14:textId="77777777" w:rsidTr="0008794F">
        <w:tc>
          <w:tcPr>
            <w:tcW w:w="2802" w:type="dxa"/>
          </w:tcPr>
          <w:p w14:paraId="1A866CE4" w14:textId="72C79D0E" w:rsidR="0008794F" w:rsidRPr="00242901" w:rsidRDefault="0008794F" w:rsidP="0008794F">
            <w:pPr>
              <w:rPr>
                <w:lang w:val="en-GB"/>
              </w:rPr>
            </w:pPr>
            <w:r>
              <w:rPr>
                <w:lang w:val="en-GB"/>
              </w:rPr>
              <w:t xml:space="preserve">Firm financial performance  </w:t>
            </w:r>
          </w:p>
        </w:tc>
        <w:tc>
          <w:tcPr>
            <w:tcW w:w="2585" w:type="dxa"/>
          </w:tcPr>
          <w:p w14:paraId="320C32E2" w14:textId="42400586" w:rsidR="0008794F" w:rsidRPr="00242901" w:rsidRDefault="0008794F" w:rsidP="0008794F">
            <w:pPr>
              <w:rPr>
                <w:lang w:val="en-GB"/>
              </w:rPr>
            </w:pPr>
            <w:r>
              <w:rPr>
                <w:lang w:val="en-GB"/>
              </w:rPr>
              <w:t>CFO performance on managerial duty</w:t>
            </w:r>
          </w:p>
        </w:tc>
        <w:tc>
          <w:tcPr>
            <w:tcW w:w="4786" w:type="dxa"/>
          </w:tcPr>
          <w:p w14:paraId="012A7642" w14:textId="5E851136" w:rsidR="0008794F" w:rsidRPr="00242901" w:rsidRDefault="0008794F" w:rsidP="0008794F">
            <w:pPr>
              <w:rPr>
                <w:lang w:val="en-GB"/>
              </w:rPr>
            </w:pPr>
            <w:r>
              <w:rPr>
                <w:lang w:val="en-GB"/>
              </w:rPr>
              <w:t>The earnings of a firm in a certain fiscal year</w:t>
            </w:r>
          </w:p>
        </w:tc>
      </w:tr>
      <w:tr w:rsidR="0008794F" w:rsidRPr="00A726AB" w14:paraId="151F7FFB" w14:textId="77777777" w:rsidTr="0008794F">
        <w:tc>
          <w:tcPr>
            <w:tcW w:w="2802" w:type="dxa"/>
          </w:tcPr>
          <w:p w14:paraId="52C1796A" w14:textId="6175B6A2" w:rsidR="0008794F" w:rsidRDefault="0008794F" w:rsidP="0008794F">
            <w:pPr>
              <w:rPr>
                <w:lang w:val="en-GB"/>
              </w:rPr>
            </w:pPr>
            <w:r w:rsidRPr="00242901">
              <w:rPr>
                <w:lang w:val="en-GB"/>
              </w:rPr>
              <w:t>Internal control material weakness</w:t>
            </w:r>
            <w:r>
              <w:rPr>
                <w:lang w:val="en-GB"/>
              </w:rPr>
              <w:t xml:space="preserve">  </w:t>
            </w:r>
          </w:p>
        </w:tc>
        <w:tc>
          <w:tcPr>
            <w:tcW w:w="2585" w:type="dxa"/>
          </w:tcPr>
          <w:p w14:paraId="635BA79B" w14:textId="19ACF66B" w:rsidR="0008794F" w:rsidRDefault="0008794F" w:rsidP="0008794F">
            <w:pPr>
              <w:rPr>
                <w:lang w:val="en-GB"/>
              </w:rPr>
            </w:pPr>
            <w:r>
              <w:rPr>
                <w:lang w:val="en-GB"/>
              </w:rPr>
              <w:t>CFO performance on fiduciary duty</w:t>
            </w:r>
          </w:p>
        </w:tc>
        <w:tc>
          <w:tcPr>
            <w:tcW w:w="4786" w:type="dxa"/>
          </w:tcPr>
          <w:p w14:paraId="1966BAF8" w14:textId="1FF6F650" w:rsidR="0008794F" w:rsidRPr="00242901" w:rsidRDefault="0008794F" w:rsidP="0008794F">
            <w:pPr>
              <w:rPr>
                <w:lang w:val="en-GB"/>
              </w:rPr>
            </w:pPr>
            <w:r w:rsidRPr="00242901">
              <w:rPr>
                <w:lang w:val="en-GB"/>
              </w:rPr>
              <w:t>The disclosure of at least 1 int</w:t>
            </w:r>
            <w:r>
              <w:rPr>
                <w:lang w:val="en-GB"/>
              </w:rPr>
              <w:t>ernal control material weakness</w:t>
            </w:r>
          </w:p>
        </w:tc>
      </w:tr>
      <w:tr w:rsidR="0008794F" w:rsidRPr="00BC3F8D" w14:paraId="64997C43" w14:textId="77777777" w:rsidTr="0008794F">
        <w:tc>
          <w:tcPr>
            <w:tcW w:w="2802" w:type="dxa"/>
          </w:tcPr>
          <w:p w14:paraId="199F1B69" w14:textId="71878775" w:rsidR="0008794F" w:rsidRPr="00242901" w:rsidRDefault="0008794F" w:rsidP="0008794F">
            <w:pPr>
              <w:rPr>
                <w:lang w:val="en-GB"/>
              </w:rPr>
            </w:pPr>
            <w:r>
              <w:rPr>
                <w:lang w:val="en-GB"/>
              </w:rPr>
              <w:t>Restatement</w:t>
            </w:r>
          </w:p>
        </w:tc>
        <w:tc>
          <w:tcPr>
            <w:tcW w:w="2585" w:type="dxa"/>
          </w:tcPr>
          <w:p w14:paraId="07EB5BFF" w14:textId="73971DE5" w:rsidR="0008794F" w:rsidRPr="00242901" w:rsidRDefault="0008794F" w:rsidP="0008794F">
            <w:pPr>
              <w:rPr>
                <w:lang w:val="en-GB"/>
              </w:rPr>
            </w:pPr>
            <w:r>
              <w:rPr>
                <w:lang w:val="en-GB"/>
              </w:rPr>
              <w:t>CFO performance on fiduciary duty</w:t>
            </w:r>
          </w:p>
        </w:tc>
        <w:tc>
          <w:tcPr>
            <w:tcW w:w="4786" w:type="dxa"/>
          </w:tcPr>
          <w:p w14:paraId="6A373FDA" w14:textId="237B499E" w:rsidR="0008794F" w:rsidRPr="00242901" w:rsidRDefault="0008794F" w:rsidP="0008794F">
            <w:pPr>
              <w:rPr>
                <w:lang w:val="en-GB"/>
              </w:rPr>
            </w:pPr>
            <w:r>
              <w:rPr>
                <w:lang w:val="en-GB"/>
              </w:rPr>
              <w:t xml:space="preserve">Financial accounting  restatement </w:t>
            </w:r>
          </w:p>
        </w:tc>
      </w:tr>
      <w:tr w:rsidR="0008794F" w:rsidRPr="00A726AB" w14:paraId="2AA60DF3" w14:textId="77777777" w:rsidTr="0008794F">
        <w:tc>
          <w:tcPr>
            <w:tcW w:w="2802" w:type="dxa"/>
          </w:tcPr>
          <w:p w14:paraId="08BC494C" w14:textId="508485BC" w:rsidR="0008794F" w:rsidRDefault="0008794F" w:rsidP="0008794F">
            <w:pPr>
              <w:rPr>
                <w:lang w:val="en-GB"/>
              </w:rPr>
            </w:pPr>
            <w:r>
              <w:rPr>
                <w:lang w:val="en-GB"/>
              </w:rPr>
              <w:t>Stock price performance</w:t>
            </w:r>
          </w:p>
        </w:tc>
        <w:tc>
          <w:tcPr>
            <w:tcW w:w="2585" w:type="dxa"/>
          </w:tcPr>
          <w:p w14:paraId="3A54AA19" w14:textId="1E66524E" w:rsidR="0008794F" w:rsidRDefault="0008794F" w:rsidP="0008794F">
            <w:pPr>
              <w:rPr>
                <w:lang w:val="en-GB"/>
              </w:rPr>
            </w:pPr>
            <w:r>
              <w:rPr>
                <w:lang w:val="en-GB"/>
              </w:rPr>
              <w:t>CFO total performance</w:t>
            </w:r>
          </w:p>
        </w:tc>
        <w:tc>
          <w:tcPr>
            <w:tcW w:w="4786" w:type="dxa"/>
          </w:tcPr>
          <w:p w14:paraId="0958B1B4" w14:textId="7A3AA465" w:rsidR="0008794F" w:rsidRDefault="0008794F" w:rsidP="0008794F">
            <w:pPr>
              <w:rPr>
                <w:lang w:val="en-GB"/>
              </w:rPr>
            </w:pPr>
            <w:r>
              <w:rPr>
                <w:lang w:val="en-GB"/>
              </w:rPr>
              <w:t>Stock price performance over 1 fiscal year</w:t>
            </w:r>
          </w:p>
        </w:tc>
      </w:tr>
      <w:tr w:rsidR="0008794F" w:rsidRPr="00A726AB" w14:paraId="67F95336" w14:textId="77777777" w:rsidTr="0008794F">
        <w:tc>
          <w:tcPr>
            <w:tcW w:w="2802" w:type="dxa"/>
          </w:tcPr>
          <w:p w14:paraId="09F9B654" w14:textId="1102672E" w:rsidR="0008794F" w:rsidRDefault="0008794F" w:rsidP="0008794F">
            <w:pPr>
              <w:rPr>
                <w:lang w:val="en-GB"/>
              </w:rPr>
            </w:pPr>
            <w:r>
              <w:rPr>
                <w:lang w:val="en-GB"/>
              </w:rPr>
              <w:t>Equity compensation</w:t>
            </w:r>
          </w:p>
        </w:tc>
        <w:tc>
          <w:tcPr>
            <w:tcW w:w="2585" w:type="dxa"/>
          </w:tcPr>
          <w:p w14:paraId="4BD47999" w14:textId="60EAC974" w:rsidR="0008794F" w:rsidRDefault="0008794F" w:rsidP="0008794F">
            <w:pPr>
              <w:rPr>
                <w:lang w:val="en-GB"/>
              </w:rPr>
            </w:pPr>
            <w:r>
              <w:rPr>
                <w:lang w:val="en-GB"/>
              </w:rPr>
              <w:t>Presence of equity compensation</w:t>
            </w:r>
          </w:p>
        </w:tc>
        <w:tc>
          <w:tcPr>
            <w:tcW w:w="4786" w:type="dxa"/>
          </w:tcPr>
          <w:p w14:paraId="7785ED9B" w14:textId="1B8E4145" w:rsidR="0008794F" w:rsidRPr="00242901" w:rsidRDefault="0008794F" w:rsidP="0008794F">
            <w:pPr>
              <w:rPr>
                <w:lang w:val="en-GB"/>
              </w:rPr>
            </w:pPr>
            <w:r>
              <w:rPr>
                <w:lang w:val="en-GB"/>
              </w:rPr>
              <w:t>The presence of equity-based compensation in the compensation package of the CFO</w:t>
            </w:r>
          </w:p>
        </w:tc>
      </w:tr>
      <w:tr w:rsidR="0008794F" w:rsidRPr="00A726AB" w14:paraId="7106DBF7" w14:textId="77777777" w:rsidTr="0008794F">
        <w:tc>
          <w:tcPr>
            <w:tcW w:w="2802" w:type="dxa"/>
          </w:tcPr>
          <w:p w14:paraId="6F411005" w14:textId="5B36FE5E" w:rsidR="0008794F" w:rsidRPr="00242901" w:rsidRDefault="0008794F" w:rsidP="0008794F">
            <w:pPr>
              <w:rPr>
                <w:lang w:val="en-GB"/>
              </w:rPr>
            </w:pPr>
            <w:r>
              <w:rPr>
                <w:lang w:val="en-GB"/>
              </w:rPr>
              <w:t>Equity</w:t>
            </w:r>
            <w:r w:rsidRPr="00242901">
              <w:rPr>
                <w:lang w:val="en-GB"/>
              </w:rPr>
              <w:t xml:space="preserve"> </w:t>
            </w:r>
            <w:r>
              <w:rPr>
                <w:lang w:val="en-GB"/>
              </w:rPr>
              <w:t>compensation</w:t>
            </w:r>
          </w:p>
        </w:tc>
        <w:tc>
          <w:tcPr>
            <w:tcW w:w="2585" w:type="dxa"/>
          </w:tcPr>
          <w:p w14:paraId="2E108F6C" w14:textId="53E83FCB" w:rsidR="0008794F" w:rsidRPr="00242901" w:rsidRDefault="0008794F" w:rsidP="0008794F">
            <w:pPr>
              <w:rPr>
                <w:lang w:val="en-GB"/>
              </w:rPr>
            </w:pPr>
            <w:r>
              <w:rPr>
                <w:lang w:val="en-GB"/>
              </w:rPr>
              <w:t>CFO equity compensation</w:t>
            </w:r>
          </w:p>
        </w:tc>
        <w:tc>
          <w:tcPr>
            <w:tcW w:w="4786" w:type="dxa"/>
          </w:tcPr>
          <w:p w14:paraId="55B3E28B" w14:textId="3983B0AE" w:rsidR="0008794F" w:rsidRPr="00242901" w:rsidRDefault="0008794F" w:rsidP="0008794F">
            <w:pPr>
              <w:rPr>
                <w:lang w:val="en-GB"/>
              </w:rPr>
            </w:pPr>
            <w:r>
              <w:rPr>
                <w:lang w:val="en-GB"/>
              </w:rPr>
              <w:t>Amount of equity compensation of CFO</w:t>
            </w:r>
          </w:p>
        </w:tc>
      </w:tr>
      <w:tr w:rsidR="0008794F" w:rsidRPr="00A726AB" w14:paraId="14DF0E1D" w14:textId="77777777" w:rsidTr="0008794F">
        <w:tc>
          <w:tcPr>
            <w:tcW w:w="2802" w:type="dxa"/>
          </w:tcPr>
          <w:p w14:paraId="2F317B08" w14:textId="408F9ADB" w:rsidR="0008794F" w:rsidRPr="00242901" w:rsidRDefault="0008794F" w:rsidP="0008794F">
            <w:pPr>
              <w:rPr>
                <w:lang w:val="en-GB"/>
              </w:rPr>
            </w:pPr>
            <w:r>
              <w:rPr>
                <w:lang w:val="en-GB"/>
              </w:rPr>
              <w:t>Cash compensation</w:t>
            </w:r>
          </w:p>
        </w:tc>
        <w:tc>
          <w:tcPr>
            <w:tcW w:w="2585" w:type="dxa"/>
          </w:tcPr>
          <w:p w14:paraId="1849B5C1" w14:textId="0FE437CC" w:rsidR="0008794F" w:rsidRPr="00242901" w:rsidRDefault="0008794F" w:rsidP="0008794F">
            <w:pPr>
              <w:rPr>
                <w:lang w:val="en-GB"/>
              </w:rPr>
            </w:pPr>
            <w:r>
              <w:rPr>
                <w:lang w:val="en-GB"/>
              </w:rPr>
              <w:t>CFO equity compensation</w:t>
            </w:r>
          </w:p>
        </w:tc>
        <w:tc>
          <w:tcPr>
            <w:tcW w:w="4786" w:type="dxa"/>
          </w:tcPr>
          <w:p w14:paraId="2FD4E196" w14:textId="1C34DBCA" w:rsidR="0008794F" w:rsidRPr="00242901" w:rsidRDefault="0008794F" w:rsidP="0008794F">
            <w:pPr>
              <w:keepNext/>
              <w:rPr>
                <w:lang w:val="en-GB"/>
              </w:rPr>
            </w:pPr>
            <w:r>
              <w:rPr>
                <w:lang w:val="en-GB"/>
              </w:rPr>
              <w:t>Amount of cash compensation</w:t>
            </w:r>
            <w:r w:rsidRPr="00242901">
              <w:rPr>
                <w:lang w:val="en-GB"/>
              </w:rPr>
              <w:t xml:space="preserve"> of CFO </w:t>
            </w:r>
          </w:p>
        </w:tc>
      </w:tr>
    </w:tbl>
    <w:p w14:paraId="6339FBFE" w14:textId="77777777" w:rsidR="0008794F" w:rsidRDefault="0008794F" w:rsidP="003C3591">
      <w:pPr>
        <w:pStyle w:val="Bijschrift"/>
        <w:keepNext/>
        <w:rPr>
          <w:lang w:val="en-GB"/>
        </w:rPr>
      </w:pPr>
    </w:p>
    <w:p w14:paraId="77545C3A" w14:textId="2873A350" w:rsidR="003C3591" w:rsidRPr="003C3591" w:rsidRDefault="003C3591" w:rsidP="00A726AB">
      <w:pPr>
        <w:pStyle w:val="Kop5"/>
      </w:pPr>
      <w:r w:rsidRPr="003C3591">
        <w:t xml:space="preserve">Table </w:t>
      </w:r>
      <w:r w:rsidRPr="003C3591">
        <w:fldChar w:fldCharType="begin"/>
      </w:r>
      <w:r w:rsidRPr="003C3591">
        <w:instrText xml:space="preserve"> SEQ Table \* ARABIC </w:instrText>
      </w:r>
      <w:r w:rsidRPr="003C3591">
        <w:fldChar w:fldCharType="separate"/>
      </w:r>
      <w:r w:rsidR="004043A1">
        <w:rPr>
          <w:noProof/>
        </w:rPr>
        <w:t>2</w:t>
      </w:r>
      <w:r w:rsidRPr="003C3591">
        <w:fldChar w:fldCharType="end"/>
      </w:r>
      <w:r w:rsidRPr="003C3591">
        <w:t>: Independent variables</w:t>
      </w:r>
    </w:p>
    <w:tbl>
      <w:tblPr>
        <w:tblStyle w:val="Tabelraster"/>
        <w:tblpPr w:leftFromText="141" w:rightFromText="141" w:vertAnchor="text" w:horzAnchor="margin" w:tblpX="-459" w:tblpY="220"/>
        <w:tblW w:w="10173" w:type="dxa"/>
        <w:tblLook w:val="04A0" w:firstRow="1" w:lastRow="0" w:firstColumn="1" w:lastColumn="0" w:noHBand="0" w:noVBand="1"/>
      </w:tblPr>
      <w:tblGrid>
        <w:gridCol w:w="2802"/>
        <w:gridCol w:w="2585"/>
        <w:gridCol w:w="4786"/>
      </w:tblGrid>
      <w:tr w:rsidR="0008794F" w:rsidRPr="00242901" w14:paraId="13936C80" w14:textId="77777777" w:rsidTr="0008794F">
        <w:tc>
          <w:tcPr>
            <w:tcW w:w="2802" w:type="dxa"/>
          </w:tcPr>
          <w:p w14:paraId="4F2634A5" w14:textId="77777777" w:rsidR="0008794F" w:rsidRPr="00393102" w:rsidRDefault="0008794F" w:rsidP="0008794F">
            <w:pPr>
              <w:jc w:val="center"/>
              <w:rPr>
                <w:b/>
                <w:lang w:val="en-GB"/>
              </w:rPr>
            </w:pPr>
            <w:r w:rsidRPr="00393102">
              <w:rPr>
                <w:b/>
                <w:lang w:val="en-GB"/>
              </w:rPr>
              <w:t>Variable</w:t>
            </w:r>
          </w:p>
        </w:tc>
        <w:tc>
          <w:tcPr>
            <w:tcW w:w="2585" w:type="dxa"/>
          </w:tcPr>
          <w:p w14:paraId="07BE8D37" w14:textId="77777777" w:rsidR="0008794F" w:rsidRDefault="0008794F" w:rsidP="0008794F">
            <w:pPr>
              <w:jc w:val="center"/>
              <w:rPr>
                <w:b/>
                <w:lang w:val="en-GB"/>
              </w:rPr>
            </w:pPr>
            <w:r>
              <w:rPr>
                <w:b/>
                <w:lang w:val="en-GB"/>
              </w:rPr>
              <w:t>Proxy</w:t>
            </w:r>
          </w:p>
        </w:tc>
        <w:tc>
          <w:tcPr>
            <w:tcW w:w="4786" w:type="dxa"/>
          </w:tcPr>
          <w:p w14:paraId="01B18DA4" w14:textId="77777777" w:rsidR="0008794F" w:rsidRPr="00393102" w:rsidRDefault="0008794F" w:rsidP="0008794F">
            <w:pPr>
              <w:jc w:val="center"/>
              <w:rPr>
                <w:b/>
                <w:lang w:val="en-GB"/>
              </w:rPr>
            </w:pPr>
            <w:r w:rsidRPr="00393102">
              <w:rPr>
                <w:b/>
                <w:lang w:val="en-GB"/>
              </w:rPr>
              <w:t>Definition</w:t>
            </w:r>
          </w:p>
        </w:tc>
      </w:tr>
      <w:tr w:rsidR="0008794F" w:rsidRPr="00A726AB" w14:paraId="42E404FA" w14:textId="77777777" w:rsidTr="0008794F">
        <w:tc>
          <w:tcPr>
            <w:tcW w:w="2802" w:type="dxa"/>
          </w:tcPr>
          <w:p w14:paraId="096882B0" w14:textId="16DE0C69" w:rsidR="0008794F" w:rsidRPr="00393102" w:rsidRDefault="0008794F" w:rsidP="0008794F">
            <w:pPr>
              <w:rPr>
                <w:b/>
                <w:lang w:val="en-GB"/>
              </w:rPr>
            </w:pPr>
            <w:r>
              <w:rPr>
                <w:lang w:val="en-GB"/>
              </w:rPr>
              <w:t>Equity compensation</w:t>
            </w:r>
          </w:p>
        </w:tc>
        <w:tc>
          <w:tcPr>
            <w:tcW w:w="2585" w:type="dxa"/>
          </w:tcPr>
          <w:p w14:paraId="096A55A9" w14:textId="6329B4F2" w:rsidR="0008794F" w:rsidRDefault="0008794F" w:rsidP="0008794F">
            <w:pPr>
              <w:rPr>
                <w:b/>
                <w:lang w:val="en-GB"/>
              </w:rPr>
            </w:pPr>
            <w:r>
              <w:rPr>
                <w:lang w:val="en-GB"/>
              </w:rPr>
              <w:t>Presence of equity compensation</w:t>
            </w:r>
          </w:p>
        </w:tc>
        <w:tc>
          <w:tcPr>
            <w:tcW w:w="4786" w:type="dxa"/>
          </w:tcPr>
          <w:p w14:paraId="6BCA1712" w14:textId="39C90594" w:rsidR="0008794F" w:rsidRPr="00393102" w:rsidRDefault="0008794F" w:rsidP="0008794F">
            <w:pPr>
              <w:rPr>
                <w:b/>
                <w:lang w:val="en-GB"/>
              </w:rPr>
            </w:pPr>
            <w:r>
              <w:rPr>
                <w:lang w:val="en-GB"/>
              </w:rPr>
              <w:t>The presence of equity-based compensation in the compensation package of the CFO</w:t>
            </w:r>
          </w:p>
        </w:tc>
      </w:tr>
      <w:tr w:rsidR="0008794F" w:rsidRPr="00A726AB" w14:paraId="0ABF8161" w14:textId="77777777" w:rsidTr="0008794F">
        <w:tc>
          <w:tcPr>
            <w:tcW w:w="2802" w:type="dxa"/>
          </w:tcPr>
          <w:p w14:paraId="19B62C84" w14:textId="6D8C017E" w:rsidR="0008794F" w:rsidRPr="00242901" w:rsidRDefault="0008794F" w:rsidP="0008794F">
            <w:pPr>
              <w:rPr>
                <w:lang w:val="en-GB"/>
              </w:rPr>
            </w:pPr>
            <w:r>
              <w:rPr>
                <w:lang w:val="en-GB"/>
              </w:rPr>
              <w:t>Firm financial performance</w:t>
            </w:r>
          </w:p>
        </w:tc>
        <w:tc>
          <w:tcPr>
            <w:tcW w:w="2585" w:type="dxa"/>
          </w:tcPr>
          <w:p w14:paraId="7CD68F67" w14:textId="77777777" w:rsidR="0008794F" w:rsidRPr="00242901" w:rsidRDefault="0008794F" w:rsidP="0008794F">
            <w:pPr>
              <w:rPr>
                <w:lang w:val="en-GB"/>
              </w:rPr>
            </w:pPr>
            <w:r>
              <w:rPr>
                <w:lang w:val="en-GB"/>
              </w:rPr>
              <w:t>CFO performance on managerial duty</w:t>
            </w:r>
          </w:p>
        </w:tc>
        <w:tc>
          <w:tcPr>
            <w:tcW w:w="4786" w:type="dxa"/>
          </w:tcPr>
          <w:p w14:paraId="497AE567" w14:textId="77777777" w:rsidR="0008794F" w:rsidRPr="00242901" w:rsidRDefault="0008794F" w:rsidP="0008794F">
            <w:pPr>
              <w:rPr>
                <w:lang w:val="en-GB"/>
              </w:rPr>
            </w:pPr>
            <w:r>
              <w:rPr>
                <w:lang w:val="en-GB"/>
              </w:rPr>
              <w:t>The yearly earnings of a firm in a certain fiscal year</w:t>
            </w:r>
          </w:p>
        </w:tc>
      </w:tr>
      <w:tr w:rsidR="0008794F" w:rsidRPr="00A726AB" w14:paraId="27377038" w14:textId="77777777" w:rsidTr="0008794F">
        <w:tc>
          <w:tcPr>
            <w:tcW w:w="2802" w:type="dxa"/>
          </w:tcPr>
          <w:p w14:paraId="6FD31B5C" w14:textId="07A5B7A9" w:rsidR="0008794F" w:rsidRDefault="0008794F" w:rsidP="0008794F">
            <w:pPr>
              <w:rPr>
                <w:lang w:val="en-GB"/>
              </w:rPr>
            </w:pPr>
            <w:r w:rsidRPr="00242901">
              <w:rPr>
                <w:lang w:val="en-GB"/>
              </w:rPr>
              <w:t>Internal control material weakness</w:t>
            </w:r>
          </w:p>
        </w:tc>
        <w:tc>
          <w:tcPr>
            <w:tcW w:w="2585" w:type="dxa"/>
          </w:tcPr>
          <w:p w14:paraId="10CD904F" w14:textId="77777777" w:rsidR="0008794F" w:rsidRDefault="0008794F" w:rsidP="0008794F">
            <w:pPr>
              <w:rPr>
                <w:lang w:val="en-GB"/>
              </w:rPr>
            </w:pPr>
            <w:r>
              <w:rPr>
                <w:lang w:val="en-GB"/>
              </w:rPr>
              <w:t>CFO performance on fiduciary duty</w:t>
            </w:r>
          </w:p>
        </w:tc>
        <w:tc>
          <w:tcPr>
            <w:tcW w:w="4786" w:type="dxa"/>
          </w:tcPr>
          <w:p w14:paraId="7FC798A2" w14:textId="77777777" w:rsidR="0008794F" w:rsidRPr="00242901" w:rsidRDefault="0008794F" w:rsidP="0008794F">
            <w:pPr>
              <w:rPr>
                <w:lang w:val="en-GB"/>
              </w:rPr>
            </w:pPr>
            <w:r w:rsidRPr="00242901">
              <w:rPr>
                <w:lang w:val="en-GB"/>
              </w:rPr>
              <w:t>The disclosure of at least 1 int</w:t>
            </w:r>
            <w:r>
              <w:rPr>
                <w:lang w:val="en-GB"/>
              </w:rPr>
              <w:t>ernal control material weakness</w:t>
            </w:r>
          </w:p>
        </w:tc>
      </w:tr>
      <w:tr w:rsidR="0008794F" w:rsidRPr="00BC3F8D" w14:paraId="5E17F4DC" w14:textId="77777777" w:rsidTr="0008794F">
        <w:tc>
          <w:tcPr>
            <w:tcW w:w="2802" w:type="dxa"/>
          </w:tcPr>
          <w:p w14:paraId="14D8E771" w14:textId="41A48117" w:rsidR="0008794F" w:rsidRPr="00242901" w:rsidRDefault="0008794F" w:rsidP="0008794F">
            <w:pPr>
              <w:rPr>
                <w:lang w:val="en-GB"/>
              </w:rPr>
            </w:pPr>
            <w:r>
              <w:rPr>
                <w:lang w:val="en-GB"/>
              </w:rPr>
              <w:t>Restatement</w:t>
            </w:r>
          </w:p>
        </w:tc>
        <w:tc>
          <w:tcPr>
            <w:tcW w:w="2585" w:type="dxa"/>
          </w:tcPr>
          <w:p w14:paraId="60339E62" w14:textId="77777777" w:rsidR="0008794F" w:rsidRPr="00242901" w:rsidRDefault="0008794F" w:rsidP="0008794F">
            <w:pPr>
              <w:rPr>
                <w:lang w:val="en-GB"/>
              </w:rPr>
            </w:pPr>
            <w:r>
              <w:rPr>
                <w:lang w:val="en-GB"/>
              </w:rPr>
              <w:t>CFO performance on fiduciary duty</w:t>
            </w:r>
          </w:p>
        </w:tc>
        <w:tc>
          <w:tcPr>
            <w:tcW w:w="4786" w:type="dxa"/>
          </w:tcPr>
          <w:p w14:paraId="14676846" w14:textId="77777777" w:rsidR="0008794F" w:rsidRPr="00242901" w:rsidRDefault="0008794F" w:rsidP="0008794F">
            <w:pPr>
              <w:rPr>
                <w:lang w:val="en-GB"/>
              </w:rPr>
            </w:pPr>
            <w:r>
              <w:rPr>
                <w:lang w:val="en-GB"/>
              </w:rPr>
              <w:t xml:space="preserve">Financial accounting  restatement </w:t>
            </w:r>
          </w:p>
        </w:tc>
      </w:tr>
      <w:tr w:rsidR="0008794F" w:rsidRPr="00A726AB" w14:paraId="6475A6D6" w14:textId="77777777" w:rsidTr="0008794F">
        <w:tc>
          <w:tcPr>
            <w:tcW w:w="2802" w:type="dxa"/>
          </w:tcPr>
          <w:p w14:paraId="581974EF" w14:textId="197D0DC4" w:rsidR="0008794F" w:rsidRDefault="0008794F" w:rsidP="0008794F">
            <w:pPr>
              <w:rPr>
                <w:lang w:val="en-GB"/>
              </w:rPr>
            </w:pPr>
            <w:r>
              <w:rPr>
                <w:lang w:val="en-GB"/>
              </w:rPr>
              <w:t>Proportion Equity</w:t>
            </w:r>
          </w:p>
        </w:tc>
        <w:tc>
          <w:tcPr>
            <w:tcW w:w="2585" w:type="dxa"/>
          </w:tcPr>
          <w:p w14:paraId="63A7ECEF" w14:textId="71655997" w:rsidR="0008794F" w:rsidRDefault="0008794F" w:rsidP="0008794F">
            <w:pPr>
              <w:rPr>
                <w:lang w:val="en-GB"/>
              </w:rPr>
            </w:pPr>
            <w:r>
              <w:rPr>
                <w:lang w:val="en-GB"/>
              </w:rPr>
              <w:t>Proportion of equity based compensation</w:t>
            </w:r>
          </w:p>
        </w:tc>
        <w:tc>
          <w:tcPr>
            <w:tcW w:w="4786" w:type="dxa"/>
          </w:tcPr>
          <w:p w14:paraId="021E6E2F" w14:textId="2D435AB1" w:rsidR="0008794F" w:rsidRDefault="0008794F" w:rsidP="0008794F">
            <w:pPr>
              <w:keepNext/>
              <w:rPr>
                <w:lang w:val="en-GB"/>
              </w:rPr>
            </w:pPr>
            <w:r>
              <w:rPr>
                <w:lang w:val="en-GB"/>
              </w:rPr>
              <w:t>The proportion equity of total compensation</w:t>
            </w:r>
          </w:p>
        </w:tc>
      </w:tr>
    </w:tbl>
    <w:p w14:paraId="7BEEC870" w14:textId="77777777" w:rsidR="0008794F" w:rsidRDefault="0008794F" w:rsidP="006E6DD6">
      <w:pPr>
        <w:pStyle w:val="Kop2"/>
        <w:jc w:val="both"/>
      </w:pPr>
    </w:p>
    <w:p w14:paraId="56A52943" w14:textId="131B3C04" w:rsidR="004F6B69" w:rsidRPr="00242901" w:rsidRDefault="006738D7" w:rsidP="006E6DD6">
      <w:pPr>
        <w:pStyle w:val="Kop2"/>
        <w:jc w:val="both"/>
      </w:pPr>
      <w:bookmarkStart w:id="42" w:name="_Toc439346648"/>
      <w:r>
        <w:t>4.3</w:t>
      </w:r>
      <w:r w:rsidR="00393E05" w:rsidRPr="00242901">
        <w:t xml:space="preserve"> </w:t>
      </w:r>
      <w:r w:rsidR="004F6B69" w:rsidRPr="00242901">
        <w:t>Sample</w:t>
      </w:r>
      <w:bookmarkEnd w:id="42"/>
    </w:p>
    <w:p w14:paraId="4E80FC94" w14:textId="09EF5CF9" w:rsidR="00A26D9E" w:rsidRDefault="001C3834" w:rsidP="00A26D9E">
      <w:pPr>
        <w:spacing w:line="360" w:lineRule="auto"/>
        <w:jc w:val="both"/>
        <w:rPr>
          <w:lang w:val="en-GB"/>
        </w:rPr>
      </w:pPr>
      <w:r>
        <w:rPr>
          <w:lang w:val="en-GB"/>
        </w:rPr>
        <w:t>The Audit Analytics data consists of</w:t>
      </w:r>
      <w:r w:rsidR="004F6B69" w:rsidRPr="00242901">
        <w:rPr>
          <w:lang w:val="en-GB"/>
        </w:rPr>
        <w:t xml:space="preserve"> </w:t>
      </w:r>
      <w:r>
        <w:rPr>
          <w:lang w:val="en-GB"/>
        </w:rPr>
        <w:t xml:space="preserve">firms that are registered by the United States Securities and Exchange Commission since 2000. </w:t>
      </w:r>
      <w:r w:rsidR="002B5DCA">
        <w:rPr>
          <w:lang w:val="en-GB"/>
        </w:rPr>
        <w:t xml:space="preserve">A total of 77489 unique records are initially subtracted from this database. </w:t>
      </w:r>
      <w:r>
        <w:rPr>
          <w:lang w:val="en-GB"/>
        </w:rPr>
        <w:t>The ExecuComp database consist of CFO compensation data of S&amp;P 1500 firms since 1992.</w:t>
      </w:r>
      <w:r w:rsidR="002B5DCA">
        <w:rPr>
          <w:lang w:val="en-GB"/>
        </w:rPr>
        <w:t xml:space="preserve"> Initially, 1593</w:t>
      </w:r>
      <w:r w:rsidR="006F35E3">
        <w:rPr>
          <w:lang w:val="en-GB"/>
        </w:rPr>
        <w:t>8</w:t>
      </w:r>
      <w:r w:rsidR="002B5DCA">
        <w:rPr>
          <w:lang w:val="en-GB"/>
        </w:rPr>
        <w:t xml:space="preserve"> records are subtracted from this database. </w:t>
      </w:r>
      <w:r>
        <w:rPr>
          <w:lang w:val="en-GB"/>
        </w:rPr>
        <w:t>However, only the data of the two databases that can be linked is included in the sa</w:t>
      </w:r>
      <w:r w:rsidR="00E20D34">
        <w:rPr>
          <w:lang w:val="en-GB"/>
        </w:rPr>
        <w:t xml:space="preserve">mple. </w:t>
      </w:r>
      <w:r>
        <w:rPr>
          <w:lang w:val="en-GB"/>
        </w:rPr>
        <w:t>This results in</w:t>
      </w:r>
      <w:r w:rsidR="006C5910">
        <w:rPr>
          <w:lang w:val="en-GB"/>
        </w:rPr>
        <w:t xml:space="preserve"> an initial dataset of 15936 records of 2314 unique firms during the years 2006 to 2014.</w:t>
      </w:r>
      <w:r w:rsidR="00413AFE">
        <w:rPr>
          <w:lang w:val="en-GB"/>
        </w:rPr>
        <w:t xml:space="preserve"> The several hypotheses have different sample sizes, since some hypotheses use more variables and faced incomplete records that are excluded.</w:t>
      </w:r>
      <w:r w:rsidR="00C52621">
        <w:rPr>
          <w:lang w:val="en-GB"/>
        </w:rPr>
        <w:t xml:space="preserve"> Tables 3,4,5, and 6 show</w:t>
      </w:r>
      <w:r w:rsidR="00225225">
        <w:rPr>
          <w:lang w:val="en-GB"/>
        </w:rPr>
        <w:t xml:space="preserve"> the composition of the samples per hypothesis.</w:t>
      </w:r>
    </w:p>
    <w:p w14:paraId="128C607C" w14:textId="77777777" w:rsidR="0008794F" w:rsidRDefault="0008794F" w:rsidP="00A26D9E">
      <w:pPr>
        <w:spacing w:line="360" w:lineRule="auto"/>
        <w:jc w:val="both"/>
        <w:rPr>
          <w:lang w:val="en-GB"/>
        </w:rPr>
      </w:pPr>
    </w:p>
    <w:p w14:paraId="2E5E28D3" w14:textId="77777777" w:rsidR="0008794F" w:rsidRDefault="0008794F" w:rsidP="00A26D9E">
      <w:pPr>
        <w:spacing w:line="360" w:lineRule="auto"/>
        <w:jc w:val="both"/>
        <w:rPr>
          <w:lang w:val="en-GB"/>
        </w:rPr>
      </w:pPr>
    </w:p>
    <w:p w14:paraId="271AAB9D" w14:textId="0B4D89A1" w:rsidR="00E47E93" w:rsidRPr="00E47E93" w:rsidRDefault="00A1781C" w:rsidP="002B43F9">
      <w:pPr>
        <w:pStyle w:val="Kop5"/>
      </w:pPr>
      <w:r>
        <w:lastRenderedPageBreak/>
        <w:t xml:space="preserve">Table </w:t>
      </w:r>
      <w:r w:rsidR="00DF7A1A">
        <w:fldChar w:fldCharType="begin"/>
      </w:r>
      <w:r w:rsidR="00DF7A1A">
        <w:instrText xml:space="preserve"> SEQ Table \* ARABIC </w:instrText>
      </w:r>
      <w:r w:rsidR="00DF7A1A">
        <w:fldChar w:fldCharType="separate"/>
      </w:r>
      <w:r w:rsidR="004043A1">
        <w:rPr>
          <w:noProof/>
        </w:rPr>
        <w:t>3</w:t>
      </w:r>
      <w:r w:rsidR="00DF7A1A">
        <w:fldChar w:fldCharType="end"/>
      </w:r>
      <w:r w:rsidR="00DF7A1A">
        <w:t>: S</w:t>
      </w:r>
      <w:r>
        <w:t>ubsamples</w:t>
      </w:r>
      <w:r w:rsidR="00C52621">
        <w:t xml:space="preserve"> hypothesis 1</w:t>
      </w:r>
    </w:p>
    <w:tbl>
      <w:tblPr>
        <w:tblStyle w:val="Tabelraster"/>
        <w:tblW w:w="10774" w:type="dxa"/>
        <w:tblInd w:w="-743" w:type="dxa"/>
        <w:tblLayout w:type="fixed"/>
        <w:tblLook w:val="04A0" w:firstRow="1" w:lastRow="0" w:firstColumn="1" w:lastColumn="0" w:noHBand="0" w:noVBand="1"/>
      </w:tblPr>
      <w:tblGrid>
        <w:gridCol w:w="1135"/>
        <w:gridCol w:w="1417"/>
        <w:gridCol w:w="2410"/>
        <w:gridCol w:w="851"/>
        <w:gridCol w:w="1827"/>
        <w:gridCol w:w="724"/>
        <w:gridCol w:w="1276"/>
        <w:gridCol w:w="1134"/>
      </w:tblGrid>
      <w:tr w:rsidR="00E47E93" w:rsidRPr="00E20D34" w14:paraId="1284B79B" w14:textId="77777777" w:rsidTr="00037836">
        <w:tc>
          <w:tcPr>
            <w:tcW w:w="10774" w:type="dxa"/>
            <w:gridSpan w:val="8"/>
          </w:tcPr>
          <w:p w14:paraId="1A503818" w14:textId="6C281921" w:rsidR="00E47E93" w:rsidRPr="00E47E93" w:rsidRDefault="00E47E93" w:rsidP="00E47E93">
            <w:pPr>
              <w:spacing w:line="360" w:lineRule="auto"/>
              <w:jc w:val="center"/>
              <w:rPr>
                <w:b/>
                <w:lang w:val="en-GB"/>
              </w:rPr>
            </w:pPr>
            <w:r w:rsidRPr="00E47E93">
              <w:rPr>
                <w:b/>
                <w:lang w:val="en-GB"/>
              </w:rPr>
              <w:t>Hypothesis 1</w:t>
            </w:r>
          </w:p>
        </w:tc>
      </w:tr>
      <w:tr w:rsidR="00C841AF" w:rsidRPr="00E20D34" w14:paraId="12401DC8" w14:textId="77777777" w:rsidTr="006A6B58">
        <w:tc>
          <w:tcPr>
            <w:tcW w:w="1135" w:type="dxa"/>
            <w:vAlign w:val="center"/>
          </w:tcPr>
          <w:p w14:paraId="4566A2BD" w14:textId="77777777" w:rsidR="00C841AF" w:rsidRPr="00DC769B" w:rsidRDefault="00C841AF" w:rsidP="006A6B58">
            <w:pPr>
              <w:spacing w:line="360" w:lineRule="auto"/>
              <w:jc w:val="center"/>
              <w:rPr>
                <w:b/>
                <w:sz w:val="18"/>
                <w:szCs w:val="18"/>
                <w:lang w:val="en-GB"/>
              </w:rPr>
            </w:pPr>
            <w:r w:rsidRPr="00DC769B">
              <w:rPr>
                <w:b/>
                <w:sz w:val="18"/>
                <w:szCs w:val="18"/>
                <w:lang w:val="en-GB"/>
              </w:rPr>
              <w:t>Hypothesis</w:t>
            </w:r>
          </w:p>
        </w:tc>
        <w:tc>
          <w:tcPr>
            <w:tcW w:w="1417" w:type="dxa"/>
            <w:vAlign w:val="center"/>
          </w:tcPr>
          <w:p w14:paraId="0D7E18DC" w14:textId="1736068A" w:rsidR="00C841AF" w:rsidRPr="00DC769B" w:rsidRDefault="00C21B34" w:rsidP="006A6B58">
            <w:pPr>
              <w:spacing w:line="360" w:lineRule="auto"/>
              <w:jc w:val="center"/>
              <w:rPr>
                <w:b/>
                <w:sz w:val="18"/>
                <w:szCs w:val="18"/>
                <w:lang w:val="en-GB"/>
              </w:rPr>
            </w:pPr>
            <w:r w:rsidRPr="00DC769B">
              <w:rPr>
                <w:b/>
                <w:sz w:val="18"/>
                <w:szCs w:val="18"/>
                <w:lang w:val="en-GB"/>
              </w:rPr>
              <w:t>Total r</w:t>
            </w:r>
            <w:r w:rsidR="00C841AF" w:rsidRPr="00DC769B">
              <w:rPr>
                <w:b/>
                <w:sz w:val="18"/>
                <w:szCs w:val="18"/>
                <w:lang w:val="en-GB"/>
              </w:rPr>
              <w:t>ecords</w:t>
            </w:r>
          </w:p>
        </w:tc>
        <w:tc>
          <w:tcPr>
            <w:tcW w:w="3261" w:type="dxa"/>
            <w:gridSpan w:val="2"/>
            <w:vAlign w:val="center"/>
          </w:tcPr>
          <w:p w14:paraId="08364961" w14:textId="47645147" w:rsidR="00C841AF" w:rsidRPr="00DC769B" w:rsidRDefault="00C21B34" w:rsidP="006A6B58">
            <w:pPr>
              <w:spacing w:line="360" w:lineRule="auto"/>
              <w:jc w:val="center"/>
              <w:rPr>
                <w:b/>
                <w:sz w:val="18"/>
                <w:szCs w:val="18"/>
                <w:lang w:val="en-GB"/>
              </w:rPr>
            </w:pPr>
            <w:r w:rsidRPr="00DC769B">
              <w:rPr>
                <w:b/>
                <w:sz w:val="18"/>
                <w:szCs w:val="18"/>
                <w:lang w:val="en-GB"/>
              </w:rPr>
              <w:t>X Variable s</w:t>
            </w:r>
            <w:r w:rsidR="00C841AF" w:rsidRPr="00DC769B">
              <w:rPr>
                <w:b/>
                <w:sz w:val="18"/>
                <w:szCs w:val="18"/>
                <w:lang w:val="en-GB"/>
              </w:rPr>
              <w:t>ubtotals</w:t>
            </w:r>
          </w:p>
        </w:tc>
        <w:tc>
          <w:tcPr>
            <w:tcW w:w="2551" w:type="dxa"/>
            <w:gridSpan w:val="2"/>
            <w:vAlign w:val="center"/>
          </w:tcPr>
          <w:p w14:paraId="15833364" w14:textId="20D0A586" w:rsidR="00C841AF" w:rsidRPr="00DC769B" w:rsidRDefault="00C21B34" w:rsidP="006A6B58">
            <w:pPr>
              <w:spacing w:line="360" w:lineRule="auto"/>
              <w:jc w:val="center"/>
              <w:rPr>
                <w:b/>
                <w:sz w:val="18"/>
                <w:szCs w:val="18"/>
                <w:lang w:val="en-GB"/>
              </w:rPr>
            </w:pPr>
            <w:r w:rsidRPr="00DC769B">
              <w:rPr>
                <w:b/>
                <w:sz w:val="18"/>
                <w:szCs w:val="18"/>
                <w:lang w:val="en-GB"/>
              </w:rPr>
              <w:t>Y Variable s</w:t>
            </w:r>
            <w:r w:rsidR="00C841AF" w:rsidRPr="00DC769B">
              <w:rPr>
                <w:b/>
                <w:sz w:val="18"/>
                <w:szCs w:val="18"/>
                <w:lang w:val="en-GB"/>
              </w:rPr>
              <w:t>ubtotals</w:t>
            </w:r>
          </w:p>
        </w:tc>
        <w:tc>
          <w:tcPr>
            <w:tcW w:w="1276" w:type="dxa"/>
            <w:vAlign w:val="center"/>
          </w:tcPr>
          <w:p w14:paraId="398C6E7D" w14:textId="0E2B5441" w:rsidR="00C841AF" w:rsidRPr="00DC769B" w:rsidRDefault="00837976" w:rsidP="006A6B58">
            <w:pPr>
              <w:spacing w:line="360" w:lineRule="auto"/>
              <w:jc w:val="center"/>
              <w:rPr>
                <w:b/>
                <w:sz w:val="18"/>
                <w:szCs w:val="18"/>
                <w:lang w:val="en-GB"/>
              </w:rPr>
            </w:pPr>
            <w:r w:rsidRPr="00DC769B">
              <w:rPr>
                <w:b/>
                <w:sz w:val="18"/>
                <w:szCs w:val="18"/>
                <w:lang w:val="en-GB"/>
              </w:rPr>
              <w:t xml:space="preserve">Unique </w:t>
            </w:r>
            <w:r w:rsidR="00C21B34" w:rsidRPr="00DC769B">
              <w:rPr>
                <w:b/>
                <w:sz w:val="18"/>
                <w:szCs w:val="18"/>
                <w:lang w:val="en-GB"/>
              </w:rPr>
              <w:t>f</w:t>
            </w:r>
            <w:r w:rsidR="00C841AF" w:rsidRPr="00DC769B">
              <w:rPr>
                <w:b/>
                <w:sz w:val="18"/>
                <w:szCs w:val="18"/>
                <w:lang w:val="en-GB"/>
              </w:rPr>
              <w:t>irms</w:t>
            </w:r>
          </w:p>
        </w:tc>
        <w:tc>
          <w:tcPr>
            <w:tcW w:w="1134" w:type="dxa"/>
            <w:vAlign w:val="center"/>
          </w:tcPr>
          <w:p w14:paraId="5B777E96" w14:textId="77777777" w:rsidR="00C841AF" w:rsidRPr="00DC769B" w:rsidRDefault="00C841AF" w:rsidP="006A6B58">
            <w:pPr>
              <w:spacing w:line="360" w:lineRule="auto"/>
              <w:jc w:val="center"/>
              <w:rPr>
                <w:b/>
                <w:sz w:val="18"/>
                <w:szCs w:val="18"/>
                <w:lang w:val="en-GB"/>
              </w:rPr>
            </w:pPr>
            <w:r w:rsidRPr="00DC769B">
              <w:rPr>
                <w:b/>
                <w:sz w:val="18"/>
                <w:szCs w:val="18"/>
                <w:lang w:val="en-GB"/>
              </w:rPr>
              <w:t>Years</w:t>
            </w:r>
          </w:p>
        </w:tc>
      </w:tr>
      <w:tr w:rsidR="00764743" w:rsidRPr="00DC769B" w14:paraId="5330C764" w14:textId="77777777" w:rsidTr="008107EC">
        <w:trPr>
          <w:trHeight w:val="253"/>
        </w:trPr>
        <w:tc>
          <w:tcPr>
            <w:tcW w:w="1135" w:type="dxa"/>
            <w:vMerge w:val="restart"/>
            <w:vAlign w:val="center"/>
          </w:tcPr>
          <w:p w14:paraId="40C33A9A" w14:textId="5B04F30B" w:rsidR="00764743" w:rsidRPr="00DC769B" w:rsidRDefault="00764743" w:rsidP="008107EC">
            <w:pPr>
              <w:spacing w:line="360" w:lineRule="auto"/>
              <w:jc w:val="center"/>
              <w:rPr>
                <w:sz w:val="18"/>
                <w:szCs w:val="18"/>
                <w:lang w:val="en-GB"/>
              </w:rPr>
            </w:pPr>
            <w:r w:rsidRPr="00DC769B">
              <w:rPr>
                <w:sz w:val="18"/>
                <w:szCs w:val="18"/>
                <w:lang w:val="en-GB"/>
              </w:rPr>
              <w:t>1a</w:t>
            </w:r>
          </w:p>
        </w:tc>
        <w:tc>
          <w:tcPr>
            <w:tcW w:w="1417" w:type="dxa"/>
            <w:vMerge w:val="restart"/>
            <w:vAlign w:val="center"/>
          </w:tcPr>
          <w:p w14:paraId="1CAC0196" w14:textId="67B341C3" w:rsidR="00764743" w:rsidRPr="00DC769B" w:rsidRDefault="00C21B34" w:rsidP="008107EC">
            <w:pPr>
              <w:spacing w:line="360" w:lineRule="auto"/>
              <w:jc w:val="center"/>
              <w:rPr>
                <w:sz w:val="18"/>
                <w:szCs w:val="18"/>
                <w:lang w:val="en-GB"/>
              </w:rPr>
            </w:pPr>
            <w:r w:rsidRPr="00DC769B">
              <w:rPr>
                <w:sz w:val="18"/>
                <w:szCs w:val="18"/>
                <w:lang w:val="en-GB"/>
              </w:rPr>
              <w:t>8303</w:t>
            </w:r>
          </w:p>
        </w:tc>
        <w:tc>
          <w:tcPr>
            <w:tcW w:w="2410" w:type="dxa"/>
            <w:vAlign w:val="center"/>
          </w:tcPr>
          <w:p w14:paraId="30BFF863" w14:textId="24B4BF16" w:rsidR="00764743" w:rsidRPr="00DC769B" w:rsidRDefault="00764743" w:rsidP="008107EC">
            <w:pPr>
              <w:spacing w:line="360" w:lineRule="auto"/>
              <w:jc w:val="center"/>
              <w:rPr>
                <w:sz w:val="18"/>
                <w:szCs w:val="18"/>
                <w:lang w:val="en-GB"/>
              </w:rPr>
            </w:pPr>
            <w:r w:rsidRPr="00DC769B">
              <w:rPr>
                <w:sz w:val="18"/>
                <w:szCs w:val="18"/>
                <w:lang w:val="en-GB"/>
              </w:rPr>
              <w:t>Equity-Compensated</w:t>
            </w:r>
          </w:p>
        </w:tc>
        <w:tc>
          <w:tcPr>
            <w:tcW w:w="851" w:type="dxa"/>
            <w:vAlign w:val="center"/>
          </w:tcPr>
          <w:p w14:paraId="7C905A1D" w14:textId="482D845A" w:rsidR="00764743" w:rsidRPr="00DC769B" w:rsidRDefault="00C21B34" w:rsidP="008107EC">
            <w:pPr>
              <w:spacing w:line="360" w:lineRule="auto"/>
              <w:jc w:val="center"/>
              <w:rPr>
                <w:sz w:val="18"/>
                <w:szCs w:val="18"/>
                <w:lang w:val="en-GB"/>
              </w:rPr>
            </w:pPr>
            <w:r w:rsidRPr="00DC769B">
              <w:rPr>
                <w:sz w:val="18"/>
                <w:szCs w:val="18"/>
                <w:lang w:val="en-GB"/>
              </w:rPr>
              <w:t>7613</w:t>
            </w:r>
          </w:p>
        </w:tc>
        <w:tc>
          <w:tcPr>
            <w:tcW w:w="1827" w:type="dxa"/>
            <w:vMerge w:val="restart"/>
            <w:vAlign w:val="center"/>
          </w:tcPr>
          <w:p w14:paraId="6CBB16B2" w14:textId="1D620F20" w:rsidR="00764743" w:rsidRPr="00DC769B" w:rsidRDefault="00764743" w:rsidP="008107EC">
            <w:pPr>
              <w:spacing w:line="360" w:lineRule="auto"/>
              <w:jc w:val="center"/>
              <w:rPr>
                <w:sz w:val="18"/>
                <w:szCs w:val="18"/>
                <w:lang w:val="en-GB"/>
              </w:rPr>
            </w:pPr>
            <w:r w:rsidRPr="00DC769B">
              <w:rPr>
                <w:sz w:val="18"/>
                <w:szCs w:val="18"/>
                <w:lang w:val="en-GB"/>
              </w:rPr>
              <w:t>Financial performances</w:t>
            </w:r>
          </w:p>
        </w:tc>
        <w:tc>
          <w:tcPr>
            <w:tcW w:w="724" w:type="dxa"/>
            <w:vMerge w:val="restart"/>
            <w:vAlign w:val="center"/>
          </w:tcPr>
          <w:p w14:paraId="5FCF9822" w14:textId="771B6861" w:rsidR="00764743" w:rsidRPr="00DC769B" w:rsidRDefault="00C21B34" w:rsidP="008107EC">
            <w:pPr>
              <w:spacing w:line="360" w:lineRule="auto"/>
              <w:jc w:val="center"/>
              <w:rPr>
                <w:sz w:val="18"/>
                <w:szCs w:val="18"/>
                <w:lang w:val="en-GB"/>
              </w:rPr>
            </w:pPr>
            <w:r w:rsidRPr="00DC769B">
              <w:rPr>
                <w:sz w:val="18"/>
                <w:szCs w:val="18"/>
                <w:lang w:val="en-GB"/>
              </w:rPr>
              <w:t>8303</w:t>
            </w:r>
          </w:p>
        </w:tc>
        <w:tc>
          <w:tcPr>
            <w:tcW w:w="1276" w:type="dxa"/>
            <w:vMerge w:val="restart"/>
            <w:vAlign w:val="center"/>
          </w:tcPr>
          <w:p w14:paraId="0DC59097" w14:textId="357E39A6" w:rsidR="00764743" w:rsidRPr="00DC769B" w:rsidRDefault="00C21B34" w:rsidP="008107EC">
            <w:pPr>
              <w:spacing w:line="360" w:lineRule="auto"/>
              <w:jc w:val="center"/>
              <w:rPr>
                <w:sz w:val="18"/>
                <w:szCs w:val="18"/>
                <w:lang w:val="en-GB"/>
              </w:rPr>
            </w:pPr>
            <w:r w:rsidRPr="00DC769B">
              <w:rPr>
                <w:sz w:val="18"/>
                <w:szCs w:val="18"/>
                <w:lang w:val="en-GB"/>
              </w:rPr>
              <w:t>1223</w:t>
            </w:r>
          </w:p>
        </w:tc>
        <w:tc>
          <w:tcPr>
            <w:tcW w:w="1134" w:type="dxa"/>
            <w:vMerge w:val="restart"/>
            <w:vAlign w:val="center"/>
          </w:tcPr>
          <w:p w14:paraId="6F48B410" w14:textId="33F7AFAB" w:rsidR="00764743" w:rsidRPr="00DC769B" w:rsidRDefault="00764743" w:rsidP="008107EC">
            <w:pPr>
              <w:spacing w:line="360" w:lineRule="auto"/>
              <w:jc w:val="center"/>
              <w:rPr>
                <w:sz w:val="18"/>
                <w:szCs w:val="18"/>
                <w:lang w:val="en-GB"/>
              </w:rPr>
            </w:pPr>
            <w:r w:rsidRPr="00DC769B">
              <w:rPr>
                <w:sz w:val="18"/>
                <w:szCs w:val="18"/>
                <w:lang w:val="en-GB"/>
              </w:rPr>
              <w:t>2006-2014</w:t>
            </w:r>
          </w:p>
        </w:tc>
      </w:tr>
      <w:tr w:rsidR="00764743" w:rsidRPr="00DC769B" w14:paraId="54AA27A4" w14:textId="77777777" w:rsidTr="008107EC">
        <w:trPr>
          <w:trHeight w:val="252"/>
        </w:trPr>
        <w:tc>
          <w:tcPr>
            <w:tcW w:w="1135" w:type="dxa"/>
            <w:vMerge/>
            <w:vAlign w:val="center"/>
          </w:tcPr>
          <w:p w14:paraId="0C3E94CF" w14:textId="77777777" w:rsidR="00764743" w:rsidRPr="00DC769B" w:rsidRDefault="00764743" w:rsidP="008107EC">
            <w:pPr>
              <w:spacing w:line="360" w:lineRule="auto"/>
              <w:jc w:val="center"/>
              <w:rPr>
                <w:sz w:val="18"/>
                <w:szCs w:val="18"/>
                <w:lang w:val="en-GB"/>
              </w:rPr>
            </w:pPr>
          </w:p>
        </w:tc>
        <w:tc>
          <w:tcPr>
            <w:tcW w:w="1417" w:type="dxa"/>
            <w:vMerge/>
            <w:vAlign w:val="center"/>
          </w:tcPr>
          <w:p w14:paraId="57DF7448" w14:textId="77777777" w:rsidR="00764743" w:rsidRPr="00DC769B" w:rsidRDefault="00764743" w:rsidP="008107EC">
            <w:pPr>
              <w:spacing w:line="360" w:lineRule="auto"/>
              <w:jc w:val="center"/>
              <w:rPr>
                <w:sz w:val="18"/>
                <w:szCs w:val="18"/>
                <w:lang w:val="en-GB"/>
              </w:rPr>
            </w:pPr>
          </w:p>
        </w:tc>
        <w:tc>
          <w:tcPr>
            <w:tcW w:w="2410" w:type="dxa"/>
            <w:vAlign w:val="center"/>
          </w:tcPr>
          <w:p w14:paraId="18D23DD7" w14:textId="24ECF8C5" w:rsidR="00764743" w:rsidRPr="00DC769B" w:rsidRDefault="00764743" w:rsidP="008107EC">
            <w:pPr>
              <w:spacing w:line="360" w:lineRule="auto"/>
              <w:jc w:val="center"/>
              <w:rPr>
                <w:sz w:val="18"/>
                <w:szCs w:val="18"/>
                <w:lang w:val="en-GB"/>
              </w:rPr>
            </w:pPr>
            <w:r w:rsidRPr="00DC769B">
              <w:rPr>
                <w:sz w:val="18"/>
                <w:szCs w:val="18"/>
                <w:lang w:val="en-GB"/>
              </w:rPr>
              <w:t>Not Equity-Compensated</w:t>
            </w:r>
          </w:p>
        </w:tc>
        <w:tc>
          <w:tcPr>
            <w:tcW w:w="851" w:type="dxa"/>
            <w:vAlign w:val="center"/>
          </w:tcPr>
          <w:p w14:paraId="0A0C7DE0" w14:textId="7B7EBD35" w:rsidR="00764743" w:rsidRPr="00DC769B" w:rsidRDefault="00C21B34" w:rsidP="008107EC">
            <w:pPr>
              <w:spacing w:line="360" w:lineRule="auto"/>
              <w:jc w:val="center"/>
              <w:rPr>
                <w:sz w:val="18"/>
                <w:szCs w:val="18"/>
                <w:lang w:val="en-GB"/>
              </w:rPr>
            </w:pPr>
            <w:r w:rsidRPr="00DC769B">
              <w:rPr>
                <w:sz w:val="18"/>
                <w:szCs w:val="18"/>
                <w:lang w:val="en-GB"/>
              </w:rPr>
              <w:t>690</w:t>
            </w:r>
          </w:p>
        </w:tc>
        <w:tc>
          <w:tcPr>
            <w:tcW w:w="1827" w:type="dxa"/>
            <w:vMerge/>
            <w:vAlign w:val="center"/>
          </w:tcPr>
          <w:p w14:paraId="327CD901" w14:textId="45C4C61E" w:rsidR="00764743" w:rsidRPr="00DC769B" w:rsidRDefault="00764743" w:rsidP="008107EC">
            <w:pPr>
              <w:spacing w:line="360" w:lineRule="auto"/>
              <w:jc w:val="center"/>
              <w:rPr>
                <w:sz w:val="18"/>
                <w:szCs w:val="18"/>
                <w:lang w:val="en-GB"/>
              </w:rPr>
            </w:pPr>
          </w:p>
        </w:tc>
        <w:tc>
          <w:tcPr>
            <w:tcW w:w="724" w:type="dxa"/>
            <w:vMerge/>
            <w:vAlign w:val="center"/>
          </w:tcPr>
          <w:p w14:paraId="7A9DD5F3" w14:textId="67BC6F64" w:rsidR="00764743" w:rsidRPr="00DC769B" w:rsidRDefault="00764743" w:rsidP="008107EC">
            <w:pPr>
              <w:spacing w:line="360" w:lineRule="auto"/>
              <w:jc w:val="center"/>
              <w:rPr>
                <w:sz w:val="18"/>
                <w:szCs w:val="18"/>
                <w:lang w:val="en-GB"/>
              </w:rPr>
            </w:pPr>
          </w:p>
        </w:tc>
        <w:tc>
          <w:tcPr>
            <w:tcW w:w="1276" w:type="dxa"/>
            <w:vMerge/>
            <w:vAlign w:val="center"/>
          </w:tcPr>
          <w:p w14:paraId="1425BC46" w14:textId="77777777" w:rsidR="00764743" w:rsidRPr="00DC769B" w:rsidRDefault="00764743" w:rsidP="008107EC">
            <w:pPr>
              <w:spacing w:line="360" w:lineRule="auto"/>
              <w:jc w:val="center"/>
              <w:rPr>
                <w:sz w:val="18"/>
                <w:szCs w:val="18"/>
                <w:lang w:val="en-GB"/>
              </w:rPr>
            </w:pPr>
          </w:p>
        </w:tc>
        <w:tc>
          <w:tcPr>
            <w:tcW w:w="1134" w:type="dxa"/>
            <w:vMerge/>
            <w:vAlign w:val="center"/>
          </w:tcPr>
          <w:p w14:paraId="06B4799D" w14:textId="77777777" w:rsidR="00764743" w:rsidRPr="00DC769B" w:rsidRDefault="00764743" w:rsidP="008107EC">
            <w:pPr>
              <w:spacing w:line="360" w:lineRule="auto"/>
              <w:jc w:val="center"/>
              <w:rPr>
                <w:sz w:val="18"/>
                <w:szCs w:val="18"/>
                <w:lang w:val="en-GB"/>
              </w:rPr>
            </w:pPr>
          </w:p>
        </w:tc>
      </w:tr>
      <w:tr w:rsidR="00C21B34" w:rsidRPr="00DC769B" w14:paraId="229EC4FC" w14:textId="77777777" w:rsidTr="008107EC">
        <w:trPr>
          <w:trHeight w:val="253"/>
        </w:trPr>
        <w:tc>
          <w:tcPr>
            <w:tcW w:w="1135" w:type="dxa"/>
            <w:vMerge w:val="restart"/>
            <w:vAlign w:val="center"/>
          </w:tcPr>
          <w:p w14:paraId="115E31A8" w14:textId="67ECD974" w:rsidR="00C21B34" w:rsidRPr="00DC769B" w:rsidRDefault="00C21B34" w:rsidP="008107EC">
            <w:pPr>
              <w:spacing w:line="360" w:lineRule="auto"/>
              <w:jc w:val="center"/>
              <w:rPr>
                <w:sz w:val="18"/>
                <w:szCs w:val="18"/>
                <w:lang w:val="en-GB"/>
              </w:rPr>
            </w:pPr>
            <w:r w:rsidRPr="00DC769B">
              <w:rPr>
                <w:sz w:val="18"/>
                <w:szCs w:val="18"/>
                <w:lang w:val="en-GB"/>
              </w:rPr>
              <w:t>1b</w:t>
            </w:r>
          </w:p>
        </w:tc>
        <w:tc>
          <w:tcPr>
            <w:tcW w:w="1417" w:type="dxa"/>
            <w:vMerge w:val="restart"/>
            <w:vAlign w:val="center"/>
          </w:tcPr>
          <w:p w14:paraId="65A3A3D7" w14:textId="60D172D2" w:rsidR="00C21B34" w:rsidRPr="00DC769B" w:rsidRDefault="00C21B34" w:rsidP="008107EC">
            <w:pPr>
              <w:spacing w:line="360" w:lineRule="auto"/>
              <w:jc w:val="center"/>
              <w:rPr>
                <w:sz w:val="18"/>
                <w:szCs w:val="18"/>
                <w:lang w:val="en-GB"/>
              </w:rPr>
            </w:pPr>
            <w:r w:rsidRPr="00DC769B">
              <w:rPr>
                <w:sz w:val="18"/>
                <w:szCs w:val="18"/>
                <w:lang w:val="en-GB"/>
              </w:rPr>
              <w:t>15936</w:t>
            </w:r>
          </w:p>
        </w:tc>
        <w:tc>
          <w:tcPr>
            <w:tcW w:w="2410" w:type="dxa"/>
            <w:vAlign w:val="center"/>
          </w:tcPr>
          <w:p w14:paraId="5BFE6EF9" w14:textId="2227844B" w:rsidR="00C21B34" w:rsidRPr="00DC769B" w:rsidRDefault="00C21B34" w:rsidP="008107EC">
            <w:pPr>
              <w:spacing w:line="360" w:lineRule="auto"/>
              <w:jc w:val="center"/>
              <w:rPr>
                <w:sz w:val="18"/>
                <w:szCs w:val="18"/>
                <w:lang w:val="en-GB"/>
              </w:rPr>
            </w:pPr>
            <w:r w:rsidRPr="00DC769B">
              <w:rPr>
                <w:sz w:val="18"/>
                <w:szCs w:val="18"/>
                <w:lang w:val="en-GB"/>
              </w:rPr>
              <w:t>Equity-Compensated</w:t>
            </w:r>
          </w:p>
        </w:tc>
        <w:tc>
          <w:tcPr>
            <w:tcW w:w="851" w:type="dxa"/>
            <w:vAlign w:val="center"/>
          </w:tcPr>
          <w:p w14:paraId="38A13091" w14:textId="5D3B3C11" w:rsidR="00C21B34" w:rsidRPr="00DC769B" w:rsidRDefault="00C21B34" w:rsidP="008107EC">
            <w:pPr>
              <w:spacing w:line="360" w:lineRule="auto"/>
              <w:jc w:val="center"/>
              <w:rPr>
                <w:sz w:val="18"/>
                <w:szCs w:val="18"/>
                <w:lang w:val="en-GB"/>
              </w:rPr>
            </w:pPr>
            <w:r w:rsidRPr="00DC769B">
              <w:rPr>
                <w:sz w:val="18"/>
                <w:szCs w:val="18"/>
                <w:lang w:val="en-GB"/>
              </w:rPr>
              <w:t>14389</w:t>
            </w:r>
          </w:p>
        </w:tc>
        <w:tc>
          <w:tcPr>
            <w:tcW w:w="1827" w:type="dxa"/>
            <w:vMerge w:val="restart"/>
            <w:vAlign w:val="center"/>
          </w:tcPr>
          <w:p w14:paraId="42EEA7A8" w14:textId="28DC2AC7" w:rsidR="00C21B34" w:rsidRPr="00DC769B" w:rsidRDefault="00C21B34" w:rsidP="008107EC">
            <w:pPr>
              <w:spacing w:line="360" w:lineRule="auto"/>
              <w:jc w:val="center"/>
              <w:rPr>
                <w:sz w:val="18"/>
                <w:szCs w:val="18"/>
                <w:lang w:val="en-GB"/>
              </w:rPr>
            </w:pPr>
            <w:r w:rsidRPr="00DC769B">
              <w:rPr>
                <w:sz w:val="18"/>
                <w:szCs w:val="18"/>
                <w:lang w:val="en-GB"/>
              </w:rPr>
              <w:t>ICMWs</w:t>
            </w:r>
          </w:p>
        </w:tc>
        <w:tc>
          <w:tcPr>
            <w:tcW w:w="724" w:type="dxa"/>
            <w:vAlign w:val="center"/>
          </w:tcPr>
          <w:p w14:paraId="020E70B5" w14:textId="2FA89F2D" w:rsidR="00C21B34" w:rsidRPr="00DC769B" w:rsidRDefault="00C21B34" w:rsidP="008107EC">
            <w:pPr>
              <w:spacing w:line="360" w:lineRule="auto"/>
              <w:jc w:val="center"/>
              <w:rPr>
                <w:sz w:val="18"/>
                <w:szCs w:val="18"/>
                <w:lang w:val="en-GB"/>
              </w:rPr>
            </w:pPr>
            <w:r w:rsidRPr="00DC769B">
              <w:rPr>
                <w:sz w:val="18"/>
                <w:szCs w:val="18"/>
                <w:lang w:val="en-GB"/>
              </w:rPr>
              <w:t>2662</w:t>
            </w:r>
          </w:p>
        </w:tc>
        <w:tc>
          <w:tcPr>
            <w:tcW w:w="1276" w:type="dxa"/>
            <w:vMerge w:val="restart"/>
            <w:vAlign w:val="center"/>
          </w:tcPr>
          <w:p w14:paraId="51D15695" w14:textId="118C28E2" w:rsidR="00C21B34" w:rsidRPr="00DC769B" w:rsidRDefault="00C21B34" w:rsidP="008107EC">
            <w:pPr>
              <w:spacing w:line="360" w:lineRule="auto"/>
              <w:jc w:val="center"/>
              <w:rPr>
                <w:sz w:val="18"/>
                <w:szCs w:val="18"/>
                <w:lang w:val="en-GB"/>
              </w:rPr>
            </w:pPr>
            <w:r w:rsidRPr="00DC769B">
              <w:rPr>
                <w:sz w:val="18"/>
                <w:szCs w:val="18"/>
                <w:lang w:val="en-GB"/>
              </w:rPr>
              <w:t>2314</w:t>
            </w:r>
          </w:p>
        </w:tc>
        <w:tc>
          <w:tcPr>
            <w:tcW w:w="1134" w:type="dxa"/>
            <w:vMerge w:val="restart"/>
            <w:vAlign w:val="center"/>
          </w:tcPr>
          <w:p w14:paraId="66F3660C" w14:textId="65CD8D91" w:rsidR="00C21B34" w:rsidRPr="00DC769B" w:rsidRDefault="00C21B34" w:rsidP="008107EC">
            <w:pPr>
              <w:spacing w:line="360" w:lineRule="auto"/>
              <w:jc w:val="center"/>
              <w:rPr>
                <w:sz w:val="18"/>
                <w:szCs w:val="18"/>
                <w:lang w:val="en-GB"/>
              </w:rPr>
            </w:pPr>
            <w:r w:rsidRPr="00DC769B">
              <w:rPr>
                <w:sz w:val="18"/>
                <w:szCs w:val="18"/>
                <w:lang w:val="en-GB"/>
              </w:rPr>
              <w:t>2006-2014</w:t>
            </w:r>
          </w:p>
        </w:tc>
      </w:tr>
      <w:tr w:rsidR="00C21B34" w:rsidRPr="00DC769B" w14:paraId="10ADA093" w14:textId="77777777" w:rsidTr="008107EC">
        <w:trPr>
          <w:trHeight w:val="252"/>
        </w:trPr>
        <w:tc>
          <w:tcPr>
            <w:tcW w:w="1135" w:type="dxa"/>
            <w:vMerge/>
            <w:vAlign w:val="center"/>
          </w:tcPr>
          <w:p w14:paraId="09245DA4" w14:textId="77777777" w:rsidR="00C21B34" w:rsidRPr="00DC769B" w:rsidRDefault="00C21B34" w:rsidP="008107EC">
            <w:pPr>
              <w:spacing w:line="360" w:lineRule="auto"/>
              <w:jc w:val="center"/>
              <w:rPr>
                <w:sz w:val="18"/>
                <w:szCs w:val="18"/>
                <w:lang w:val="en-GB"/>
              </w:rPr>
            </w:pPr>
          </w:p>
        </w:tc>
        <w:tc>
          <w:tcPr>
            <w:tcW w:w="1417" w:type="dxa"/>
            <w:vMerge/>
            <w:vAlign w:val="center"/>
          </w:tcPr>
          <w:p w14:paraId="53291AB1" w14:textId="77777777" w:rsidR="00C21B34" w:rsidRPr="00DC769B" w:rsidRDefault="00C21B34" w:rsidP="008107EC">
            <w:pPr>
              <w:spacing w:line="360" w:lineRule="auto"/>
              <w:jc w:val="center"/>
              <w:rPr>
                <w:sz w:val="18"/>
                <w:szCs w:val="18"/>
                <w:lang w:val="en-GB"/>
              </w:rPr>
            </w:pPr>
          </w:p>
        </w:tc>
        <w:tc>
          <w:tcPr>
            <w:tcW w:w="2410" w:type="dxa"/>
            <w:vAlign w:val="center"/>
          </w:tcPr>
          <w:p w14:paraId="142B8267" w14:textId="68347AFB" w:rsidR="00C21B34" w:rsidRPr="00DC769B" w:rsidRDefault="00C21B34" w:rsidP="008107EC">
            <w:pPr>
              <w:spacing w:line="360" w:lineRule="auto"/>
              <w:jc w:val="center"/>
              <w:rPr>
                <w:sz w:val="18"/>
                <w:szCs w:val="18"/>
                <w:lang w:val="en-GB"/>
              </w:rPr>
            </w:pPr>
            <w:r w:rsidRPr="00DC769B">
              <w:rPr>
                <w:sz w:val="18"/>
                <w:szCs w:val="18"/>
                <w:lang w:val="en-GB"/>
              </w:rPr>
              <w:t>Not Equity-Compensated</w:t>
            </w:r>
          </w:p>
        </w:tc>
        <w:tc>
          <w:tcPr>
            <w:tcW w:w="851" w:type="dxa"/>
            <w:vAlign w:val="center"/>
          </w:tcPr>
          <w:p w14:paraId="5D42C92B" w14:textId="447C4D5D" w:rsidR="00C21B34" w:rsidRPr="00DC769B" w:rsidRDefault="00C21B34" w:rsidP="008107EC">
            <w:pPr>
              <w:spacing w:line="360" w:lineRule="auto"/>
              <w:jc w:val="center"/>
              <w:rPr>
                <w:sz w:val="18"/>
                <w:szCs w:val="18"/>
                <w:lang w:val="en-GB"/>
              </w:rPr>
            </w:pPr>
            <w:r w:rsidRPr="00DC769B">
              <w:rPr>
                <w:sz w:val="18"/>
                <w:szCs w:val="18"/>
                <w:lang w:val="en-GB"/>
              </w:rPr>
              <w:t>1547</w:t>
            </w:r>
          </w:p>
        </w:tc>
        <w:tc>
          <w:tcPr>
            <w:tcW w:w="1827" w:type="dxa"/>
            <w:vMerge/>
            <w:vAlign w:val="center"/>
          </w:tcPr>
          <w:p w14:paraId="6AF1E864" w14:textId="2510B99F" w:rsidR="00C21B34" w:rsidRPr="00DC769B" w:rsidRDefault="00C21B34" w:rsidP="008107EC">
            <w:pPr>
              <w:spacing w:line="360" w:lineRule="auto"/>
              <w:jc w:val="center"/>
              <w:rPr>
                <w:sz w:val="18"/>
                <w:szCs w:val="18"/>
                <w:lang w:val="en-GB"/>
              </w:rPr>
            </w:pPr>
          </w:p>
        </w:tc>
        <w:tc>
          <w:tcPr>
            <w:tcW w:w="724" w:type="dxa"/>
            <w:vAlign w:val="center"/>
          </w:tcPr>
          <w:p w14:paraId="5D6D3A57" w14:textId="72EF52CB" w:rsidR="00C21B34" w:rsidRPr="00DC769B" w:rsidRDefault="00C21B34" w:rsidP="008107EC">
            <w:pPr>
              <w:spacing w:line="360" w:lineRule="auto"/>
              <w:jc w:val="center"/>
              <w:rPr>
                <w:sz w:val="18"/>
                <w:szCs w:val="18"/>
                <w:lang w:val="en-GB"/>
              </w:rPr>
            </w:pPr>
            <w:r w:rsidRPr="00DC769B">
              <w:rPr>
                <w:sz w:val="18"/>
                <w:szCs w:val="18"/>
                <w:lang w:val="en-GB"/>
              </w:rPr>
              <w:t>268</w:t>
            </w:r>
          </w:p>
        </w:tc>
        <w:tc>
          <w:tcPr>
            <w:tcW w:w="1276" w:type="dxa"/>
            <w:vMerge/>
            <w:vAlign w:val="center"/>
          </w:tcPr>
          <w:p w14:paraId="4263F8BE" w14:textId="77777777" w:rsidR="00C21B34" w:rsidRPr="00DC769B" w:rsidRDefault="00C21B34" w:rsidP="008107EC">
            <w:pPr>
              <w:spacing w:line="360" w:lineRule="auto"/>
              <w:jc w:val="center"/>
              <w:rPr>
                <w:sz w:val="18"/>
                <w:szCs w:val="18"/>
                <w:lang w:val="en-GB"/>
              </w:rPr>
            </w:pPr>
          </w:p>
        </w:tc>
        <w:tc>
          <w:tcPr>
            <w:tcW w:w="1134" w:type="dxa"/>
            <w:vMerge/>
            <w:vAlign w:val="center"/>
          </w:tcPr>
          <w:p w14:paraId="104A6266" w14:textId="77777777" w:rsidR="00C21B34" w:rsidRPr="00DC769B" w:rsidRDefault="00C21B34" w:rsidP="008107EC">
            <w:pPr>
              <w:spacing w:line="360" w:lineRule="auto"/>
              <w:jc w:val="center"/>
              <w:rPr>
                <w:sz w:val="18"/>
                <w:szCs w:val="18"/>
                <w:lang w:val="en-GB"/>
              </w:rPr>
            </w:pPr>
          </w:p>
        </w:tc>
      </w:tr>
      <w:tr w:rsidR="00C21B34" w:rsidRPr="00DC769B" w14:paraId="78D165E8" w14:textId="77777777" w:rsidTr="008107EC">
        <w:trPr>
          <w:trHeight w:val="253"/>
        </w:trPr>
        <w:tc>
          <w:tcPr>
            <w:tcW w:w="1135" w:type="dxa"/>
            <w:vMerge/>
            <w:vAlign w:val="center"/>
          </w:tcPr>
          <w:p w14:paraId="6C0D8C17" w14:textId="77777777" w:rsidR="00C21B34" w:rsidRPr="00DC769B" w:rsidRDefault="00C21B34" w:rsidP="008107EC">
            <w:pPr>
              <w:spacing w:line="360" w:lineRule="auto"/>
              <w:jc w:val="center"/>
              <w:rPr>
                <w:sz w:val="18"/>
                <w:szCs w:val="18"/>
                <w:lang w:val="en-GB"/>
              </w:rPr>
            </w:pPr>
          </w:p>
        </w:tc>
        <w:tc>
          <w:tcPr>
            <w:tcW w:w="1417" w:type="dxa"/>
            <w:vMerge w:val="restart"/>
            <w:vAlign w:val="center"/>
          </w:tcPr>
          <w:p w14:paraId="5EC435E8" w14:textId="5C430092" w:rsidR="00C21B34" w:rsidRPr="00DC769B" w:rsidRDefault="00C21B34" w:rsidP="008107EC">
            <w:pPr>
              <w:spacing w:line="360" w:lineRule="auto"/>
              <w:jc w:val="center"/>
              <w:rPr>
                <w:sz w:val="18"/>
                <w:szCs w:val="18"/>
                <w:lang w:val="en-GB"/>
              </w:rPr>
            </w:pPr>
            <w:r w:rsidRPr="00DC769B">
              <w:rPr>
                <w:sz w:val="18"/>
                <w:szCs w:val="18"/>
                <w:lang w:val="en-GB"/>
              </w:rPr>
              <w:t>15936</w:t>
            </w:r>
          </w:p>
        </w:tc>
        <w:tc>
          <w:tcPr>
            <w:tcW w:w="2410" w:type="dxa"/>
            <w:vAlign w:val="center"/>
          </w:tcPr>
          <w:p w14:paraId="1656FAB1" w14:textId="7F53610F" w:rsidR="00C21B34" w:rsidRPr="00DC769B" w:rsidRDefault="00C21B34" w:rsidP="008107EC">
            <w:pPr>
              <w:spacing w:line="360" w:lineRule="auto"/>
              <w:jc w:val="center"/>
              <w:rPr>
                <w:sz w:val="18"/>
                <w:szCs w:val="18"/>
                <w:lang w:val="en-GB"/>
              </w:rPr>
            </w:pPr>
            <w:r w:rsidRPr="00DC769B">
              <w:rPr>
                <w:sz w:val="18"/>
                <w:szCs w:val="18"/>
                <w:lang w:val="en-GB"/>
              </w:rPr>
              <w:t>Equity-Compensated</w:t>
            </w:r>
          </w:p>
        </w:tc>
        <w:tc>
          <w:tcPr>
            <w:tcW w:w="851" w:type="dxa"/>
            <w:vAlign w:val="center"/>
          </w:tcPr>
          <w:p w14:paraId="5216B6FD" w14:textId="0730EDD6" w:rsidR="00C21B34" w:rsidRPr="00DC769B" w:rsidRDefault="00C21B34" w:rsidP="008107EC">
            <w:pPr>
              <w:spacing w:line="360" w:lineRule="auto"/>
              <w:jc w:val="center"/>
              <w:rPr>
                <w:sz w:val="18"/>
                <w:szCs w:val="18"/>
                <w:lang w:val="en-GB"/>
              </w:rPr>
            </w:pPr>
            <w:r w:rsidRPr="00DC769B">
              <w:rPr>
                <w:sz w:val="18"/>
                <w:szCs w:val="18"/>
                <w:lang w:val="en-GB"/>
              </w:rPr>
              <w:t>14389</w:t>
            </w:r>
          </w:p>
        </w:tc>
        <w:tc>
          <w:tcPr>
            <w:tcW w:w="1827" w:type="dxa"/>
            <w:vMerge w:val="restart"/>
            <w:vAlign w:val="center"/>
          </w:tcPr>
          <w:p w14:paraId="2854E052" w14:textId="09964424" w:rsidR="00C21B34" w:rsidRPr="00DC769B" w:rsidRDefault="00C21B34" w:rsidP="008107EC">
            <w:pPr>
              <w:spacing w:line="360" w:lineRule="auto"/>
              <w:jc w:val="center"/>
              <w:rPr>
                <w:sz w:val="18"/>
                <w:szCs w:val="18"/>
                <w:lang w:val="en-GB"/>
              </w:rPr>
            </w:pPr>
            <w:r w:rsidRPr="00DC769B">
              <w:rPr>
                <w:sz w:val="18"/>
                <w:szCs w:val="18"/>
                <w:lang w:val="en-GB"/>
              </w:rPr>
              <w:t>Restatements</w:t>
            </w:r>
          </w:p>
        </w:tc>
        <w:tc>
          <w:tcPr>
            <w:tcW w:w="724" w:type="dxa"/>
            <w:vAlign w:val="center"/>
          </w:tcPr>
          <w:p w14:paraId="5B2E77DD" w14:textId="62482098" w:rsidR="00C21B34" w:rsidRPr="00DC769B" w:rsidRDefault="00C21B34" w:rsidP="008107EC">
            <w:pPr>
              <w:spacing w:line="360" w:lineRule="auto"/>
              <w:jc w:val="center"/>
              <w:rPr>
                <w:sz w:val="18"/>
                <w:szCs w:val="18"/>
                <w:lang w:val="en-GB"/>
              </w:rPr>
            </w:pPr>
            <w:r w:rsidRPr="00DC769B">
              <w:rPr>
                <w:sz w:val="18"/>
                <w:szCs w:val="18"/>
                <w:lang w:val="en-GB"/>
              </w:rPr>
              <w:t>704</w:t>
            </w:r>
          </w:p>
        </w:tc>
        <w:tc>
          <w:tcPr>
            <w:tcW w:w="1276" w:type="dxa"/>
            <w:vMerge w:val="restart"/>
            <w:vAlign w:val="center"/>
          </w:tcPr>
          <w:p w14:paraId="20B93D77" w14:textId="3B5E8597" w:rsidR="00C21B34" w:rsidRPr="00DC769B" w:rsidRDefault="00C21B34" w:rsidP="008107EC">
            <w:pPr>
              <w:spacing w:line="360" w:lineRule="auto"/>
              <w:jc w:val="center"/>
              <w:rPr>
                <w:sz w:val="18"/>
                <w:szCs w:val="18"/>
                <w:lang w:val="en-GB"/>
              </w:rPr>
            </w:pPr>
            <w:r w:rsidRPr="00DC769B">
              <w:rPr>
                <w:sz w:val="18"/>
                <w:szCs w:val="18"/>
                <w:lang w:val="en-GB"/>
              </w:rPr>
              <w:t>2314</w:t>
            </w:r>
          </w:p>
        </w:tc>
        <w:tc>
          <w:tcPr>
            <w:tcW w:w="1134" w:type="dxa"/>
            <w:vMerge w:val="restart"/>
            <w:vAlign w:val="center"/>
          </w:tcPr>
          <w:p w14:paraId="7D77D272" w14:textId="3437B631" w:rsidR="00C21B34" w:rsidRPr="00DC769B" w:rsidRDefault="00C21B34" w:rsidP="008107EC">
            <w:pPr>
              <w:spacing w:line="360" w:lineRule="auto"/>
              <w:jc w:val="center"/>
              <w:rPr>
                <w:sz w:val="18"/>
                <w:szCs w:val="18"/>
                <w:lang w:val="en-GB"/>
              </w:rPr>
            </w:pPr>
            <w:r w:rsidRPr="00DC769B">
              <w:rPr>
                <w:sz w:val="18"/>
                <w:szCs w:val="18"/>
                <w:lang w:val="en-GB"/>
              </w:rPr>
              <w:t>2006-2014</w:t>
            </w:r>
          </w:p>
        </w:tc>
      </w:tr>
      <w:tr w:rsidR="00C21B34" w:rsidRPr="00DC769B" w14:paraId="71E23EBE" w14:textId="77777777" w:rsidTr="008107EC">
        <w:trPr>
          <w:trHeight w:val="252"/>
        </w:trPr>
        <w:tc>
          <w:tcPr>
            <w:tcW w:w="1135" w:type="dxa"/>
            <w:vMerge/>
          </w:tcPr>
          <w:p w14:paraId="1890137A" w14:textId="77777777" w:rsidR="00C21B34" w:rsidRPr="00DC769B" w:rsidRDefault="00C21B34" w:rsidP="003321B7">
            <w:pPr>
              <w:spacing w:line="360" w:lineRule="auto"/>
              <w:jc w:val="both"/>
              <w:rPr>
                <w:sz w:val="18"/>
                <w:szCs w:val="18"/>
                <w:lang w:val="en-GB"/>
              </w:rPr>
            </w:pPr>
          </w:p>
        </w:tc>
        <w:tc>
          <w:tcPr>
            <w:tcW w:w="1417" w:type="dxa"/>
            <w:vMerge/>
          </w:tcPr>
          <w:p w14:paraId="6A47E7D0" w14:textId="77777777" w:rsidR="00C21B34" w:rsidRPr="00DC769B" w:rsidRDefault="00C21B34" w:rsidP="003321B7">
            <w:pPr>
              <w:spacing w:line="360" w:lineRule="auto"/>
              <w:jc w:val="both"/>
              <w:rPr>
                <w:sz w:val="18"/>
                <w:szCs w:val="18"/>
                <w:lang w:val="en-GB"/>
              </w:rPr>
            </w:pPr>
          </w:p>
        </w:tc>
        <w:tc>
          <w:tcPr>
            <w:tcW w:w="2410" w:type="dxa"/>
            <w:vAlign w:val="center"/>
          </w:tcPr>
          <w:p w14:paraId="130FD3B5" w14:textId="405EE772" w:rsidR="00C21B34" w:rsidRPr="00DC769B" w:rsidRDefault="00C21B34" w:rsidP="008107EC">
            <w:pPr>
              <w:spacing w:line="360" w:lineRule="auto"/>
              <w:jc w:val="center"/>
              <w:rPr>
                <w:sz w:val="18"/>
                <w:szCs w:val="18"/>
                <w:lang w:val="en-GB"/>
              </w:rPr>
            </w:pPr>
            <w:r w:rsidRPr="00DC769B">
              <w:rPr>
                <w:sz w:val="18"/>
                <w:szCs w:val="18"/>
                <w:lang w:val="en-GB"/>
              </w:rPr>
              <w:t>Not Equity-Compensated</w:t>
            </w:r>
          </w:p>
        </w:tc>
        <w:tc>
          <w:tcPr>
            <w:tcW w:w="851" w:type="dxa"/>
            <w:vAlign w:val="center"/>
          </w:tcPr>
          <w:p w14:paraId="08D06824" w14:textId="1179C2C0" w:rsidR="00C21B34" w:rsidRPr="00DC769B" w:rsidRDefault="00C21B34" w:rsidP="008107EC">
            <w:pPr>
              <w:spacing w:line="360" w:lineRule="auto"/>
              <w:jc w:val="center"/>
              <w:rPr>
                <w:sz w:val="18"/>
                <w:szCs w:val="18"/>
                <w:lang w:val="en-GB"/>
              </w:rPr>
            </w:pPr>
            <w:r w:rsidRPr="00DC769B">
              <w:rPr>
                <w:sz w:val="18"/>
                <w:szCs w:val="18"/>
                <w:lang w:val="en-GB"/>
              </w:rPr>
              <w:t>1547</w:t>
            </w:r>
          </w:p>
        </w:tc>
        <w:tc>
          <w:tcPr>
            <w:tcW w:w="1827" w:type="dxa"/>
            <w:vMerge/>
          </w:tcPr>
          <w:p w14:paraId="6395151D" w14:textId="7C18D6D4" w:rsidR="00C21B34" w:rsidRPr="00DC769B" w:rsidRDefault="00C21B34" w:rsidP="003321B7">
            <w:pPr>
              <w:spacing w:line="360" w:lineRule="auto"/>
              <w:jc w:val="both"/>
              <w:rPr>
                <w:sz w:val="18"/>
                <w:szCs w:val="18"/>
                <w:lang w:val="en-GB"/>
              </w:rPr>
            </w:pPr>
          </w:p>
        </w:tc>
        <w:tc>
          <w:tcPr>
            <w:tcW w:w="724" w:type="dxa"/>
            <w:vAlign w:val="center"/>
          </w:tcPr>
          <w:p w14:paraId="6957F1B8" w14:textId="041741F6" w:rsidR="00C21B34" w:rsidRPr="00DC769B" w:rsidRDefault="00C21B34" w:rsidP="008107EC">
            <w:pPr>
              <w:spacing w:line="360" w:lineRule="auto"/>
              <w:jc w:val="center"/>
              <w:rPr>
                <w:sz w:val="18"/>
                <w:szCs w:val="18"/>
                <w:lang w:val="en-GB"/>
              </w:rPr>
            </w:pPr>
            <w:r w:rsidRPr="00DC769B">
              <w:rPr>
                <w:sz w:val="18"/>
                <w:szCs w:val="18"/>
                <w:lang w:val="en-GB"/>
              </w:rPr>
              <w:t>77</w:t>
            </w:r>
          </w:p>
        </w:tc>
        <w:tc>
          <w:tcPr>
            <w:tcW w:w="1276" w:type="dxa"/>
            <w:vMerge/>
          </w:tcPr>
          <w:p w14:paraId="6DE1072B" w14:textId="77777777" w:rsidR="00C21B34" w:rsidRPr="00DC769B" w:rsidRDefault="00C21B34" w:rsidP="003321B7">
            <w:pPr>
              <w:spacing w:line="360" w:lineRule="auto"/>
              <w:jc w:val="both"/>
              <w:rPr>
                <w:sz w:val="18"/>
                <w:szCs w:val="18"/>
                <w:lang w:val="en-GB"/>
              </w:rPr>
            </w:pPr>
          </w:p>
        </w:tc>
        <w:tc>
          <w:tcPr>
            <w:tcW w:w="1134" w:type="dxa"/>
            <w:vMerge/>
          </w:tcPr>
          <w:p w14:paraId="6CDCE8F7" w14:textId="77777777" w:rsidR="00C21B34" w:rsidRPr="00DC769B" w:rsidRDefault="00C21B34" w:rsidP="003321B7">
            <w:pPr>
              <w:spacing w:line="360" w:lineRule="auto"/>
              <w:jc w:val="both"/>
              <w:rPr>
                <w:sz w:val="18"/>
                <w:szCs w:val="18"/>
                <w:lang w:val="en-GB"/>
              </w:rPr>
            </w:pPr>
          </w:p>
        </w:tc>
      </w:tr>
    </w:tbl>
    <w:p w14:paraId="15F17BBF" w14:textId="77777777" w:rsidR="002D008B" w:rsidRPr="00DC769B" w:rsidRDefault="002D008B" w:rsidP="002D008B">
      <w:pPr>
        <w:rPr>
          <w:sz w:val="18"/>
          <w:szCs w:val="18"/>
          <w:lang w:val="en-GB"/>
        </w:rPr>
      </w:pPr>
    </w:p>
    <w:p w14:paraId="07D74707" w14:textId="5B2832FE" w:rsidR="0017526D" w:rsidRPr="00E15040" w:rsidRDefault="0017526D" w:rsidP="00A726AB">
      <w:pPr>
        <w:pStyle w:val="Kop5"/>
      </w:pPr>
      <w:r w:rsidRPr="00E15040">
        <w:t xml:space="preserve">Table </w:t>
      </w:r>
      <w:r w:rsidR="00DF7A1A">
        <w:fldChar w:fldCharType="begin"/>
      </w:r>
      <w:r w:rsidR="00DF7A1A">
        <w:instrText xml:space="preserve"> SEQ Table \* ARABIC </w:instrText>
      </w:r>
      <w:r w:rsidR="00DF7A1A">
        <w:fldChar w:fldCharType="separate"/>
      </w:r>
      <w:r w:rsidR="004043A1">
        <w:rPr>
          <w:noProof/>
        </w:rPr>
        <w:t>4</w:t>
      </w:r>
      <w:r w:rsidR="00DF7A1A">
        <w:fldChar w:fldCharType="end"/>
      </w:r>
      <w:r w:rsidR="00DF7A1A">
        <w:t>: S</w:t>
      </w:r>
      <w:r w:rsidR="00C52621">
        <w:t>ubsamples hypothesis 2</w:t>
      </w:r>
    </w:p>
    <w:tbl>
      <w:tblPr>
        <w:tblStyle w:val="Tabelraster"/>
        <w:tblW w:w="10774" w:type="dxa"/>
        <w:tblInd w:w="-743" w:type="dxa"/>
        <w:tblLayout w:type="fixed"/>
        <w:tblLook w:val="04A0" w:firstRow="1" w:lastRow="0" w:firstColumn="1" w:lastColumn="0" w:noHBand="0" w:noVBand="1"/>
      </w:tblPr>
      <w:tblGrid>
        <w:gridCol w:w="1135"/>
        <w:gridCol w:w="1417"/>
        <w:gridCol w:w="2410"/>
        <w:gridCol w:w="851"/>
        <w:gridCol w:w="1827"/>
        <w:gridCol w:w="724"/>
        <w:gridCol w:w="1276"/>
        <w:gridCol w:w="1134"/>
      </w:tblGrid>
      <w:tr w:rsidR="00E47E93" w:rsidRPr="00CB4A30" w14:paraId="0F65C505" w14:textId="77777777" w:rsidTr="00037836">
        <w:trPr>
          <w:trHeight w:val="97"/>
        </w:trPr>
        <w:tc>
          <w:tcPr>
            <w:tcW w:w="10774" w:type="dxa"/>
            <w:gridSpan w:val="8"/>
          </w:tcPr>
          <w:p w14:paraId="3E138F1B" w14:textId="4BCD67FD" w:rsidR="00E47E93" w:rsidRPr="00E47E93" w:rsidRDefault="00E47E93" w:rsidP="00E47E93">
            <w:pPr>
              <w:keepNext/>
              <w:spacing w:line="360" w:lineRule="auto"/>
              <w:jc w:val="center"/>
              <w:rPr>
                <w:b/>
                <w:lang w:val="en-GB"/>
              </w:rPr>
            </w:pPr>
            <w:r w:rsidRPr="00E47E93">
              <w:rPr>
                <w:b/>
                <w:lang w:val="en-GB"/>
              </w:rPr>
              <w:t>Hypothesis 2</w:t>
            </w:r>
          </w:p>
        </w:tc>
      </w:tr>
      <w:tr w:rsidR="00B3607A" w:rsidRPr="00DC769B" w14:paraId="7400EEAA" w14:textId="77777777" w:rsidTr="006A6B58">
        <w:trPr>
          <w:trHeight w:val="97"/>
        </w:trPr>
        <w:tc>
          <w:tcPr>
            <w:tcW w:w="1135" w:type="dxa"/>
            <w:vAlign w:val="center"/>
          </w:tcPr>
          <w:p w14:paraId="416235B6" w14:textId="2BD53FC9" w:rsidR="00B3607A" w:rsidRPr="00DC769B" w:rsidRDefault="00B3607A" w:rsidP="006A6B58">
            <w:pPr>
              <w:spacing w:line="360" w:lineRule="auto"/>
              <w:jc w:val="center"/>
              <w:rPr>
                <w:b/>
                <w:sz w:val="18"/>
                <w:szCs w:val="18"/>
                <w:lang w:val="en-GB"/>
              </w:rPr>
            </w:pPr>
            <w:r w:rsidRPr="00DC769B">
              <w:rPr>
                <w:b/>
                <w:sz w:val="18"/>
                <w:szCs w:val="18"/>
                <w:lang w:val="en-GB"/>
              </w:rPr>
              <w:t>Hypothesis</w:t>
            </w:r>
          </w:p>
        </w:tc>
        <w:tc>
          <w:tcPr>
            <w:tcW w:w="1417" w:type="dxa"/>
            <w:vAlign w:val="center"/>
          </w:tcPr>
          <w:p w14:paraId="6FB35AA9" w14:textId="2EFCD87D" w:rsidR="00B3607A" w:rsidRPr="00DC769B" w:rsidRDefault="00B3607A" w:rsidP="006A6B58">
            <w:pPr>
              <w:spacing w:line="360" w:lineRule="auto"/>
              <w:jc w:val="center"/>
              <w:rPr>
                <w:b/>
                <w:sz w:val="18"/>
                <w:szCs w:val="18"/>
                <w:lang w:val="en-GB"/>
              </w:rPr>
            </w:pPr>
            <w:r w:rsidRPr="00DC769B">
              <w:rPr>
                <w:b/>
                <w:sz w:val="18"/>
                <w:szCs w:val="18"/>
                <w:lang w:val="en-GB"/>
              </w:rPr>
              <w:t>Total records</w:t>
            </w:r>
          </w:p>
        </w:tc>
        <w:tc>
          <w:tcPr>
            <w:tcW w:w="3261" w:type="dxa"/>
            <w:gridSpan w:val="2"/>
            <w:vAlign w:val="center"/>
          </w:tcPr>
          <w:p w14:paraId="68F0CF92" w14:textId="0BFAC547" w:rsidR="00B3607A" w:rsidRPr="00DC769B" w:rsidRDefault="00B3607A" w:rsidP="006A6B58">
            <w:pPr>
              <w:spacing w:line="360" w:lineRule="auto"/>
              <w:jc w:val="center"/>
              <w:rPr>
                <w:b/>
                <w:sz w:val="18"/>
                <w:szCs w:val="18"/>
                <w:lang w:val="en-GB"/>
              </w:rPr>
            </w:pPr>
            <w:r w:rsidRPr="00DC769B">
              <w:rPr>
                <w:b/>
                <w:sz w:val="18"/>
                <w:szCs w:val="18"/>
                <w:lang w:val="en-GB"/>
              </w:rPr>
              <w:t>X Variable subtotal: deciles</w:t>
            </w:r>
          </w:p>
        </w:tc>
        <w:tc>
          <w:tcPr>
            <w:tcW w:w="2551" w:type="dxa"/>
            <w:gridSpan w:val="2"/>
            <w:vAlign w:val="center"/>
          </w:tcPr>
          <w:p w14:paraId="3EAF3281" w14:textId="587A1EB4" w:rsidR="00B3607A" w:rsidRPr="00DC769B" w:rsidRDefault="00B3607A" w:rsidP="006A6B58">
            <w:pPr>
              <w:spacing w:line="360" w:lineRule="auto"/>
              <w:jc w:val="center"/>
              <w:rPr>
                <w:b/>
                <w:sz w:val="18"/>
                <w:szCs w:val="18"/>
                <w:lang w:val="en-GB"/>
              </w:rPr>
            </w:pPr>
            <w:r w:rsidRPr="00DC769B">
              <w:rPr>
                <w:b/>
                <w:sz w:val="18"/>
                <w:szCs w:val="18"/>
                <w:lang w:val="en-GB"/>
              </w:rPr>
              <w:t>Y Variable subtotals</w:t>
            </w:r>
          </w:p>
        </w:tc>
        <w:tc>
          <w:tcPr>
            <w:tcW w:w="1276" w:type="dxa"/>
            <w:vAlign w:val="center"/>
          </w:tcPr>
          <w:p w14:paraId="62315029" w14:textId="263D24D9" w:rsidR="00B3607A" w:rsidRPr="00DC769B" w:rsidRDefault="00B3607A" w:rsidP="006A6B58">
            <w:pPr>
              <w:spacing w:line="360" w:lineRule="auto"/>
              <w:jc w:val="center"/>
              <w:rPr>
                <w:b/>
                <w:sz w:val="18"/>
                <w:szCs w:val="18"/>
                <w:lang w:val="en-GB"/>
              </w:rPr>
            </w:pPr>
            <w:r w:rsidRPr="00DC769B">
              <w:rPr>
                <w:b/>
                <w:sz w:val="18"/>
                <w:szCs w:val="18"/>
                <w:lang w:val="en-GB"/>
              </w:rPr>
              <w:t>Unique firms</w:t>
            </w:r>
          </w:p>
        </w:tc>
        <w:tc>
          <w:tcPr>
            <w:tcW w:w="1134" w:type="dxa"/>
            <w:vAlign w:val="center"/>
          </w:tcPr>
          <w:p w14:paraId="18DD11CF" w14:textId="12BB7273" w:rsidR="00B3607A" w:rsidRPr="00DC769B" w:rsidRDefault="00B3607A" w:rsidP="006A6B58">
            <w:pPr>
              <w:keepNext/>
              <w:spacing w:line="360" w:lineRule="auto"/>
              <w:jc w:val="center"/>
              <w:rPr>
                <w:b/>
                <w:sz w:val="18"/>
                <w:szCs w:val="18"/>
                <w:lang w:val="en-GB"/>
              </w:rPr>
            </w:pPr>
            <w:r w:rsidRPr="00DC769B">
              <w:rPr>
                <w:b/>
                <w:sz w:val="18"/>
                <w:szCs w:val="18"/>
                <w:lang w:val="en-GB"/>
              </w:rPr>
              <w:t>Years</w:t>
            </w:r>
          </w:p>
        </w:tc>
      </w:tr>
      <w:tr w:rsidR="00C21B34" w:rsidRPr="00DC769B" w14:paraId="2242B89A" w14:textId="77777777" w:rsidTr="008107EC">
        <w:trPr>
          <w:trHeight w:val="97"/>
        </w:trPr>
        <w:tc>
          <w:tcPr>
            <w:tcW w:w="1135" w:type="dxa"/>
            <w:vMerge w:val="restart"/>
            <w:vAlign w:val="center"/>
          </w:tcPr>
          <w:p w14:paraId="422C7471" w14:textId="77777777" w:rsidR="00C21B34" w:rsidRPr="00DC769B" w:rsidRDefault="00C21B34" w:rsidP="008107EC">
            <w:pPr>
              <w:spacing w:line="360" w:lineRule="auto"/>
              <w:jc w:val="center"/>
              <w:rPr>
                <w:sz w:val="18"/>
                <w:szCs w:val="18"/>
                <w:lang w:val="en-GB"/>
              </w:rPr>
            </w:pPr>
            <w:r w:rsidRPr="00DC769B">
              <w:rPr>
                <w:sz w:val="18"/>
                <w:szCs w:val="18"/>
                <w:lang w:val="en-GB"/>
              </w:rPr>
              <w:t>2a</w:t>
            </w:r>
          </w:p>
        </w:tc>
        <w:tc>
          <w:tcPr>
            <w:tcW w:w="1417" w:type="dxa"/>
            <w:vMerge w:val="restart"/>
            <w:vAlign w:val="center"/>
          </w:tcPr>
          <w:p w14:paraId="3E7BFCDA" w14:textId="77777777" w:rsidR="00C21B34" w:rsidRPr="00DC769B" w:rsidRDefault="00C21B34" w:rsidP="008107EC">
            <w:pPr>
              <w:spacing w:line="360" w:lineRule="auto"/>
              <w:jc w:val="center"/>
              <w:rPr>
                <w:sz w:val="18"/>
                <w:szCs w:val="18"/>
                <w:lang w:val="en-GB"/>
              </w:rPr>
            </w:pPr>
            <w:r w:rsidRPr="00DC769B">
              <w:rPr>
                <w:sz w:val="18"/>
                <w:szCs w:val="18"/>
                <w:lang w:val="en-GB"/>
              </w:rPr>
              <w:t>8319</w:t>
            </w:r>
          </w:p>
        </w:tc>
        <w:tc>
          <w:tcPr>
            <w:tcW w:w="2410" w:type="dxa"/>
            <w:vAlign w:val="center"/>
          </w:tcPr>
          <w:p w14:paraId="359FFCF4" w14:textId="77777777" w:rsidR="00C21B34" w:rsidRPr="00DC769B" w:rsidRDefault="00C21B34" w:rsidP="008107EC">
            <w:pPr>
              <w:spacing w:line="360" w:lineRule="auto"/>
              <w:jc w:val="center"/>
              <w:rPr>
                <w:sz w:val="18"/>
                <w:szCs w:val="18"/>
                <w:lang w:val="en-GB"/>
              </w:rPr>
            </w:pPr>
            <w:r w:rsidRPr="00DC769B">
              <w:rPr>
                <w:sz w:val="18"/>
                <w:szCs w:val="18"/>
                <w:lang w:val="en-GB"/>
              </w:rPr>
              <w:t>0% - 10% Equity</w:t>
            </w:r>
          </w:p>
        </w:tc>
        <w:tc>
          <w:tcPr>
            <w:tcW w:w="851" w:type="dxa"/>
            <w:vAlign w:val="center"/>
          </w:tcPr>
          <w:p w14:paraId="55B7FA9A" w14:textId="77777777" w:rsidR="00C21B34" w:rsidRPr="00DC769B" w:rsidRDefault="00C21B34" w:rsidP="008107EC">
            <w:pPr>
              <w:spacing w:line="360" w:lineRule="auto"/>
              <w:jc w:val="center"/>
              <w:rPr>
                <w:sz w:val="18"/>
                <w:szCs w:val="18"/>
                <w:lang w:val="en-GB"/>
              </w:rPr>
            </w:pPr>
            <w:r w:rsidRPr="00DC769B">
              <w:rPr>
                <w:sz w:val="18"/>
                <w:szCs w:val="18"/>
                <w:lang w:val="en-GB"/>
              </w:rPr>
              <w:t>749</w:t>
            </w:r>
          </w:p>
        </w:tc>
        <w:tc>
          <w:tcPr>
            <w:tcW w:w="1827" w:type="dxa"/>
            <w:vMerge w:val="restart"/>
            <w:vAlign w:val="center"/>
          </w:tcPr>
          <w:p w14:paraId="0E15B73F" w14:textId="77777777" w:rsidR="00C21B34" w:rsidRPr="00DC769B" w:rsidRDefault="00C21B34" w:rsidP="008107EC">
            <w:pPr>
              <w:spacing w:line="360" w:lineRule="auto"/>
              <w:jc w:val="center"/>
              <w:rPr>
                <w:sz w:val="18"/>
                <w:szCs w:val="18"/>
                <w:lang w:val="en-GB"/>
              </w:rPr>
            </w:pPr>
            <w:r w:rsidRPr="00DC769B">
              <w:rPr>
                <w:sz w:val="18"/>
                <w:szCs w:val="18"/>
                <w:lang w:val="en-GB"/>
              </w:rPr>
              <w:t>Financial performances</w:t>
            </w:r>
          </w:p>
        </w:tc>
        <w:tc>
          <w:tcPr>
            <w:tcW w:w="724" w:type="dxa"/>
            <w:vMerge w:val="restart"/>
            <w:vAlign w:val="center"/>
          </w:tcPr>
          <w:p w14:paraId="7223A26F" w14:textId="77777777" w:rsidR="00C21B34" w:rsidRPr="00DC769B" w:rsidRDefault="00C21B34" w:rsidP="008107EC">
            <w:pPr>
              <w:spacing w:line="360" w:lineRule="auto"/>
              <w:jc w:val="center"/>
              <w:rPr>
                <w:sz w:val="18"/>
                <w:szCs w:val="18"/>
                <w:lang w:val="en-GB"/>
              </w:rPr>
            </w:pPr>
            <w:r w:rsidRPr="00DC769B">
              <w:rPr>
                <w:sz w:val="18"/>
                <w:szCs w:val="18"/>
                <w:lang w:val="en-GB"/>
              </w:rPr>
              <w:t>8319</w:t>
            </w:r>
          </w:p>
        </w:tc>
        <w:tc>
          <w:tcPr>
            <w:tcW w:w="1276" w:type="dxa"/>
            <w:vMerge w:val="restart"/>
            <w:vAlign w:val="center"/>
          </w:tcPr>
          <w:p w14:paraId="5C1B5F27" w14:textId="77777777" w:rsidR="00C21B34" w:rsidRPr="00DC769B" w:rsidRDefault="00C21B34" w:rsidP="008107EC">
            <w:pPr>
              <w:spacing w:line="360" w:lineRule="auto"/>
              <w:jc w:val="center"/>
              <w:rPr>
                <w:sz w:val="18"/>
                <w:szCs w:val="18"/>
                <w:lang w:val="en-GB"/>
              </w:rPr>
            </w:pPr>
            <w:r w:rsidRPr="00DC769B">
              <w:rPr>
                <w:sz w:val="18"/>
                <w:szCs w:val="18"/>
                <w:lang w:val="en-GB"/>
              </w:rPr>
              <w:t>1233</w:t>
            </w:r>
          </w:p>
        </w:tc>
        <w:tc>
          <w:tcPr>
            <w:tcW w:w="1134" w:type="dxa"/>
            <w:vMerge w:val="restart"/>
            <w:vAlign w:val="center"/>
          </w:tcPr>
          <w:p w14:paraId="211E4B7D" w14:textId="77777777" w:rsidR="00C21B34" w:rsidRPr="00DC769B" w:rsidRDefault="00C21B34" w:rsidP="008107EC">
            <w:pPr>
              <w:keepNext/>
              <w:spacing w:line="360" w:lineRule="auto"/>
              <w:jc w:val="center"/>
              <w:rPr>
                <w:sz w:val="18"/>
                <w:szCs w:val="18"/>
                <w:lang w:val="en-GB"/>
              </w:rPr>
            </w:pPr>
            <w:r w:rsidRPr="00DC769B">
              <w:rPr>
                <w:sz w:val="18"/>
                <w:szCs w:val="18"/>
                <w:lang w:val="en-GB"/>
              </w:rPr>
              <w:t>2006-2014</w:t>
            </w:r>
          </w:p>
        </w:tc>
      </w:tr>
      <w:tr w:rsidR="00C21B34" w:rsidRPr="00DC769B" w14:paraId="75B43CA5" w14:textId="77777777" w:rsidTr="008107EC">
        <w:trPr>
          <w:trHeight w:val="91"/>
        </w:trPr>
        <w:tc>
          <w:tcPr>
            <w:tcW w:w="1135" w:type="dxa"/>
            <w:vMerge/>
            <w:vAlign w:val="center"/>
          </w:tcPr>
          <w:p w14:paraId="74B0BCA4" w14:textId="77777777" w:rsidR="00C21B34" w:rsidRPr="00DC769B" w:rsidRDefault="00C21B34" w:rsidP="008107EC">
            <w:pPr>
              <w:spacing w:line="360" w:lineRule="auto"/>
              <w:jc w:val="center"/>
              <w:rPr>
                <w:sz w:val="18"/>
                <w:szCs w:val="18"/>
                <w:lang w:val="en-GB"/>
              </w:rPr>
            </w:pPr>
          </w:p>
        </w:tc>
        <w:tc>
          <w:tcPr>
            <w:tcW w:w="1417" w:type="dxa"/>
            <w:vMerge/>
            <w:vAlign w:val="center"/>
          </w:tcPr>
          <w:p w14:paraId="3B41D178" w14:textId="77777777" w:rsidR="00C21B34" w:rsidRPr="00DC769B" w:rsidRDefault="00C21B34" w:rsidP="008107EC">
            <w:pPr>
              <w:spacing w:line="360" w:lineRule="auto"/>
              <w:jc w:val="center"/>
              <w:rPr>
                <w:sz w:val="18"/>
                <w:szCs w:val="18"/>
                <w:lang w:val="en-GB"/>
              </w:rPr>
            </w:pPr>
          </w:p>
        </w:tc>
        <w:tc>
          <w:tcPr>
            <w:tcW w:w="2410" w:type="dxa"/>
            <w:vAlign w:val="center"/>
          </w:tcPr>
          <w:p w14:paraId="670DC607" w14:textId="77777777" w:rsidR="00C21B34" w:rsidRPr="00DC769B" w:rsidRDefault="00C21B34" w:rsidP="008107EC">
            <w:pPr>
              <w:spacing w:line="360" w:lineRule="auto"/>
              <w:jc w:val="center"/>
              <w:rPr>
                <w:sz w:val="18"/>
                <w:szCs w:val="18"/>
                <w:lang w:val="en-GB"/>
              </w:rPr>
            </w:pPr>
            <w:r w:rsidRPr="00DC769B">
              <w:rPr>
                <w:sz w:val="18"/>
                <w:szCs w:val="18"/>
                <w:lang w:val="en-GB"/>
              </w:rPr>
              <w:t>10% - 20% Equity</w:t>
            </w:r>
          </w:p>
        </w:tc>
        <w:tc>
          <w:tcPr>
            <w:tcW w:w="851" w:type="dxa"/>
            <w:vAlign w:val="center"/>
          </w:tcPr>
          <w:p w14:paraId="1672E7CB" w14:textId="77777777" w:rsidR="00C21B34" w:rsidRPr="00DC769B" w:rsidRDefault="00C21B34" w:rsidP="008107EC">
            <w:pPr>
              <w:spacing w:line="360" w:lineRule="auto"/>
              <w:jc w:val="center"/>
              <w:rPr>
                <w:sz w:val="18"/>
                <w:szCs w:val="18"/>
                <w:lang w:val="en-GB"/>
              </w:rPr>
            </w:pPr>
            <w:r w:rsidRPr="00DC769B">
              <w:rPr>
                <w:sz w:val="18"/>
                <w:szCs w:val="18"/>
                <w:lang w:val="en-GB"/>
              </w:rPr>
              <w:t>310</w:t>
            </w:r>
          </w:p>
        </w:tc>
        <w:tc>
          <w:tcPr>
            <w:tcW w:w="1827" w:type="dxa"/>
            <w:vMerge/>
            <w:vAlign w:val="center"/>
          </w:tcPr>
          <w:p w14:paraId="513303C7" w14:textId="77777777" w:rsidR="00C21B34" w:rsidRPr="00DC769B" w:rsidRDefault="00C21B34" w:rsidP="008107EC">
            <w:pPr>
              <w:spacing w:line="360" w:lineRule="auto"/>
              <w:jc w:val="center"/>
              <w:rPr>
                <w:sz w:val="18"/>
                <w:szCs w:val="18"/>
                <w:lang w:val="en-GB"/>
              </w:rPr>
            </w:pPr>
          </w:p>
        </w:tc>
        <w:tc>
          <w:tcPr>
            <w:tcW w:w="724" w:type="dxa"/>
            <w:vMerge/>
            <w:vAlign w:val="center"/>
          </w:tcPr>
          <w:p w14:paraId="2D24C981" w14:textId="77777777" w:rsidR="00C21B34" w:rsidRPr="00DC769B" w:rsidRDefault="00C21B34" w:rsidP="008107EC">
            <w:pPr>
              <w:spacing w:line="360" w:lineRule="auto"/>
              <w:jc w:val="center"/>
              <w:rPr>
                <w:sz w:val="18"/>
                <w:szCs w:val="18"/>
                <w:lang w:val="en-GB"/>
              </w:rPr>
            </w:pPr>
          </w:p>
        </w:tc>
        <w:tc>
          <w:tcPr>
            <w:tcW w:w="1276" w:type="dxa"/>
            <w:vMerge/>
            <w:vAlign w:val="center"/>
          </w:tcPr>
          <w:p w14:paraId="77531607" w14:textId="77777777" w:rsidR="00C21B34" w:rsidRPr="00DC769B" w:rsidRDefault="00C21B34" w:rsidP="008107EC">
            <w:pPr>
              <w:spacing w:line="360" w:lineRule="auto"/>
              <w:jc w:val="center"/>
              <w:rPr>
                <w:sz w:val="18"/>
                <w:szCs w:val="18"/>
                <w:lang w:val="en-GB"/>
              </w:rPr>
            </w:pPr>
          </w:p>
        </w:tc>
        <w:tc>
          <w:tcPr>
            <w:tcW w:w="1134" w:type="dxa"/>
            <w:vMerge/>
            <w:vAlign w:val="center"/>
          </w:tcPr>
          <w:p w14:paraId="49810546" w14:textId="77777777" w:rsidR="00C21B34" w:rsidRPr="00DC769B" w:rsidRDefault="00C21B34" w:rsidP="008107EC">
            <w:pPr>
              <w:keepNext/>
              <w:spacing w:line="360" w:lineRule="auto"/>
              <w:jc w:val="center"/>
              <w:rPr>
                <w:sz w:val="18"/>
                <w:szCs w:val="18"/>
                <w:lang w:val="en-GB"/>
              </w:rPr>
            </w:pPr>
          </w:p>
        </w:tc>
      </w:tr>
      <w:tr w:rsidR="00C21B34" w:rsidRPr="00DC769B" w14:paraId="08A4FB6B" w14:textId="77777777" w:rsidTr="008107EC">
        <w:trPr>
          <w:trHeight w:val="91"/>
        </w:trPr>
        <w:tc>
          <w:tcPr>
            <w:tcW w:w="1135" w:type="dxa"/>
            <w:vMerge/>
            <w:vAlign w:val="center"/>
          </w:tcPr>
          <w:p w14:paraId="1E878D90" w14:textId="77777777" w:rsidR="00C21B34" w:rsidRPr="00DC769B" w:rsidRDefault="00C21B34" w:rsidP="008107EC">
            <w:pPr>
              <w:spacing w:line="360" w:lineRule="auto"/>
              <w:jc w:val="center"/>
              <w:rPr>
                <w:sz w:val="18"/>
                <w:szCs w:val="18"/>
                <w:lang w:val="en-GB"/>
              </w:rPr>
            </w:pPr>
          </w:p>
        </w:tc>
        <w:tc>
          <w:tcPr>
            <w:tcW w:w="1417" w:type="dxa"/>
            <w:vMerge/>
            <w:vAlign w:val="center"/>
          </w:tcPr>
          <w:p w14:paraId="514E9E76" w14:textId="77777777" w:rsidR="00C21B34" w:rsidRPr="00DC769B" w:rsidRDefault="00C21B34" w:rsidP="008107EC">
            <w:pPr>
              <w:spacing w:line="360" w:lineRule="auto"/>
              <w:jc w:val="center"/>
              <w:rPr>
                <w:sz w:val="18"/>
                <w:szCs w:val="18"/>
                <w:lang w:val="en-GB"/>
              </w:rPr>
            </w:pPr>
          </w:p>
        </w:tc>
        <w:tc>
          <w:tcPr>
            <w:tcW w:w="2410" w:type="dxa"/>
            <w:vAlign w:val="center"/>
          </w:tcPr>
          <w:p w14:paraId="5021E3D7" w14:textId="77777777" w:rsidR="00C21B34" w:rsidRPr="00DC769B" w:rsidRDefault="00C21B34" w:rsidP="008107EC">
            <w:pPr>
              <w:spacing w:line="360" w:lineRule="auto"/>
              <w:jc w:val="center"/>
              <w:rPr>
                <w:sz w:val="18"/>
                <w:szCs w:val="18"/>
                <w:lang w:val="en-GB"/>
              </w:rPr>
            </w:pPr>
            <w:r w:rsidRPr="00DC769B">
              <w:rPr>
                <w:sz w:val="18"/>
                <w:szCs w:val="18"/>
                <w:lang w:val="en-GB"/>
              </w:rPr>
              <w:t>20% - 30% Equity</w:t>
            </w:r>
          </w:p>
        </w:tc>
        <w:tc>
          <w:tcPr>
            <w:tcW w:w="851" w:type="dxa"/>
            <w:vAlign w:val="center"/>
          </w:tcPr>
          <w:p w14:paraId="3F2E9A2E" w14:textId="77777777" w:rsidR="00C21B34" w:rsidRPr="00DC769B" w:rsidRDefault="00C21B34" w:rsidP="008107EC">
            <w:pPr>
              <w:spacing w:line="360" w:lineRule="auto"/>
              <w:jc w:val="center"/>
              <w:rPr>
                <w:sz w:val="18"/>
                <w:szCs w:val="18"/>
                <w:lang w:val="en-GB"/>
              </w:rPr>
            </w:pPr>
            <w:r w:rsidRPr="00DC769B">
              <w:rPr>
                <w:sz w:val="18"/>
                <w:szCs w:val="18"/>
                <w:lang w:val="en-GB"/>
              </w:rPr>
              <w:t>410</w:t>
            </w:r>
          </w:p>
        </w:tc>
        <w:tc>
          <w:tcPr>
            <w:tcW w:w="1827" w:type="dxa"/>
            <w:vMerge/>
            <w:vAlign w:val="center"/>
          </w:tcPr>
          <w:p w14:paraId="79DD9FD6" w14:textId="77777777" w:rsidR="00C21B34" w:rsidRPr="00DC769B" w:rsidRDefault="00C21B34" w:rsidP="008107EC">
            <w:pPr>
              <w:spacing w:line="360" w:lineRule="auto"/>
              <w:jc w:val="center"/>
              <w:rPr>
                <w:sz w:val="18"/>
                <w:szCs w:val="18"/>
                <w:lang w:val="en-GB"/>
              </w:rPr>
            </w:pPr>
          </w:p>
        </w:tc>
        <w:tc>
          <w:tcPr>
            <w:tcW w:w="724" w:type="dxa"/>
            <w:vMerge/>
            <w:vAlign w:val="center"/>
          </w:tcPr>
          <w:p w14:paraId="4649DFBC" w14:textId="77777777" w:rsidR="00C21B34" w:rsidRPr="00DC769B" w:rsidRDefault="00C21B34" w:rsidP="008107EC">
            <w:pPr>
              <w:spacing w:line="360" w:lineRule="auto"/>
              <w:jc w:val="center"/>
              <w:rPr>
                <w:sz w:val="18"/>
                <w:szCs w:val="18"/>
                <w:lang w:val="en-GB"/>
              </w:rPr>
            </w:pPr>
          </w:p>
        </w:tc>
        <w:tc>
          <w:tcPr>
            <w:tcW w:w="1276" w:type="dxa"/>
            <w:vMerge/>
            <w:vAlign w:val="center"/>
          </w:tcPr>
          <w:p w14:paraId="1B19070A" w14:textId="77777777" w:rsidR="00C21B34" w:rsidRPr="00DC769B" w:rsidRDefault="00C21B34" w:rsidP="008107EC">
            <w:pPr>
              <w:spacing w:line="360" w:lineRule="auto"/>
              <w:jc w:val="center"/>
              <w:rPr>
                <w:sz w:val="18"/>
                <w:szCs w:val="18"/>
                <w:lang w:val="en-GB"/>
              </w:rPr>
            </w:pPr>
          </w:p>
        </w:tc>
        <w:tc>
          <w:tcPr>
            <w:tcW w:w="1134" w:type="dxa"/>
            <w:vMerge/>
            <w:vAlign w:val="center"/>
          </w:tcPr>
          <w:p w14:paraId="2A2FD902" w14:textId="77777777" w:rsidR="00C21B34" w:rsidRPr="00DC769B" w:rsidRDefault="00C21B34" w:rsidP="008107EC">
            <w:pPr>
              <w:keepNext/>
              <w:spacing w:line="360" w:lineRule="auto"/>
              <w:jc w:val="center"/>
              <w:rPr>
                <w:sz w:val="18"/>
                <w:szCs w:val="18"/>
                <w:lang w:val="en-GB"/>
              </w:rPr>
            </w:pPr>
          </w:p>
        </w:tc>
      </w:tr>
      <w:tr w:rsidR="00C21B34" w:rsidRPr="00DC769B" w14:paraId="594EA986" w14:textId="77777777" w:rsidTr="008107EC">
        <w:trPr>
          <w:trHeight w:val="91"/>
        </w:trPr>
        <w:tc>
          <w:tcPr>
            <w:tcW w:w="1135" w:type="dxa"/>
            <w:vMerge/>
            <w:vAlign w:val="center"/>
          </w:tcPr>
          <w:p w14:paraId="3C4DFB9B" w14:textId="77777777" w:rsidR="00C21B34" w:rsidRPr="00DC769B" w:rsidRDefault="00C21B34" w:rsidP="008107EC">
            <w:pPr>
              <w:spacing w:line="360" w:lineRule="auto"/>
              <w:jc w:val="center"/>
              <w:rPr>
                <w:sz w:val="18"/>
                <w:szCs w:val="18"/>
                <w:lang w:val="en-GB"/>
              </w:rPr>
            </w:pPr>
          </w:p>
        </w:tc>
        <w:tc>
          <w:tcPr>
            <w:tcW w:w="1417" w:type="dxa"/>
            <w:vMerge/>
            <w:vAlign w:val="center"/>
          </w:tcPr>
          <w:p w14:paraId="16BA4AF1" w14:textId="77777777" w:rsidR="00C21B34" w:rsidRPr="00DC769B" w:rsidRDefault="00C21B34" w:rsidP="008107EC">
            <w:pPr>
              <w:spacing w:line="360" w:lineRule="auto"/>
              <w:jc w:val="center"/>
              <w:rPr>
                <w:sz w:val="18"/>
                <w:szCs w:val="18"/>
                <w:lang w:val="en-GB"/>
              </w:rPr>
            </w:pPr>
          </w:p>
        </w:tc>
        <w:tc>
          <w:tcPr>
            <w:tcW w:w="2410" w:type="dxa"/>
            <w:vAlign w:val="center"/>
          </w:tcPr>
          <w:p w14:paraId="03D9CD08" w14:textId="77777777" w:rsidR="00C21B34" w:rsidRPr="00DC769B" w:rsidRDefault="00C21B34" w:rsidP="008107EC">
            <w:pPr>
              <w:spacing w:line="360" w:lineRule="auto"/>
              <w:jc w:val="center"/>
              <w:rPr>
                <w:sz w:val="18"/>
                <w:szCs w:val="18"/>
                <w:lang w:val="en-GB"/>
              </w:rPr>
            </w:pPr>
            <w:r w:rsidRPr="00DC769B">
              <w:rPr>
                <w:sz w:val="18"/>
                <w:szCs w:val="18"/>
                <w:lang w:val="en-GB"/>
              </w:rPr>
              <w:t>30% - 40% Equity</w:t>
            </w:r>
          </w:p>
        </w:tc>
        <w:tc>
          <w:tcPr>
            <w:tcW w:w="851" w:type="dxa"/>
            <w:vAlign w:val="center"/>
          </w:tcPr>
          <w:p w14:paraId="559B5856" w14:textId="77777777" w:rsidR="00C21B34" w:rsidRPr="00DC769B" w:rsidRDefault="00C21B34" w:rsidP="008107EC">
            <w:pPr>
              <w:spacing w:line="360" w:lineRule="auto"/>
              <w:jc w:val="center"/>
              <w:rPr>
                <w:sz w:val="18"/>
                <w:szCs w:val="18"/>
                <w:lang w:val="en-GB"/>
              </w:rPr>
            </w:pPr>
            <w:r w:rsidRPr="00DC769B">
              <w:rPr>
                <w:sz w:val="18"/>
                <w:szCs w:val="18"/>
                <w:lang w:val="en-GB"/>
              </w:rPr>
              <w:t>485</w:t>
            </w:r>
          </w:p>
        </w:tc>
        <w:tc>
          <w:tcPr>
            <w:tcW w:w="1827" w:type="dxa"/>
            <w:vMerge/>
            <w:vAlign w:val="center"/>
          </w:tcPr>
          <w:p w14:paraId="4398D06E" w14:textId="77777777" w:rsidR="00C21B34" w:rsidRPr="00DC769B" w:rsidRDefault="00C21B34" w:rsidP="008107EC">
            <w:pPr>
              <w:spacing w:line="360" w:lineRule="auto"/>
              <w:jc w:val="center"/>
              <w:rPr>
                <w:sz w:val="18"/>
                <w:szCs w:val="18"/>
                <w:lang w:val="en-GB"/>
              </w:rPr>
            </w:pPr>
          </w:p>
        </w:tc>
        <w:tc>
          <w:tcPr>
            <w:tcW w:w="724" w:type="dxa"/>
            <w:vMerge/>
            <w:vAlign w:val="center"/>
          </w:tcPr>
          <w:p w14:paraId="5880E918" w14:textId="77777777" w:rsidR="00C21B34" w:rsidRPr="00DC769B" w:rsidRDefault="00C21B34" w:rsidP="008107EC">
            <w:pPr>
              <w:spacing w:line="360" w:lineRule="auto"/>
              <w:jc w:val="center"/>
              <w:rPr>
                <w:sz w:val="18"/>
                <w:szCs w:val="18"/>
                <w:lang w:val="en-GB"/>
              </w:rPr>
            </w:pPr>
          </w:p>
        </w:tc>
        <w:tc>
          <w:tcPr>
            <w:tcW w:w="1276" w:type="dxa"/>
            <w:vMerge/>
            <w:vAlign w:val="center"/>
          </w:tcPr>
          <w:p w14:paraId="647B3574" w14:textId="77777777" w:rsidR="00C21B34" w:rsidRPr="00DC769B" w:rsidRDefault="00C21B34" w:rsidP="008107EC">
            <w:pPr>
              <w:spacing w:line="360" w:lineRule="auto"/>
              <w:jc w:val="center"/>
              <w:rPr>
                <w:sz w:val="18"/>
                <w:szCs w:val="18"/>
                <w:lang w:val="en-GB"/>
              </w:rPr>
            </w:pPr>
          </w:p>
        </w:tc>
        <w:tc>
          <w:tcPr>
            <w:tcW w:w="1134" w:type="dxa"/>
            <w:vMerge/>
            <w:vAlign w:val="center"/>
          </w:tcPr>
          <w:p w14:paraId="65BE8705" w14:textId="77777777" w:rsidR="00C21B34" w:rsidRPr="00DC769B" w:rsidRDefault="00C21B34" w:rsidP="008107EC">
            <w:pPr>
              <w:keepNext/>
              <w:spacing w:line="360" w:lineRule="auto"/>
              <w:jc w:val="center"/>
              <w:rPr>
                <w:sz w:val="18"/>
                <w:szCs w:val="18"/>
                <w:lang w:val="en-GB"/>
              </w:rPr>
            </w:pPr>
          </w:p>
        </w:tc>
      </w:tr>
      <w:tr w:rsidR="00C21B34" w:rsidRPr="00DC769B" w14:paraId="0F52457C" w14:textId="77777777" w:rsidTr="008107EC">
        <w:trPr>
          <w:trHeight w:val="91"/>
        </w:trPr>
        <w:tc>
          <w:tcPr>
            <w:tcW w:w="1135" w:type="dxa"/>
            <w:vMerge/>
            <w:vAlign w:val="center"/>
          </w:tcPr>
          <w:p w14:paraId="39CA6A4C" w14:textId="77777777" w:rsidR="00C21B34" w:rsidRPr="00DC769B" w:rsidRDefault="00C21B34" w:rsidP="008107EC">
            <w:pPr>
              <w:spacing w:line="360" w:lineRule="auto"/>
              <w:jc w:val="center"/>
              <w:rPr>
                <w:sz w:val="18"/>
                <w:szCs w:val="18"/>
                <w:lang w:val="en-GB"/>
              </w:rPr>
            </w:pPr>
          </w:p>
        </w:tc>
        <w:tc>
          <w:tcPr>
            <w:tcW w:w="1417" w:type="dxa"/>
            <w:vMerge/>
            <w:vAlign w:val="center"/>
          </w:tcPr>
          <w:p w14:paraId="255CBFAD" w14:textId="77777777" w:rsidR="00C21B34" w:rsidRPr="00DC769B" w:rsidRDefault="00C21B34" w:rsidP="008107EC">
            <w:pPr>
              <w:spacing w:line="360" w:lineRule="auto"/>
              <w:jc w:val="center"/>
              <w:rPr>
                <w:sz w:val="18"/>
                <w:szCs w:val="18"/>
                <w:lang w:val="en-GB"/>
              </w:rPr>
            </w:pPr>
          </w:p>
        </w:tc>
        <w:tc>
          <w:tcPr>
            <w:tcW w:w="2410" w:type="dxa"/>
            <w:vAlign w:val="center"/>
          </w:tcPr>
          <w:p w14:paraId="7232100F" w14:textId="77777777" w:rsidR="00C21B34" w:rsidRPr="00DC769B" w:rsidRDefault="00C21B34" w:rsidP="008107EC">
            <w:pPr>
              <w:spacing w:line="360" w:lineRule="auto"/>
              <w:jc w:val="center"/>
              <w:rPr>
                <w:sz w:val="18"/>
                <w:szCs w:val="18"/>
                <w:lang w:val="en-GB"/>
              </w:rPr>
            </w:pPr>
            <w:r w:rsidRPr="00DC769B">
              <w:rPr>
                <w:sz w:val="18"/>
                <w:szCs w:val="18"/>
                <w:lang w:val="en-GB"/>
              </w:rPr>
              <w:t>40% - 50% Equity</w:t>
            </w:r>
          </w:p>
        </w:tc>
        <w:tc>
          <w:tcPr>
            <w:tcW w:w="851" w:type="dxa"/>
            <w:vAlign w:val="center"/>
          </w:tcPr>
          <w:p w14:paraId="059F02D8" w14:textId="77777777" w:rsidR="00C21B34" w:rsidRPr="00DC769B" w:rsidRDefault="00C21B34" w:rsidP="008107EC">
            <w:pPr>
              <w:spacing w:line="360" w:lineRule="auto"/>
              <w:jc w:val="center"/>
              <w:rPr>
                <w:sz w:val="18"/>
                <w:szCs w:val="18"/>
                <w:lang w:val="en-GB"/>
              </w:rPr>
            </w:pPr>
            <w:r w:rsidRPr="00DC769B">
              <w:rPr>
                <w:sz w:val="18"/>
                <w:szCs w:val="18"/>
                <w:lang w:val="en-GB"/>
              </w:rPr>
              <w:t>590</w:t>
            </w:r>
          </w:p>
        </w:tc>
        <w:tc>
          <w:tcPr>
            <w:tcW w:w="1827" w:type="dxa"/>
            <w:vMerge/>
            <w:vAlign w:val="center"/>
          </w:tcPr>
          <w:p w14:paraId="403CC174" w14:textId="77777777" w:rsidR="00C21B34" w:rsidRPr="00DC769B" w:rsidRDefault="00C21B34" w:rsidP="008107EC">
            <w:pPr>
              <w:spacing w:line="360" w:lineRule="auto"/>
              <w:jc w:val="center"/>
              <w:rPr>
                <w:sz w:val="18"/>
                <w:szCs w:val="18"/>
                <w:lang w:val="en-GB"/>
              </w:rPr>
            </w:pPr>
          </w:p>
        </w:tc>
        <w:tc>
          <w:tcPr>
            <w:tcW w:w="724" w:type="dxa"/>
            <w:vMerge/>
            <w:vAlign w:val="center"/>
          </w:tcPr>
          <w:p w14:paraId="75D666B0" w14:textId="77777777" w:rsidR="00C21B34" w:rsidRPr="00DC769B" w:rsidRDefault="00C21B34" w:rsidP="008107EC">
            <w:pPr>
              <w:spacing w:line="360" w:lineRule="auto"/>
              <w:jc w:val="center"/>
              <w:rPr>
                <w:sz w:val="18"/>
                <w:szCs w:val="18"/>
                <w:lang w:val="en-GB"/>
              </w:rPr>
            </w:pPr>
          </w:p>
        </w:tc>
        <w:tc>
          <w:tcPr>
            <w:tcW w:w="1276" w:type="dxa"/>
            <w:vMerge/>
            <w:vAlign w:val="center"/>
          </w:tcPr>
          <w:p w14:paraId="3D2E6F30" w14:textId="77777777" w:rsidR="00C21B34" w:rsidRPr="00DC769B" w:rsidRDefault="00C21B34" w:rsidP="008107EC">
            <w:pPr>
              <w:spacing w:line="360" w:lineRule="auto"/>
              <w:jc w:val="center"/>
              <w:rPr>
                <w:sz w:val="18"/>
                <w:szCs w:val="18"/>
                <w:lang w:val="en-GB"/>
              </w:rPr>
            </w:pPr>
          </w:p>
        </w:tc>
        <w:tc>
          <w:tcPr>
            <w:tcW w:w="1134" w:type="dxa"/>
            <w:vMerge/>
            <w:vAlign w:val="center"/>
          </w:tcPr>
          <w:p w14:paraId="396C6B04" w14:textId="77777777" w:rsidR="00C21B34" w:rsidRPr="00DC769B" w:rsidRDefault="00C21B34" w:rsidP="008107EC">
            <w:pPr>
              <w:keepNext/>
              <w:spacing w:line="360" w:lineRule="auto"/>
              <w:jc w:val="center"/>
              <w:rPr>
                <w:sz w:val="18"/>
                <w:szCs w:val="18"/>
                <w:lang w:val="en-GB"/>
              </w:rPr>
            </w:pPr>
          </w:p>
        </w:tc>
      </w:tr>
      <w:tr w:rsidR="00C21B34" w:rsidRPr="00DC769B" w14:paraId="0AD47601" w14:textId="77777777" w:rsidTr="008107EC">
        <w:trPr>
          <w:trHeight w:val="91"/>
        </w:trPr>
        <w:tc>
          <w:tcPr>
            <w:tcW w:w="1135" w:type="dxa"/>
            <w:vMerge/>
            <w:vAlign w:val="center"/>
          </w:tcPr>
          <w:p w14:paraId="62404F08" w14:textId="77777777" w:rsidR="00C21B34" w:rsidRPr="00DC769B" w:rsidRDefault="00C21B34" w:rsidP="008107EC">
            <w:pPr>
              <w:spacing w:line="360" w:lineRule="auto"/>
              <w:jc w:val="center"/>
              <w:rPr>
                <w:sz w:val="18"/>
                <w:szCs w:val="18"/>
                <w:lang w:val="en-GB"/>
              </w:rPr>
            </w:pPr>
          </w:p>
        </w:tc>
        <w:tc>
          <w:tcPr>
            <w:tcW w:w="1417" w:type="dxa"/>
            <w:vMerge/>
            <w:vAlign w:val="center"/>
          </w:tcPr>
          <w:p w14:paraId="5824CD75" w14:textId="77777777" w:rsidR="00C21B34" w:rsidRPr="00DC769B" w:rsidRDefault="00C21B34" w:rsidP="008107EC">
            <w:pPr>
              <w:spacing w:line="360" w:lineRule="auto"/>
              <w:jc w:val="center"/>
              <w:rPr>
                <w:sz w:val="18"/>
                <w:szCs w:val="18"/>
                <w:lang w:val="en-GB"/>
              </w:rPr>
            </w:pPr>
          </w:p>
        </w:tc>
        <w:tc>
          <w:tcPr>
            <w:tcW w:w="2410" w:type="dxa"/>
            <w:vAlign w:val="center"/>
          </w:tcPr>
          <w:p w14:paraId="16EADC65" w14:textId="77777777" w:rsidR="00C21B34" w:rsidRPr="00DC769B" w:rsidRDefault="00C21B34" w:rsidP="008107EC">
            <w:pPr>
              <w:spacing w:line="360" w:lineRule="auto"/>
              <w:jc w:val="center"/>
              <w:rPr>
                <w:sz w:val="18"/>
                <w:szCs w:val="18"/>
                <w:lang w:val="en-GB"/>
              </w:rPr>
            </w:pPr>
            <w:r w:rsidRPr="00DC769B">
              <w:rPr>
                <w:sz w:val="18"/>
                <w:szCs w:val="18"/>
                <w:lang w:val="en-GB"/>
              </w:rPr>
              <w:t>50% - 60% Equity</w:t>
            </w:r>
          </w:p>
        </w:tc>
        <w:tc>
          <w:tcPr>
            <w:tcW w:w="851" w:type="dxa"/>
            <w:vAlign w:val="center"/>
          </w:tcPr>
          <w:p w14:paraId="4B15CED4" w14:textId="77777777" w:rsidR="00C21B34" w:rsidRPr="00DC769B" w:rsidRDefault="00C21B34" w:rsidP="008107EC">
            <w:pPr>
              <w:spacing w:line="360" w:lineRule="auto"/>
              <w:jc w:val="center"/>
              <w:rPr>
                <w:sz w:val="18"/>
                <w:szCs w:val="18"/>
                <w:lang w:val="en-GB"/>
              </w:rPr>
            </w:pPr>
            <w:r w:rsidRPr="00DC769B">
              <w:rPr>
                <w:sz w:val="18"/>
                <w:szCs w:val="18"/>
                <w:lang w:val="en-GB"/>
              </w:rPr>
              <w:t>646</w:t>
            </w:r>
          </w:p>
        </w:tc>
        <w:tc>
          <w:tcPr>
            <w:tcW w:w="1827" w:type="dxa"/>
            <w:vMerge/>
            <w:vAlign w:val="center"/>
          </w:tcPr>
          <w:p w14:paraId="1EAC8770" w14:textId="77777777" w:rsidR="00C21B34" w:rsidRPr="00DC769B" w:rsidRDefault="00C21B34" w:rsidP="008107EC">
            <w:pPr>
              <w:spacing w:line="360" w:lineRule="auto"/>
              <w:jc w:val="center"/>
              <w:rPr>
                <w:sz w:val="18"/>
                <w:szCs w:val="18"/>
                <w:lang w:val="en-GB"/>
              </w:rPr>
            </w:pPr>
          </w:p>
        </w:tc>
        <w:tc>
          <w:tcPr>
            <w:tcW w:w="724" w:type="dxa"/>
            <w:vMerge/>
            <w:vAlign w:val="center"/>
          </w:tcPr>
          <w:p w14:paraId="5BD4A728" w14:textId="77777777" w:rsidR="00C21B34" w:rsidRPr="00DC769B" w:rsidRDefault="00C21B34" w:rsidP="008107EC">
            <w:pPr>
              <w:spacing w:line="360" w:lineRule="auto"/>
              <w:jc w:val="center"/>
              <w:rPr>
                <w:sz w:val="18"/>
                <w:szCs w:val="18"/>
                <w:lang w:val="en-GB"/>
              </w:rPr>
            </w:pPr>
          </w:p>
        </w:tc>
        <w:tc>
          <w:tcPr>
            <w:tcW w:w="1276" w:type="dxa"/>
            <w:vMerge/>
            <w:vAlign w:val="center"/>
          </w:tcPr>
          <w:p w14:paraId="081D90B6" w14:textId="77777777" w:rsidR="00C21B34" w:rsidRPr="00DC769B" w:rsidRDefault="00C21B34" w:rsidP="008107EC">
            <w:pPr>
              <w:spacing w:line="360" w:lineRule="auto"/>
              <w:jc w:val="center"/>
              <w:rPr>
                <w:sz w:val="18"/>
                <w:szCs w:val="18"/>
                <w:lang w:val="en-GB"/>
              </w:rPr>
            </w:pPr>
          </w:p>
        </w:tc>
        <w:tc>
          <w:tcPr>
            <w:tcW w:w="1134" w:type="dxa"/>
            <w:vMerge/>
            <w:vAlign w:val="center"/>
          </w:tcPr>
          <w:p w14:paraId="71454E29" w14:textId="77777777" w:rsidR="00C21B34" w:rsidRPr="00DC769B" w:rsidRDefault="00C21B34" w:rsidP="008107EC">
            <w:pPr>
              <w:keepNext/>
              <w:spacing w:line="360" w:lineRule="auto"/>
              <w:jc w:val="center"/>
              <w:rPr>
                <w:sz w:val="18"/>
                <w:szCs w:val="18"/>
                <w:lang w:val="en-GB"/>
              </w:rPr>
            </w:pPr>
          </w:p>
        </w:tc>
      </w:tr>
      <w:tr w:rsidR="00C21B34" w:rsidRPr="00DC769B" w14:paraId="640F2D8E" w14:textId="77777777" w:rsidTr="008107EC">
        <w:trPr>
          <w:trHeight w:val="91"/>
        </w:trPr>
        <w:tc>
          <w:tcPr>
            <w:tcW w:w="1135" w:type="dxa"/>
            <w:vMerge/>
            <w:vAlign w:val="center"/>
          </w:tcPr>
          <w:p w14:paraId="13BFC8A0" w14:textId="77777777" w:rsidR="00C21B34" w:rsidRPr="00DC769B" w:rsidRDefault="00C21B34" w:rsidP="008107EC">
            <w:pPr>
              <w:spacing w:line="360" w:lineRule="auto"/>
              <w:jc w:val="center"/>
              <w:rPr>
                <w:sz w:val="18"/>
                <w:szCs w:val="18"/>
                <w:lang w:val="en-GB"/>
              </w:rPr>
            </w:pPr>
          </w:p>
        </w:tc>
        <w:tc>
          <w:tcPr>
            <w:tcW w:w="1417" w:type="dxa"/>
            <w:vMerge/>
            <w:vAlign w:val="center"/>
          </w:tcPr>
          <w:p w14:paraId="3F8067CF" w14:textId="77777777" w:rsidR="00C21B34" w:rsidRPr="00DC769B" w:rsidRDefault="00C21B34" w:rsidP="008107EC">
            <w:pPr>
              <w:spacing w:line="360" w:lineRule="auto"/>
              <w:jc w:val="center"/>
              <w:rPr>
                <w:sz w:val="18"/>
                <w:szCs w:val="18"/>
                <w:lang w:val="en-GB"/>
              </w:rPr>
            </w:pPr>
          </w:p>
        </w:tc>
        <w:tc>
          <w:tcPr>
            <w:tcW w:w="2410" w:type="dxa"/>
            <w:vAlign w:val="center"/>
          </w:tcPr>
          <w:p w14:paraId="3C1B4731" w14:textId="77777777" w:rsidR="00C21B34" w:rsidRPr="00DC769B" w:rsidRDefault="00C21B34" w:rsidP="008107EC">
            <w:pPr>
              <w:spacing w:line="360" w:lineRule="auto"/>
              <w:jc w:val="center"/>
              <w:rPr>
                <w:sz w:val="18"/>
                <w:szCs w:val="18"/>
                <w:lang w:val="en-GB"/>
              </w:rPr>
            </w:pPr>
            <w:r w:rsidRPr="00DC769B">
              <w:rPr>
                <w:sz w:val="18"/>
                <w:szCs w:val="18"/>
                <w:lang w:val="en-GB"/>
              </w:rPr>
              <w:t>60% - 70% Equity</w:t>
            </w:r>
          </w:p>
        </w:tc>
        <w:tc>
          <w:tcPr>
            <w:tcW w:w="851" w:type="dxa"/>
            <w:vAlign w:val="center"/>
          </w:tcPr>
          <w:p w14:paraId="7D86F837" w14:textId="77777777" w:rsidR="00C21B34" w:rsidRPr="00DC769B" w:rsidRDefault="00C21B34" w:rsidP="008107EC">
            <w:pPr>
              <w:spacing w:line="360" w:lineRule="auto"/>
              <w:jc w:val="center"/>
              <w:rPr>
                <w:sz w:val="18"/>
                <w:szCs w:val="18"/>
                <w:lang w:val="en-GB"/>
              </w:rPr>
            </w:pPr>
            <w:r w:rsidRPr="00DC769B">
              <w:rPr>
                <w:sz w:val="18"/>
                <w:szCs w:val="18"/>
                <w:lang w:val="en-GB"/>
              </w:rPr>
              <w:t>763</w:t>
            </w:r>
          </w:p>
        </w:tc>
        <w:tc>
          <w:tcPr>
            <w:tcW w:w="1827" w:type="dxa"/>
            <w:vMerge/>
            <w:vAlign w:val="center"/>
          </w:tcPr>
          <w:p w14:paraId="3DED58E1" w14:textId="77777777" w:rsidR="00C21B34" w:rsidRPr="00DC769B" w:rsidRDefault="00C21B34" w:rsidP="008107EC">
            <w:pPr>
              <w:spacing w:line="360" w:lineRule="auto"/>
              <w:jc w:val="center"/>
              <w:rPr>
                <w:sz w:val="18"/>
                <w:szCs w:val="18"/>
                <w:lang w:val="en-GB"/>
              </w:rPr>
            </w:pPr>
          </w:p>
        </w:tc>
        <w:tc>
          <w:tcPr>
            <w:tcW w:w="724" w:type="dxa"/>
            <w:vMerge/>
            <w:vAlign w:val="center"/>
          </w:tcPr>
          <w:p w14:paraId="5577962A" w14:textId="77777777" w:rsidR="00C21B34" w:rsidRPr="00DC769B" w:rsidRDefault="00C21B34" w:rsidP="008107EC">
            <w:pPr>
              <w:spacing w:line="360" w:lineRule="auto"/>
              <w:jc w:val="center"/>
              <w:rPr>
                <w:sz w:val="18"/>
                <w:szCs w:val="18"/>
                <w:lang w:val="en-GB"/>
              </w:rPr>
            </w:pPr>
          </w:p>
        </w:tc>
        <w:tc>
          <w:tcPr>
            <w:tcW w:w="1276" w:type="dxa"/>
            <w:vMerge/>
            <w:vAlign w:val="center"/>
          </w:tcPr>
          <w:p w14:paraId="67C8AEB5" w14:textId="77777777" w:rsidR="00C21B34" w:rsidRPr="00DC769B" w:rsidRDefault="00C21B34" w:rsidP="008107EC">
            <w:pPr>
              <w:spacing w:line="360" w:lineRule="auto"/>
              <w:jc w:val="center"/>
              <w:rPr>
                <w:sz w:val="18"/>
                <w:szCs w:val="18"/>
                <w:lang w:val="en-GB"/>
              </w:rPr>
            </w:pPr>
          </w:p>
        </w:tc>
        <w:tc>
          <w:tcPr>
            <w:tcW w:w="1134" w:type="dxa"/>
            <w:vMerge/>
            <w:vAlign w:val="center"/>
          </w:tcPr>
          <w:p w14:paraId="18E353B6" w14:textId="77777777" w:rsidR="00C21B34" w:rsidRPr="00DC769B" w:rsidRDefault="00C21B34" w:rsidP="008107EC">
            <w:pPr>
              <w:keepNext/>
              <w:spacing w:line="360" w:lineRule="auto"/>
              <w:jc w:val="center"/>
              <w:rPr>
                <w:sz w:val="18"/>
                <w:szCs w:val="18"/>
                <w:lang w:val="en-GB"/>
              </w:rPr>
            </w:pPr>
          </w:p>
        </w:tc>
      </w:tr>
      <w:tr w:rsidR="00C21B34" w:rsidRPr="00DC769B" w14:paraId="5907B627" w14:textId="77777777" w:rsidTr="008107EC">
        <w:trPr>
          <w:trHeight w:val="91"/>
        </w:trPr>
        <w:tc>
          <w:tcPr>
            <w:tcW w:w="1135" w:type="dxa"/>
            <w:vMerge/>
            <w:vAlign w:val="center"/>
          </w:tcPr>
          <w:p w14:paraId="35538285" w14:textId="77777777" w:rsidR="00C21B34" w:rsidRPr="00DC769B" w:rsidRDefault="00C21B34" w:rsidP="008107EC">
            <w:pPr>
              <w:spacing w:line="360" w:lineRule="auto"/>
              <w:jc w:val="center"/>
              <w:rPr>
                <w:sz w:val="18"/>
                <w:szCs w:val="18"/>
                <w:lang w:val="en-GB"/>
              </w:rPr>
            </w:pPr>
          </w:p>
        </w:tc>
        <w:tc>
          <w:tcPr>
            <w:tcW w:w="1417" w:type="dxa"/>
            <w:vMerge/>
            <w:vAlign w:val="center"/>
          </w:tcPr>
          <w:p w14:paraId="5FC2EB4D" w14:textId="77777777" w:rsidR="00C21B34" w:rsidRPr="00DC769B" w:rsidRDefault="00C21B34" w:rsidP="008107EC">
            <w:pPr>
              <w:spacing w:line="360" w:lineRule="auto"/>
              <w:jc w:val="center"/>
              <w:rPr>
                <w:sz w:val="18"/>
                <w:szCs w:val="18"/>
                <w:lang w:val="en-GB"/>
              </w:rPr>
            </w:pPr>
          </w:p>
        </w:tc>
        <w:tc>
          <w:tcPr>
            <w:tcW w:w="2410" w:type="dxa"/>
            <w:vAlign w:val="center"/>
          </w:tcPr>
          <w:p w14:paraId="53C9D1A6" w14:textId="77777777" w:rsidR="00C21B34" w:rsidRPr="00DC769B" w:rsidRDefault="00C21B34" w:rsidP="008107EC">
            <w:pPr>
              <w:spacing w:line="360" w:lineRule="auto"/>
              <w:jc w:val="center"/>
              <w:rPr>
                <w:sz w:val="18"/>
                <w:szCs w:val="18"/>
                <w:lang w:val="en-GB"/>
              </w:rPr>
            </w:pPr>
            <w:r w:rsidRPr="00DC769B">
              <w:rPr>
                <w:sz w:val="18"/>
                <w:szCs w:val="18"/>
                <w:lang w:val="en-GB"/>
              </w:rPr>
              <w:t>70% - 80% Equity</w:t>
            </w:r>
          </w:p>
        </w:tc>
        <w:tc>
          <w:tcPr>
            <w:tcW w:w="851" w:type="dxa"/>
            <w:vAlign w:val="center"/>
          </w:tcPr>
          <w:p w14:paraId="007C9DA2" w14:textId="77777777" w:rsidR="00C21B34" w:rsidRPr="00DC769B" w:rsidRDefault="00C21B34" w:rsidP="008107EC">
            <w:pPr>
              <w:spacing w:line="360" w:lineRule="auto"/>
              <w:jc w:val="center"/>
              <w:rPr>
                <w:sz w:val="18"/>
                <w:szCs w:val="18"/>
                <w:lang w:val="en-GB"/>
              </w:rPr>
            </w:pPr>
            <w:r w:rsidRPr="00DC769B">
              <w:rPr>
                <w:sz w:val="18"/>
                <w:szCs w:val="18"/>
                <w:lang w:val="en-GB"/>
              </w:rPr>
              <w:t>860</w:t>
            </w:r>
          </w:p>
        </w:tc>
        <w:tc>
          <w:tcPr>
            <w:tcW w:w="1827" w:type="dxa"/>
            <w:vMerge/>
            <w:vAlign w:val="center"/>
          </w:tcPr>
          <w:p w14:paraId="47B7F88A" w14:textId="77777777" w:rsidR="00C21B34" w:rsidRPr="00DC769B" w:rsidRDefault="00C21B34" w:rsidP="008107EC">
            <w:pPr>
              <w:spacing w:line="360" w:lineRule="auto"/>
              <w:jc w:val="center"/>
              <w:rPr>
                <w:sz w:val="18"/>
                <w:szCs w:val="18"/>
                <w:lang w:val="en-GB"/>
              </w:rPr>
            </w:pPr>
          </w:p>
        </w:tc>
        <w:tc>
          <w:tcPr>
            <w:tcW w:w="724" w:type="dxa"/>
            <w:vMerge/>
            <w:vAlign w:val="center"/>
          </w:tcPr>
          <w:p w14:paraId="77C691CF" w14:textId="77777777" w:rsidR="00C21B34" w:rsidRPr="00DC769B" w:rsidRDefault="00C21B34" w:rsidP="008107EC">
            <w:pPr>
              <w:spacing w:line="360" w:lineRule="auto"/>
              <w:jc w:val="center"/>
              <w:rPr>
                <w:sz w:val="18"/>
                <w:szCs w:val="18"/>
                <w:lang w:val="en-GB"/>
              </w:rPr>
            </w:pPr>
          </w:p>
        </w:tc>
        <w:tc>
          <w:tcPr>
            <w:tcW w:w="1276" w:type="dxa"/>
            <w:vMerge/>
            <w:vAlign w:val="center"/>
          </w:tcPr>
          <w:p w14:paraId="17D4A90A" w14:textId="77777777" w:rsidR="00C21B34" w:rsidRPr="00DC769B" w:rsidRDefault="00C21B34" w:rsidP="008107EC">
            <w:pPr>
              <w:spacing w:line="360" w:lineRule="auto"/>
              <w:jc w:val="center"/>
              <w:rPr>
                <w:sz w:val="18"/>
                <w:szCs w:val="18"/>
                <w:lang w:val="en-GB"/>
              </w:rPr>
            </w:pPr>
          </w:p>
        </w:tc>
        <w:tc>
          <w:tcPr>
            <w:tcW w:w="1134" w:type="dxa"/>
            <w:vMerge/>
            <w:vAlign w:val="center"/>
          </w:tcPr>
          <w:p w14:paraId="54659B68" w14:textId="77777777" w:rsidR="00C21B34" w:rsidRPr="00DC769B" w:rsidRDefault="00C21B34" w:rsidP="008107EC">
            <w:pPr>
              <w:keepNext/>
              <w:spacing w:line="360" w:lineRule="auto"/>
              <w:jc w:val="center"/>
              <w:rPr>
                <w:sz w:val="18"/>
                <w:szCs w:val="18"/>
                <w:lang w:val="en-GB"/>
              </w:rPr>
            </w:pPr>
          </w:p>
        </w:tc>
      </w:tr>
      <w:tr w:rsidR="00C21B34" w:rsidRPr="00DC769B" w14:paraId="7B248E96" w14:textId="77777777" w:rsidTr="008107EC">
        <w:trPr>
          <w:trHeight w:val="91"/>
        </w:trPr>
        <w:tc>
          <w:tcPr>
            <w:tcW w:w="1135" w:type="dxa"/>
            <w:vMerge/>
            <w:vAlign w:val="center"/>
          </w:tcPr>
          <w:p w14:paraId="17E3DA0D" w14:textId="77777777" w:rsidR="00C21B34" w:rsidRPr="00DC769B" w:rsidRDefault="00C21B34" w:rsidP="008107EC">
            <w:pPr>
              <w:spacing w:line="360" w:lineRule="auto"/>
              <w:jc w:val="center"/>
              <w:rPr>
                <w:sz w:val="18"/>
                <w:szCs w:val="18"/>
                <w:lang w:val="en-GB"/>
              </w:rPr>
            </w:pPr>
          </w:p>
        </w:tc>
        <w:tc>
          <w:tcPr>
            <w:tcW w:w="1417" w:type="dxa"/>
            <w:vMerge/>
            <w:vAlign w:val="center"/>
          </w:tcPr>
          <w:p w14:paraId="1B30DD12" w14:textId="77777777" w:rsidR="00C21B34" w:rsidRPr="00DC769B" w:rsidRDefault="00C21B34" w:rsidP="008107EC">
            <w:pPr>
              <w:spacing w:line="360" w:lineRule="auto"/>
              <w:jc w:val="center"/>
              <w:rPr>
                <w:sz w:val="18"/>
                <w:szCs w:val="18"/>
                <w:lang w:val="en-GB"/>
              </w:rPr>
            </w:pPr>
          </w:p>
        </w:tc>
        <w:tc>
          <w:tcPr>
            <w:tcW w:w="2410" w:type="dxa"/>
            <w:vAlign w:val="center"/>
          </w:tcPr>
          <w:p w14:paraId="3C9DC5CB" w14:textId="77777777" w:rsidR="00C21B34" w:rsidRPr="00DC769B" w:rsidRDefault="00C21B34" w:rsidP="008107EC">
            <w:pPr>
              <w:spacing w:line="360" w:lineRule="auto"/>
              <w:jc w:val="center"/>
              <w:rPr>
                <w:sz w:val="18"/>
                <w:szCs w:val="18"/>
                <w:lang w:val="en-GB"/>
              </w:rPr>
            </w:pPr>
            <w:r w:rsidRPr="00DC769B">
              <w:rPr>
                <w:sz w:val="18"/>
                <w:szCs w:val="18"/>
                <w:lang w:val="en-GB"/>
              </w:rPr>
              <w:t>80% - 90% Equity</w:t>
            </w:r>
          </w:p>
        </w:tc>
        <w:tc>
          <w:tcPr>
            <w:tcW w:w="851" w:type="dxa"/>
            <w:vAlign w:val="center"/>
          </w:tcPr>
          <w:p w14:paraId="0BB9D6D0" w14:textId="77777777" w:rsidR="00C21B34" w:rsidRPr="00DC769B" w:rsidRDefault="00C21B34" w:rsidP="008107EC">
            <w:pPr>
              <w:spacing w:line="360" w:lineRule="auto"/>
              <w:jc w:val="center"/>
              <w:rPr>
                <w:sz w:val="18"/>
                <w:szCs w:val="18"/>
                <w:lang w:val="en-GB"/>
              </w:rPr>
            </w:pPr>
            <w:r w:rsidRPr="00DC769B">
              <w:rPr>
                <w:sz w:val="18"/>
                <w:szCs w:val="18"/>
                <w:lang w:val="en-GB"/>
              </w:rPr>
              <w:t>764</w:t>
            </w:r>
          </w:p>
        </w:tc>
        <w:tc>
          <w:tcPr>
            <w:tcW w:w="1827" w:type="dxa"/>
            <w:vMerge/>
            <w:vAlign w:val="center"/>
          </w:tcPr>
          <w:p w14:paraId="7372A9C6" w14:textId="77777777" w:rsidR="00C21B34" w:rsidRPr="00DC769B" w:rsidRDefault="00C21B34" w:rsidP="008107EC">
            <w:pPr>
              <w:spacing w:line="360" w:lineRule="auto"/>
              <w:jc w:val="center"/>
              <w:rPr>
                <w:sz w:val="18"/>
                <w:szCs w:val="18"/>
                <w:lang w:val="en-GB"/>
              </w:rPr>
            </w:pPr>
          </w:p>
        </w:tc>
        <w:tc>
          <w:tcPr>
            <w:tcW w:w="724" w:type="dxa"/>
            <w:vMerge/>
            <w:vAlign w:val="center"/>
          </w:tcPr>
          <w:p w14:paraId="10E80453" w14:textId="77777777" w:rsidR="00C21B34" w:rsidRPr="00DC769B" w:rsidRDefault="00C21B34" w:rsidP="008107EC">
            <w:pPr>
              <w:spacing w:line="360" w:lineRule="auto"/>
              <w:jc w:val="center"/>
              <w:rPr>
                <w:sz w:val="18"/>
                <w:szCs w:val="18"/>
                <w:lang w:val="en-GB"/>
              </w:rPr>
            </w:pPr>
          </w:p>
        </w:tc>
        <w:tc>
          <w:tcPr>
            <w:tcW w:w="1276" w:type="dxa"/>
            <w:vMerge/>
            <w:vAlign w:val="center"/>
          </w:tcPr>
          <w:p w14:paraId="2FFA8D24" w14:textId="77777777" w:rsidR="00C21B34" w:rsidRPr="00DC769B" w:rsidRDefault="00C21B34" w:rsidP="008107EC">
            <w:pPr>
              <w:spacing w:line="360" w:lineRule="auto"/>
              <w:jc w:val="center"/>
              <w:rPr>
                <w:sz w:val="18"/>
                <w:szCs w:val="18"/>
                <w:lang w:val="en-GB"/>
              </w:rPr>
            </w:pPr>
          </w:p>
        </w:tc>
        <w:tc>
          <w:tcPr>
            <w:tcW w:w="1134" w:type="dxa"/>
            <w:vMerge/>
            <w:vAlign w:val="center"/>
          </w:tcPr>
          <w:p w14:paraId="3A055F44" w14:textId="77777777" w:rsidR="00C21B34" w:rsidRPr="00DC769B" w:rsidRDefault="00C21B34" w:rsidP="008107EC">
            <w:pPr>
              <w:keepNext/>
              <w:spacing w:line="360" w:lineRule="auto"/>
              <w:jc w:val="center"/>
              <w:rPr>
                <w:sz w:val="18"/>
                <w:szCs w:val="18"/>
                <w:lang w:val="en-GB"/>
              </w:rPr>
            </w:pPr>
          </w:p>
        </w:tc>
      </w:tr>
      <w:tr w:rsidR="00C21B34" w:rsidRPr="00DC769B" w14:paraId="2945E7F2" w14:textId="77777777" w:rsidTr="008107EC">
        <w:trPr>
          <w:trHeight w:val="91"/>
        </w:trPr>
        <w:tc>
          <w:tcPr>
            <w:tcW w:w="1135" w:type="dxa"/>
            <w:vMerge/>
            <w:vAlign w:val="center"/>
          </w:tcPr>
          <w:p w14:paraId="447F1D5C" w14:textId="77777777" w:rsidR="00C21B34" w:rsidRPr="00DC769B" w:rsidRDefault="00C21B34" w:rsidP="008107EC">
            <w:pPr>
              <w:spacing w:line="360" w:lineRule="auto"/>
              <w:jc w:val="center"/>
              <w:rPr>
                <w:sz w:val="18"/>
                <w:szCs w:val="18"/>
                <w:lang w:val="en-GB"/>
              </w:rPr>
            </w:pPr>
          </w:p>
        </w:tc>
        <w:tc>
          <w:tcPr>
            <w:tcW w:w="1417" w:type="dxa"/>
            <w:vMerge/>
            <w:vAlign w:val="center"/>
          </w:tcPr>
          <w:p w14:paraId="5B96187A" w14:textId="77777777" w:rsidR="00C21B34" w:rsidRPr="00DC769B" w:rsidRDefault="00C21B34" w:rsidP="008107EC">
            <w:pPr>
              <w:spacing w:line="360" w:lineRule="auto"/>
              <w:jc w:val="center"/>
              <w:rPr>
                <w:sz w:val="18"/>
                <w:szCs w:val="18"/>
                <w:lang w:val="en-GB"/>
              </w:rPr>
            </w:pPr>
          </w:p>
        </w:tc>
        <w:tc>
          <w:tcPr>
            <w:tcW w:w="2410" w:type="dxa"/>
            <w:vAlign w:val="center"/>
          </w:tcPr>
          <w:p w14:paraId="2835FA28" w14:textId="77777777" w:rsidR="00C21B34" w:rsidRPr="00DC769B" w:rsidRDefault="00C21B34" w:rsidP="008107EC">
            <w:pPr>
              <w:spacing w:line="360" w:lineRule="auto"/>
              <w:jc w:val="center"/>
              <w:rPr>
                <w:sz w:val="18"/>
                <w:szCs w:val="18"/>
                <w:lang w:val="en-GB"/>
              </w:rPr>
            </w:pPr>
            <w:r w:rsidRPr="00DC769B">
              <w:rPr>
                <w:sz w:val="18"/>
                <w:szCs w:val="18"/>
                <w:lang w:val="en-GB"/>
              </w:rPr>
              <w:t>90% - 100% Equity</w:t>
            </w:r>
          </w:p>
        </w:tc>
        <w:tc>
          <w:tcPr>
            <w:tcW w:w="851" w:type="dxa"/>
            <w:vAlign w:val="center"/>
          </w:tcPr>
          <w:p w14:paraId="39CA9158" w14:textId="77777777" w:rsidR="00C21B34" w:rsidRPr="00DC769B" w:rsidRDefault="00C21B34" w:rsidP="008107EC">
            <w:pPr>
              <w:spacing w:line="360" w:lineRule="auto"/>
              <w:jc w:val="center"/>
              <w:rPr>
                <w:sz w:val="18"/>
                <w:szCs w:val="18"/>
                <w:lang w:val="en-GB"/>
              </w:rPr>
            </w:pPr>
            <w:r w:rsidRPr="00DC769B">
              <w:rPr>
                <w:sz w:val="18"/>
                <w:szCs w:val="18"/>
                <w:lang w:val="en-GB"/>
              </w:rPr>
              <w:t>2742</w:t>
            </w:r>
          </w:p>
        </w:tc>
        <w:tc>
          <w:tcPr>
            <w:tcW w:w="1827" w:type="dxa"/>
            <w:vMerge/>
            <w:vAlign w:val="center"/>
          </w:tcPr>
          <w:p w14:paraId="2B36BB61" w14:textId="77777777" w:rsidR="00C21B34" w:rsidRPr="00DC769B" w:rsidRDefault="00C21B34" w:rsidP="008107EC">
            <w:pPr>
              <w:spacing w:line="360" w:lineRule="auto"/>
              <w:jc w:val="center"/>
              <w:rPr>
                <w:sz w:val="18"/>
                <w:szCs w:val="18"/>
                <w:lang w:val="en-GB"/>
              </w:rPr>
            </w:pPr>
          </w:p>
        </w:tc>
        <w:tc>
          <w:tcPr>
            <w:tcW w:w="724" w:type="dxa"/>
            <w:vMerge/>
            <w:vAlign w:val="center"/>
          </w:tcPr>
          <w:p w14:paraId="6DBF4CFB" w14:textId="77777777" w:rsidR="00C21B34" w:rsidRPr="00DC769B" w:rsidRDefault="00C21B34" w:rsidP="008107EC">
            <w:pPr>
              <w:spacing w:line="360" w:lineRule="auto"/>
              <w:jc w:val="center"/>
              <w:rPr>
                <w:sz w:val="18"/>
                <w:szCs w:val="18"/>
                <w:lang w:val="en-GB"/>
              </w:rPr>
            </w:pPr>
          </w:p>
        </w:tc>
        <w:tc>
          <w:tcPr>
            <w:tcW w:w="1276" w:type="dxa"/>
            <w:vMerge/>
            <w:vAlign w:val="center"/>
          </w:tcPr>
          <w:p w14:paraId="5EF923BB" w14:textId="77777777" w:rsidR="00C21B34" w:rsidRPr="00DC769B" w:rsidRDefault="00C21B34" w:rsidP="008107EC">
            <w:pPr>
              <w:spacing w:line="360" w:lineRule="auto"/>
              <w:jc w:val="center"/>
              <w:rPr>
                <w:sz w:val="18"/>
                <w:szCs w:val="18"/>
                <w:lang w:val="en-GB"/>
              </w:rPr>
            </w:pPr>
          </w:p>
        </w:tc>
        <w:tc>
          <w:tcPr>
            <w:tcW w:w="1134" w:type="dxa"/>
            <w:vMerge/>
            <w:vAlign w:val="center"/>
          </w:tcPr>
          <w:p w14:paraId="16DCA22A" w14:textId="77777777" w:rsidR="00C21B34" w:rsidRPr="00DC769B" w:rsidRDefault="00C21B34" w:rsidP="008107EC">
            <w:pPr>
              <w:keepNext/>
              <w:spacing w:line="360" w:lineRule="auto"/>
              <w:jc w:val="center"/>
              <w:rPr>
                <w:sz w:val="18"/>
                <w:szCs w:val="18"/>
                <w:lang w:val="en-GB"/>
              </w:rPr>
            </w:pPr>
          </w:p>
        </w:tc>
      </w:tr>
      <w:tr w:rsidR="00C21B34" w:rsidRPr="00DC769B" w14:paraId="764ACCD9" w14:textId="77777777" w:rsidTr="008107EC">
        <w:trPr>
          <w:trHeight w:val="253"/>
        </w:trPr>
        <w:tc>
          <w:tcPr>
            <w:tcW w:w="1135" w:type="dxa"/>
            <w:vMerge w:val="restart"/>
            <w:vAlign w:val="center"/>
          </w:tcPr>
          <w:p w14:paraId="79DFFBB6" w14:textId="77777777" w:rsidR="00C21B34" w:rsidRPr="00DC769B" w:rsidRDefault="00C21B34" w:rsidP="008107EC">
            <w:pPr>
              <w:spacing w:line="360" w:lineRule="auto"/>
              <w:jc w:val="center"/>
              <w:rPr>
                <w:sz w:val="18"/>
                <w:szCs w:val="18"/>
                <w:lang w:val="en-GB"/>
              </w:rPr>
            </w:pPr>
            <w:r w:rsidRPr="00DC769B">
              <w:rPr>
                <w:sz w:val="18"/>
                <w:szCs w:val="18"/>
                <w:lang w:val="en-GB"/>
              </w:rPr>
              <w:t>2b</w:t>
            </w:r>
          </w:p>
        </w:tc>
        <w:tc>
          <w:tcPr>
            <w:tcW w:w="1417" w:type="dxa"/>
            <w:vMerge w:val="restart"/>
            <w:vAlign w:val="center"/>
          </w:tcPr>
          <w:p w14:paraId="20C87C4A" w14:textId="77777777" w:rsidR="00C21B34" w:rsidRPr="00DC769B" w:rsidRDefault="00C21B34" w:rsidP="008107EC">
            <w:pPr>
              <w:spacing w:line="360" w:lineRule="auto"/>
              <w:jc w:val="center"/>
              <w:rPr>
                <w:sz w:val="18"/>
                <w:szCs w:val="18"/>
                <w:lang w:val="en-GB"/>
              </w:rPr>
            </w:pPr>
            <w:r w:rsidRPr="00DC769B">
              <w:rPr>
                <w:sz w:val="18"/>
                <w:szCs w:val="18"/>
                <w:lang w:val="en-GB"/>
              </w:rPr>
              <w:t>15504</w:t>
            </w:r>
          </w:p>
        </w:tc>
        <w:tc>
          <w:tcPr>
            <w:tcW w:w="2410" w:type="dxa"/>
            <w:vAlign w:val="center"/>
          </w:tcPr>
          <w:p w14:paraId="4654F06F" w14:textId="77777777" w:rsidR="00C21B34" w:rsidRPr="00DC769B" w:rsidRDefault="00C21B34" w:rsidP="008107EC">
            <w:pPr>
              <w:spacing w:line="360" w:lineRule="auto"/>
              <w:jc w:val="center"/>
              <w:rPr>
                <w:sz w:val="18"/>
                <w:szCs w:val="18"/>
                <w:lang w:val="en-GB"/>
              </w:rPr>
            </w:pPr>
            <w:r w:rsidRPr="00DC769B">
              <w:rPr>
                <w:sz w:val="18"/>
                <w:szCs w:val="18"/>
                <w:lang w:val="en-GB"/>
              </w:rPr>
              <w:t>0% - 10% Equity</w:t>
            </w:r>
          </w:p>
        </w:tc>
        <w:tc>
          <w:tcPr>
            <w:tcW w:w="851" w:type="dxa"/>
            <w:vAlign w:val="center"/>
          </w:tcPr>
          <w:p w14:paraId="4398AC17" w14:textId="77777777" w:rsidR="00C21B34" w:rsidRPr="00DC769B" w:rsidRDefault="00C21B34" w:rsidP="008107EC">
            <w:pPr>
              <w:spacing w:line="360" w:lineRule="auto"/>
              <w:jc w:val="center"/>
              <w:rPr>
                <w:sz w:val="18"/>
                <w:szCs w:val="18"/>
                <w:lang w:val="en-GB"/>
              </w:rPr>
            </w:pPr>
            <w:r w:rsidRPr="00DC769B">
              <w:rPr>
                <w:sz w:val="18"/>
                <w:szCs w:val="18"/>
                <w:lang w:val="en-GB"/>
              </w:rPr>
              <w:t>1530</w:t>
            </w:r>
          </w:p>
        </w:tc>
        <w:tc>
          <w:tcPr>
            <w:tcW w:w="1827" w:type="dxa"/>
            <w:vMerge w:val="restart"/>
            <w:vAlign w:val="center"/>
          </w:tcPr>
          <w:p w14:paraId="530EB90F" w14:textId="77777777" w:rsidR="00C21B34" w:rsidRPr="00DC769B" w:rsidRDefault="00C21B34" w:rsidP="008107EC">
            <w:pPr>
              <w:spacing w:line="360" w:lineRule="auto"/>
              <w:jc w:val="center"/>
              <w:rPr>
                <w:sz w:val="18"/>
                <w:szCs w:val="18"/>
                <w:lang w:val="en-GB"/>
              </w:rPr>
            </w:pPr>
            <w:r w:rsidRPr="00DC769B">
              <w:rPr>
                <w:sz w:val="18"/>
                <w:szCs w:val="18"/>
                <w:lang w:val="en-GB"/>
              </w:rPr>
              <w:t>ICMWs</w:t>
            </w:r>
          </w:p>
        </w:tc>
        <w:tc>
          <w:tcPr>
            <w:tcW w:w="724" w:type="dxa"/>
            <w:vAlign w:val="center"/>
          </w:tcPr>
          <w:p w14:paraId="76DE51F5" w14:textId="77777777" w:rsidR="00C21B34" w:rsidRPr="00DC769B" w:rsidRDefault="00C21B34" w:rsidP="008107EC">
            <w:pPr>
              <w:spacing w:line="360" w:lineRule="auto"/>
              <w:jc w:val="center"/>
              <w:rPr>
                <w:sz w:val="18"/>
                <w:szCs w:val="18"/>
                <w:lang w:val="en-GB"/>
              </w:rPr>
            </w:pPr>
            <w:r w:rsidRPr="00DC769B">
              <w:rPr>
                <w:sz w:val="18"/>
                <w:szCs w:val="18"/>
                <w:lang w:val="en-GB"/>
              </w:rPr>
              <w:t>270</w:t>
            </w:r>
          </w:p>
        </w:tc>
        <w:tc>
          <w:tcPr>
            <w:tcW w:w="1276" w:type="dxa"/>
            <w:vMerge w:val="restart"/>
            <w:vAlign w:val="center"/>
          </w:tcPr>
          <w:p w14:paraId="49FB1838" w14:textId="77777777" w:rsidR="00C21B34" w:rsidRPr="00DC769B" w:rsidRDefault="00C21B34" w:rsidP="008107EC">
            <w:pPr>
              <w:spacing w:line="360" w:lineRule="auto"/>
              <w:jc w:val="center"/>
              <w:rPr>
                <w:sz w:val="18"/>
                <w:szCs w:val="18"/>
                <w:lang w:val="en-GB"/>
              </w:rPr>
            </w:pPr>
            <w:r w:rsidRPr="00DC769B">
              <w:rPr>
                <w:sz w:val="18"/>
                <w:szCs w:val="18"/>
                <w:lang w:val="en-GB"/>
              </w:rPr>
              <w:t>2308</w:t>
            </w:r>
          </w:p>
        </w:tc>
        <w:tc>
          <w:tcPr>
            <w:tcW w:w="1134" w:type="dxa"/>
            <w:vMerge w:val="restart"/>
            <w:vAlign w:val="center"/>
          </w:tcPr>
          <w:p w14:paraId="40DCEBB1" w14:textId="77777777" w:rsidR="00C21B34" w:rsidRPr="00DC769B" w:rsidRDefault="00C21B34" w:rsidP="008107EC">
            <w:pPr>
              <w:keepNext/>
              <w:spacing w:line="360" w:lineRule="auto"/>
              <w:jc w:val="center"/>
              <w:rPr>
                <w:sz w:val="18"/>
                <w:szCs w:val="18"/>
                <w:lang w:val="en-GB"/>
              </w:rPr>
            </w:pPr>
            <w:r w:rsidRPr="00DC769B">
              <w:rPr>
                <w:sz w:val="18"/>
                <w:szCs w:val="18"/>
                <w:lang w:val="en-GB"/>
              </w:rPr>
              <w:t>2006-2014</w:t>
            </w:r>
          </w:p>
        </w:tc>
      </w:tr>
      <w:tr w:rsidR="00C21B34" w:rsidRPr="00DC769B" w14:paraId="54D5E12D" w14:textId="77777777" w:rsidTr="008107EC">
        <w:trPr>
          <w:trHeight w:val="57"/>
        </w:trPr>
        <w:tc>
          <w:tcPr>
            <w:tcW w:w="1135" w:type="dxa"/>
            <w:vMerge/>
            <w:vAlign w:val="center"/>
          </w:tcPr>
          <w:p w14:paraId="2EA1A216" w14:textId="77777777" w:rsidR="00C21B34" w:rsidRPr="00DC769B" w:rsidRDefault="00C21B34" w:rsidP="008107EC">
            <w:pPr>
              <w:spacing w:line="360" w:lineRule="auto"/>
              <w:jc w:val="center"/>
              <w:rPr>
                <w:sz w:val="18"/>
                <w:szCs w:val="18"/>
                <w:lang w:val="en-GB"/>
              </w:rPr>
            </w:pPr>
          </w:p>
        </w:tc>
        <w:tc>
          <w:tcPr>
            <w:tcW w:w="1417" w:type="dxa"/>
            <w:vMerge/>
            <w:vAlign w:val="center"/>
          </w:tcPr>
          <w:p w14:paraId="09D3E636" w14:textId="77777777" w:rsidR="00C21B34" w:rsidRPr="00DC769B" w:rsidRDefault="00C21B34" w:rsidP="008107EC">
            <w:pPr>
              <w:spacing w:line="360" w:lineRule="auto"/>
              <w:jc w:val="center"/>
              <w:rPr>
                <w:sz w:val="18"/>
                <w:szCs w:val="18"/>
                <w:lang w:val="en-GB"/>
              </w:rPr>
            </w:pPr>
          </w:p>
        </w:tc>
        <w:tc>
          <w:tcPr>
            <w:tcW w:w="2410" w:type="dxa"/>
            <w:vAlign w:val="center"/>
          </w:tcPr>
          <w:p w14:paraId="21334C48" w14:textId="77777777" w:rsidR="00C21B34" w:rsidRPr="00DC769B" w:rsidRDefault="00C21B34" w:rsidP="008107EC">
            <w:pPr>
              <w:spacing w:line="360" w:lineRule="auto"/>
              <w:jc w:val="center"/>
              <w:rPr>
                <w:sz w:val="18"/>
                <w:szCs w:val="18"/>
                <w:lang w:val="en-GB"/>
              </w:rPr>
            </w:pPr>
            <w:r w:rsidRPr="00DC769B">
              <w:rPr>
                <w:sz w:val="18"/>
                <w:szCs w:val="18"/>
                <w:lang w:val="en-GB"/>
              </w:rPr>
              <w:t>10% - 20% Equity</w:t>
            </w:r>
          </w:p>
        </w:tc>
        <w:tc>
          <w:tcPr>
            <w:tcW w:w="851" w:type="dxa"/>
            <w:vAlign w:val="center"/>
          </w:tcPr>
          <w:p w14:paraId="48023581" w14:textId="77777777" w:rsidR="00C21B34" w:rsidRPr="00DC769B" w:rsidRDefault="00C21B34" w:rsidP="008107EC">
            <w:pPr>
              <w:spacing w:line="360" w:lineRule="auto"/>
              <w:jc w:val="center"/>
              <w:rPr>
                <w:sz w:val="18"/>
                <w:szCs w:val="18"/>
                <w:lang w:val="en-GB"/>
              </w:rPr>
            </w:pPr>
            <w:r w:rsidRPr="00DC769B">
              <w:rPr>
                <w:sz w:val="18"/>
                <w:szCs w:val="18"/>
                <w:lang w:val="en-GB"/>
              </w:rPr>
              <w:t>551</w:t>
            </w:r>
          </w:p>
        </w:tc>
        <w:tc>
          <w:tcPr>
            <w:tcW w:w="1827" w:type="dxa"/>
            <w:vMerge/>
            <w:vAlign w:val="center"/>
          </w:tcPr>
          <w:p w14:paraId="17CB7D6B" w14:textId="77777777" w:rsidR="00C21B34" w:rsidRPr="00DC769B" w:rsidRDefault="00C21B34" w:rsidP="008107EC">
            <w:pPr>
              <w:spacing w:line="360" w:lineRule="auto"/>
              <w:jc w:val="center"/>
              <w:rPr>
                <w:sz w:val="18"/>
                <w:szCs w:val="18"/>
                <w:lang w:val="en-GB"/>
              </w:rPr>
            </w:pPr>
          </w:p>
        </w:tc>
        <w:tc>
          <w:tcPr>
            <w:tcW w:w="724" w:type="dxa"/>
            <w:vAlign w:val="center"/>
          </w:tcPr>
          <w:p w14:paraId="74972665" w14:textId="77777777" w:rsidR="00C21B34" w:rsidRPr="00DC769B" w:rsidRDefault="00C21B34" w:rsidP="008107EC">
            <w:pPr>
              <w:spacing w:line="360" w:lineRule="auto"/>
              <w:jc w:val="center"/>
              <w:rPr>
                <w:sz w:val="18"/>
                <w:szCs w:val="18"/>
                <w:lang w:val="en-GB"/>
              </w:rPr>
            </w:pPr>
            <w:r w:rsidRPr="00DC769B">
              <w:rPr>
                <w:sz w:val="18"/>
                <w:szCs w:val="18"/>
                <w:lang w:val="en-GB"/>
              </w:rPr>
              <w:t>97</w:t>
            </w:r>
          </w:p>
        </w:tc>
        <w:tc>
          <w:tcPr>
            <w:tcW w:w="1276" w:type="dxa"/>
            <w:vMerge/>
            <w:vAlign w:val="center"/>
          </w:tcPr>
          <w:p w14:paraId="65A8D731" w14:textId="77777777" w:rsidR="00C21B34" w:rsidRPr="00DC769B" w:rsidRDefault="00C21B34" w:rsidP="008107EC">
            <w:pPr>
              <w:spacing w:line="360" w:lineRule="auto"/>
              <w:jc w:val="center"/>
              <w:rPr>
                <w:sz w:val="18"/>
                <w:szCs w:val="18"/>
                <w:lang w:val="en-GB"/>
              </w:rPr>
            </w:pPr>
          </w:p>
        </w:tc>
        <w:tc>
          <w:tcPr>
            <w:tcW w:w="1134" w:type="dxa"/>
            <w:vMerge/>
            <w:vAlign w:val="center"/>
          </w:tcPr>
          <w:p w14:paraId="19545F3A" w14:textId="77777777" w:rsidR="00C21B34" w:rsidRPr="00DC769B" w:rsidRDefault="00C21B34" w:rsidP="008107EC">
            <w:pPr>
              <w:keepNext/>
              <w:spacing w:line="360" w:lineRule="auto"/>
              <w:jc w:val="center"/>
              <w:rPr>
                <w:sz w:val="18"/>
                <w:szCs w:val="18"/>
                <w:lang w:val="en-GB"/>
              </w:rPr>
            </w:pPr>
          </w:p>
        </w:tc>
      </w:tr>
      <w:tr w:rsidR="00C21B34" w:rsidRPr="00DC769B" w14:paraId="09564E5E" w14:textId="77777777" w:rsidTr="008107EC">
        <w:trPr>
          <w:trHeight w:val="49"/>
        </w:trPr>
        <w:tc>
          <w:tcPr>
            <w:tcW w:w="1135" w:type="dxa"/>
            <w:vMerge/>
            <w:vAlign w:val="center"/>
          </w:tcPr>
          <w:p w14:paraId="2C2C6287" w14:textId="77777777" w:rsidR="00C21B34" w:rsidRPr="00DC769B" w:rsidRDefault="00C21B34" w:rsidP="008107EC">
            <w:pPr>
              <w:spacing w:line="360" w:lineRule="auto"/>
              <w:jc w:val="center"/>
              <w:rPr>
                <w:sz w:val="18"/>
                <w:szCs w:val="18"/>
                <w:lang w:val="en-GB"/>
              </w:rPr>
            </w:pPr>
          </w:p>
        </w:tc>
        <w:tc>
          <w:tcPr>
            <w:tcW w:w="1417" w:type="dxa"/>
            <w:vMerge/>
            <w:vAlign w:val="center"/>
          </w:tcPr>
          <w:p w14:paraId="3DCC8D17" w14:textId="77777777" w:rsidR="00C21B34" w:rsidRPr="00DC769B" w:rsidRDefault="00C21B34" w:rsidP="008107EC">
            <w:pPr>
              <w:spacing w:line="360" w:lineRule="auto"/>
              <w:jc w:val="center"/>
              <w:rPr>
                <w:sz w:val="18"/>
                <w:szCs w:val="18"/>
                <w:lang w:val="en-GB"/>
              </w:rPr>
            </w:pPr>
          </w:p>
        </w:tc>
        <w:tc>
          <w:tcPr>
            <w:tcW w:w="2410" w:type="dxa"/>
            <w:vAlign w:val="center"/>
          </w:tcPr>
          <w:p w14:paraId="6B4D8019" w14:textId="77777777" w:rsidR="00C21B34" w:rsidRPr="00DC769B" w:rsidRDefault="00C21B34" w:rsidP="008107EC">
            <w:pPr>
              <w:spacing w:line="360" w:lineRule="auto"/>
              <w:jc w:val="center"/>
              <w:rPr>
                <w:sz w:val="18"/>
                <w:szCs w:val="18"/>
                <w:lang w:val="en-GB"/>
              </w:rPr>
            </w:pPr>
            <w:r w:rsidRPr="00DC769B">
              <w:rPr>
                <w:sz w:val="18"/>
                <w:szCs w:val="18"/>
                <w:lang w:val="en-GB"/>
              </w:rPr>
              <w:t>20% - 30% Equity</w:t>
            </w:r>
          </w:p>
        </w:tc>
        <w:tc>
          <w:tcPr>
            <w:tcW w:w="851" w:type="dxa"/>
            <w:vAlign w:val="center"/>
          </w:tcPr>
          <w:p w14:paraId="173829A2" w14:textId="77777777" w:rsidR="00C21B34" w:rsidRPr="00DC769B" w:rsidRDefault="00C21B34" w:rsidP="008107EC">
            <w:pPr>
              <w:spacing w:line="360" w:lineRule="auto"/>
              <w:jc w:val="center"/>
              <w:rPr>
                <w:sz w:val="18"/>
                <w:szCs w:val="18"/>
                <w:lang w:val="en-GB"/>
              </w:rPr>
            </w:pPr>
            <w:r w:rsidRPr="00DC769B">
              <w:rPr>
                <w:sz w:val="18"/>
                <w:szCs w:val="18"/>
                <w:lang w:val="en-GB"/>
              </w:rPr>
              <w:t>772</w:t>
            </w:r>
          </w:p>
        </w:tc>
        <w:tc>
          <w:tcPr>
            <w:tcW w:w="1827" w:type="dxa"/>
            <w:vMerge/>
            <w:vAlign w:val="center"/>
          </w:tcPr>
          <w:p w14:paraId="60A1EAB7" w14:textId="77777777" w:rsidR="00C21B34" w:rsidRPr="00DC769B" w:rsidRDefault="00C21B34" w:rsidP="008107EC">
            <w:pPr>
              <w:spacing w:line="360" w:lineRule="auto"/>
              <w:jc w:val="center"/>
              <w:rPr>
                <w:sz w:val="18"/>
                <w:szCs w:val="18"/>
                <w:lang w:val="en-GB"/>
              </w:rPr>
            </w:pPr>
          </w:p>
        </w:tc>
        <w:tc>
          <w:tcPr>
            <w:tcW w:w="724" w:type="dxa"/>
            <w:vAlign w:val="center"/>
          </w:tcPr>
          <w:p w14:paraId="3EB65788" w14:textId="77777777" w:rsidR="00C21B34" w:rsidRPr="00DC769B" w:rsidRDefault="00C21B34" w:rsidP="008107EC">
            <w:pPr>
              <w:spacing w:line="360" w:lineRule="auto"/>
              <w:jc w:val="center"/>
              <w:rPr>
                <w:sz w:val="18"/>
                <w:szCs w:val="18"/>
                <w:lang w:val="en-GB"/>
              </w:rPr>
            </w:pPr>
            <w:r w:rsidRPr="00DC769B">
              <w:rPr>
                <w:sz w:val="18"/>
                <w:szCs w:val="18"/>
                <w:lang w:val="en-GB"/>
              </w:rPr>
              <w:t>129</w:t>
            </w:r>
          </w:p>
        </w:tc>
        <w:tc>
          <w:tcPr>
            <w:tcW w:w="1276" w:type="dxa"/>
            <w:vMerge/>
            <w:vAlign w:val="center"/>
          </w:tcPr>
          <w:p w14:paraId="7448C934" w14:textId="77777777" w:rsidR="00C21B34" w:rsidRPr="00DC769B" w:rsidRDefault="00C21B34" w:rsidP="008107EC">
            <w:pPr>
              <w:spacing w:line="360" w:lineRule="auto"/>
              <w:jc w:val="center"/>
              <w:rPr>
                <w:sz w:val="18"/>
                <w:szCs w:val="18"/>
                <w:lang w:val="en-GB"/>
              </w:rPr>
            </w:pPr>
          </w:p>
        </w:tc>
        <w:tc>
          <w:tcPr>
            <w:tcW w:w="1134" w:type="dxa"/>
            <w:vMerge/>
            <w:vAlign w:val="center"/>
          </w:tcPr>
          <w:p w14:paraId="275BD710" w14:textId="77777777" w:rsidR="00C21B34" w:rsidRPr="00DC769B" w:rsidRDefault="00C21B34" w:rsidP="008107EC">
            <w:pPr>
              <w:keepNext/>
              <w:spacing w:line="360" w:lineRule="auto"/>
              <w:jc w:val="center"/>
              <w:rPr>
                <w:sz w:val="18"/>
                <w:szCs w:val="18"/>
                <w:lang w:val="en-GB"/>
              </w:rPr>
            </w:pPr>
          </w:p>
        </w:tc>
      </w:tr>
      <w:tr w:rsidR="00C21B34" w:rsidRPr="00DC769B" w14:paraId="1BB9C241" w14:textId="77777777" w:rsidTr="008107EC">
        <w:trPr>
          <w:trHeight w:val="49"/>
        </w:trPr>
        <w:tc>
          <w:tcPr>
            <w:tcW w:w="1135" w:type="dxa"/>
            <w:vMerge/>
            <w:vAlign w:val="center"/>
          </w:tcPr>
          <w:p w14:paraId="4F091F8C" w14:textId="77777777" w:rsidR="00C21B34" w:rsidRPr="00DC769B" w:rsidRDefault="00C21B34" w:rsidP="008107EC">
            <w:pPr>
              <w:spacing w:line="360" w:lineRule="auto"/>
              <w:jc w:val="center"/>
              <w:rPr>
                <w:sz w:val="18"/>
                <w:szCs w:val="18"/>
                <w:lang w:val="en-GB"/>
              </w:rPr>
            </w:pPr>
          </w:p>
        </w:tc>
        <w:tc>
          <w:tcPr>
            <w:tcW w:w="1417" w:type="dxa"/>
            <w:vMerge/>
            <w:vAlign w:val="center"/>
          </w:tcPr>
          <w:p w14:paraId="2C0C2EED" w14:textId="77777777" w:rsidR="00C21B34" w:rsidRPr="00DC769B" w:rsidRDefault="00C21B34" w:rsidP="008107EC">
            <w:pPr>
              <w:spacing w:line="360" w:lineRule="auto"/>
              <w:jc w:val="center"/>
              <w:rPr>
                <w:sz w:val="18"/>
                <w:szCs w:val="18"/>
                <w:lang w:val="en-GB"/>
              </w:rPr>
            </w:pPr>
          </w:p>
        </w:tc>
        <w:tc>
          <w:tcPr>
            <w:tcW w:w="2410" w:type="dxa"/>
            <w:vAlign w:val="center"/>
          </w:tcPr>
          <w:p w14:paraId="6A71179B" w14:textId="77777777" w:rsidR="00C21B34" w:rsidRPr="00DC769B" w:rsidRDefault="00C21B34" w:rsidP="008107EC">
            <w:pPr>
              <w:spacing w:line="360" w:lineRule="auto"/>
              <w:jc w:val="center"/>
              <w:rPr>
                <w:sz w:val="18"/>
                <w:szCs w:val="18"/>
                <w:lang w:val="en-GB"/>
              </w:rPr>
            </w:pPr>
            <w:r w:rsidRPr="00DC769B">
              <w:rPr>
                <w:sz w:val="18"/>
                <w:szCs w:val="18"/>
                <w:lang w:val="en-GB"/>
              </w:rPr>
              <w:t>30% - 40% Equity</w:t>
            </w:r>
          </w:p>
        </w:tc>
        <w:tc>
          <w:tcPr>
            <w:tcW w:w="851" w:type="dxa"/>
            <w:vAlign w:val="center"/>
          </w:tcPr>
          <w:p w14:paraId="0FA38987" w14:textId="77777777" w:rsidR="00C21B34" w:rsidRPr="00DC769B" w:rsidRDefault="00C21B34" w:rsidP="008107EC">
            <w:pPr>
              <w:spacing w:line="360" w:lineRule="auto"/>
              <w:jc w:val="center"/>
              <w:rPr>
                <w:sz w:val="18"/>
                <w:szCs w:val="18"/>
                <w:lang w:val="en-GB"/>
              </w:rPr>
            </w:pPr>
            <w:r w:rsidRPr="00DC769B">
              <w:rPr>
                <w:sz w:val="18"/>
                <w:szCs w:val="18"/>
                <w:lang w:val="en-GB"/>
              </w:rPr>
              <w:t>933</w:t>
            </w:r>
          </w:p>
        </w:tc>
        <w:tc>
          <w:tcPr>
            <w:tcW w:w="1827" w:type="dxa"/>
            <w:vMerge/>
            <w:vAlign w:val="center"/>
          </w:tcPr>
          <w:p w14:paraId="0FDFA8F5" w14:textId="77777777" w:rsidR="00C21B34" w:rsidRPr="00DC769B" w:rsidRDefault="00C21B34" w:rsidP="008107EC">
            <w:pPr>
              <w:spacing w:line="360" w:lineRule="auto"/>
              <w:jc w:val="center"/>
              <w:rPr>
                <w:sz w:val="18"/>
                <w:szCs w:val="18"/>
                <w:lang w:val="en-GB"/>
              </w:rPr>
            </w:pPr>
          </w:p>
        </w:tc>
        <w:tc>
          <w:tcPr>
            <w:tcW w:w="724" w:type="dxa"/>
            <w:vAlign w:val="center"/>
          </w:tcPr>
          <w:p w14:paraId="1261793A" w14:textId="77777777" w:rsidR="00C21B34" w:rsidRPr="00DC769B" w:rsidRDefault="00C21B34" w:rsidP="008107EC">
            <w:pPr>
              <w:spacing w:line="360" w:lineRule="auto"/>
              <w:jc w:val="center"/>
              <w:rPr>
                <w:sz w:val="18"/>
                <w:szCs w:val="18"/>
                <w:lang w:val="en-GB"/>
              </w:rPr>
            </w:pPr>
            <w:r w:rsidRPr="00DC769B">
              <w:rPr>
                <w:sz w:val="18"/>
                <w:szCs w:val="18"/>
                <w:lang w:val="en-GB"/>
              </w:rPr>
              <w:t>152</w:t>
            </w:r>
          </w:p>
        </w:tc>
        <w:tc>
          <w:tcPr>
            <w:tcW w:w="1276" w:type="dxa"/>
            <w:vMerge/>
            <w:vAlign w:val="center"/>
          </w:tcPr>
          <w:p w14:paraId="40745EB7" w14:textId="77777777" w:rsidR="00C21B34" w:rsidRPr="00DC769B" w:rsidRDefault="00C21B34" w:rsidP="008107EC">
            <w:pPr>
              <w:spacing w:line="360" w:lineRule="auto"/>
              <w:jc w:val="center"/>
              <w:rPr>
                <w:sz w:val="18"/>
                <w:szCs w:val="18"/>
                <w:lang w:val="en-GB"/>
              </w:rPr>
            </w:pPr>
          </w:p>
        </w:tc>
        <w:tc>
          <w:tcPr>
            <w:tcW w:w="1134" w:type="dxa"/>
            <w:vMerge/>
            <w:vAlign w:val="center"/>
          </w:tcPr>
          <w:p w14:paraId="4B62789B" w14:textId="77777777" w:rsidR="00C21B34" w:rsidRPr="00DC769B" w:rsidRDefault="00C21B34" w:rsidP="008107EC">
            <w:pPr>
              <w:keepNext/>
              <w:spacing w:line="360" w:lineRule="auto"/>
              <w:jc w:val="center"/>
              <w:rPr>
                <w:sz w:val="18"/>
                <w:szCs w:val="18"/>
                <w:lang w:val="en-GB"/>
              </w:rPr>
            </w:pPr>
          </w:p>
        </w:tc>
      </w:tr>
      <w:tr w:rsidR="00C21B34" w:rsidRPr="00DC769B" w14:paraId="77154045" w14:textId="77777777" w:rsidTr="008107EC">
        <w:trPr>
          <w:trHeight w:val="49"/>
        </w:trPr>
        <w:tc>
          <w:tcPr>
            <w:tcW w:w="1135" w:type="dxa"/>
            <w:vMerge/>
            <w:vAlign w:val="center"/>
          </w:tcPr>
          <w:p w14:paraId="405DF953" w14:textId="77777777" w:rsidR="00C21B34" w:rsidRPr="00DC769B" w:rsidRDefault="00C21B34" w:rsidP="008107EC">
            <w:pPr>
              <w:spacing w:line="360" w:lineRule="auto"/>
              <w:jc w:val="center"/>
              <w:rPr>
                <w:sz w:val="18"/>
                <w:szCs w:val="18"/>
                <w:lang w:val="en-GB"/>
              </w:rPr>
            </w:pPr>
          </w:p>
        </w:tc>
        <w:tc>
          <w:tcPr>
            <w:tcW w:w="1417" w:type="dxa"/>
            <w:vMerge/>
            <w:vAlign w:val="center"/>
          </w:tcPr>
          <w:p w14:paraId="7032CA74" w14:textId="77777777" w:rsidR="00C21B34" w:rsidRPr="00DC769B" w:rsidRDefault="00C21B34" w:rsidP="008107EC">
            <w:pPr>
              <w:spacing w:line="360" w:lineRule="auto"/>
              <w:jc w:val="center"/>
              <w:rPr>
                <w:sz w:val="18"/>
                <w:szCs w:val="18"/>
                <w:lang w:val="en-GB"/>
              </w:rPr>
            </w:pPr>
          </w:p>
        </w:tc>
        <w:tc>
          <w:tcPr>
            <w:tcW w:w="2410" w:type="dxa"/>
            <w:vAlign w:val="center"/>
          </w:tcPr>
          <w:p w14:paraId="678DB428" w14:textId="77777777" w:rsidR="00C21B34" w:rsidRPr="00DC769B" w:rsidRDefault="00C21B34" w:rsidP="008107EC">
            <w:pPr>
              <w:spacing w:line="360" w:lineRule="auto"/>
              <w:jc w:val="center"/>
              <w:rPr>
                <w:sz w:val="18"/>
                <w:szCs w:val="18"/>
                <w:lang w:val="en-GB"/>
              </w:rPr>
            </w:pPr>
            <w:r w:rsidRPr="00DC769B">
              <w:rPr>
                <w:sz w:val="18"/>
                <w:szCs w:val="18"/>
                <w:lang w:val="en-GB"/>
              </w:rPr>
              <w:t>40% - 50% Equity</w:t>
            </w:r>
          </w:p>
        </w:tc>
        <w:tc>
          <w:tcPr>
            <w:tcW w:w="851" w:type="dxa"/>
            <w:vAlign w:val="center"/>
          </w:tcPr>
          <w:p w14:paraId="424551A6" w14:textId="77777777" w:rsidR="00C21B34" w:rsidRPr="00DC769B" w:rsidRDefault="00C21B34" w:rsidP="008107EC">
            <w:pPr>
              <w:spacing w:line="360" w:lineRule="auto"/>
              <w:jc w:val="center"/>
              <w:rPr>
                <w:sz w:val="18"/>
                <w:szCs w:val="18"/>
                <w:lang w:val="en-GB"/>
              </w:rPr>
            </w:pPr>
            <w:r w:rsidRPr="00DC769B">
              <w:rPr>
                <w:sz w:val="18"/>
                <w:szCs w:val="18"/>
                <w:lang w:val="en-GB"/>
              </w:rPr>
              <w:t>1086</w:t>
            </w:r>
          </w:p>
        </w:tc>
        <w:tc>
          <w:tcPr>
            <w:tcW w:w="1827" w:type="dxa"/>
            <w:vMerge/>
            <w:vAlign w:val="center"/>
          </w:tcPr>
          <w:p w14:paraId="785A3574" w14:textId="77777777" w:rsidR="00C21B34" w:rsidRPr="00DC769B" w:rsidRDefault="00C21B34" w:rsidP="008107EC">
            <w:pPr>
              <w:spacing w:line="360" w:lineRule="auto"/>
              <w:jc w:val="center"/>
              <w:rPr>
                <w:sz w:val="18"/>
                <w:szCs w:val="18"/>
                <w:lang w:val="en-GB"/>
              </w:rPr>
            </w:pPr>
          </w:p>
        </w:tc>
        <w:tc>
          <w:tcPr>
            <w:tcW w:w="724" w:type="dxa"/>
            <w:vAlign w:val="center"/>
          </w:tcPr>
          <w:p w14:paraId="37C18F6A" w14:textId="77777777" w:rsidR="00C21B34" w:rsidRPr="00DC769B" w:rsidRDefault="00C21B34" w:rsidP="008107EC">
            <w:pPr>
              <w:spacing w:line="360" w:lineRule="auto"/>
              <w:jc w:val="center"/>
              <w:rPr>
                <w:sz w:val="18"/>
                <w:szCs w:val="18"/>
                <w:lang w:val="en-GB"/>
              </w:rPr>
            </w:pPr>
            <w:r w:rsidRPr="00DC769B">
              <w:rPr>
                <w:sz w:val="18"/>
                <w:szCs w:val="18"/>
                <w:lang w:val="en-GB"/>
              </w:rPr>
              <w:t>189</w:t>
            </w:r>
          </w:p>
        </w:tc>
        <w:tc>
          <w:tcPr>
            <w:tcW w:w="1276" w:type="dxa"/>
            <w:vMerge/>
            <w:vAlign w:val="center"/>
          </w:tcPr>
          <w:p w14:paraId="17A79B1E" w14:textId="77777777" w:rsidR="00C21B34" w:rsidRPr="00DC769B" w:rsidRDefault="00C21B34" w:rsidP="008107EC">
            <w:pPr>
              <w:spacing w:line="360" w:lineRule="auto"/>
              <w:jc w:val="center"/>
              <w:rPr>
                <w:sz w:val="18"/>
                <w:szCs w:val="18"/>
                <w:lang w:val="en-GB"/>
              </w:rPr>
            </w:pPr>
          </w:p>
        </w:tc>
        <w:tc>
          <w:tcPr>
            <w:tcW w:w="1134" w:type="dxa"/>
            <w:vMerge/>
            <w:vAlign w:val="center"/>
          </w:tcPr>
          <w:p w14:paraId="13F69DED" w14:textId="77777777" w:rsidR="00C21B34" w:rsidRPr="00DC769B" w:rsidRDefault="00C21B34" w:rsidP="008107EC">
            <w:pPr>
              <w:keepNext/>
              <w:spacing w:line="360" w:lineRule="auto"/>
              <w:jc w:val="center"/>
              <w:rPr>
                <w:sz w:val="18"/>
                <w:szCs w:val="18"/>
                <w:lang w:val="en-GB"/>
              </w:rPr>
            </w:pPr>
          </w:p>
        </w:tc>
      </w:tr>
      <w:tr w:rsidR="00C21B34" w:rsidRPr="00DC769B" w14:paraId="68174C65" w14:textId="77777777" w:rsidTr="008107EC">
        <w:trPr>
          <w:trHeight w:val="49"/>
        </w:trPr>
        <w:tc>
          <w:tcPr>
            <w:tcW w:w="1135" w:type="dxa"/>
            <w:vMerge/>
            <w:vAlign w:val="center"/>
          </w:tcPr>
          <w:p w14:paraId="054F9998" w14:textId="77777777" w:rsidR="00C21B34" w:rsidRPr="00DC769B" w:rsidRDefault="00C21B34" w:rsidP="008107EC">
            <w:pPr>
              <w:spacing w:line="360" w:lineRule="auto"/>
              <w:jc w:val="center"/>
              <w:rPr>
                <w:sz w:val="18"/>
                <w:szCs w:val="18"/>
                <w:lang w:val="en-GB"/>
              </w:rPr>
            </w:pPr>
          </w:p>
        </w:tc>
        <w:tc>
          <w:tcPr>
            <w:tcW w:w="1417" w:type="dxa"/>
            <w:vMerge/>
            <w:vAlign w:val="center"/>
          </w:tcPr>
          <w:p w14:paraId="59C41FE1" w14:textId="77777777" w:rsidR="00C21B34" w:rsidRPr="00DC769B" w:rsidRDefault="00C21B34" w:rsidP="008107EC">
            <w:pPr>
              <w:spacing w:line="360" w:lineRule="auto"/>
              <w:jc w:val="center"/>
              <w:rPr>
                <w:sz w:val="18"/>
                <w:szCs w:val="18"/>
                <w:lang w:val="en-GB"/>
              </w:rPr>
            </w:pPr>
          </w:p>
        </w:tc>
        <w:tc>
          <w:tcPr>
            <w:tcW w:w="2410" w:type="dxa"/>
            <w:vAlign w:val="center"/>
          </w:tcPr>
          <w:p w14:paraId="5407D567" w14:textId="77777777" w:rsidR="00C21B34" w:rsidRPr="00DC769B" w:rsidRDefault="00C21B34" w:rsidP="008107EC">
            <w:pPr>
              <w:spacing w:line="360" w:lineRule="auto"/>
              <w:jc w:val="center"/>
              <w:rPr>
                <w:sz w:val="18"/>
                <w:szCs w:val="18"/>
                <w:lang w:val="en-GB"/>
              </w:rPr>
            </w:pPr>
            <w:r w:rsidRPr="00DC769B">
              <w:rPr>
                <w:sz w:val="18"/>
                <w:szCs w:val="18"/>
                <w:lang w:val="en-GB"/>
              </w:rPr>
              <w:t>50% - 60% Equity</w:t>
            </w:r>
          </w:p>
        </w:tc>
        <w:tc>
          <w:tcPr>
            <w:tcW w:w="851" w:type="dxa"/>
            <w:vAlign w:val="center"/>
          </w:tcPr>
          <w:p w14:paraId="4B92A204" w14:textId="77777777" w:rsidR="00C21B34" w:rsidRPr="00DC769B" w:rsidRDefault="00C21B34" w:rsidP="008107EC">
            <w:pPr>
              <w:spacing w:line="360" w:lineRule="auto"/>
              <w:jc w:val="center"/>
              <w:rPr>
                <w:sz w:val="18"/>
                <w:szCs w:val="18"/>
                <w:lang w:val="en-GB"/>
              </w:rPr>
            </w:pPr>
            <w:r w:rsidRPr="00DC769B">
              <w:rPr>
                <w:sz w:val="18"/>
                <w:szCs w:val="18"/>
                <w:lang w:val="en-GB"/>
              </w:rPr>
              <w:t>1238</w:t>
            </w:r>
          </w:p>
        </w:tc>
        <w:tc>
          <w:tcPr>
            <w:tcW w:w="1827" w:type="dxa"/>
            <w:vMerge/>
            <w:vAlign w:val="center"/>
          </w:tcPr>
          <w:p w14:paraId="535E45E0" w14:textId="77777777" w:rsidR="00C21B34" w:rsidRPr="00DC769B" w:rsidRDefault="00C21B34" w:rsidP="008107EC">
            <w:pPr>
              <w:spacing w:line="360" w:lineRule="auto"/>
              <w:jc w:val="center"/>
              <w:rPr>
                <w:sz w:val="18"/>
                <w:szCs w:val="18"/>
                <w:lang w:val="en-GB"/>
              </w:rPr>
            </w:pPr>
          </w:p>
        </w:tc>
        <w:tc>
          <w:tcPr>
            <w:tcW w:w="724" w:type="dxa"/>
            <w:vAlign w:val="center"/>
          </w:tcPr>
          <w:p w14:paraId="62AB74B8" w14:textId="77777777" w:rsidR="00C21B34" w:rsidRPr="00DC769B" w:rsidRDefault="00C21B34" w:rsidP="008107EC">
            <w:pPr>
              <w:spacing w:line="360" w:lineRule="auto"/>
              <w:jc w:val="center"/>
              <w:rPr>
                <w:sz w:val="18"/>
                <w:szCs w:val="18"/>
                <w:lang w:val="en-GB"/>
              </w:rPr>
            </w:pPr>
            <w:r w:rsidRPr="00DC769B">
              <w:rPr>
                <w:sz w:val="18"/>
                <w:szCs w:val="18"/>
                <w:lang w:val="en-GB"/>
              </w:rPr>
              <w:t>211</w:t>
            </w:r>
          </w:p>
        </w:tc>
        <w:tc>
          <w:tcPr>
            <w:tcW w:w="1276" w:type="dxa"/>
            <w:vMerge/>
            <w:vAlign w:val="center"/>
          </w:tcPr>
          <w:p w14:paraId="66A9A895" w14:textId="77777777" w:rsidR="00C21B34" w:rsidRPr="00DC769B" w:rsidRDefault="00C21B34" w:rsidP="008107EC">
            <w:pPr>
              <w:spacing w:line="360" w:lineRule="auto"/>
              <w:jc w:val="center"/>
              <w:rPr>
                <w:sz w:val="18"/>
                <w:szCs w:val="18"/>
                <w:lang w:val="en-GB"/>
              </w:rPr>
            </w:pPr>
          </w:p>
        </w:tc>
        <w:tc>
          <w:tcPr>
            <w:tcW w:w="1134" w:type="dxa"/>
            <w:vMerge/>
            <w:vAlign w:val="center"/>
          </w:tcPr>
          <w:p w14:paraId="15B551FE" w14:textId="77777777" w:rsidR="00C21B34" w:rsidRPr="00DC769B" w:rsidRDefault="00C21B34" w:rsidP="008107EC">
            <w:pPr>
              <w:keepNext/>
              <w:spacing w:line="360" w:lineRule="auto"/>
              <w:jc w:val="center"/>
              <w:rPr>
                <w:sz w:val="18"/>
                <w:szCs w:val="18"/>
                <w:lang w:val="en-GB"/>
              </w:rPr>
            </w:pPr>
          </w:p>
        </w:tc>
      </w:tr>
      <w:tr w:rsidR="00C21B34" w:rsidRPr="00DC769B" w14:paraId="6378FA44" w14:textId="77777777" w:rsidTr="008107EC">
        <w:trPr>
          <w:trHeight w:val="49"/>
        </w:trPr>
        <w:tc>
          <w:tcPr>
            <w:tcW w:w="1135" w:type="dxa"/>
            <w:vMerge/>
            <w:vAlign w:val="center"/>
          </w:tcPr>
          <w:p w14:paraId="60DAB7B3" w14:textId="77777777" w:rsidR="00C21B34" w:rsidRPr="00DC769B" w:rsidRDefault="00C21B34" w:rsidP="008107EC">
            <w:pPr>
              <w:spacing w:line="360" w:lineRule="auto"/>
              <w:jc w:val="center"/>
              <w:rPr>
                <w:sz w:val="18"/>
                <w:szCs w:val="18"/>
                <w:lang w:val="en-GB"/>
              </w:rPr>
            </w:pPr>
          </w:p>
        </w:tc>
        <w:tc>
          <w:tcPr>
            <w:tcW w:w="1417" w:type="dxa"/>
            <w:vMerge/>
            <w:vAlign w:val="center"/>
          </w:tcPr>
          <w:p w14:paraId="41C63547" w14:textId="77777777" w:rsidR="00C21B34" w:rsidRPr="00DC769B" w:rsidRDefault="00C21B34" w:rsidP="008107EC">
            <w:pPr>
              <w:spacing w:line="360" w:lineRule="auto"/>
              <w:jc w:val="center"/>
              <w:rPr>
                <w:sz w:val="18"/>
                <w:szCs w:val="18"/>
                <w:lang w:val="en-GB"/>
              </w:rPr>
            </w:pPr>
          </w:p>
        </w:tc>
        <w:tc>
          <w:tcPr>
            <w:tcW w:w="2410" w:type="dxa"/>
            <w:vAlign w:val="center"/>
          </w:tcPr>
          <w:p w14:paraId="6BF6CA2B" w14:textId="77777777" w:rsidR="00C21B34" w:rsidRPr="00DC769B" w:rsidRDefault="00C21B34" w:rsidP="008107EC">
            <w:pPr>
              <w:spacing w:line="360" w:lineRule="auto"/>
              <w:jc w:val="center"/>
              <w:rPr>
                <w:sz w:val="18"/>
                <w:szCs w:val="18"/>
                <w:lang w:val="en-GB"/>
              </w:rPr>
            </w:pPr>
            <w:r w:rsidRPr="00DC769B">
              <w:rPr>
                <w:sz w:val="18"/>
                <w:szCs w:val="18"/>
                <w:lang w:val="en-GB"/>
              </w:rPr>
              <w:t>60% - 70% Equity</w:t>
            </w:r>
          </w:p>
        </w:tc>
        <w:tc>
          <w:tcPr>
            <w:tcW w:w="851" w:type="dxa"/>
            <w:vAlign w:val="center"/>
          </w:tcPr>
          <w:p w14:paraId="75B6CA9B" w14:textId="77777777" w:rsidR="00C21B34" w:rsidRPr="00DC769B" w:rsidRDefault="00C21B34" w:rsidP="008107EC">
            <w:pPr>
              <w:spacing w:line="360" w:lineRule="auto"/>
              <w:jc w:val="center"/>
              <w:rPr>
                <w:sz w:val="18"/>
                <w:szCs w:val="18"/>
                <w:lang w:val="en-GB"/>
              </w:rPr>
            </w:pPr>
            <w:r w:rsidRPr="00DC769B">
              <w:rPr>
                <w:sz w:val="18"/>
                <w:szCs w:val="18"/>
                <w:lang w:val="en-GB"/>
              </w:rPr>
              <w:t>1409</w:t>
            </w:r>
          </w:p>
        </w:tc>
        <w:tc>
          <w:tcPr>
            <w:tcW w:w="1827" w:type="dxa"/>
            <w:vMerge/>
            <w:vAlign w:val="center"/>
          </w:tcPr>
          <w:p w14:paraId="0087873C" w14:textId="77777777" w:rsidR="00C21B34" w:rsidRPr="00DC769B" w:rsidRDefault="00C21B34" w:rsidP="008107EC">
            <w:pPr>
              <w:spacing w:line="360" w:lineRule="auto"/>
              <w:jc w:val="center"/>
              <w:rPr>
                <w:sz w:val="18"/>
                <w:szCs w:val="18"/>
                <w:lang w:val="en-GB"/>
              </w:rPr>
            </w:pPr>
          </w:p>
        </w:tc>
        <w:tc>
          <w:tcPr>
            <w:tcW w:w="724" w:type="dxa"/>
            <w:vAlign w:val="center"/>
          </w:tcPr>
          <w:p w14:paraId="6A5BC410" w14:textId="77777777" w:rsidR="00C21B34" w:rsidRPr="00DC769B" w:rsidRDefault="00C21B34" w:rsidP="008107EC">
            <w:pPr>
              <w:spacing w:line="360" w:lineRule="auto"/>
              <w:jc w:val="center"/>
              <w:rPr>
                <w:sz w:val="18"/>
                <w:szCs w:val="18"/>
                <w:lang w:val="en-GB"/>
              </w:rPr>
            </w:pPr>
            <w:r w:rsidRPr="00DC769B">
              <w:rPr>
                <w:sz w:val="18"/>
                <w:szCs w:val="18"/>
                <w:lang w:val="en-GB"/>
              </w:rPr>
              <w:t>281</w:t>
            </w:r>
          </w:p>
        </w:tc>
        <w:tc>
          <w:tcPr>
            <w:tcW w:w="1276" w:type="dxa"/>
            <w:vMerge/>
            <w:vAlign w:val="center"/>
          </w:tcPr>
          <w:p w14:paraId="5D7D8DA7" w14:textId="77777777" w:rsidR="00C21B34" w:rsidRPr="00DC769B" w:rsidRDefault="00C21B34" w:rsidP="008107EC">
            <w:pPr>
              <w:spacing w:line="360" w:lineRule="auto"/>
              <w:jc w:val="center"/>
              <w:rPr>
                <w:sz w:val="18"/>
                <w:szCs w:val="18"/>
                <w:lang w:val="en-GB"/>
              </w:rPr>
            </w:pPr>
          </w:p>
        </w:tc>
        <w:tc>
          <w:tcPr>
            <w:tcW w:w="1134" w:type="dxa"/>
            <w:vMerge/>
            <w:vAlign w:val="center"/>
          </w:tcPr>
          <w:p w14:paraId="34B01DEE" w14:textId="77777777" w:rsidR="00C21B34" w:rsidRPr="00DC769B" w:rsidRDefault="00C21B34" w:rsidP="008107EC">
            <w:pPr>
              <w:keepNext/>
              <w:spacing w:line="360" w:lineRule="auto"/>
              <w:jc w:val="center"/>
              <w:rPr>
                <w:sz w:val="18"/>
                <w:szCs w:val="18"/>
                <w:lang w:val="en-GB"/>
              </w:rPr>
            </w:pPr>
          </w:p>
        </w:tc>
      </w:tr>
      <w:tr w:rsidR="00C21B34" w:rsidRPr="00DC769B" w14:paraId="3D19AA85" w14:textId="77777777" w:rsidTr="008107EC">
        <w:trPr>
          <w:trHeight w:val="49"/>
        </w:trPr>
        <w:tc>
          <w:tcPr>
            <w:tcW w:w="1135" w:type="dxa"/>
            <w:vMerge/>
            <w:vAlign w:val="center"/>
          </w:tcPr>
          <w:p w14:paraId="3325F57F" w14:textId="77777777" w:rsidR="00C21B34" w:rsidRPr="00DC769B" w:rsidRDefault="00C21B34" w:rsidP="008107EC">
            <w:pPr>
              <w:spacing w:line="360" w:lineRule="auto"/>
              <w:jc w:val="center"/>
              <w:rPr>
                <w:sz w:val="18"/>
                <w:szCs w:val="18"/>
                <w:lang w:val="en-GB"/>
              </w:rPr>
            </w:pPr>
          </w:p>
        </w:tc>
        <w:tc>
          <w:tcPr>
            <w:tcW w:w="1417" w:type="dxa"/>
            <w:vMerge/>
            <w:vAlign w:val="center"/>
          </w:tcPr>
          <w:p w14:paraId="5247C71A" w14:textId="77777777" w:rsidR="00C21B34" w:rsidRPr="00DC769B" w:rsidRDefault="00C21B34" w:rsidP="008107EC">
            <w:pPr>
              <w:spacing w:line="360" w:lineRule="auto"/>
              <w:jc w:val="center"/>
              <w:rPr>
                <w:sz w:val="18"/>
                <w:szCs w:val="18"/>
                <w:lang w:val="en-GB"/>
              </w:rPr>
            </w:pPr>
          </w:p>
        </w:tc>
        <w:tc>
          <w:tcPr>
            <w:tcW w:w="2410" w:type="dxa"/>
            <w:vAlign w:val="center"/>
          </w:tcPr>
          <w:p w14:paraId="26AE129A" w14:textId="77777777" w:rsidR="00C21B34" w:rsidRPr="00DC769B" w:rsidRDefault="00C21B34" w:rsidP="008107EC">
            <w:pPr>
              <w:spacing w:line="360" w:lineRule="auto"/>
              <w:jc w:val="center"/>
              <w:rPr>
                <w:sz w:val="18"/>
                <w:szCs w:val="18"/>
                <w:lang w:val="en-GB"/>
              </w:rPr>
            </w:pPr>
            <w:r w:rsidRPr="00DC769B">
              <w:rPr>
                <w:sz w:val="18"/>
                <w:szCs w:val="18"/>
                <w:lang w:val="en-GB"/>
              </w:rPr>
              <w:t>70% - 80% Equity</w:t>
            </w:r>
          </w:p>
        </w:tc>
        <w:tc>
          <w:tcPr>
            <w:tcW w:w="851" w:type="dxa"/>
            <w:vAlign w:val="center"/>
          </w:tcPr>
          <w:p w14:paraId="7F0C75D5" w14:textId="77777777" w:rsidR="00C21B34" w:rsidRPr="00DC769B" w:rsidRDefault="00C21B34" w:rsidP="008107EC">
            <w:pPr>
              <w:spacing w:line="360" w:lineRule="auto"/>
              <w:jc w:val="center"/>
              <w:rPr>
                <w:sz w:val="18"/>
                <w:szCs w:val="18"/>
                <w:lang w:val="en-GB"/>
              </w:rPr>
            </w:pPr>
            <w:r w:rsidRPr="00DC769B">
              <w:rPr>
                <w:sz w:val="18"/>
                <w:szCs w:val="18"/>
                <w:lang w:val="en-GB"/>
              </w:rPr>
              <w:t>1583</w:t>
            </w:r>
          </w:p>
        </w:tc>
        <w:tc>
          <w:tcPr>
            <w:tcW w:w="1827" w:type="dxa"/>
            <w:vMerge/>
            <w:vAlign w:val="center"/>
          </w:tcPr>
          <w:p w14:paraId="1C116F0E" w14:textId="77777777" w:rsidR="00C21B34" w:rsidRPr="00DC769B" w:rsidRDefault="00C21B34" w:rsidP="008107EC">
            <w:pPr>
              <w:spacing w:line="360" w:lineRule="auto"/>
              <w:jc w:val="center"/>
              <w:rPr>
                <w:sz w:val="18"/>
                <w:szCs w:val="18"/>
                <w:lang w:val="en-GB"/>
              </w:rPr>
            </w:pPr>
          </w:p>
        </w:tc>
        <w:tc>
          <w:tcPr>
            <w:tcW w:w="724" w:type="dxa"/>
            <w:vAlign w:val="center"/>
          </w:tcPr>
          <w:p w14:paraId="63DE3D88" w14:textId="77777777" w:rsidR="00C21B34" w:rsidRPr="00DC769B" w:rsidRDefault="00C21B34" w:rsidP="008107EC">
            <w:pPr>
              <w:spacing w:line="360" w:lineRule="auto"/>
              <w:jc w:val="center"/>
              <w:rPr>
                <w:sz w:val="18"/>
                <w:szCs w:val="18"/>
                <w:lang w:val="en-GB"/>
              </w:rPr>
            </w:pPr>
            <w:r w:rsidRPr="00DC769B">
              <w:rPr>
                <w:sz w:val="18"/>
                <w:szCs w:val="18"/>
                <w:lang w:val="en-GB"/>
              </w:rPr>
              <w:t>289</w:t>
            </w:r>
          </w:p>
        </w:tc>
        <w:tc>
          <w:tcPr>
            <w:tcW w:w="1276" w:type="dxa"/>
            <w:vMerge/>
            <w:vAlign w:val="center"/>
          </w:tcPr>
          <w:p w14:paraId="5FEB7541" w14:textId="77777777" w:rsidR="00C21B34" w:rsidRPr="00DC769B" w:rsidRDefault="00C21B34" w:rsidP="008107EC">
            <w:pPr>
              <w:spacing w:line="360" w:lineRule="auto"/>
              <w:jc w:val="center"/>
              <w:rPr>
                <w:sz w:val="18"/>
                <w:szCs w:val="18"/>
                <w:lang w:val="en-GB"/>
              </w:rPr>
            </w:pPr>
          </w:p>
        </w:tc>
        <w:tc>
          <w:tcPr>
            <w:tcW w:w="1134" w:type="dxa"/>
            <w:vMerge/>
            <w:vAlign w:val="center"/>
          </w:tcPr>
          <w:p w14:paraId="66FE1933" w14:textId="77777777" w:rsidR="00C21B34" w:rsidRPr="00DC769B" w:rsidRDefault="00C21B34" w:rsidP="008107EC">
            <w:pPr>
              <w:keepNext/>
              <w:spacing w:line="360" w:lineRule="auto"/>
              <w:jc w:val="center"/>
              <w:rPr>
                <w:sz w:val="18"/>
                <w:szCs w:val="18"/>
                <w:lang w:val="en-GB"/>
              </w:rPr>
            </w:pPr>
          </w:p>
        </w:tc>
      </w:tr>
      <w:tr w:rsidR="00C21B34" w:rsidRPr="00DC769B" w14:paraId="44F5C859" w14:textId="77777777" w:rsidTr="008107EC">
        <w:trPr>
          <w:trHeight w:val="49"/>
        </w:trPr>
        <w:tc>
          <w:tcPr>
            <w:tcW w:w="1135" w:type="dxa"/>
            <w:vMerge/>
            <w:vAlign w:val="center"/>
          </w:tcPr>
          <w:p w14:paraId="1CAF86DC" w14:textId="77777777" w:rsidR="00C21B34" w:rsidRPr="00DC769B" w:rsidRDefault="00C21B34" w:rsidP="008107EC">
            <w:pPr>
              <w:spacing w:line="360" w:lineRule="auto"/>
              <w:jc w:val="center"/>
              <w:rPr>
                <w:sz w:val="18"/>
                <w:szCs w:val="18"/>
                <w:lang w:val="en-GB"/>
              </w:rPr>
            </w:pPr>
          </w:p>
        </w:tc>
        <w:tc>
          <w:tcPr>
            <w:tcW w:w="1417" w:type="dxa"/>
            <w:vMerge/>
            <w:vAlign w:val="center"/>
          </w:tcPr>
          <w:p w14:paraId="14D577E5" w14:textId="77777777" w:rsidR="00C21B34" w:rsidRPr="00DC769B" w:rsidRDefault="00C21B34" w:rsidP="008107EC">
            <w:pPr>
              <w:spacing w:line="360" w:lineRule="auto"/>
              <w:jc w:val="center"/>
              <w:rPr>
                <w:sz w:val="18"/>
                <w:szCs w:val="18"/>
                <w:lang w:val="en-GB"/>
              </w:rPr>
            </w:pPr>
          </w:p>
        </w:tc>
        <w:tc>
          <w:tcPr>
            <w:tcW w:w="2410" w:type="dxa"/>
            <w:vAlign w:val="center"/>
          </w:tcPr>
          <w:p w14:paraId="5C655B17" w14:textId="77777777" w:rsidR="00C21B34" w:rsidRPr="00DC769B" w:rsidRDefault="00C21B34" w:rsidP="008107EC">
            <w:pPr>
              <w:spacing w:line="360" w:lineRule="auto"/>
              <w:jc w:val="center"/>
              <w:rPr>
                <w:sz w:val="18"/>
                <w:szCs w:val="18"/>
                <w:lang w:val="en-GB"/>
              </w:rPr>
            </w:pPr>
            <w:r w:rsidRPr="00DC769B">
              <w:rPr>
                <w:sz w:val="18"/>
                <w:szCs w:val="18"/>
                <w:lang w:val="en-GB"/>
              </w:rPr>
              <w:t>80% - 90% Equity</w:t>
            </w:r>
          </w:p>
        </w:tc>
        <w:tc>
          <w:tcPr>
            <w:tcW w:w="851" w:type="dxa"/>
            <w:vAlign w:val="center"/>
          </w:tcPr>
          <w:p w14:paraId="37646576" w14:textId="77777777" w:rsidR="00C21B34" w:rsidRPr="00DC769B" w:rsidRDefault="00C21B34" w:rsidP="008107EC">
            <w:pPr>
              <w:spacing w:line="360" w:lineRule="auto"/>
              <w:jc w:val="center"/>
              <w:rPr>
                <w:sz w:val="18"/>
                <w:szCs w:val="18"/>
                <w:lang w:val="en-GB"/>
              </w:rPr>
            </w:pPr>
            <w:r w:rsidRPr="00DC769B">
              <w:rPr>
                <w:sz w:val="18"/>
                <w:szCs w:val="18"/>
                <w:lang w:val="en-GB"/>
              </w:rPr>
              <w:t>1388</w:t>
            </w:r>
          </w:p>
        </w:tc>
        <w:tc>
          <w:tcPr>
            <w:tcW w:w="1827" w:type="dxa"/>
            <w:vMerge/>
            <w:vAlign w:val="center"/>
          </w:tcPr>
          <w:p w14:paraId="21952D1F" w14:textId="77777777" w:rsidR="00C21B34" w:rsidRPr="00DC769B" w:rsidRDefault="00C21B34" w:rsidP="008107EC">
            <w:pPr>
              <w:spacing w:line="360" w:lineRule="auto"/>
              <w:jc w:val="center"/>
              <w:rPr>
                <w:sz w:val="18"/>
                <w:szCs w:val="18"/>
                <w:lang w:val="en-GB"/>
              </w:rPr>
            </w:pPr>
          </w:p>
        </w:tc>
        <w:tc>
          <w:tcPr>
            <w:tcW w:w="724" w:type="dxa"/>
            <w:vAlign w:val="center"/>
          </w:tcPr>
          <w:p w14:paraId="72F0BC26" w14:textId="77777777" w:rsidR="00C21B34" w:rsidRPr="00DC769B" w:rsidRDefault="00C21B34" w:rsidP="008107EC">
            <w:pPr>
              <w:spacing w:line="360" w:lineRule="auto"/>
              <w:jc w:val="center"/>
              <w:rPr>
                <w:sz w:val="18"/>
                <w:szCs w:val="18"/>
                <w:lang w:val="en-GB"/>
              </w:rPr>
            </w:pPr>
            <w:r w:rsidRPr="00DC769B">
              <w:rPr>
                <w:sz w:val="18"/>
                <w:szCs w:val="18"/>
                <w:lang w:val="en-GB"/>
              </w:rPr>
              <w:t>259</w:t>
            </w:r>
          </w:p>
        </w:tc>
        <w:tc>
          <w:tcPr>
            <w:tcW w:w="1276" w:type="dxa"/>
            <w:vMerge/>
            <w:vAlign w:val="center"/>
          </w:tcPr>
          <w:p w14:paraId="186EFF5C" w14:textId="77777777" w:rsidR="00C21B34" w:rsidRPr="00DC769B" w:rsidRDefault="00C21B34" w:rsidP="008107EC">
            <w:pPr>
              <w:spacing w:line="360" w:lineRule="auto"/>
              <w:jc w:val="center"/>
              <w:rPr>
                <w:sz w:val="18"/>
                <w:szCs w:val="18"/>
                <w:lang w:val="en-GB"/>
              </w:rPr>
            </w:pPr>
          </w:p>
        </w:tc>
        <w:tc>
          <w:tcPr>
            <w:tcW w:w="1134" w:type="dxa"/>
            <w:vMerge/>
            <w:vAlign w:val="center"/>
          </w:tcPr>
          <w:p w14:paraId="75472224" w14:textId="77777777" w:rsidR="00C21B34" w:rsidRPr="00DC769B" w:rsidRDefault="00C21B34" w:rsidP="008107EC">
            <w:pPr>
              <w:keepNext/>
              <w:spacing w:line="360" w:lineRule="auto"/>
              <w:jc w:val="center"/>
              <w:rPr>
                <w:sz w:val="18"/>
                <w:szCs w:val="18"/>
                <w:lang w:val="en-GB"/>
              </w:rPr>
            </w:pPr>
          </w:p>
        </w:tc>
      </w:tr>
      <w:tr w:rsidR="00C21B34" w:rsidRPr="00DC769B" w14:paraId="6CAB2BE5" w14:textId="77777777" w:rsidTr="008107EC">
        <w:trPr>
          <w:trHeight w:val="49"/>
        </w:trPr>
        <w:tc>
          <w:tcPr>
            <w:tcW w:w="1135" w:type="dxa"/>
            <w:vMerge/>
            <w:vAlign w:val="center"/>
          </w:tcPr>
          <w:p w14:paraId="2413CF2F" w14:textId="77777777" w:rsidR="00C21B34" w:rsidRPr="00DC769B" w:rsidRDefault="00C21B34" w:rsidP="008107EC">
            <w:pPr>
              <w:spacing w:line="360" w:lineRule="auto"/>
              <w:jc w:val="center"/>
              <w:rPr>
                <w:sz w:val="18"/>
                <w:szCs w:val="18"/>
                <w:lang w:val="en-GB"/>
              </w:rPr>
            </w:pPr>
          </w:p>
        </w:tc>
        <w:tc>
          <w:tcPr>
            <w:tcW w:w="1417" w:type="dxa"/>
            <w:vMerge/>
            <w:vAlign w:val="center"/>
          </w:tcPr>
          <w:p w14:paraId="26FFF12D" w14:textId="77777777" w:rsidR="00C21B34" w:rsidRPr="00DC769B" w:rsidRDefault="00C21B34" w:rsidP="008107EC">
            <w:pPr>
              <w:spacing w:line="360" w:lineRule="auto"/>
              <w:jc w:val="center"/>
              <w:rPr>
                <w:sz w:val="18"/>
                <w:szCs w:val="18"/>
                <w:lang w:val="en-GB"/>
              </w:rPr>
            </w:pPr>
          </w:p>
        </w:tc>
        <w:tc>
          <w:tcPr>
            <w:tcW w:w="2410" w:type="dxa"/>
            <w:vAlign w:val="center"/>
          </w:tcPr>
          <w:p w14:paraId="43D4208B" w14:textId="77777777" w:rsidR="00C21B34" w:rsidRPr="00DC769B" w:rsidRDefault="00C21B34" w:rsidP="008107EC">
            <w:pPr>
              <w:spacing w:line="360" w:lineRule="auto"/>
              <w:jc w:val="center"/>
              <w:rPr>
                <w:sz w:val="18"/>
                <w:szCs w:val="18"/>
                <w:lang w:val="en-GB"/>
              </w:rPr>
            </w:pPr>
            <w:r w:rsidRPr="00DC769B">
              <w:rPr>
                <w:sz w:val="18"/>
                <w:szCs w:val="18"/>
                <w:lang w:val="en-GB"/>
              </w:rPr>
              <w:t>90% - 100% Equity</w:t>
            </w:r>
          </w:p>
        </w:tc>
        <w:tc>
          <w:tcPr>
            <w:tcW w:w="851" w:type="dxa"/>
            <w:vAlign w:val="center"/>
          </w:tcPr>
          <w:p w14:paraId="3BF13C21" w14:textId="77777777" w:rsidR="00C21B34" w:rsidRPr="00DC769B" w:rsidRDefault="00C21B34" w:rsidP="008107EC">
            <w:pPr>
              <w:spacing w:line="360" w:lineRule="auto"/>
              <w:jc w:val="center"/>
              <w:rPr>
                <w:sz w:val="18"/>
                <w:szCs w:val="18"/>
                <w:lang w:val="en-GB"/>
              </w:rPr>
            </w:pPr>
            <w:r w:rsidRPr="00DC769B">
              <w:rPr>
                <w:sz w:val="18"/>
                <w:szCs w:val="18"/>
                <w:lang w:val="en-GB"/>
              </w:rPr>
              <w:t>5014</w:t>
            </w:r>
          </w:p>
        </w:tc>
        <w:tc>
          <w:tcPr>
            <w:tcW w:w="1827" w:type="dxa"/>
            <w:vMerge/>
            <w:vAlign w:val="center"/>
          </w:tcPr>
          <w:p w14:paraId="309C8A57" w14:textId="77777777" w:rsidR="00C21B34" w:rsidRPr="00DC769B" w:rsidRDefault="00C21B34" w:rsidP="008107EC">
            <w:pPr>
              <w:spacing w:line="360" w:lineRule="auto"/>
              <w:jc w:val="center"/>
              <w:rPr>
                <w:sz w:val="18"/>
                <w:szCs w:val="18"/>
                <w:lang w:val="en-GB"/>
              </w:rPr>
            </w:pPr>
          </w:p>
        </w:tc>
        <w:tc>
          <w:tcPr>
            <w:tcW w:w="724" w:type="dxa"/>
            <w:vAlign w:val="center"/>
          </w:tcPr>
          <w:p w14:paraId="007408F8" w14:textId="77777777" w:rsidR="00C21B34" w:rsidRPr="00DC769B" w:rsidRDefault="00C21B34" w:rsidP="008107EC">
            <w:pPr>
              <w:spacing w:line="360" w:lineRule="auto"/>
              <w:jc w:val="center"/>
              <w:rPr>
                <w:sz w:val="18"/>
                <w:szCs w:val="18"/>
                <w:lang w:val="en-GB"/>
              </w:rPr>
            </w:pPr>
            <w:r w:rsidRPr="00DC769B">
              <w:rPr>
                <w:sz w:val="18"/>
                <w:szCs w:val="18"/>
                <w:lang w:val="en-GB"/>
              </w:rPr>
              <w:t>988</w:t>
            </w:r>
          </w:p>
        </w:tc>
        <w:tc>
          <w:tcPr>
            <w:tcW w:w="1276" w:type="dxa"/>
            <w:vMerge/>
            <w:vAlign w:val="center"/>
          </w:tcPr>
          <w:p w14:paraId="7E88D201" w14:textId="77777777" w:rsidR="00C21B34" w:rsidRPr="00DC769B" w:rsidRDefault="00C21B34" w:rsidP="008107EC">
            <w:pPr>
              <w:spacing w:line="360" w:lineRule="auto"/>
              <w:jc w:val="center"/>
              <w:rPr>
                <w:sz w:val="18"/>
                <w:szCs w:val="18"/>
                <w:lang w:val="en-GB"/>
              </w:rPr>
            </w:pPr>
          </w:p>
        </w:tc>
        <w:tc>
          <w:tcPr>
            <w:tcW w:w="1134" w:type="dxa"/>
            <w:vMerge/>
            <w:vAlign w:val="center"/>
          </w:tcPr>
          <w:p w14:paraId="61ED6E3E" w14:textId="77777777" w:rsidR="00C21B34" w:rsidRPr="00DC769B" w:rsidRDefault="00C21B34" w:rsidP="008107EC">
            <w:pPr>
              <w:keepNext/>
              <w:spacing w:line="360" w:lineRule="auto"/>
              <w:jc w:val="center"/>
              <w:rPr>
                <w:sz w:val="18"/>
                <w:szCs w:val="18"/>
                <w:lang w:val="en-GB"/>
              </w:rPr>
            </w:pPr>
          </w:p>
        </w:tc>
      </w:tr>
      <w:tr w:rsidR="002D008B" w:rsidRPr="00DC769B" w14:paraId="375A63B1" w14:textId="77777777" w:rsidTr="008107EC">
        <w:trPr>
          <w:trHeight w:val="49"/>
        </w:trPr>
        <w:tc>
          <w:tcPr>
            <w:tcW w:w="1135" w:type="dxa"/>
            <w:vMerge/>
            <w:vAlign w:val="center"/>
          </w:tcPr>
          <w:p w14:paraId="7DBFD531" w14:textId="77777777" w:rsidR="002D008B" w:rsidRPr="00DC769B" w:rsidRDefault="002D008B" w:rsidP="008107EC">
            <w:pPr>
              <w:spacing w:line="360" w:lineRule="auto"/>
              <w:jc w:val="center"/>
              <w:rPr>
                <w:sz w:val="18"/>
                <w:szCs w:val="18"/>
                <w:lang w:val="en-GB"/>
              </w:rPr>
            </w:pPr>
          </w:p>
        </w:tc>
        <w:tc>
          <w:tcPr>
            <w:tcW w:w="1417" w:type="dxa"/>
            <w:vMerge w:val="restart"/>
            <w:vAlign w:val="center"/>
          </w:tcPr>
          <w:p w14:paraId="4362B34F" w14:textId="77777777" w:rsidR="002D008B" w:rsidRPr="00DC769B" w:rsidRDefault="002D008B" w:rsidP="008107EC">
            <w:pPr>
              <w:spacing w:line="360" w:lineRule="auto"/>
              <w:jc w:val="center"/>
              <w:rPr>
                <w:sz w:val="18"/>
                <w:szCs w:val="18"/>
                <w:lang w:val="en-GB"/>
              </w:rPr>
            </w:pPr>
            <w:r w:rsidRPr="00DC769B">
              <w:rPr>
                <w:sz w:val="18"/>
                <w:szCs w:val="18"/>
                <w:lang w:val="en-GB"/>
              </w:rPr>
              <w:t>15936</w:t>
            </w:r>
          </w:p>
        </w:tc>
        <w:tc>
          <w:tcPr>
            <w:tcW w:w="2410" w:type="dxa"/>
            <w:vAlign w:val="center"/>
          </w:tcPr>
          <w:p w14:paraId="3C85B6F0" w14:textId="77777777" w:rsidR="002D008B" w:rsidRPr="00DC769B" w:rsidRDefault="002D008B" w:rsidP="008107EC">
            <w:pPr>
              <w:spacing w:line="360" w:lineRule="auto"/>
              <w:jc w:val="center"/>
              <w:rPr>
                <w:sz w:val="18"/>
                <w:szCs w:val="18"/>
                <w:lang w:val="en-GB"/>
              </w:rPr>
            </w:pPr>
            <w:r w:rsidRPr="00DC769B">
              <w:rPr>
                <w:sz w:val="18"/>
                <w:szCs w:val="18"/>
                <w:lang w:val="en-GB"/>
              </w:rPr>
              <w:t>0% - 10% Equity</w:t>
            </w:r>
          </w:p>
        </w:tc>
        <w:tc>
          <w:tcPr>
            <w:tcW w:w="851" w:type="dxa"/>
            <w:vAlign w:val="center"/>
          </w:tcPr>
          <w:p w14:paraId="70C7FBD6" w14:textId="77777777" w:rsidR="002D008B" w:rsidRPr="00DC769B" w:rsidRDefault="002D008B" w:rsidP="008107EC">
            <w:pPr>
              <w:spacing w:line="360" w:lineRule="auto"/>
              <w:jc w:val="center"/>
              <w:rPr>
                <w:sz w:val="18"/>
                <w:szCs w:val="18"/>
                <w:lang w:val="en-GB"/>
              </w:rPr>
            </w:pPr>
            <w:r w:rsidRPr="00DC769B">
              <w:rPr>
                <w:sz w:val="18"/>
                <w:szCs w:val="18"/>
                <w:lang w:val="en-GB"/>
              </w:rPr>
              <w:t>1530</w:t>
            </w:r>
          </w:p>
        </w:tc>
        <w:tc>
          <w:tcPr>
            <w:tcW w:w="1827" w:type="dxa"/>
            <w:vMerge w:val="restart"/>
            <w:vAlign w:val="center"/>
          </w:tcPr>
          <w:p w14:paraId="43153B1A" w14:textId="77777777" w:rsidR="002D008B" w:rsidRPr="00DC769B" w:rsidRDefault="002D008B" w:rsidP="008107EC">
            <w:pPr>
              <w:spacing w:line="360" w:lineRule="auto"/>
              <w:jc w:val="center"/>
              <w:rPr>
                <w:sz w:val="18"/>
                <w:szCs w:val="18"/>
                <w:lang w:val="en-GB"/>
              </w:rPr>
            </w:pPr>
            <w:r w:rsidRPr="00DC769B">
              <w:rPr>
                <w:sz w:val="18"/>
                <w:szCs w:val="18"/>
                <w:lang w:val="en-GB"/>
              </w:rPr>
              <w:t>Restatements</w:t>
            </w:r>
          </w:p>
        </w:tc>
        <w:tc>
          <w:tcPr>
            <w:tcW w:w="724" w:type="dxa"/>
            <w:vAlign w:val="center"/>
          </w:tcPr>
          <w:p w14:paraId="20891FC0" w14:textId="77777777" w:rsidR="002D008B" w:rsidRPr="00DC769B" w:rsidRDefault="002D008B" w:rsidP="008107EC">
            <w:pPr>
              <w:spacing w:line="360" w:lineRule="auto"/>
              <w:jc w:val="center"/>
              <w:rPr>
                <w:sz w:val="18"/>
                <w:szCs w:val="18"/>
                <w:lang w:val="en-GB"/>
              </w:rPr>
            </w:pPr>
            <w:r w:rsidRPr="00DC769B">
              <w:rPr>
                <w:sz w:val="18"/>
                <w:szCs w:val="18"/>
                <w:lang w:val="en-GB"/>
              </w:rPr>
              <w:t>81</w:t>
            </w:r>
          </w:p>
        </w:tc>
        <w:tc>
          <w:tcPr>
            <w:tcW w:w="1276" w:type="dxa"/>
            <w:vMerge w:val="restart"/>
            <w:vAlign w:val="center"/>
          </w:tcPr>
          <w:p w14:paraId="4793D148" w14:textId="5AC1173D" w:rsidR="002D008B" w:rsidRPr="00DC769B" w:rsidRDefault="002D008B" w:rsidP="008107EC">
            <w:pPr>
              <w:spacing w:line="360" w:lineRule="auto"/>
              <w:jc w:val="center"/>
              <w:rPr>
                <w:sz w:val="18"/>
                <w:szCs w:val="18"/>
                <w:lang w:val="en-GB"/>
              </w:rPr>
            </w:pPr>
            <w:r w:rsidRPr="00DC769B">
              <w:rPr>
                <w:sz w:val="18"/>
                <w:szCs w:val="18"/>
                <w:lang w:val="en-GB"/>
              </w:rPr>
              <w:t>2314</w:t>
            </w:r>
          </w:p>
        </w:tc>
        <w:tc>
          <w:tcPr>
            <w:tcW w:w="1134" w:type="dxa"/>
            <w:vMerge w:val="restart"/>
            <w:vAlign w:val="center"/>
          </w:tcPr>
          <w:p w14:paraId="0CD08A68" w14:textId="77777777" w:rsidR="002D008B" w:rsidRPr="00DC769B" w:rsidRDefault="002D008B" w:rsidP="008107EC">
            <w:pPr>
              <w:keepNext/>
              <w:spacing w:line="360" w:lineRule="auto"/>
              <w:jc w:val="center"/>
              <w:rPr>
                <w:sz w:val="18"/>
                <w:szCs w:val="18"/>
                <w:lang w:val="en-GB"/>
              </w:rPr>
            </w:pPr>
            <w:r w:rsidRPr="00DC769B">
              <w:rPr>
                <w:sz w:val="18"/>
                <w:szCs w:val="18"/>
                <w:lang w:val="en-GB"/>
              </w:rPr>
              <w:t>2006-2014</w:t>
            </w:r>
          </w:p>
        </w:tc>
      </w:tr>
      <w:tr w:rsidR="002D008B" w:rsidRPr="00DC769B" w14:paraId="7E9237E2" w14:textId="77777777" w:rsidTr="008107EC">
        <w:tc>
          <w:tcPr>
            <w:tcW w:w="1135" w:type="dxa"/>
            <w:vMerge/>
            <w:vAlign w:val="center"/>
          </w:tcPr>
          <w:p w14:paraId="21AF41B6" w14:textId="77777777" w:rsidR="002D008B" w:rsidRPr="00DC769B" w:rsidRDefault="002D008B" w:rsidP="008107EC">
            <w:pPr>
              <w:spacing w:line="360" w:lineRule="auto"/>
              <w:jc w:val="center"/>
              <w:rPr>
                <w:sz w:val="18"/>
                <w:szCs w:val="18"/>
                <w:lang w:val="en-GB"/>
              </w:rPr>
            </w:pPr>
          </w:p>
        </w:tc>
        <w:tc>
          <w:tcPr>
            <w:tcW w:w="1417" w:type="dxa"/>
            <w:vMerge/>
            <w:vAlign w:val="center"/>
          </w:tcPr>
          <w:p w14:paraId="5B78B6BC" w14:textId="77777777" w:rsidR="002D008B" w:rsidRPr="00DC769B" w:rsidRDefault="002D008B" w:rsidP="008107EC">
            <w:pPr>
              <w:spacing w:line="360" w:lineRule="auto"/>
              <w:jc w:val="center"/>
              <w:rPr>
                <w:sz w:val="18"/>
                <w:szCs w:val="18"/>
                <w:lang w:val="en-GB"/>
              </w:rPr>
            </w:pPr>
          </w:p>
        </w:tc>
        <w:tc>
          <w:tcPr>
            <w:tcW w:w="2410" w:type="dxa"/>
            <w:vAlign w:val="center"/>
          </w:tcPr>
          <w:p w14:paraId="41073F69" w14:textId="77777777" w:rsidR="002D008B" w:rsidRPr="00DC769B" w:rsidRDefault="002D008B" w:rsidP="008107EC">
            <w:pPr>
              <w:spacing w:line="360" w:lineRule="auto"/>
              <w:jc w:val="center"/>
              <w:rPr>
                <w:sz w:val="18"/>
                <w:szCs w:val="18"/>
                <w:lang w:val="en-GB"/>
              </w:rPr>
            </w:pPr>
            <w:r w:rsidRPr="00DC769B">
              <w:rPr>
                <w:sz w:val="18"/>
                <w:szCs w:val="18"/>
                <w:lang w:val="en-GB"/>
              </w:rPr>
              <w:t>10% - 20% Equity</w:t>
            </w:r>
          </w:p>
        </w:tc>
        <w:tc>
          <w:tcPr>
            <w:tcW w:w="851" w:type="dxa"/>
            <w:vAlign w:val="center"/>
          </w:tcPr>
          <w:p w14:paraId="4E187550" w14:textId="77777777" w:rsidR="002D008B" w:rsidRPr="00DC769B" w:rsidRDefault="002D008B" w:rsidP="008107EC">
            <w:pPr>
              <w:spacing w:line="360" w:lineRule="auto"/>
              <w:jc w:val="center"/>
              <w:rPr>
                <w:sz w:val="18"/>
                <w:szCs w:val="18"/>
                <w:lang w:val="en-GB"/>
              </w:rPr>
            </w:pPr>
            <w:r w:rsidRPr="00DC769B">
              <w:rPr>
                <w:sz w:val="18"/>
                <w:szCs w:val="18"/>
                <w:lang w:val="en-GB"/>
              </w:rPr>
              <w:t>551</w:t>
            </w:r>
          </w:p>
        </w:tc>
        <w:tc>
          <w:tcPr>
            <w:tcW w:w="1827" w:type="dxa"/>
            <w:vMerge/>
            <w:vAlign w:val="center"/>
          </w:tcPr>
          <w:p w14:paraId="1B59538F" w14:textId="77777777" w:rsidR="002D008B" w:rsidRPr="00DC769B" w:rsidRDefault="002D008B" w:rsidP="008107EC">
            <w:pPr>
              <w:spacing w:line="360" w:lineRule="auto"/>
              <w:jc w:val="center"/>
              <w:rPr>
                <w:sz w:val="18"/>
                <w:szCs w:val="18"/>
                <w:lang w:val="en-GB"/>
              </w:rPr>
            </w:pPr>
          </w:p>
        </w:tc>
        <w:tc>
          <w:tcPr>
            <w:tcW w:w="724" w:type="dxa"/>
            <w:vAlign w:val="center"/>
          </w:tcPr>
          <w:p w14:paraId="4CE75217" w14:textId="77777777" w:rsidR="002D008B" w:rsidRPr="00DC769B" w:rsidRDefault="002D008B" w:rsidP="008107EC">
            <w:pPr>
              <w:spacing w:line="360" w:lineRule="auto"/>
              <w:jc w:val="center"/>
              <w:rPr>
                <w:sz w:val="18"/>
                <w:szCs w:val="18"/>
                <w:lang w:val="en-GB"/>
              </w:rPr>
            </w:pPr>
            <w:r w:rsidRPr="00DC769B">
              <w:rPr>
                <w:sz w:val="18"/>
                <w:szCs w:val="18"/>
                <w:lang w:val="en-GB"/>
              </w:rPr>
              <w:t>30</w:t>
            </w:r>
          </w:p>
        </w:tc>
        <w:tc>
          <w:tcPr>
            <w:tcW w:w="1276" w:type="dxa"/>
            <w:vMerge/>
            <w:vAlign w:val="center"/>
          </w:tcPr>
          <w:p w14:paraId="61451E96" w14:textId="77777777" w:rsidR="002D008B" w:rsidRPr="00DC769B" w:rsidRDefault="002D008B" w:rsidP="008107EC">
            <w:pPr>
              <w:spacing w:line="360" w:lineRule="auto"/>
              <w:jc w:val="center"/>
              <w:rPr>
                <w:sz w:val="18"/>
                <w:szCs w:val="18"/>
                <w:lang w:val="en-GB"/>
              </w:rPr>
            </w:pPr>
          </w:p>
        </w:tc>
        <w:tc>
          <w:tcPr>
            <w:tcW w:w="1134" w:type="dxa"/>
            <w:vMerge/>
            <w:vAlign w:val="center"/>
          </w:tcPr>
          <w:p w14:paraId="33B33F5A" w14:textId="77777777" w:rsidR="002D008B" w:rsidRPr="00DC769B" w:rsidRDefault="002D008B" w:rsidP="008107EC">
            <w:pPr>
              <w:keepNext/>
              <w:spacing w:line="360" w:lineRule="auto"/>
              <w:jc w:val="center"/>
              <w:rPr>
                <w:sz w:val="18"/>
                <w:szCs w:val="18"/>
                <w:lang w:val="en-GB"/>
              </w:rPr>
            </w:pPr>
          </w:p>
        </w:tc>
      </w:tr>
      <w:tr w:rsidR="002D008B" w:rsidRPr="00DC769B" w14:paraId="596D321C" w14:textId="77777777" w:rsidTr="008107EC">
        <w:tc>
          <w:tcPr>
            <w:tcW w:w="1135" w:type="dxa"/>
            <w:vMerge/>
            <w:vAlign w:val="center"/>
          </w:tcPr>
          <w:p w14:paraId="4A76D149" w14:textId="77777777" w:rsidR="002D008B" w:rsidRPr="00DC769B" w:rsidRDefault="002D008B" w:rsidP="008107EC">
            <w:pPr>
              <w:spacing w:line="360" w:lineRule="auto"/>
              <w:jc w:val="center"/>
              <w:rPr>
                <w:sz w:val="18"/>
                <w:szCs w:val="18"/>
                <w:lang w:val="en-GB"/>
              </w:rPr>
            </w:pPr>
          </w:p>
        </w:tc>
        <w:tc>
          <w:tcPr>
            <w:tcW w:w="1417" w:type="dxa"/>
            <w:vMerge/>
            <w:vAlign w:val="center"/>
          </w:tcPr>
          <w:p w14:paraId="4B47C4D8" w14:textId="77777777" w:rsidR="002D008B" w:rsidRPr="00DC769B" w:rsidRDefault="002D008B" w:rsidP="008107EC">
            <w:pPr>
              <w:spacing w:line="360" w:lineRule="auto"/>
              <w:jc w:val="center"/>
              <w:rPr>
                <w:sz w:val="18"/>
                <w:szCs w:val="18"/>
                <w:lang w:val="en-GB"/>
              </w:rPr>
            </w:pPr>
          </w:p>
        </w:tc>
        <w:tc>
          <w:tcPr>
            <w:tcW w:w="2410" w:type="dxa"/>
            <w:vAlign w:val="center"/>
          </w:tcPr>
          <w:p w14:paraId="1B577ED1" w14:textId="77777777" w:rsidR="002D008B" w:rsidRPr="00DC769B" w:rsidRDefault="002D008B" w:rsidP="008107EC">
            <w:pPr>
              <w:spacing w:line="360" w:lineRule="auto"/>
              <w:jc w:val="center"/>
              <w:rPr>
                <w:sz w:val="18"/>
                <w:szCs w:val="18"/>
                <w:lang w:val="en-GB"/>
              </w:rPr>
            </w:pPr>
            <w:r w:rsidRPr="00DC769B">
              <w:rPr>
                <w:sz w:val="18"/>
                <w:szCs w:val="18"/>
                <w:lang w:val="en-GB"/>
              </w:rPr>
              <w:t>20% - 30% Equity</w:t>
            </w:r>
          </w:p>
        </w:tc>
        <w:tc>
          <w:tcPr>
            <w:tcW w:w="851" w:type="dxa"/>
            <w:vAlign w:val="center"/>
          </w:tcPr>
          <w:p w14:paraId="06A8E46E" w14:textId="77777777" w:rsidR="002D008B" w:rsidRPr="00DC769B" w:rsidRDefault="002D008B" w:rsidP="008107EC">
            <w:pPr>
              <w:spacing w:line="360" w:lineRule="auto"/>
              <w:jc w:val="center"/>
              <w:rPr>
                <w:sz w:val="18"/>
                <w:szCs w:val="18"/>
                <w:lang w:val="en-GB"/>
              </w:rPr>
            </w:pPr>
            <w:r w:rsidRPr="00DC769B">
              <w:rPr>
                <w:sz w:val="18"/>
                <w:szCs w:val="18"/>
                <w:lang w:val="en-GB"/>
              </w:rPr>
              <w:t>772</w:t>
            </w:r>
          </w:p>
        </w:tc>
        <w:tc>
          <w:tcPr>
            <w:tcW w:w="1827" w:type="dxa"/>
            <w:vMerge/>
            <w:vAlign w:val="center"/>
          </w:tcPr>
          <w:p w14:paraId="185014E6" w14:textId="77777777" w:rsidR="002D008B" w:rsidRPr="00DC769B" w:rsidRDefault="002D008B" w:rsidP="008107EC">
            <w:pPr>
              <w:spacing w:line="360" w:lineRule="auto"/>
              <w:jc w:val="center"/>
              <w:rPr>
                <w:sz w:val="18"/>
                <w:szCs w:val="18"/>
                <w:lang w:val="en-GB"/>
              </w:rPr>
            </w:pPr>
          </w:p>
        </w:tc>
        <w:tc>
          <w:tcPr>
            <w:tcW w:w="724" w:type="dxa"/>
            <w:vAlign w:val="center"/>
          </w:tcPr>
          <w:p w14:paraId="533E733A" w14:textId="77777777" w:rsidR="002D008B" w:rsidRPr="00DC769B" w:rsidRDefault="002D008B" w:rsidP="008107EC">
            <w:pPr>
              <w:spacing w:line="360" w:lineRule="auto"/>
              <w:jc w:val="center"/>
              <w:rPr>
                <w:sz w:val="18"/>
                <w:szCs w:val="18"/>
                <w:lang w:val="en-GB"/>
              </w:rPr>
            </w:pPr>
            <w:r w:rsidRPr="00DC769B">
              <w:rPr>
                <w:sz w:val="18"/>
                <w:szCs w:val="18"/>
                <w:lang w:val="en-GB"/>
              </w:rPr>
              <w:t>48</w:t>
            </w:r>
          </w:p>
        </w:tc>
        <w:tc>
          <w:tcPr>
            <w:tcW w:w="1276" w:type="dxa"/>
            <w:vMerge/>
            <w:vAlign w:val="center"/>
          </w:tcPr>
          <w:p w14:paraId="1DD75057" w14:textId="77777777" w:rsidR="002D008B" w:rsidRPr="00DC769B" w:rsidRDefault="002D008B" w:rsidP="008107EC">
            <w:pPr>
              <w:spacing w:line="360" w:lineRule="auto"/>
              <w:jc w:val="center"/>
              <w:rPr>
                <w:sz w:val="18"/>
                <w:szCs w:val="18"/>
                <w:lang w:val="en-GB"/>
              </w:rPr>
            </w:pPr>
          </w:p>
        </w:tc>
        <w:tc>
          <w:tcPr>
            <w:tcW w:w="1134" w:type="dxa"/>
            <w:vMerge/>
            <w:vAlign w:val="center"/>
          </w:tcPr>
          <w:p w14:paraId="6831CC08" w14:textId="77777777" w:rsidR="002D008B" w:rsidRPr="00DC769B" w:rsidRDefault="002D008B" w:rsidP="008107EC">
            <w:pPr>
              <w:keepNext/>
              <w:spacing w:line="360" w:lineRule="auto"/>
              <w:jc w:val="center"/>
              <w:rPr>
                <w:sz w:val="18"/>
                <w:szCs w:val="18"/>
                <w:lang w:val="en-GB"/>
              </w:rPr>
            </w:pPr>
          </w:p>
        </w:tc>
      </w:tr>
      <w:tr w:rsidR="002D008B" w:rsidRPr="00DC769B" w14:paraId="75E8A79D" w14:textId="77777777" w:rsidTr="008107EC">
        <w:tc>
          <w:tcPr>
            <w:tcW w:w="1135" w:type="dxa"/>
            <w:vMerge/>
            <w:vAlign w:val="center"/>
          </w:tcPr>
          <w:p w14:paraId="4D2848E4" w14:textId="77777777" w:rsidR="002D008B" w:rsidRPr="00DC769B" w:rsidRDefault="002D008B" w:rsidP="008107EC">
            <w:pPr>
              <w:spacing w:line="360" w:lineRule="auto"/>
              <w:jc w:val="center"/>
              <w:rPr>
                <w:sz w:val="18"/>
                <w:szCs w:val="18"/>
                <w:lang w:val="en-GB"/>
              </w:rPr>
            </w:pPr>
          </w:p>
        </w:tc>
        <w:tc>
          <w:tcPr>
            <w:tcW w:w="1417" w:type="dxa"/>
            <w:vMerge/>
            <w:vAlign w:val="center"/>
          </w:tcPr>
          <w:p w14:paraId="1D81422D" w14:textId="77777777" w:rsidR="002D008B" w:rsidRPr="00DC769B" w:rsidRDefault="002D008B" w:rsidP="008107EC">
            <w:pPr>
              <w:spacing w:line="360" w:lineRule="auto"/>
              <w:jc w:val="center"/>
              <w:rPr>
                <w:sz w:val="18"/>
                <w:szCs w:val="18"/>
                <w:lang w:val="en-GB"/>
              </w:rPr>
            </w:pPr>
          </w:p>
        </w:tc>
        <w:tc>
          <w:tcPr>
            <w:tcW w:w="2410" w:type="dxa"/>
            <w:vAlign w:val="center"/>
          </w:tcPr>
          <w:p w14:paraId="02D468AE" w14:textId="77777777" w:rsidR="002D008B" w:rsidRPr="00DC769B" w:rsidRDefault="002D008B" w:rsidP="008107EC">
            <w:pPr>
              <w:spacing w:line="360" w:lineRule="auto"/>
              <w:jc w:val="center"/>
              <w:rPr>
                <w:sz w:val="18"/>
                <w:szCs w:val="18"/>
                <w:lang w:val="en-GB"/>
              </w:rPr>
            </w:pPr>
            <w:r w:rsidRPr="00DC769B">
              <w:rPr>
                <w:sz w:val="18"/>
                <w:szCs w:val="18"/>
                <w:lang w:val="en-GB"/>
              </w:rPr>
              <w:t>30% - 40% Equity</w:t>
            </w:r>
          </w:p>
        </w:tc>
        <w:tc>
          <w:tcPr>
            <w:tcW w:w="851" w:type="dxa"/>
            <w:vAlign w:val="center"/>
          </w:tcPr>
          <w:p w14:paraId="29C094C2" w14:textId="77777777" w:rsidR="002D008B" w:rsidRPr="00DC769B" w:rsidRDefault="002D008B" w:rsidP="008107EC">
            <w:pPr>
              <w:spacing w:line="360" w:lineRule="auto"/>
              <w:jc w:val="center"/>
              <w:rPr>
                <w:sz w:val="18"/>
                <w:szCs w:val="18"/>
                <w:lang w:val="en-GB"/>
              </w:rPr>
            </w:pPr>
            <w:r w:rsidRPr="00DC769B">
              <w:rPr>
                <w:sz w:val="18"/>
                <w:szCs w:val="18"/>
                <w:lang w:val="en-GB"/>
              </w:rPr>
              <w:t>933</w:t>
            </w:r>
          </w:p>
        </w:tc>
        <w:tc>
          <w:tcPr>
            <w:tcW w:w="1827" w:type="dxa"/>
            <w:vMerge/>
            <w:vAlign w:val="center"/>
          </w:tcPr>
          <w:p w14:paraId="5C179D23" w14:textId="77777777" w:rsidR="002D008B" w:rsidRPr="00DC769B" w:rsidRDefault="002D008B" w:rsidP="008107EC">
            <w:pPr>
              <w:spacing w:line="360" w:lineRule="auto"/>
              <w:jc w:val="center"/>
              <w:rPr>
                <w:sz w:val="18"/>
                <w:szCs w:val="18"/>
                <w:lang w:val="en-GB"/>
              </w:rPr>
            </w:pPr>
          </w:p>
        </w:tc>
        <w:tc>
          <w:tcPr>
            <w:tcW w:w="724" w:type="dxa"/>
            <w:vAlign w:val="center"/>
          </w:tcPr>
          <w:p w14:paraId="10F41D36" w14:textId="77777777" w:rsidR="002D008B" w:rsidRPr="00DC769B" w:rsidRDefault="002D008B" w:rsidP="008107EC">
            <w:pPr>
              <w:spacing w:line="360" w:lineRule="auto"/>
              <w:jc w:val="center"/>
              <w:rPr>
                <w:sz w:val="18"/>
                <w:szCs w:val="18"/>
                <w:lang w:val="en-GB"/>
              </w:rPr>
            </w:pPr>
            <w:r w:rsidRPr="00DC769B">
              <w:rPr>
                <w:sz w:val="18"/>
                <w:szCs w:val="18"/>
                <w:lang w:val="en-GB"/>
              </w:rPr>
              <w:t>38</w:t>
            </w:r>
          </w:p>
        </w:tc>
        <w:tc>
          <w:tcPr>
            <w:tcW w:w="1276" w:type="dxa"/>
            <w:vMerge/>
            <w:vAlign w:val="center"/>
          </w:tcPr>
          <w:p w14:paraId="00115DC3" w14:textId="77777777" w:rsidR="002D008B" w:rsidRPr="00DC769B" w:rsidRDefault="002D008B" w:rsidP="008107EC">
            <w:pPr>
              <w:spacing w:line="360" w:lineRule="auto"/>
              <w:jc w:val="center"/>
              <w:rPr>
                <w:sz w:val="18"/>
                <w:szCs w:val="18"/>
                <w:lang w:val="en-GB"/>
              </w:rPr>
            </w:pPr>
          </w:p>
        </w:tc>
        <w:tc>
          <w:tcPr>
            <w:tcW w:w="1134" w:type="dxa"/>
            <w:vMerge/>
            <w:vAlign w:val="center"/>
          </w:tcPr>
          <w:p w14:paraId="3546BDB5" w14:textId="77777777" w:rsidR="002D008B" w:rsidRPr="00DC769B" w:rsidRDefault="002D008B" w:rsidP="008107EC">
            <w:pPr>
              <w:keepNext/>
              <w:spacing w:line="360" w:lineRule="auto"/>
              <w:jc w:val="center"/>
              <w:rPr>
                <w:sz w:val="18"/>
                <w:szCs w:val="18"/>
                <w:lang w:val="en-GB"/>
              </w:rPr>
            </w:pPr>
          </w:p>
        </w:tc>
      </w:tr>
      <w:tr w:rsidR="002D008B" w:rsidRPr="00DC769B" w14:paraId="227E4908" w14:textId="77777777" w:rsidTr="008107EC">
        <w:tc>
          <w:tcPr>
            <w:tcW w:w="1135" w:type="dxa"/>
            <w:vMerge/>
            <w:vAlign w:val="center"/>
          </w:tcPr>
          <w:p w14:paraId="797317DC" w14:textId="77777777" w:rsidR="002D008B" w:rsidRPr="00DC769B" w:rsidRDefault="002D008B" w:rsidP="008107EC">
            <w:pPr>
              <w:spacing w:line="360" w:lineRule="auto"/>
              <w:jc w:val="center"/>
              <w:rPr>
                <w:sz w:val="18"/>
                <w:szCs w:val="18"/>
                <w:lang w:val="en-GB"/>
              </w:rPr>
            </w:pPr>
          </w:p>
        </w:tc>
        <w:tc>
          <w:tcPr>
            <w:tcW w:w="1417" w:type="dxa"/>
            <w:vMerge/>
            <w:vAlign w:val="center"/>
          </w:tcPr>
          <w:p w14:paraId="4F674D6E" w14:textId="77777777" w:rsidR="002D008B" w:rsidRPr="00DC769B" w:rsidRDefault="002D008B" w:rsidP="008107EC">
            <w:pPr>
              <w:spacing w:line="360" w:lineRule="auto"/>
              <w:jc w:val="center"/>
              <w:rPr>
                <w:sz w:val="18"/>
                <w:szCs w:val="18"/>
                <w:lang w:val="en-GB"/>
              </w:rPr>
            </w:pPr>
          </w:p>
        </w:tc>
        <w:tc>
          <w:tcPr>
            <w:tcW w:w="2410" w:type="dxa"/>
            <w:vAlign w:val="center"/>
          </w:tcPr>
          <w:p w14:paraId="49124E33" w14:textId="77777777" w:rsidR="002D008B" w:rsidRPr="00DC769B" w:rsidRDefault="002D008B" w:rsidP="008107EC">
            <w:pPr>
              <w:spacing w:line="360" w:lineRule="auto"/>
              <w:jc w:val="center"/>
              <w:rPr>
                <w:sz w:val="18"/>
                <w:szCs w:val="18"/>
                <w:lang w:val="en-GB"/>
              </w:rPr>
            </w:pPr>
            <w:r w:rsidRPr="00DC769B">
              <w:rPr>
                <w:sz w:val="18"/>
                <w:szCs w:val="18"/>
                <w:lang w:val="en-GB"/>
              </w:rPr>
              <w:t>40% - 50% Equity</w:t>
            </w:r>
          </w:p>
        </w:tc>
        <w:tc>
          <w:tcPr>
            <w:tcW w:w="851" w:type="dxa"/>
            <w:vAlign w:val="center"/>
          </w:tcPr>
          <w:p w14:paraId="5E4EE12D" w14:textId="77777777" w:rsidR="002D008B" w:rsidRPr="00DC769B" w:rsidRDefault="002D008B" w:rsidP="008107EC">
            <w:pPr>
              <w:spacing w:line="360" w:lineRule="auto"/>
              <w:jc w:val="center"/>
              <w:rPr>
                <w:sz w:val="18"/>
                <w:szCs w:val="18"/>
                <w:lang w:val="en-GB"/>
              </w:rPr>
            </w:pPr>
            <w:r w:rsidRPr="00DC769B">
              <w:rPr>
                <w:sz w:val="18"/>
                <w:szCs w:val="18"/>
                <w:lang w:val="en-GB"/>
              </w:rPr>
              <w:t>1086</w:t>
            </w:r>
          </w:p>
        </w:tc>
        <w:tc>
          <w:tcPr>
            <w:tcW w:w="1827" w:type="dxa"/>
            <w:vMerge/>
            <w:vAlign w:val="center"/>
          </w:tcPr>
          <w:p w14:paraId="132175B5" w14:textId="77777777" w:rsidR="002D008B" w:rsidRPr="00DC769B" w:rsidRDefault="002D008B" w:rsidP="008107EC">
            <w:pPr>
              <w:spacing w:line="360" w:lineRule="auto"/>
              <w:jc w:val="center"/>
              <w:rPr>
                <w:sz w:val="18"/>
                <w:szCs w:val="18"/>
                <w:lang w:val="en-GB"/>
              </w:rPr>
            </w:pPr>
          </w:p>
        </w:tc>
        <w:tc>
          <w:tcPr>
            <w:tcW w:w="724" w:type="dxa"/>
            <w:vAlign w:val="center"/>
          </w:tcPr>
          <w:p w14:paraId="05AD6BFC" w14:textId="77777777" w:rsidR="002D008B" w:rsidRPr="00DC769B" w:rsidRDefault="002D008B" w:rsidP="008107EC">
            <w:pPr>
              <w:spacing w:line="360" w:lineRule="auto"/>
              <w:jc w:val="center"/>
              <w:rPr>
                <w:sz w:val="18"/>
                <w:szCs w:val="18"/>
                <w:lang w:val="en-GB"/>
              </w:rPr>
            </w:pPr>
            <w:r w:rsidRPr="00DC769B">
              <w:rPr>
                <w:sz w:val="18"/>
                <w:szCs w:val="18"/>
                <w:lang w:val="en-GB"/>
              </w:rPr>
              <w:t>53</w:t>
            </w:r>
          </w:p>
        </w:tc>
        <w:tc>
          <w:tcPr>
            <w:tcW w:w="1276" w:type="dxa"/>
            <w:vMerge/>
            <w:vAlign w:val="center"/>
          </w:tcPr>
          <w:p w14:paraId="6914641B" w14:textId="77777777" w:rsidR="002D008B" w:rsidRPr="00DC769B" w:rsidRDefault="002D008B" w:rsidP="008107EC">
            <w:pPr>
              <w:spacing w:line="360" w:lineRule="auto"/>
              <w:jc w:val="center"/>
              <w:rPr>
                <w:sz w:val="18"/>
                <w:szCs w:val="18"/>
                <w:lang w:val="en-GB"/>
              </w:rPr>
            </w:pPr>
          </w:p>
        </w:tc>
        <w:tc>
          <w:tcPr>
            <w:tcW w:w="1134" w:type="dxa"/>
            <w:vMerge/>
            <w:vAlign w:val="center"/>
          </w:tcPr>
          <w:p w14:paraId="4E515D8A" w14:textId="77777777" w:rsidR="002D008B" w:rsidRPr="00DC769B" w:rsidRDefault="002D008B" w:rsidP="008107EC">
            <w:pPr>
              <w:keepNext/>
              <w:spacing w:line="360" w:lineRule="auto"/>
              <w:jc w:val="center"/>
              <w:rPr>
                <w:sz w:val="18"/>
                <w:szCs w:val="18"/>
                <w:lang w:val="en-GB"/>
              </w:rPr>
            </w:pPr>
          </w:p>
        </w:tc>
      </w:tr>
      <w:tr w:rsidR="002D008B" w:rsidRPr="00DC769B" w14:paraId="53500BF0" w14:textId="77777777" w:rsidTr="008107EC">
        <w:tc>
          <w:tcPr>
            <w:tcW w:w="1135" w:type="dxa"/>
            <w:vMerge/>
            <w:vAlign w:val="center"/>
          </w:tcPr>
          <w:p w14:paraId="61C47FD6" w14:textId="77777777" w:rsidR="002D008B" w:rsidRPr="00DC769B" w:rsidRDefault="002D008B" w:rsidP="008107EC">
            <w:pPr>
              <w:spacing w:line="360" w:lineRule="auto"/>
              <w:jc w:val="center"/>
              <w:rPr>
                <w:sz w:val="18"/>
                <w:szCs w:val="18"/>
                <w:lang w:val="en-GB"/>
              </w:rPr>
            </w:pPr>
          </w:p>
        </w:tc>
        <w:tc>
          <w:tcPr>
            <w:tcW w:w="1417" w:type="dxa"/>
            <w:vMerge/>
            <w:vAlign w:val="center"/>
          </w:tcPr>
          <w:p w14:paraId="4A691CF8" w14:textId="77777777" w:rsidR="002D008B" w:rsidRPr="00DC769B" w:rsidRDefault="002D008B" w:rsidP="008107EC">
            <w:pPr>
              <w:spacing w:line="360" w:lineRule="auto"/>
              <w:jc w:val="center"/>
              <w:rPr>
                <w:sz w:val="18"/>
                <w:szCs w:val="18"/>
                <w:lang w:val="en-GB"/>
              </w:rPr>
            </w:pPr>
          </w:p>
        </w:tc>
        <w:tc>
          <w:tcPr>
            <w:tcW w:w="2410" w:type="dxa"/>
            <w:vAlign w:val="center"/>
          </w:tcPr>
          <w:p w14:paraId="3D8922F8" w14:textId="77777777" w:rsidR="002D008B" w:rsidRPr="00DC769B" w:rsidRDefault="002D008B" w:rsidP="008107EC">
            <w:pPr>
              <w:spacing w:line="360" w:lineRule="auto"/>
              <w:jc w:val="center"/>
              <w:rPr>
                <w:sz w:val="18"/>
                <w:szCs w:val="18"/>
                <w:lang w:val="en-GB"/>
              </w:rPr>
            </w:pPr>
            <w:r w:rsidRPr="00DC769B">
              <w:rPr>
                <w:sz w:val="18"/>
                <w:szCs w:val="18"/>
                <w:lang w:val="en-GB"/>
              </w:rPr>
              <w:t>50% - 60% Equity</w:t>
            </w:r>
          </w:p>
        </w:tc>
        <w:tc>
          <w:tcPr>
            <w:tcW w:w="851" w:type="dxa"/>
            <w:vAlign w:val="center"/>
          </w:tcPr>
          <w:p w14:paraId="510F6BDE" w14:textId="77777777" w:rsidR="002D008B" w:rsidRPr="00DC769B" w:rsidRDefault="002D008B" w:rsidP="008107EC">
            <w:pPr>
              <w:spacing w:line="360" w:lineRule="auto"/>
              <w:jc w:val="center"/>
              <w:rPr>
                <w:sz w:val="18"/>
                <w:szCs w:val="18"/>
                <w:lang w:val="en-GB"/>
              </w:rPr>
            </w:pPr>
            <w:r w:rsidRPr="00DC769B">
              <w:rPr>
                <w:sz w:val="18"/>
                <w:szCs w:val="18"/>
                <w:lang w:val="en-GB"/>
              </w:rPr>
              <w:t>1238</w:t>
            </w:r>
          </w:p>
        </w:tc>
        <w:tc>
          <w:tcPr>
            <w:tcW w:w="1827" w:type="dxa"/>
            <w:vMerge/>
            <w:vAlign w:val="center"/>
          </w:tcPr>
          <w:p w14:paraId="57AA1371" w14:textId="77777777" w:rsidR="002D008B" w:rsidRPr="00DC769B" w:rsidRDefault="002D008B" w:rsidP="008107EC">
            <w:pPr>
              <w:spacing w:line="360" w:lineRule="auto"/>
              <w:jc w:val="center"/>
              <w:rPr>
                <w:sz w:val="18"/>
                <w:szCs w:val="18"/>
                <w:lang w:val="en-GB"/>
              </w:rPr>
            </w:pPr>
          </w:p>
        </w:tc>
        <w:tc>
          <w:tcPr>
            <w:tcW w:w="724" w:type="dxa"/>
            <w:vAlign w:val="center"/>
          </w:tcPr>
          <w:p w14:paraId="32B8B031" w14:textId="77777777" w:rsidR="002D008B" w:rsidRPr="00DC769B" w:rsidRDefault="002D008B" w:rsidP="008107EC">
            <w:pPr>
              <w:spacing w:line="360" w:lineRule="auto"/>
              <w:jc w:val="center"/>
              <w:rPr>
                <w:sz w:val="18"/>
                <w:szCs w:val="18"/>
                <w:lang w:val="en-GB"/>
              </w:rPr>
            </w:pPr>
            <w:r w:rsidRPr="00DC769B">
              <w:rPr>
                <w:sz w:val="18"/>
                <w:szCs w:val="18"/>
                <w:lang w:val="en-GB"/>
              </w:rPr>
              <w:t>72</w:t>
            </w:r>
          </w:p>
        </w:tc>
        <w:tc>
          <w:tcPr>
            <w:tcW w:w="1276" w:type="dxa"/>
            <w:vMerge/>
            <w:vAlign w:val="center"/>
          </w:tcPr>
          <w:p w14:paraId="724C0EFB" w14:textId="77777777" w:rsidR="002D008B" w:rsidRPr="00DC769B" w:rsidRDefault="002D008B" w:rsidP="008107EC">
            <w:pPr>
              <w:spacing w:line="360" w:lineRule="auto"/>
              <w:jc w:val="center"/>
              <w:rPr>
                <w:sz w:val="18"/>
                <w:szCs w:val="18"/>
                <w:lang w:val="en-GB"/>
              </w:rPr>
            </w:pPr>
          </w:p>
        </w:tc>
        <w:tc>
          <w:tcPr>
            <w:tcW w:w="1134" w:type="dxa"/>
            <w:vMerge/>
            <w:vAlign w:val="center"/>
          </w:tcPr>
          <w:p w14:paraId="6AE7A273" w14:textId="77777777" w:rsidR="002D008B" w:rsidRPr="00DC769B" w:rsidRDefault="002D008B" w:rsidP="008107EC">
            <w:pPr>
              <w:keepNext/>
              <w:spacing w:line="360" w:lineRule="auto"/>
              <w:jc w:val="center"/>
              <w:rPr>
                <w:sz w:val="18"/>
                <w:szCs w:val="18"/>
                <w:lang w:val="en-GB"/>
              </w:rPr>
            </w:pPr>
          </w:p>
        </w:tc>
      </w:tr>
      <w:tr w:rsidR="002D008B" w:rsidRPr="00DC769B" w14:paraId="5605393C" w14:textId="77777777" w:rsidTr="008107EC">
        <w:tc>
          <w:tcPr>
            <w:tcW w:w="1135" w:type="dxa"/>
            <w:vMerge/>
            <w:vAlign w:val="center"/>
          </w:tcPr>
          <w:p w14:paraId="40E6E143" w14:textId="77777777" w:rsidR="002D008B" w:rsidRPr="00DC769B" w:rsidRDefault="002D008B" w:rsidP="008107EC">
            <w:pPr>
              <w:spacing w:line="360" w:lineRule="auto"/>
              <w:jc w:val="center"/>
              <w:rPr>
                <w:sz w:val="18"/>
                <w:szCs w:val="18"/>
                <w:lang w:val="en-GB"/>
              </w:rPr>
            </w:pPr>
          </w:p>
        </w:tc>
        <w:tc>
          <w:tcPr>
            <w:tcW w:w="1417" w:type="dxa"/>
            <w:vMerge/>
            <w:vAlign w:val="center"/>
          </w:tcPr>
          <w:p w14:paraId="745C9078" w14:textId="77777777" w:rsidR="002D008B" w:rsidRPr="00DC769B" w:rsidRDefault="002D008B" w:rsidP="008107EC">
            <w:pPr>
              <w:spacing w:line="360" w:lineRule="auto"/>
              <w:jc w:val="center"/>
              <w:rPr>
                <w:sz w:val="18"/>
                <w:szCs w:val="18"/>
                <w:lang w:val="en-GB"/>
              </w:rPr>
            </w:pPr>
          </w:p>
        </w:tc>
        <w:tc>
          <w:tcPr>
            <w:tcW w:w="2410" w:type="dxa"/>
            <w:vAlign w:val="center"/>
          </w:tcPr>
          <w:p w14:paraId="1E1F303A" w14:textId="77777777" w:rsidR="002D008B" w:rsidRPr="00DC769B" w:rsidRDefault="002D008B" w:rsidP="008107EC">
            <w:pPr>
              <w:spacing w:line="360" w:lineRule="auto"/>
              <w:jc w:val="center"/>
              <w:rPr>
                <w:sz w:val="18"/>
                <w:szCs w:val="18"/>
                <w:lang w:val="en-GB"/>
              </w:rPr>
            </w:pPr>
            <w:r w:rsidRPr="00DC769B">
              <w:rPr>
                <w:sz w:val="18"/>
                <w:szCs w:val="18"/>
                <w:lang w:val="en-GB"/>
              </w:rPr>
              <w:t>60% - 70% Equity</w:t>
            </w:r>
          </w:p>
        </w:tc>
        <w:tc>
          <w:tcPr>
            <w:tcW w:w="851" w:type="dxa"/>
            <w:vAlign w:val="center"/>
          </w:tcPr>
          <w:p w14:paraId="2D89D273" w14:textId="77777777" w:rsidR="002D008B" w:rsidRPr="00DC769B" w:rsidRDefault="002D008B" w:rsidP="008107EC">
            <w:pPr>
              <w:spacing w:line="360" w:lineRule="auto"/>
              <w:jc w:val="center"/>
              <w:rPr>
                <w:sz w:val="18"/>
                <w:szCs w:val="18"/>
                <w:lang w:val="en-GB"/>
              </w:rPr>
            </w:pPr>
            <w:r w:rsidRPr="00DC769B">
              <w:rPr>
                <w:sz w:val="18"/>
                <w:szCs w:val="18"/>
                <w:lang w:val="en-GB"/>
              </w:rPr>
              <w:t>1409</w:t>
            </w:r>
          </w:p>
        </w:tc>
        <w:tc>
          <w:tcPr>
            <w:tcW w:w="1827" w:type="dxa"/>
            <w:vMerge/>
            <w:vAlign w:val="center"/>
          </w:tcPr>
          <w:p w14:paraId="1B5B5428" w14:textId="77777777" w:rsidR="002D008B" w:rsidRPr="00DC769B" w:rsidRDefault="002D008B" w:rsidP="008107EC">
            <w:pPr>
              <w:spacing w:line="360" w:lineRule="auto"/>
              <w:jc w:val="center"/>
              <w:rPr>
                <w:sz w:val="18"/>
                <w:szCs w:val="18"/>
                <w:lang w:val="en-GB"/>
              </w:rPr>
            </w:pPr>
          </w:p>
        </w:tc>
        <w:tc>
          <w:tcPr>
            <w:tcW w:w="724" w:type="dxa"/>
            <w:vAlign w:val="center"/>
          </w:tcPr>
          <w:p w14:paraId="19B835DC" w14:textId="77777777" w:rsidR="002D008B" w:rsidRPr="00DC769B" w:rsidRDefault="002D008B" w:rsidP="008107EC">
            <w:pPr>
              <w:spacing w:line="360" w:lineRule="auto"/>
              <w:jc w:val="center"/>
              <w:rPr>
                <w:sz w:val="18"/>
                <w:szCs w:val="18"/>
                <w:lang w:val="en-GB"/>
              </w:rPr>
            </w:pPr>
            <w:r w:rsidRPr="00DC769B">
              <w:rPr>
                <w:sz w:val="18"/>
                <w:szCs w:val="18"/>
                <w:lang w:val="en-GB"/>
              </w:rPr>
              <w:t>79</w:t>
            </w:r>
          </w:p>
        </w:tc>
        <w:tc>
          <w:tcPr>
            <w:tcW w:w="1276" w:type="dxa"/>
            <w:vMerge/>
            <w:vAlign w:val="center"/>
          </w:tcPr>
          <w:p w14:paraId="4AF6FCA8" w14:textId="77777777" w:rsidR="002D008B" w:rsidRPr="00DC769B" w:rsidRDefault="002D008B" w:rsidP="008107EC">
            <w:pPr>
              <w:spacing w:line="360" w:lineRule="auto"/>
              <w:jc w:val="center"/>
              <w:rPr>
                <w:sz w:val="18"/>
                <w:szCs w:val="18"/>
                <w:lang w:val="en-GB"/>
              </w:rPr>
            </w:pPr>
          </w:p>
        </w:tc>
        <w:tc>
          <w:tcPr>
            <w:tcW w:w="1134" w:type="dxa"/>
            <w:vMerge/>
            <w:vAlign w:val="center"/>
          </w:tcPr>
          <w:p w14:paraId="00479AAB" w14:textId="77777777" w:rsidR="002D008B" w:rsidRPr="00DC769B" w:rsidRDefault="002D008B" w:rsidP="008107EC">
            <w:pPr>
              <w:keepNext/>
              <w:spacing w:line="360" w:lineRule="auto"/>
              <w:jc w:val="center"/>
              <w:rPr>
                <w:sz w:val="18"/>
                <w:szCs w:val="18"/>
                <w:lang w:val="en-GB"/>
              </w:rPr>
            </w:pPr>
          </w:p>
        </w:tc>
      </w:tr>
      <w:tr w:rsidR="002D008B" w:rsidRPr="00DC769B" w14:paraId="406E0F2D" w14:textId="77777777" w:rsidTr="008107EC">
        <w:tc>
          <w:tcPr>
            <w:tcW w:w="1135" w:type="dxa"/>
            <w:vMerge/>
            <w:vAlign w:val="center"/>
          </w:tcPr>
          <w:p w14:paraId="21718599" w14:textId="77777777" w:rsidR="002D008B" w:rsidRPr="00DC769B" w:rsidRDefault="002D008B" w:rsidP="008107EC">
            <w:pPr>
              <w:spacing w:line="360" w:lineRule="auto"/>
              <w:jc w:val="center"/>
              <w:rPr>
                <w:sz w:val="18"/>
                <w:szCs w:val="18"/>
                <w:lang w:val="en-GB"/>
              </w:rPr>
            </w:pPr>
          </w:p>
        </w:tc>
        <w:tc>
          <w:tcPr>
            <w:tcW w:w="1417" w:type="dxa"/>
            <w:vMerge/>
            <w:vAlign w:val="center"/>
          </w:tcPr>
          <w:p w14:paraId="1B1EF56F" w14:textId="77777777" w:rsidR="002D008B" w:rsidRPr="00DC769B" w:rsidRDefault="002D008B" w:rsidP="008107EC">
            <w:pPr>
              <w:spacing w:line="360" w:lineRule="auto"/>
              <w:jc w:val="center"/>
              <w:rPr>
                <w:sz w:val="18"/>
                <w:szCs w:val="18"/>
                <w:lang w:val="en-GB"/>
              </w:rPr>
            </w:pPr>
          </w:p>
        </w:tc>
        <w:tc>
          <w:tcPr>
            <w:tcW w:w="2410" w:type="dxa"/>
            <w:vAlign w:val="center"/>
          </w:tcPr>
          <w:p w14:paraId="0DBA554E" w14:textId="77777777" w:rsidR="002D008B" w:rsidRPr="00DC769B" w:rsidRDefault="002D008B" w:rsidP="008107EC">
            <w:pPr>
              <w:spacing w:line="360" w:lineRule="auto"/>
              <w:jc w:val="center"/>
              <w:rPr>
                <w:sz w:val="18"/>
                <w:szCs w:val="18"/>
                <w:lang w:val="en-GB"/>
              </w:rPr>
            </w:pPr>
            <w:r w:rsidRPr="00DC769B">
              <w:rPr>
                <w:sz w:val="18"/>
                <w:szCs w:val="18"/>
                <w:lang w:val="en-GB"/>
              </w:rPr>
              <w:t>70% - 80% Equity</w:t>
            </w:r>
          </w:p>
        </w:tc>
        <w:tc>
          <w:tcPr>
            <w:tcW w:w="851" w:type="dxa"/>
            <w:vAlign w:val="center"/>
          </w:tcPr>
          <w:p w14:paraId="40674ABB" w14:textId="77777777" w:rsidR="002D008B" w:rsidRPr="00DC769B" w:rsidRDefault="002D008B" w:rsidP="008107EC">
            <w:pPr>
              <w:spacing w:line="360" w:lineRule="auto"/>
              <w:jc w:val="center"/>
              <w:rPr>
                <w:sz w:val="18"/>
                <w:szCs w:val="18"/>
                <w:lang w:val="en-GB"/>
              </w:rPr>
            </w:pPr>
            <w:r w:rsidRPr="00DC769B">
              <w:rPr>
                <w:sz w:val="18"/>
                <w:szCs w:val="18"/>
                <w:lang w:val="en-GB"/>
              </w:rPr>
              <w:t>1583</w:t>
            </w:r>
          </w:p>
        </w:tc>
        <w:tc>
          <w:tcPr>
            <w:tcW w:w="1827" w:type="dxa"/>
            <w:vMerge/>
            <w:vAlign w:val="center"/>
          </w:tcPr>
          <w:p w14:paraId="55AAC704" w14:textId="77777777" w:rsidR="002D008B" w:rsidRPr="00DC769B" w:rsidRDefault="002D008B" w:rsidP="008107EC">
            <w:pPr>
              <w:spacing w:line="360" w:lineRule="auto"/>
              <w:jc w:val="center"/>
              <w:rPr>
                <w:sz w:val="18"/>
                <w:szCs w:val="18"/>
                <w:lang w:val="en-GB"/>
              </w:rPr>
            </w:pPr>
          </w:p>
        </w:tc>
        <w:tc>
          <w:tcPr>
            <w:tcW w:w="724" w:type="dxa"/>
            <w:vAlign w:val="center"/>
          </w:tcPr>
          <w:p w14:paraId="13A1D18D" w14:textId="77777777" w:rsidR="002D008B" w:rsidRPr="00DC769B" w:rsidRDefault="002D008B" w:rsidP="008107EC">
            <w:pPr>
              <w:spacing w:line="360" w:lineRule="auto"/>
              <w:jc w:val="center"/>
              <w:rPr>
                <w:sz w:val="18"/>
                <w:szCs w:val="18"/>
                <w:lang w:val="en-GB"/>
              </w:rPr>
            </w:pPr>
            <w:r w:rsidRPr="00DC769B">
              <w:rPr>
                <w:sz w:val="18"/>
                <w:szCs w:val="18"/>
                <w:lang w:val="en-GB"/>
              </w:rPr>
              <w:t>71</w:t>
            </w:r>
          </w:p>
        </w:tc>
        <w:tc>
          <w:tcPr>
            <w:tcW w:w="1276" w:type="dxa"/>
            <w:vMerge/>
            <w:vAlign w:val="center"/>
          </w:tcPr>
          <w:p w14:paraId="41F0D3AE" w14:textId="77777777" w:rsidR="002D008B" w:rsidRPr="00DC769B" w:rsidRDefault="002D008B" w:rsidP="008107EC">
            <w:pPr>
              <w:spacing w:line="360" w:lineRule="auto"/>
              <w:jc w:val="center"/>
              <w:rPr>
                <w:sz w:val="18"/>
                <w:szCs w:val="18"/>
                <w:lang w:val="en-GB"/>
              </w:rPr>
            </w:pPr>
          </w:p>
        </w:tc>
        <w:tc>
          <w:tcPr>
            <w:tcW w:w="1134" w:type="dxa"/>
            <w:vMerge/>
            <w:vAlign w:val="center"/>
          </w:tcPr>
          <w:p w14:paraId="4EF5A2A9" w14:textId="77777777" w:rsidR="002D008B" w:rsidRPr="00DC769B" w:rsidRDefault="002D008B" w:rsidP="008107EC">
            <w:pPr>
              <w:keepNext/>
              <w:spacing w:line="360" w:lineRule="auto"/>
              <w:jc w:val="center"/>
              <w:rPr>
                <w:sz w:val="18"/>
                <w:szCs w:val="18"/>
                <w:lang w:val="en-GB"/>
              </w:rPr>
            </w:pPr>
          </w:p>
        </w:tc>
      </w:tr>
      <w:tr w:rsidR="002D008B" w:rsidRPr="00DC769B" w14:paraId="58009141" w14:textId="77777777" w:rsidTr="008107EC">
        <w:tc>
          <w:tcPr>
            <w:tcW w:w="1135" w:type="dxa"/>
            <w:vMerge/>
            <w:vAlign w:val="center"/>
          </w:tcPr>
          <w:p w14:paraId="59490CC2" w14:textId="77777777" w:rsidR="002D008B" w:rsidRPr="00DC769B" w:rsidRDefault="002D008B" w:rsidP="008107EC">
            <w:pPr>
              <w:spacing w:line="360" w:lineRule="auto"/>
              <w:jc w:val="center"/>
              <w:rPr>
                <w:sz w:val="18"/>
                <w:szCs w:val="18"/>
                <w:lang w:val="en-GB"/>
              </w:rPr>
            </w:pPr>
          </w:p>
        </w:tc>
        <w:tc>
          <w:tcPr>
            <w:tcW w:w="1417" w:type="dxa"/>
            <w:vMerge/>
            <w:vAlign w:val="center"/>
          </w:tcPr>
          <w:p w14:paraId="627B5F64" w14:textId="77777777" w:rsidR="002D008B" w:rsidRPr="00DC769B" w:rsidRDefault="002D008B" w:rsidP="008107EC">
            <w:pPr>
              <w:spacing w:line="360" w:lineRule="auto"/>
              <w:jc w:val="center"/>
              <w:rPr>
                <w:sz w:val="18"/>
                <w:szCs w:val="18"/>
                <w:lang w:val="en-GB"/>
              </w:rPr>
            </w:pPr>
          </w:p>
        </w:tc>
        <w:tc>
          <w:tcPr>
            <w:tcW w:w="2410" w:type="dxa"/>
            <w:vAlign w:val="center"/>
          </w:tcPr>
          <w:p w14:paraId="32077544" w14:textId="77777777" w:rsidR="002D008B" w:rsidRPr="00DC769B" w:rsidRDefault="002D008B" w:rsidP="008107EC">
            <w:pPr>
              <w:spacing w:line="360" w:lineRule="auto"/>
              <w:jc w:val="center"/>
              <w:rPr>
                <w:sz w:val="18"/>
                <w:szCs w:val="18"/>
                <w:lang w:val="en-GB"/>
              </w:rPr>
            </w:pPr>
            <w:r w:rsidRPr="00DC769B">
              <w:rPr>
                <w:sz w:val="18"/>
                <w:szCs w:val="18"/>
                <w:lang w:val="en-GB"/>
              </w:rPr>
              <w:t>80% - 90% Equity</w:t>
            </w:r>
          </w:p>
        </w:tc>
        <w:tc>
          <w:tcPr>
            <w:tcW w:w="851" w:type="dxa"/>
            <w:vAlign w:val="center"/>
          </w:tcPr>
          <w:p w14:paraId="632A87CB" w14:textId="77777777" w:rsidR="002D008B" w:rsidRPr="00DC769B" w:rsidRDefault="002D008B" w:rsidP="008107EC">
            <w:pPr>
              <w:spacing w:line="360" w:lineRule="auto"/>
              <w:jc w:val="center"/>
              <w:rPr>
                <w:sz w:val="18"/>
                <w:szCs w:val="18"/>
                <w:lang w:val="en-GB"/>
              </w:rPr>
            </w:pPr>
            <w:r w:rsidRPr="00DC769B">
              <w:rPr>
                <w:sz w:val="18"/>
                <w:szCs w:val="18"/>
                <w:lang w:val="en-GB"/>
              </w:rPr>
              <w:t>1388</w:t>
            </w:r>
          </w:p>
        </w:tc>
        <w:tc>
          <w:tcPr>
            <w:tcW w:w="1827" w:type="dxa"/>
            <w:vMerge/>
            <w:vAlign w:val="center"/>
          </w:tcPr>
          <w:p w14:paraId="71A86BA2" w14:textId="77777777" w:rsidR="002D008B" w:rsidRPr="00DC769B" w:rsidRDefault="002D008B" w:rsidP="008107EC">
            <w:pPr>
              <w:spacing w:line="360" w:lineRule="auto"/>
              <w:jc w:val="center"/>
              <w:rPr>
                <w:sz w:val="18"/>
                <w:szCs w:val="18"/>
                <w:lang w:val="en-GB"/>
              </w:rPr>
            </w:pPr>
          </w:p>
        </w:tc>
        <w:tc>
          <w:tcPr>
            <w:tcW w:w="724" w:type="dxa"/>
            <w:vAlign w:val="center"/>
          </w:tcPr>
          <w:p w14:paraId="65360D7A" w14:textId="77777777" w:rsidR="002D008B" w:rsidRPr="00DC769B" w:rsidRDefault="002D008B" w:rsidP="008107EC">
            <w:pPr>
              <w:spacing w:line="360" w:lineRule="auto"/>
              <w:jc w:val="center"/>
              <w:rPr>
                <w:sz w:val="18"/>
                <w:szCs w:val="18"/>
                <w:lang w:val="en-GB"/>
              </w:rPr>
            </w:pPr>
            <w:r w:rsidRPr="00DC769B">
              <w:rPr>
                <w:sz w:val="18"/>
                <w:szCs w:val="18"/>
                <w:lang w:val="en-GB"/>
              </w:rPr>
              <w:t>66</w:t>
            </w:r>
          </w:p>
        </w:tc>
        <w:tc>
          <w:tcPr>
            <w:tcW w:w="1276" w:type="dxa"/>
            <w:vMerge/>
            <w:vAlign w:val="center"/>
          </w:tcPr>
          <w:p w14:paraId="65AFE340" w14:textId="77777777" w:rsidR="002D008B" w:rsidRPr="00DC769B" w:rsidRDefault="002D008B" w:rsidP="008107EC">
            <w:pPr>
              <w:spacing w:line="360" w:lineRule="auto"/>
              <w:jc w:val="center"/>
              <w:rPr>
                <w:sz w:val="18"/>
                <w:szCs w:val="18"/>
                <w:lang w:val="en-GB"/>
              </w:rPr>
            </w:pPr>
          </w:p>
        </w:tc>
        <w:tc>
          <w:tcPr>
            <w:tcW w:w="1134" w:type="dxa"/>
            <w:vMerge/>
            <w:vAlign w:val="center"/>
          </w:tcPr>
          <w:p w14:paraId="27ADF79A" w14:textId="77777777" w:rsidR="002D008B" w:rsidRPr="00DC769B" w:rsidRDefault="002D008B" w:rsidP="008107EC">
            <w:pPr>
              <w:keepNext/>
              <w:spacing w:line="360" w:lineRule="auto"/>
              <w:jc w:val="center"/>
              <w:rPr>
                <w:sz w:val="18"/>
                <w:szCs w:val="18"/>
                <w:lang w:val="en-GB"/>
              </w:rPr>
            </w:pPr>
          </w:p>
        </w:tc>
      </w:tr>
      <w:tr w:rsidR="002D008B" w:rsidRPr="00DC769B" w14:paraId="2772498B" w14:textId="77777777" w:rsidTr="008107EC">
        <w:tc>
          <w:tcPr>
            <w:tcW w:w="1135" w:type="dxa"/>
            <w:vMerge/>
            <w:vAlign w:val="center"/>
          </w:tcPr>
          <w:p w14:paraId="28D1614D" w14:textId="77777777" w:rsidR="002D008B" w:rsidRPr="00DC769B" w:rsidRDefault="002D008B" w:rsidP="008107EC">
            <w:pPr>
              <w:spacing w:line="360" w:lineRule="auto"/>
              <w:jc w:val="center"/>
              <w:rPr>
                <w:sz w:val="18"/>
                <w:szCs w:val="18"/>
                <w:lang w:val="en-GB"/>
              </w:rPr>
            </w:pPr>
          </w:p>
        </w:tc>
        <w:tc>
          <w:tcPr>
            <w:tcW w:w="1417" w:type="dxa"/>
            <w:vMerge/>
            <w:vAlign w:val="center"/>
          </w:tcPr>
          <w:p w14:paraId="038E9607" w14:textId="77777777" w:rsidR="002D008B" w:rsidRPr="00DC769B" w:rsidRDefault="002D008B" w:rsidP="008107EC">
            <w:pPr>
              <w:spacing w:line="360" w:lineRule="auto"/>
              <w:jc w:val="center"/>
              <w:rPr>
                <w:sz w:val="18"/>
                <w:szCs w:val="18"/>
                <w:lang w:val="en-GB"/>
              </w:rPr>
            </w:pPr>
          </w:p>
        </w:tc>
        <w:tc>
          <w:tcPr>
            <w:tcW w:w="2410" w:type="dxa"/>
            <w:vAlign w:val="center"/>
          </w:tcPr>
          <w:p w14:paraId="101E2FDC" w14:textId="77777777" w:rsidR="002D008B" w:rsidRPr="00DC769B" w:rsidRDefault="002D008B" w:rsidP="008107EC">
            <w:pPr>
              <w:spacing w:line="360" w:lineRule="auto"/>
              <w:jc w:val="center"/>
              <w:rPr>
                <w:sz w:val="18"/>
                <w:szCs w:val="18"/>
                <w:lang w:val="en-GB"/>
              </w:rPr>
            </w:pPr>
            <w:r w:rsidRPr="00DC769B">
              <w:rPr>
                <w:sz w:val="18"/>
                <w:szCs w:val="18"/>
                <w:lang w:val="en-GB"/>
              </w:rPr>
              <w:t>90% - 100% Equity</w:t>
            </w:r>
          </w:p>
        </w:tc>
        <w:tc>
          <w:tcPr>
            <w:tcW w:w="851" w:type="dxa"/>
            <w:vAlign w:val="center"/>
          </w:tcPr>
          <w:p w14:paraId="711ECFEE" w14:textId="77777777" w:rsidR="002D008B" w:rsidRPr="00DC769B" w:rsidRDefault="002D008B" w:rsidP="008107EC">
            <w:pPr>
              <w:spacing w:line="360" w:lineRule="auto"/>
              <w:jc w:val="center"/>
              <w:rPr>
                <w:sz w:val="18"/>
                <w:szCs w:val="18"/>
                <w:lang w:val="en-GB"/>
              </w:rPr>
            </w:pPr>
            <w:r w:rsidRPr="00DC769B">
              <w:rPr>
                <w:sz w:val="18"/>
                <w:szCs w:val="18"/>
                <w:lang w:val="en-GB"/>
              </w:rPr>
              <w:t>5014</w:t>
            </w:r>
          </w:p>
        </w:tc>
        <w:tc>
          <w:tcPr>
            <w:tcW w:w="1827" w:type="dxa"/>
            <w:vMerge/>
            <w:vAlign w:val="center"/>
          </w:tcPr>
          <w:p w14:paraId="461BC277" w14:textId="77777777" w:rsidR="002D008B" w:rsidRPr="00DC769B" w:rsidRDefault="002D008B" w:rsidP="008107EC">
            <w:pPr>
              <w:spacing w:line="360" w:lineRule="auto"/>
              <w:jc w:val="center"/>
              <w:rPr>
                <w:sz w:val="18"/>
                <w:szCs w:val="18"/>
                <w:lang w:val="en-GB"/>
              </w:rPr>
            </w:pPr>
          </w:p>
        </w:tc>
        <w:tc>
          <w:tcPr>
            <w:tcW w:w="724" w:type="dxa"/>
            <w:vAlign w:val="center"/>
          </w:tcPr>
          <w:p w14:paraId="32002360" w14:textId="77777777" w:rsidR="002D008B" w:rsidRPr="00DC769B" w:rsidRDefault="002D008B" w:rsidP="008107EC">
            <w:pPr>
              <w:spacing w:line="360" w:lineRule="auto"/>
              <w:jc w:val="center"/>
              <w:rPr>
                <w:sz w:val="18"/>
                <w:szCs w:val="18"/>
                <w:lang w:val="en-GB"/>
              </w:rPr>
            </w:pPr>
            <w:r w:rsidRPr="00DC769B">
              <w:rPr>
                <w:sz w:val="18"/>
                <w:szCs w:val="18"/>
                <w:lang w:val="en-GB"/>
              </w:rPr>
              <w:t>219</w:t>
            </w:r>
          </w:p>
        </w:tc>
        <w:tc>
          <w:tcPr>
            <w:tcW w:w="1276" w:type="dxa"/>
            <w:vMerge/>
            <w:vAlign w:val="center"/>
          </w:tcPr>
          <w:p w14:paraId="4A59F30A" w14:textId="77777777" w:rsidR="002D008B" w:rsidRPr="00DC769B" w:rsidRDefault="002D008B" w:rsidP="008107EC">
            <w:pPr>
              <w:spacing w:line="360" w:lineRule="auto"/>
              <w:jc w:val="center"/>
              <w:rPr>
                <w:sz w:val="18"/>
                <w:szCs w:val="18"/>
                <w:lang w:val="en-GB"/>
              </w:rPr>
            </w:pPr>
          </w:p>
        </w:tc>
        <w:tc>
          <w:tcPr>
            <w:tcW w:w="1134" w:type="dxa"/>
            <w:vMerge/>
            <w:vAlign w:val="center"/>
          </w:tcPr>
          <w:p w14:paraId="77CDA650" w14:textId="77777777" w:rsidR="002D008B" w:rsidRPr="00DC769B" w:rsidRDefault="002D008B" w:rsidP="008107EC">
            <w:pPr>
              <w:keepNext/>
              <w:spacing w:line="360" w:lineRule="auto"/>
              <w:jc w:val="center"/>
              <w:rPr>
                <w:sz w:val="18"/>
                <w:szCs w:val="18"/>
                <w:lang w:val="en-GB"/>
              </w:rPr>
            </w:pPr>
          </w:p>
        </w:tc>
      </w:tr>
    </w:tbl>
    <w:p w14:paraId="43D0F3F9" w14:textId="77777777" w:rsidR="00C21B34" w:rsidRPr="00DC769B" w:rsidRDefault="00C21B34" w:rsidP="006E6DD6">
      <w:pPr>
        <w:pStyle w:val="Kop2"/>
        <w:jc w:val="both"/>
        <w:rPr>
          <w:sz w:val="18"/>
          <w:szCs w:val="18"/>
        </w:rPr>
      </w:pPr>
    </w:p>
    <w:p w14:paraId="747FCCB6" w14:textId="248468C0" w:rsidR="0017526D" w:rsidRPr="00C52621" w:rsidRDefault="0017526D" w:rsidP="00A726AB">
      <w:pPr>
        <w:pStyle w:val="Kop5"/>
      </w:pPr>
      <w:r w:rsidRPr="00C52621">
        <w:t xml:space="preserve">Table </w:t>
      </w:r>
      <w:r w:rsidR="00DF7A1A">
        <w:fldChar w:fldCharType="begin"/>
      </w:r>
      <w:r w:rsidR="00DF7A1A">
        <w:instrText xml:space="preserve"> SEQ Table \* ARABIC </w:instrText>
      </w:r>
      <w:r w:rsidR="00DF7A1A">
        <w:fldChar w:fldCharType="separate"/>
      </w:r>
      <w:r w:rsidR="004043A1">
        <w:rPr>
          <w:noProof/>
        </w:rPr>
        <w:t>5</w:t>
      </w:r>
      <w:r w:rsidR="00DF7A1A">
        <w:fldChar w:fldCharType="end"/>
      </w:r>
      <w:r w:rsidR="00DF7A1A">
        <w:t>: S</w:t>
      </w:r>
      <w:r w:rsidR="00D25F27" w:rsidRPr="00C52621">
        <w:t>ubsamples hypothesis 4</w:t>
      </w:r>
    </w:p>
    <w:tbl>
      <w:tblPr>
        <w:tblStyle w:val="Tabelraster"/>
        <w:tblW w:w="10774" w:type="dxa"/>
        <w:tblInd w:w="-743" w:type="dxa"/>
        <w:tblLayout w:type="fixed"/>
        <w:tblLook w:val="04A0" w:firstRow="1" w:lastRow="0" w:firstColumn="1" w:lastColumn="0" w:noHBand="0" w:noVBand="1"/>
      </w:tblPr>
      <w:tblGrid>
        <w:gridCol w:w="1135"/>
        <w:gridCol w:w="1417"/>
        <w:gridCol w:w="2410"/>
        <w:gridCol w:w="851"/>
        <w:gridCol w:w="1827"/>
        <w:gridCol w:w="724"/>
        <w:gridCol w:w="1276"/>
        <w:gridCol w:w="1134"/>
      </w:tblGrid>
      <w:tr w:rsidR="00E47E93" w:rsidRPr="00DC769B" w14:paraId="0592DC74" w14:textId="77777777" w:rsidTr="00037836">
        <w:trPr>
          <w:trHeight w:val="151"/>
        </w:trPr>
        <w:tc>
          <w:tcPr>
            <w:tcW w:w="10774" w:type="dxa"/>
            <w:gridSpan w:val="8"/>
          </w:tcPr>
          <w:p w14:paraId="167E47BD" w14:textId="25823BFD" w:rsidR="00E47E93" w:rsidRPr="00DC769B" w:rsidRDefault="00E47E93" w:rsidP="00E47E93">
            <w:pPr>
              <w:keepNext/>
              <w:spacing w:line="360" w:lineRule="auto"/>
              <w:jc w:val="center"/>
              <w:rPr>
                <w:b/>
                <w:lang w:val="en-GB"/>
              </w:rPr>
            </w:pPr>
            <w:r w:rsidRPr="00DC769B">
              <w:rPr>
                <w:b/>
                <w:lang w:val="en-GB"/>
              </w:rPr>
              <w:t>Hypothesis 3</w:t>
            </w:r>
          </w:p>
        </w:tc>
      </w:tr>
      <w:tr w:rsidR="00E47E93" w:rsidRPr="00DC769B" w14:paraId="250F50E6" w14:textId="77777777" w:rsidTr="006A6B58">
        <w:trPr>
          <w:trHeight w:val="151"/>
        </w:trPr>
        <w:tc>
          <w:tcPr>
            <w:tcW w:w="1135" w:type="dxa"/>
            <w:vAlign w:val="center"/>
          </w:tcPr>
          <w:p w14:paraId="6EBE213E" w14:textId="579F42E6" w:rsidR="00E47E93" w:rsidRPr="00DC769B" w:rsidRDefault="00E47E93" w:rsidP="006A6B58">
            <w:pPr>
              <w:spacing w:line="360" w:lineRule="auto"/>
              <w:jc w:val="center"/>
              <w:rPr>
                <w:b/>
                <w:sz w:val="18"/>
                <w:szCs w:val="18"/>
                <w:lang w:val="en-GB"/>
              </w:rPr>
            </w:pPr>
            <w:r w:rsidRPr="00DC769B">
              <w:rPr>
                <w:b/>
                <w:sz w:val="18"/>
                <w:szCs w:val="18"/>
                <w:lang w:val="en-GB"/>
              </w:rPr>
              <w:t>Hypothesis</w:t>
            </w:r>
          </w:p>
        </w:tc>
        <w:tc>
          <w:tcPr>
            <w:tcW w:w="1417" w:type="dxa"/>
            <w:vAlign w:val="center"/>
          </w:tcPr>
          <w:p w14:paraId="0F0E48A1" w14:textId="13D64600" w:rsidR="00E47E93" w:rsidRPr="00DC769B" w:rsidRDefault="00E47E93" w:rsidP="006A6B58">
            <w:pPr>
              <w:spacing w:line="360" w:lineRule="auto"/>
              <w:jc w:val="center"/>
              <w:rPr>
                <w:b/>
                <w:sz w:val="18"/>
                <w:szCs w:val="18"/>
                <w:lang w:val="en-GB"/>
              </w:rPr>
            </w:pPr>
            <w:r w:rsidRPr="00DC769B">
              <w:rPr>
                <w:b/>
                <w:sz w:val="18"/>
                <w:szCs w:val="18"/>
                <w:lang w:val="en-GB"/>
              </w:rPr>
              <w:t>Total records</w:t>
            </w:r>
          </w:p>
        </w:tc>
        <w:tc>
          <w:tcPr>
            <w:tcW w:w="3261" w:type="dxa"/>
            <w:gridSpan w:val="2"/>
            <w:vAlign w:val="center"/>
          </w:tcPr>
          <w:p w14:paraId="0415067A" w14:textId="42A569FD" w:rsidR="00E47E93" w:rsidRPr="00DC769B" w:rsidRDefault="00E47E93" w:rsidP="006A6B58">
            <w:pPr>
              <w:spacing w:line="360" w:lineRule="auto"/>
              <w:jc w:val="center"/>
              <w:rPr>
                <w:b/>
                <w:sz w:val="18"/>
                <w:szCs w:val="18"/>
                <w:lang w:val="en-GB"/>
              </w:rPr>
            </w:pPr>
            <w:r w:rsidRPr="00DC769B">
              <w:rPr>
                <w:b/>
                <w:sz w:val="18"/>
                <w:szCs w:val="18"/>
                <w:lang w:val="en-GB"/>
              </w:rPr>
              <w:t>X Variable subtotal</w:t>
            </w:r>
          </w:p>
        </w:tc>
        <w:tc>
          <w:tcPr>
            <w:tcW w:w="2551" w:type="dxa"/>
            <w:gridSpan w:val="2"/>
            <w:vAlign w:val="center"/>
          </w:tcPr>
          <w:p w14:paraId="40EF1C2E" w14:textId="6C3F091A" w:rsidR="00E47E93" w:rsidRPr="00DC769B" w:rsidRDefault="00E47E93" w:rsidP="006A6B58">
            <w:pPr>
              <w:spacing w:line="360" w:lineRule="auto"/>
              <w:jc w:val="center"/>
              <w:rPr>
                <w:b/>
                <w:sz w:val="18"/>
                <w:szCs w:val="18"/>
                <w:lang w:val="en-GB"/>
              </w:rPr>
            </w:pPr>
            <w:r w:rsidRPr="00DC769B">
              <w:rPr>
                <w:b/>
                <w:sz w:val="18"/>
                <w:szCs w:val="18"/>
                <w:lang w:val="en-GB"/>
              </w:rPr>
              <w:t>Y Variable subtotal</w:t>
            </w:r>
          </w:p>
        </w:tc>
        <w:tc>
          <w:tcPr>
            <w:tcW w:w="1276" w:type="dxa"/>
            <w:vAlign w:val="center"/>
          </w:tcPr>
          <w:p w14:paraId="3018EE73" w14:textId="494D2627" w:rsidR="00E47E93" w:rsidRPr="00DC769B" w:rsidRDefault="00E47E93" w:rsidP="006A6B58">
            <w:pPr>
              <w:spacing w:line="360" w:lineRule="auto"/>
              <w:jc w:val="center"/>
              <w:rPr>
                <w:b/>
                <w:sz w:val="18"/>
                <w:szCs w:val="18"/>
                <w:lang w:val="en-GB"/>
              </w:rPr>
            </w:pPr>
            <w:r w:rsidRPr="00DC769B">
              <w:rPr>
                <w:b/>
                <w:sz w:val="18"/>
                <w:szCs w:val="18"/>
                <w:lang w:val="en-GB"/>
              </w:rPr>
              <w:t>Unique firms</w:t>
            </w:r>
          </w:p>
        </w:tc>
        <w:tc>
          <w:tcPr>
            <w:tcW w:w="1134" w:type="dxa"/>
            <w:vAlign w:val="center"/>
          </w:tcPr>
          <w:p w14:paraId="47806E2B" w14:textId="2FBD7BD0" w:rsidR="00E47E93" w:rsidRPr="00DC769B" w:rsidRDefault="00E47E93" w:rsidP="006A6B58">
            <w:pPr>
              <w:keepNext/>
              <w:spacing w:line="360" w:lineRule="auto"/>
              <w:jc w:val="center"/>
              <w:rPr>
                <w:b/>
                <w:sz w:val="18"/>
                <w:szCs w:val="18"/>
                <w:lang w:val="en-GB"/>
              </w:rPr>
            </w:pPr>
            <w:r w:rsidRPr="00DC769B">
              <w:rPr>
                <w:b/>
                <w:sz w:val="18"/>
                <w:szCs w:val="18"/>
                <w:lang w:val="en-GB"/>
              </w:rPr>
              <w:t>Years</w:t>
            </w:r>
          </w:p>
        </w:tc>
      </w:tr>
      <w:tr w:rsidR="00C21B34" w:rsidRPr="00DC769B" w14:paraId="1B723321" w14:textId="77777777" w:rsidTr="006A6B58">
        <w:trPr>
          <w:trHeight w:val="151"/>
        </w:trPr>
        <w:tc>
          <w:tcPr>
            <w:tcW w:w="1135" w:type="dxa"/>
            <w:vMerge w:val="restart"/>
            <w:vAlign w:val="center"/>
          </w:tcPr>
          <w:p w14:paraId="03BF6A4B" w14:textId="77777777" w:rsidR="00C21B34" w:rsidRPr="00DC769B" w:rsidRDefault="00C21B34" w:rsidP="006A6B58">
            <w:pPr>
              <w:spacing w:line="360" w:lineRule="auto"/>
              <w:jc w:val="center"/>
              <w:rPr>
                <w:sz w:val="18"/>
                <w:szCs w:val="18"/>
                <w:lang w:val="en-GB"/>
              </w:rPr>
            </w:pPr>
            <w:r w:rsidRPr="00DC769B">
              <w:rPr>
                <w:sz w:val="18"/>
                <w:szCs w:val="18"/>
                <w:lang w:val="en-GB"/>
              </w:rPr>
              <w:t>3</w:t>
            </w:r>
          </w:p>
        </w:tc>
        <w:tc>
          <w:tcPr>
            <w:tcW w:w="1417" w:type="dxa"/>
            <w:vMerge w:val="restart"/>
            <w:vAlign w:val="center"/>
          </w:tcPr>
          <w:p w14:paraId="615D79FD" w14:textId="77777777" w:rsidR="00C21B34" w:rsidRPr="00DC769B" w:rsidRDefault="00C21B34" w:rsidP="006A6B58">
            <w:pPr>
              <w:spacing w:line="360" w:lineRule="auto"/>
              <w:jc w:val="center"/>
              <w:rPr>
                <w:sz w:val="18"/>
                <w:szCs w:val="18"/>
                <w:lang w:val="en-GB"/>
              </w:rPr>
            </w:pPr>
            <w:r w:rsidRPr="00DC769B">
              <w:rPr>
                <w:sz w:val="18"/>
                <w:szCs w:val="18"/>
                <w:lang w:val="en-GB"/>
              </w:rPr>
              <w:t>5064</w:t>
            </w:r>
          </w:p>
        </w:tc>
        <w:tc>
          <w:tcPr>
            <w:tcW w:w="2410" w:type="dxa"/>
            <w:vAlign w:val="center"/>
          </w:tcPr>
          <w:p w14:paraId="5A1DC855" w14:textId="77777777" w:rsidR="00C21B34" w:rsidRPr="00DC769B" w:rsidRDefault="00C21B34" w:rsidP="006A6B58">
            <w:pPr>
              <w:spacing w:line="360" w:lineRule="auto"/>
              <w:jc w:val="center"/>
              <w:rPr>
                <w:sz w:val="18"/>
                <w:szCs w:val="18"/>
                <w:lang w:val="en-GB"/>
              </w:rPr>
            </w:pPr>
            <w:r w:rsidRPr="00DC769B">
              <w:rPr>
                <w:sz w:val="18"/>
                <w:szCs w:val="18"/>
                <w:lang w:val="en-GB"/>
              </w:rPr>
              <w:t>Financial performances</w:t>
            </w:r>
          </w:p>
        </w:tc>
        <w:tc>
          <w:tcPr>
            <w:tcW w:w="851" w:type="dxa"/>
            <w:vAlign w:val="center"/>
          </w:tcPr>
          <w:p w14:paraId="439B5486" w14:textId="77777777" w:rsidR="00C21B34" w:rsidRPr="00DC769B" w:rsidRDefault="00C21B34" w:rsidP="006A6B58">
            <w:pPr>
              <w:spacing w:line="360" w:lineRule="auto"/>
              <w:jc w:val="center"/>
              <w:rPr>
                <w:sz w:val="18"/>
                <w:szCs w:val="18"/>
                <w:lang w:val="en-GB"/>
              </w:rPr>
            </w:pPr>
            <w:r w:rsidRPr="00DC769B">
              <w:rPr>
                <w:sz w:val="18"/>
                <w:szCs w:val="18"/>
                <w:lang w:val="en-GB"/>
              </w:rPr>
              <w:t>5064</w:t>
            </w:r>
          </w:p>
        </w:tc>
        <w:tc>
          <w:tcPr>
            <w:tcW w:w="1827" w:type="dxa"/>
            <w:vMerge w:val="restart"/>
            <w:vAlign w:val="center"/>
          </w:tcPr>
          <w:p w14:paraId="390664E2" w14:textId="77777777" w:rsidR="00C21B34" w:rsidRPr="00DC769B" w:rsidRDefault="00C21B34" w:rsidP="008107EC">
            <w:pPr>
              <w:spacing w:line="360" w:lineRule="auto"/>
              <w:jc w:val="center"/>
              <w:rPr>
                <w:sz w:val="18"/>
                <w:szCs w:val="18"/>
                <w:lang w:val="en-GB"/>
              </w:rPr>
            </w:pPr>
            <w:r w:rsidRPr="00DC769B">
              <w:rPr>
                <w:sz w:val="18"/>
                <w:szCs w:val="18"/>
                <w:lang w:val="en-GB"/>
              </w:rPr>
              <w:t>Stock performance</w:t>
            </w:r>
          </w:p>
        </w:tc>
        <w:tc>
          <w:tcPr>
            <w:tcW w:w="724" w:type="dxa"/>
            <w:vMerge w:val="restart"/>
            <w:vAlign w:val="center"/>
          </w:tcPr>
          <w:p w14:paraId="45590187" w14:textId="77777777" w:rsidR="00C21B34" w:rsidRPr="00DC769B" w:rsidRDefault="00C21B34" w:rsidP="006A6B58">
            <w:pPr>
              <w:spacing w:line="360" w:lineRule="auto"/>
              <w:jc w:val="center"/>
              <w:rPr>
                <w:sz w:val="18"/>
                <w:szCs w:val="18"/>
                <w:lang w:val="en-GB"/>
              </w:rPr>
            </w:pPr>
            <w:r w:rsidRPr="00DC769B">
              <w:rPr>
                <w:sz w:val="18"/>
                <w:szCs w:val="18"/>
                <w:lang w:val="en-GB"/>
              </w:rPr>
              <w:t>5064</w:t>
            </w:r>
          </w:p>
        </w:tc>
        <w:tc>
          <w:tcPr>
            <w:tcW w:w="1276" w:type="dxa"/>
            <w:vMerge w:val="restart"/>
            <w:vAlign w:val="center"/>
          </w:tcPr>
          <w:p w14:paraId="029C6034" w14:textId="77777777" w:rsidR="00C21B34" w:rsidRPr="00DC769B" w:rsidRDefault="00C21B34" w:rsidP="006A6B58">
            <w:pPr>
              <w:spacing w:line="360" w:lineRule="auto"/>
              <w:jc w:val="center"/>
              <w:rPr>
                <w:sz w:val="18"/>
                <w:szCs w:val="18"/>
                <w:lang w:val="en-GB"/>
              </w:rPr>
            </w:pPr>
            <w:r w:rsidRPr="00DC769B">
              <w:rPr>
                <w:sz w:val="18"/>
                <w:szCs w:val="18"/>
                <w:lang w:val="en-GB"/>
              </w:rPr>
              <w:t>1034</w:t>
            </w:r>
          </w:p>
        </w:tc>
        <w:tc>
          <w:tcPr>
            <w:tcW w:w="1134" w:type="dxa"/>
            <w:vMerge w:val="restart"/>
            <w:vAlign w:val="center"/>
          </w:tcPr>
          <w:p w14:paraId="44235B4B" w14:textId="77777777" w:rsidR="00C21B34" w:rsidRPr="00DC769B" w:rsidRDefault="00C21B34" w:rsidP="006A6B58">
            <w:pPr>
              <w:keepNext/>
              <w:spacing w:line="360" w:lineRule="auto"/>
              <w:jc w:val="center"/>
              <w:rPr>
                <w:sz w:val="18"/>
                <w:szCs w:val="18"/>
                <w:lang w:val="en-GB"/>
              </w:rPr>
            </w:pPr>
            <w:r w:rsidRPr="00DC769B">
              <w:rPr>
                <w:sz w:val="18"/>
                <w:szCs w:val="18"/>
                <w:lang w:val="en-GB"/>
              </w:rPr>
              <w:t>2006-2014</w:t>
            </w:r>
          </w:p>
        </w:tc>
      </w:tr>
      <w:tr w:rsidR="00C21B34" w:rsidRPr="00DC769B" w14:paraId="5ABDA67F" w14:textId="77777777" w:rsidTr="006A6B58">
        <w:trPr>
          <w:trHeight w:val="149"/>
        </w:trPr>
        <w:tc>
          <w:tcPr>
            <w:tcW w:w="1135" w:type="dxa"/>
            <w:vMerge/>
          </w:tcPr>
          <w:p w14:paraId="07202C2B" w14:textId="77777777" w:rsidR="00C21B34" w:rsidRPr="00DC769B" w:rsidRDefault="00C21B34" w:rsidP="00037836">
            <w:pPr>
              <w:spacing w:line="360" w:lineRule="auto"/>
              <w:jc w:val="both"/>
              <w:rPr>
                <w:sz w:val="18"/>
                <w:szCs w:val="18"/>
                <w:lang w:val="en-GB"/>
              </w:rPr>
            </w:pPr>
          </w:p>
        </w:tc>
        <w:tc>
          <w:tcPr>
            <w:tcW w:w="1417" w:type="dxa"/>
            <w:vMerge/>
          </w:tcPr>
          <w:p w14:paraId="784B236B" w14:textId="77777777" w:rsidR="00C21B34" w:rsidRPr="00DC769B" w:rsidRDefault="00C21B34" w:rsidP="00037836">
            <w:pPr>
              <w:spacing w:line="360" w:lineRule="auto"/>
              <w:jc w:val="both"/>
              <w:rPr>
                <w:sz w:val="18"/>
                <w:szCs w:val="18"/>
                <w:lang w:val="en-GB"/>
              </w:rPr>
            </w:pPr>
          </w:p>
        </w:tc>
        <w:tc>
          <w:tcPr>
            <w:tcW w:w="2410" w:type="dxa"/>
            <w:vAlign w:val="center"/>
          </w:tcPr>
          <w:p w14:paraId="759AA9BE" w14:textId="77777777" w:rsidR="00C21B34" w:rsidRPr="00DC769B" w:rsidRDefault="00C21B34" w:rsidP="006A6B58">
            <w:pPr>
              <w:spacing w:line="360" w:lineRule="auto"/>
              <w:jc w:val="center"/>
              <w:rPr>
                <w:sz w:val="18"/>
                <w:szCs w:val="18"/>
                <w:lang w:val="en-GB"/>
              </w:rPr>
            </w:pPr>
            <w:r w:rsidRPr="00DC769B">
              <w:rPr>
                <w:sz w:val="18"/>
                <w:szCs w:val="18"/>
                <w:lang w:val="en-GB"/>
              </w:rPr>
              <w:t>ICMWs</w:t>
            </w:r>
          </w:p>
        </w:tc>
        <w:tc>
          <w:tcPr>
            <w:tcW w:w="851" w:type="dxa"/>
            <w:vAlign w:val="center"/>
          </w:tcPr>
          <w:p w14:paraId="496ED130" w14:textId="77777777" w:rsidR="00C21B34" w:rsidRPr="00DC769B" w:rsidRDefault="00C21B34" w:rsidP="006A6B58">
            <w:pPr>
              <w:spacing w:line="360" w:lineRule="auto"/>
              <w:jc w:val="center"/>
              <w:rPr>
                <w:sz w:val="18"/>
                <w:szCs w:val="18"/>
                <w:lang w:val="en-GB"/>
              </w:rPr>
            </w:pPr>
            <w:r w:rsidRPr="00DC769B">
              <w:rPr>
                <w:sz w:val="18"/>
                <w:szCs w:val="18"/>
                <w:lang w:val="en-GB"/>
              </w:rPr>
              <w:t>482</w:t>
            </w:r>
          </w:p>
        </w:tc>
        <w:tc>
          <w:tcPr>
            <w:tcW w:w="1827" w:type="dxa"/>
            <w:vMerge/>
          </w:tcPr>
          <w:p w14:paraId="3B5BFF52" w14:textId="77777777" w:rsidR="00C21B34" w:rsidRPr="00DC769B" w:rsidRDefault="00C21B34" w:rsidP="00037836">
            <w:pPr>
              <w:spacing w:line="360" w:lineRule="auto"/>
              <w:jc w:val="both"/>
              <w:rPr>
                <w:sz w:val="18"/>
                <w:szCs w:val="18"/>
                <w:lang w:val="en-GB"/>
              </w:rPr>
            </w:pPr>
          </w:p>
        </w:tc>
        <w:tc>
          <w:tcPr>
            <w:tcW w:w="724" w:type="dxa"/>
            <w:vMerge/>
          </w:tcPr>
          <w:p w14:paraId="535EC14F" w14:textId="77777777" w:rsidR="00C21B34" w:rsidRPr="00DC769B" w:rsidRDefault="00C21B34" w:rsidP="00037836">
            <w:pPr>
              <w:spacing w:line="360" w:lineRule="auto"/>
              <w:jc w:val="both"/>
              <w:rPr>
                <w:sz w:val="18"/>
                <w:szCs w:val="18"/>
                <w:lang w:val="en-GB"/>
              </w:rPr>
            </w:pPr>
          </w:p>
        </w:tc>
        <w:tc>
          <w:tcPr>
            <w:tcW w:w="1276" w:type="dxa"/>
            <w:vMerge/>
          </w:tcPr>
          <w:p w14:paraId="752AC957" w14:textId="77777777" w:rsidR="00C21B34" w:rsidRPr="00DC769B" w:rsidRDefault="00C21B34" w:rsidP="00037836">
            <w:pPr>
              <w:spacing w:line="360" w:lineRule="auto"/>
              <w:jc w:val="both"/>
              <w:rPr>
                <w:sz w:val="18"/>
                <w:szCs w:val="18"/>
                <w:lang w:val="en-GB"/>
              </w:rPr>
            </w:pPr>
          </w:p>
        </w:tc>
        <w:tc>
          <w:tcPr>
            <w:tcW w:w="1134" w:type="dxa"/>
            <w:vMerge/>
          </w:tcPr>
          <w:p w14:paraId="057B000D" w14:textId="77777777" w:rsidR="00C21B34" w:rsidRPr="00DC769B" w:rsidRDefault="00C21B34" w:rsidP="00037836">
            <w:pPr>
              <w:keepNext/>
              <w:spacing w:line="360" w:lineRule="auto"/>
              <w:jc w:val="both"/>
              <w:rPr>
                <w:sz w:val="18"/>
                <w:szCs w:val="18"/>
                <w:lang w:val="en-GB"/>
              </w:rPr>
            </w:pPr>
          </w:p>
        </w:tc>
      </w:tr>
      <w:tr w:rsidR="00C21B34" w:rsidRPr="00DC769B" w14:paraId="4C46F57B" w14:textId="77777777" w:rsidTr="006A6B58">
        <w:trPr>
          <w:trHeight w:val="149"/>
        </w:trPr>
        <w:tc>
          <w:tcPr>
            <w:tcW w:w="1135" w:type="dxa"/>
            <w:vMerge/>
          </w:tcPr>
          <w:p w14:paraId="38A943AF" w14:textId="77777777" w:rsidR="00C21B34" w:rsidRPr="00DC769B" w:rsidRDefault="00C21B34" w:rsidP="00037836">
            <w:pPr>
              <w:spacing w:line="360" w:lineRule="auto"/>
              <w:jc w:val="both"/>
              <w:rPr>
                <w:sz w:val="18"/>
                <w:szCs w:val="18"/>
                <w:lang w:val="en-GB"/>
              </w:rPr>
            </w:pPr>
          </w:p>
        </w:tc>
        <w:tc>
          <w:tcPr>
            <w:tcW w:w="1417" w:type="dxa"/>
            <w:vMerge/>
          </w:tcPr>
          <w:p w14:paraId="5096597B" w14:textId="77777777" w:rsidR="00C21B34" w:rsidRPr="00DC769B" w:rsidRDefault="00C21B34" w:rsidP="00037836">
            <w:pPr>
              <w:spacing w:line="360" w:lineRule="auto"/>
              <w:jc w:val="both"/>
              <w:rPr>
                <w:sz w:val="18"/>
                <w:szCs w:val="18"/>
                <w:lang w:val="en-GB"/>
              </w:rPr>
            </w:pPr>
          </w:p>
        </w:tc>
        <w:tc>
          <w:tcPr>
            <w:tcW w:w="2410" w:type="dxa"/>
            <w:vAlign w:val="center"/>
          </w:tcPr>
          <w:p w14:paraId="32F39369" w14:textId="77777777" w:rsidR="00C21B34" w:rsidRPr="00DC769B" w:rsidRDefault="00C21B34" w:rsidP="006A6B58">
            <w:pPr>
              <w:spacing w:line="360" w:lineRule="auto"/>
              <w:jc w:val="center"/>
              <w:rPr>
                <w:sz w:val="18"/>
                <w:szCs w:val="18"/>
                <w:lang w:val="en-GB"/>
              </w:rPr>
            </w:pPr>
            <w:r w:rsidRPr="00DC769B">
              <w:rPr>
                <w:sz w:val="18"/>
                <w:szCs w:val="18"/>
                <w:lang w:val="en-GB"/>
              </w:rPr>
              <w:t>Restatements</w:t>
            </w:r>
          </w:p>
        </w:tc>
        <w:tc>
          <w:tcPr>
            <w:tcW w:w="851" w:type="dxa"/>
            <w:vAlign w:val="center"/>
          </w:tcPr>
          <w:p w14:paraId="456AE0CF" w14:textId="77777777" w:rsidR="00C21B34" w:rsidRPr="00DC769B" w:rsidRDefault="00C21B34" w:rsidP="006A6B58">
            <w:pPr>
              <w:spacing w:line="360" w:lineRule="auto"/>
              <w:jc w:val="center"/>
              <w:rPr>
                <w:sz w:val="18"/>
                <w:szCs w:val="18"/>
                <w:lang w:val="en-GB"/>
              </w:rPr>
            </w:pPr>
            <w:r w:rsidRPr="00DC769B">
              <w:rPr>
                <w:sz w:val="18"/>
                <w:szCs w:val="18"/>
                <w:lang w:val="en-GB"/>
              </w:rPr>
              <w:t>384</w:t>
            </w:r>
          </w:p>
        </w:tc>
        <w:tc>
          <w:tcPr>
            <w:tcW w:w="1827" w:type="dxa"/>
            <w:vMerge/>
          </w:tcPr>
          <w:p w14:paraId="303F51D9" w14:textId="77777777" w:rsidR="00C21B34" w:rsidRPr="00DC769B" w:rsidRDefault="00C21B34" w:rsidP="00037836">
            <w:pPr>
              <w:spacing w:line="360" w:lineRule="auto"/>
              <w:jc w:val="both"/>
              <w:rPr>
                <w:sz w:val="18"/>
                <w:szCs w:val="18"/>
                <w:lang w:val="en-GB"/>
              </w:rPr>
            </w:pPr>
          </w:p>
        </w:tc>
        <w:tc>
          <w:tcPr>
            <w:tcW w:w="724" w:type="dxa"/>
            <w:vMerge/>
          </w:tcPr>
          <w:p w14:paraId="0833B3D9" w14:textId="77777777" w:rsidR="00C21B34" w:rsidRPr="00DC769B" w:rsidRDefault="00C21B34" w:rsidP="00037836">
            <w:pPr>
              <w:spacing w:line="360" w:lineRule="auto"/>
              <w:jc w:val="both"/>
              <w:rPr>
                <w:sz w:val="18"/>
                <w:szCs w:val="18"/>
                <w:lang w:val="en-GB"/>
              </w:rPr>
            </w:pPr>
          </w:p>
        </w:tc>
        <w:tc>
          <w:tcPr>
            <w:tcW w:w="1276" w:type="dxa"/>
            <w:vMerge/>
          </w:tcPr>
          <w:p w14:paraId="42874048" w14:textId="77777777" w:rsidR="00C21B34" w:rsidRPr="00DC769B" w:rsidRDefault="00C21B34" w:rsidP="00037836">
            <w:pPr>
              <w:spacing w:line="360" w:lineRule="auto"/>
              <w:jc w:val="both"/>
              <w:rPr>
                <w:sz w:val="18"/>
                <w:szCs w:val="18"/>
                <w:lang w:val="en-GB"/>
              </w:rPr>
            </w:pPr>
          </w:p>
        </w:tc>
        <w:tc>
          <w:tcPr>
            <w:tcW w:w="1134" w:type="dxa"/>
            <w:vMerge/>
          </w:tcPr>
          <w:p w14:paraId="59B9E9B0" w14:textId="77777777" w:rsidR="00C21B34" w:rsidRPr="00DC769B" w:rsidRDefault="00C21B34" w:rsidP="00037836">
            <w:pPr>
              <w:keepNext/>
              <w:spacing w:line="360" w:lineRule="auto"/>
              <w:jc w:val="both"/>
              <w:rPr>
                <w:sz w:val="18"/>
                <w:szCs w:val="18"/>
                <w:lang w:val="en-GB"/>
              </w:rPr>
            </w:pPr>
          </w:p>
        </w:tc>
      </w:tr>
    </w:tbl>
    <w:p w14:paraId="667C2459" w14:textId="77777777" w:rsidR="00C21B34" w:rsidRPr="00DC769B" w:rsidRDefault="00C21B34" w:rsidP="00C21B34">
      <w:pPr>
        <w:rPr>
          <w:sz w:val="18"/>
          <w:szCs w:val="18"/>
          <w:lang w:val="en-GB"/>
        </w:rPr>
      </w:pPr>
    </w:p>
    <w:p w14:paraId="736B5354" w14:textId="529D2F6D" w:rsidR="0017526D" w:rsidRPr="00C52621" w:rsidRDefault="0017526D" w:rsidP="00A726AB">
      <w:pPr>
        <w:pStyle w:val="Kop5"/>
      </w:pPr>
      <w:r w:rsidRPr="00C52621">
        <w:t xml:space="preserve">Table </w:t>
      </w:r>
      <w:r w:rsidR="00DF7A1A">
        <w:fldChar w:fldCharType="begin"/>
      </w:r>
      <w:r w:rsidR="00DF7A1A">
        <w:instrText xml:space="preserve"> SEQ Table \* ARABIC </w:instrText>
      </w:r>
      <w:r w:rsidR="00DF7A1A">
        <w:fldChar w:fldCharType="separate"/>
      </w:r>
      <w:r w:rsidR="004043A1">
        <w:rPr>
          <w:noProof/>
        </w:rPr>
        <w:t>6</w:t>
      </w:r>
      <w:r w:rsidR="00DF7A1A">
        <w:fldChar w:fldCharType="end"/>
      </w:r>
      <w:r w:rsidR="00DF7A1A">
        <w:t>: S</w:t>
      </w:r>
      <w:r w:rsidR="00D25F27" w:rsidRPr="00C52621">
        <w:t>ubsamples hypothesis 5</w:t>
      </w:r>
    </w:p>
    <w:tbl>
      <w:tblPr>
        <w:tblStyle w:val="Tabelraster"/>
        <w:tblW w:w="10774" w:type="dxa"/>
        <w:tblInd w:w="-743" w:type="dxa"/>
        <w:tblLayout w:type="fixed"/>
        <w:tblLook w:val="04A0" w:firstRow="1" w:lastRow="0" w:firstColumn="1" w:lastColumn="0" w:noHBand="0" w:noVBand="1"/>
      </w:tblPr>
      <w:tblGrid>
        <w:gridCol w:w="1135"/>
        <w:gridCol w:w="1417"/>
        <w:gridCol w:w="2410"/>
        <w:gridCol w:w="851"/>
        <w:gridCol w:w="1827"/>
        <w:gridCol w:w="724"/>
        <w:gridCol w:w="1276"/>
        <w:gridCol w:w="1134"/>
      </w:tblGrid>
      <w:tr w:rsidR="00E47E93" w:rsidRPr="00DC769B" w14:paraId="43EDCD81" w14:textId="77777777" w:rsidTr="00037836">
        <w:trPr>
          <w:trHeight w:val="149"/>
        </w:trPr>
        <w:tc>
          <w:tcPr>
            <w:tcW w:w="10774" w:type="dxa"/>
            <w:gridSpan w:val="8"/>
          </w:tcPr>
          <w:p w14:paraId="3F308868" w14:textId="5EE7F1FF" w:rsidR="00E47E93" w:rsidRPr="00DC769B" w:rsidRDefault="00E47E93" w:rsidP="00E47E93">
            <w:pPr>
              <w:keepNext/>
              <w:spacing w:line="360" w:lineRule="auto"/>
              <w:jc w:val="center"/>
              <w:rPr>
                <w:b/>
                <w:lang w:val="en-GB"/>
              </w:rPr>
            </w:pPr>
            <w:r w:rsidRPr="00DC769B">
              <w:rPr>
                <w:b/>
                <w:lang w:val="en-GB"/>
              </w:rPr>
              <w:t>Hypothesis 4</w:t>
            </w:r>
          </w:p>
        </w:tc>
      </w:tr>
      <w:tr w:rsidR="00E47E93" w:rsidRPr="00DC769B" w14:paraId="10DB7120" w14:textId="77777777" w:rsidTr="006A6B58">
        <w:trPr>
          <w:trHeight w:val="149"/>
        </w:trPr>
        <w:tc>
          <w:tcPr>
            <w:tcW w:w="1135" w:type="dxa"/>
            <w:vAlign w:val="center"/>
          </w:tcPr>
          <w:p w14:paraId="334CE1FE" w14:textId="0DBF8157" w:rsidR="00E47E93" w:rsidRPr="00DC769B" w:rsidRDefault="00E47E93" w:rsidP="006A6B58">
            <w:pPr>
              <w:spacing w:line="360" w:lineRule="auto"/>
              <w:jc w:val="center"/>
              <w:rPr>
                <w:b/>
                <w:sz w:val="18"/>
                <w:szCs w:val="18"/>
                <w:lang w:val="en-GB"/>
              </w:rPr>
            </w:pPr>
            <w:r w:rsidRPr="00DC769B">
              <w:rPr>
                <w:b/>
                <w:sz w:val="18"/>
                <w:szCs w:val="18"/>
                <w:lang w:val="en-GB"/>
              </w:rPr>
              <w:t>Hypothesis</w:t>
            </w:r>
          </w:p>
        </w:tc>
        <w:tc>
          <w:tcPr>
            <w:tcW w:w="1417" w:type="dxa"/>
            <w:vAlign w:val="center"/>
          </w:tcPr>
          <w:p w14:paraId="27869F9F" w14:textId="06D1A699" w:rsidR="00E47E93" w:rsidRPr="00DC769B" w:rsidRDefault="00E47E93" w:rsidP="006A6B58">
            <w:pPr>
              <w:spacing w:line="360" w:lineRule="auto"/>
              <w:jc w:val="center"/>
              <w:rPr>
                <w:b/>
                <w:sz w:val="18"/>
                <w:szCs w:val="18"/>
                <w:lang w:val="en-GB"/>
              </w:rPr>
            </w:pPr>
            <w:r w:rsidRPr="00DC769B">
              <w:rPr>
                <w:b/>
                <w:sz w:val="18"/>
                <w:szCs w:val="18"/>
                <w:lang w:val="en-GB"/>
              </w:rPr>
              <w:t>Total records</w:t>
            </w:r>
          </w:p>
        </w:tc>
        <w:tc>
          <w:tcPr>
            <w:tcW w:w="3261" w:type="dxa"/>
            <w:gridSpan w:val="2"/>
            <w:vAlign w:val="center"/>
          </w:tcPr>
          <w:p w14:paraId="740FCE93" w14:textId="76681A49" w:rsidR="00E47E93" w:rsidRPr="00DC769B" w:rsidRDefault="00E47E93" w:rsidP="006A6B58">
            <w:pPr>
              <w:spacing w:line="360" w:lineRule="auto"/>
              <w:jc w:val="center"/>
              <w:rPr>
                <w:b/>
                <w:sz w:val="18"/>
                <w:szCs w:val="18"/>
                <w:lang w:val="en-GB"/>
              </w:rPr>
            </w:pPr>
            <w:r w:rsidRPr="00DC769B">
              <w:rPr>
                <w:b/>
                <w:sz w:val="18"/>
                <w:szCs w:val="18"/>
                <w:lang w:val="en-GB"/>
              </w:rPr>
              <w:t>X Variable subtotal</w:t>
            </w:r>
          </w:p>
        </w:tc>
        <w:tc>
          <w:tcPr>
            <w:tcW w:w="2551" w:type="dxa"/>
            <w:gridSpan w:val="2"/>
            <w:vAlign w:val="center"/>
          </w:tcPr>
          <w:p w14:paraId="25CE276C" w14:textId="0ACA5F99" w:rsidR="00E47E93" w:rsidRPr="00DC769B" w:rsidRDefault="00E47E93" w:rsidP="006A6B58">
            <w:pPr>
              <w:spacing w:line="360" w:lineRule="auto"/>
              <w:jc w:val="center"/>
              <w:rPr>
                <w:b/>
                <w:sz w:val="18"/>
                <w:szCs w:val="18"/>
                <w:lang w:val="en-GB"/>
              </w:rPr>
            </w:pPr>
            <w:r w:rsidRPr="00DC769B">
              <w:rPr>
                <w:b/>
                <w:sz w:val="18"/>
                <w:szCs w:val="18"/>
                <w:lang w:val="en-GB"/>
              </w:rPr>
              <w:t>Y Variable subtotal</w:t>
            </w:r>
          </w:p>
        </w:tc>
        <w:tc>
          <w:tcPr>
            <w:tcW w:w="1276" w:type="dxa"/>
            <w:vAlign w:val="center"/>
          </w:tcPr>
          <w:p w14:paraId="70CB1DF8" w14:textId="10C22E8D" w:rsidR="00E47E93" w:rsidRPr="00DC769B" w:rsidRDefault="00E47E93" w:rsidP="006A6B58">
            <w:pPr>
              <w:spacing w:line="360" w:lineRule="auto"/>
              <w:jc w:val="center"/>
              <w:rPr>
                <w:b/>
                <w:sz w:val="18"/>
                <w:szCs w:val="18"/>
                <w:lang w:val="en-GB"/>
              </w:rPr>
            </w:pPr>
            <w:r w:rsidRPr="00DC769B">
              <w:rPr>
                <w:b/>
                <w:sz w:val="18"/>
                <w:szCs w:val="18"/>
                <w:lang w:val="en-GB"/>
              </w:rPr>
              <w:t>Unique firms</w:t>
            </w:r>
          </w:p>
        </w:tc>
        <w:tc>
          <w:tcPr>
            <w:tcW w:w="1134" w:type="dxa"/>
            <w:vAlign w:val="center"/>
          </w:tcPr>
          <w:p w14:paraId="3B4994BA" w14:textId="04809305" w:rsidR="00E47E93" w:rsidRPr="00DC769B" w:rsidRDefault="00E47E93" w:rsidP="006A6B58">
            <w:pPr>
              <w:keepNext/>
              <w:spacing w:line="360" w:lineRule="auto"/>
              <w:jc w:val="center"/>
              <w:rPr>
                <w:b/>
                <w:sz w:val="18"/>
                <w:szCs w:val="18"/>
                <w:lang w:val="en-GB"/>
              </w:rPr>
            </w:pPr>
            <w:r w:rsidRPr="00DC769B">
              <w:rPr>
                <w:b/>
                <w:sz w:val="18"/>
                <w:szCs w:val="18"/>
                <w:lang w:val="en-GB"/>
              </w:rPr>
              <w:t>Years</w:t>
            </w:r>
          </w:p>
        </w:tc>
      </w:tr>
      <w:tr w:rsidR="002D008B" w:rsidRPr="00DC769B" w14:paraId="2C15EE40" w14:textId="77777777" w:rsidTr="006A6B58">
        <w:trPr>
          <w:trHeight w:val="149"/>
        </w:trPr>
        <w:tc>
          <w:tcPr>
            <w:tcW w:w="1135" w:type="dxa"/>
            <w:vMerge w:val="restart"/>
            <w:vAlign w:val="center"/>
          </w:tcPr>
          <w:p w14:paraId="2B5EBB7A" w14:textId="77777777" w:rsidR="002D008B" w:rsidRPr="00DC769B" w:rsidRDefault="002D008B" w:rsidP="006A6B58">
            <w:pPr>
              <w:spacing w:line="360" w:lineRule="auto"/>
              <w:jc w:val="center"/>
              <w:rPr>
                <w:sz w:val="18"/>
                <w:szCs w:val="18"/>
                <w:lang w:val="en-GB"/>
              </w:rPr>
            </w:pPr>
            <w:r w:rsidRPr="00DC769B">
              <w:rPr>
                <w:sz w:val="18"/>
                <w:szCs w:val="18"/>
                <w:lang w:val="en-GB"/>
              </w:rPr>
              <w:t>4</w:t>
            </w:r>
          </w:p>
        </w:tc>
        <w:tc>
          <w:tcPr>
            <w:tcW w:w="1417" w:type="dxa"/>
            <w:vMerge w:val="restart"/>
            <w:vAlign w:val="center"/>
          </w:tcPr>
          <w:p w14:paraId="6C4B0372" w14:textId="77777777" w:rsidR="002D008B" w:rsidRPr="00DC769B" w:rsidRDefault="002D008B" w:rsidP="006A6B58">
            <w:pPr>
              <w:spacing w:line="360" w:lineRule="auto"/>
              <w:jc w:val="center"/>
              <w:rPr>
                <w:sz w:val="18"/>
                <w:szCs w:val="18"/>
                <w:lang w:val="en-GB"/>
              </w:rPr>
            </w:pPr>
            <w:r w:rsidRPr="00DC769B">
              <w:rPr>
                <w:sz w:val="18"/>
                <w:szCs w:val="18"/>
                <w:lang w:val="en-GB"/>
              </w:rPr>
              <w:t>4950</w:t>
            </w:r>
          </w:p>
        </w:tc>
        <w:tc>
          <w:tcPr>
            <w:tcW w:w="2410" w:type="dxa"/>
            <w:vAlign w:val="center"/>
          </w:tcPr>
          <w:p w14:paraId="14D01B3C" w14:textId="77777777" w:rsidR="002D008B" w:rsidRPr="00DC769B" w:rsidRDefault="002D008B" w:rsidP="006A6B58">
            <w:pPr>
              <w:spacing w:line="360" w:lineRule="auto"/>
              <w:jc w:val="center"/>
              <w:rPr>
                <w:sz w:val="18"/>
                <w:szCs w:val="18"/>
                <w:lang w:val="en-GB"/>
              </w:rPr>
            </w:pPr>
            <w:r w:rsidRPr="00DC769B">
              <w:rPr>
                <w:sz w:val="18"/>
                <w:szCs w:val="18"/>
                <w:lang w:val="en-GB"/>
              </w:rPr>
              <w:t>0% - 10% Equity</w:t>
            </w:r>
          </w:p>
        </w:tc>
        <w:tc>
          <w:tcPr>
            <w:tcW w:w="851" w:type="dxa"/>
            <w:vAlign w:val="center"/>
          </w:tcPr>
          <w:p w14:paraId="0EB19927" w14:textId="77777777" w:rsidR="002D008B" w:rsidRPr="00DC769B" w:rsidRDefault="002D008B" w:rsidP="006A6B58">
            <w:pPr>
              <w:spacing w:line="360" w:lineRule="auto"/>
              <w:jc w:val="center"/>
              <w:rPr>
                <w:sz w:val="18"/>
                <w:szCs w:val="18"/>
                <w:lang w:val="en-GB"/>
              </w:rPr>
            </w:pPr>
            <w:r w:rsidRPr="00DC769B">
              <w:rPr>
                <w:sz w:val="18"/>
                <w:szCs w:val="18"/>
                <w:lang w:val="en-GB"/>
              </w:rPr>
              <w:t>452</w:t>
            </w:r>
          </w:p>
        </w:tc>
        <w:tc>
          <w:tcPr>
            <w:tcW w:w="1827" w:type="dxa"/>
            <w:vMerge w:val="restart"/>
            <w:vAlign w:val="center"/>
          </w:tcPr>
          <w:p w14:paraId="4E4D242A" w14:textId="77777777" w:rsidR="002D008B" w:rsidRPr="00DC769B" w:rsidRDefault="002D008B" w:rsidP="008107EC">
            <w:pPr>
              <w:spacing w:line="360" w:lineRule="auto"/>
              <w:jc w:val="center"/>
              <w:rPr>
                <w:sz w:val="18"/>
                <w:szCs w:val="18"/>
                <w:lang w:val="en-GB"/>
              </w:rPr>
            </w:pPr>
            <w:r w:rsidRPr="00DC769B">
              <w:rPr>
                <w:sz w:val="18"/>
                <w:szCs w:val="18"/>
                <w:lang w:val="en-GB"/>
              </w:rPr>
              <w:t>Stock performance</w:t>
            </w:r>
          </w:p>
        </w:tc>
        <w:tc>
          <w:tcPr>
            <w:tcW w:w="724" w:type="dxa"/>
            <w:vMerge w:val="restart"/>
            <w:vAlign w:val="center"/>
          </w:tcPr>
          <w:p w14:paraId="0071458A" w14:textId="77777777" w:rsidR="002D008B" w:rsidRPr="00DC769B" w:rsidRDefault="002D008B" w:rsidP="006A6B58">
            <w:pPr>
              <w:spacing w:line="360" w:lineRule="auto"/>
              <w:jc w:val="center"/>
              <w:rPr>
                <w:sz w:val="18"/>
                <w:szCs w:val="18"/>
                <w:lang w:val="en-GB"/>
              </w:rPr>
            </w:pPr>
            <w:r w:rsidRPr="00DC769B">
              <w:rPr>
                <w:sz w:val="18"/>
                <w:szCs w:val="18"/>
                <w:lang w:val="en-GB"/>
              </w:rPr>
              <w:t>4950</w:t>
            </w:r>
          </w:p>
        </w:tc>
        <w:tc>
          <w:tcPr>
            <w:tcW w:w="1276" w:type="dxa"/>
            <w:vMerge w:val="restart"/>
            <w:vAlign w:val="center"/>
          </w:tcPr>
          <w:p w14:paraId="1485704A" w14:textId="77777777" w:rsidR="002D008B" w:rsidRPr="00DC769B" w:rsidRDefault="002D008B" w:rsidP="006A6B58">
            <w:pPr>
              <w:spacing w:line="360" w:lineRule="auto"/>
              <w:jc w:val="center"/>
              <w:rPr>
                <w:sz w:val="18"/>
                <w:szCs w:val="18"/>
                <w:lang w:val="en-GB"/>
              </w:rPr>
            </w:pPr>
            <w:r w:rsidRPr="00DC769B">
              <w:rPr>
                <w:sz w:val="18"/>
                <w:szCs w:val="18"/>
                <w:lang w:val="en-GB"/>
              </w:rPr>
              <w:t>1036</w:t>
            </w:r>
          </w:p>
        </w:tc>
        <w:tc>
          <w:tcPr>
            <w:tcW w:w="1134" w:type="dxa"/>
            <w:vMerge w:val="restart"/>
            <w:vAlign w:val="center"/>
          </w:tcPr>
          <w:p w14:paraId="5E31805A" w14:textId="77777777" w:rsidR="002D008B" w:rsidRPr="00DC769B" w:rsidRDefault="002D008B" w:rsidP="006A6B58">
            <w:pPr>
              <w:keepNext/>
              <w:spacing w:line="360" w:lineRule="auto"/>
              <w:jc w:val="center"/>
              <w:rPr>
                <w:sz w:val="18"/>
                <w:szCs w:val="18"/>
                <w:lang w:val="en-GB"/>
              </w:rPr>
            </w:pPr>
            <w:r w:rsidRPr="00DC769B">
              <w:rPr>
                <w:sz w:val="18"/>
                <w:szCs w:val="18"/>
                <w:lang w:val="en-GB"/>
              </w:rPr>
              <w:t>2006-2014</w:t>
            </w:r>
          </w:p>
        </w:tc>
      </w:tr>
      <w:tr w:rsidR="002D008B" w:rsidRPr="00DC769B" w14:paraId="54DC4723" w14:textId="77777777" w:rsidTr="006A6B58">
        <w:trPr>
          <w:trHeight w:val="149"/>
        </w:trPr>
        <w:tc>
          <w:tcPr>
            <w:tcW w:w="1135" w:type="dxa"/>
            <w:vMerge/>
          </w:tcPr>
          <w:p w14:paraId="6061DE78" w14:textId="77777777" w:rsidR="002D008B" w:rsidRPr="00DC769B" w:rsidRDefault="002D008B" w:rsidP="00037836">
            <w:pPr>
              <w:spacing w:line="360" w:lineRule="auto"/>
              <w:jc w:val="both"/>
              <w:rPr>
                <w:sz w:val="18"/>
                <w:szCs w:val="18"/>
                <w:lang w:val="en-GB"/>
              </w:rPr>
            </w:pPr>
          </w:p>
        </w:tc>
        <w:tc>
          <w:tcPr>
            <w:tcW w:w="1417" w:type="dxa"/>
            <w:vMerge/>
          </w:tcPr>
          <w:p w14:paraId="25A09DE7" w14:textId="77777777" w:rsidR="002D008B" w:rsidRPr="00DC769B" w:rsidRDefault="002D008B" w:rsidP="00037836">
            <w:pPr>
              <w:spacing w:line="360" w:lineRule="auto"/>
              <w:jc w:val="both"/>
              <w:rPr>
                <w:sz w:val="18"/>
                <w:szCs w:val="18"/>
                <w:lang w:val="en-GB"/>
              </w:rPr>
            </w:pPr>
          </w:p>
        </w:tc>
        <w:tc>
          <w:tcPr>
            <w:tcW w:w="2410" w:type="dxa"/>
            <w:vAlign w:val="center"/>
          </w:tcPr>
          <w:p w14:paraId="1DD66782" w14:textId="77777777" w:rsidR="002D008B" w:rsidRPr="00DC769B" w:rsidRDefault="002D008B" w:rsidP="006A6B58">
            <w:pPr>
              <w:spacing w:line="360" w:lineRule="auto"/>
              <w:jc w:val="center"/>
              <w:rPr>
                <w:sz w:val="18"/>
                <w:szCs w:val="18"/>
                <w:lang w:val="en-GB"/>
              </w:rPr>
            </w:pPr>
            <w:r w:rsidRPr="00DC769B">
              <w:rPr>
                <w:sz w:val="18"/>
                <w:szCs w:val="18"/>
                <w:lang w:val="en-GB"/>
              </w:rPr>
              <w:t>10% - 20% Equity</w:t>
            </w:r>
          </w:p>
        </w:tc>
        <w:tc>
          <w:tcPr>
            <w:tcW w:w="851" w:type="dxa"/>
            <w:vAlign w:val="center"/>
          </w:tcPr>
          <w:p w14:paraId="454DAFBB" w14:textId="77777777" w:rsidR="002D008B" w:rsidRPr="00DC769B" w:rsidRDefault="002D008B" w:rsidP="006A6B58">
            <w:pPr>
              <w:spacing w:line="360" w:lineRule="auto"/>
              <w:jc w:val="center"/>
              <w:rPr>
                <w:sz w:val="18"/>
                <w:szCs w:val="18"/>
                <w:lang w:val="en-GB"/>
              </w:rPr>
            </w:pPr>
            <w:r w:rsidRPr="00DC769B">
              <w:rPr>
                <w:sz w:val="18"/>
                <w:szCs w:val="18"/>
                <w:lang w:val="en-GB"/>
              </w:rPr>
              <w:t>191</w:t>
            </w:r>
          </w:p>
        </w:tc>
        <w:tc>
          <w:tcPr>
            <w:tcW w:w="1827" w:type="dxa"/>
            <w:vMerge/>
          </w:tcPr>
          <w:p w14:paraId="505B7A0A" w14:textId="77777777" w:rsidR="002D008B" w:rsidRPr="00DC769B" w:rsidRDefault="002D008B" w:rsidP="00037836">
            <w:pPr>
              <w:spacing w:line="360" w:lineRule="auto"/>
              <w:jc w:val="both"/>
              <w:rPr>
                <w:sz w:val="18"/>
                <w:szCs w:val="18"/>
                <w:lang w:val="en-GB"/>
              </w:rPr>
            </w:pPr>
          </w:p>
        </w:tc>
        <w:tc>
          <w:tcPr>
            <w:tcW w:w="724" w:type="dxa"/>
            <w:vMerge/>
          </w:tcPr>
          <w:p w14:paraId="6065BB0E" w14:textId="77777777" w:rsidR="002D008B" w:rsidRPr="00DC769B" w:rsidRDefault="002D008B" w:rsidP="00037836">
            <w:pPr>
              <w:spacing w:line="360" w:lineRule="auto"/>
              <w:jc w:val="both"/>
              <w:rPr>
                <w:sz w:val="18"/>
                <w:szCs w:val="18"/>
                <w:lang w:val="en-GB"/>
              </w:rPr>
            </w:pPr>
          </w:p>
        </w:tc>
        <w:tc>
          <w:tcPr>
            <w:tcW w:w="1276" w:type="dxa"/>
            <w:vMerge/>
          </w:tcPr>
          <w:p w14:paraId="39C5F7BB" w14:textId="77777777" w:rsidR="002D008B" w:rsidRPr="00DC769B" w:rsidRDefault="002D008B" w:rsidP="00037836">
            <w:pPr>
              <w:spacing w:line="360" w:lineRule="auto"/>
              <w:jc w:val="both"/>
              <w:rPr>
                <w:sz w:val="18"/>
                <w:szCs w:val="18"/>
                <w:lang w:val="en-GB"/>
              </w:rPr>
            </w:pPr>
          </w:p>
        </w:tc>
        <w:tc>
          <w:tcPr>
            <w:tcW w:w="1134" w:type="dxa"/>
            <w:vMerge/>
          </w:tcPr>
          <w:p w14:paraId="7ABD8D22" w14:textId="77777777" w:rsidR="002D008B" w:rsidRPr="00DC769B" w:rsidRDefault="002D008B" w:rsidP="00037836">
            <w:pPr>
              <w:keepNext/>
              <w:spacing w:line="360" w:lineRule="auto"/>
              <w:jc w:val="both"/>
              <w:rPr>
                <w:sz w:val="18"/>
                <w:szCs w:val="18"/>
                <w:lang w:val="en-GB"/>
              </w:rPr>
            </w:pPr>
          </w:p>
        </w:tc>
      </w:tr>
      <w:tr w:rsidR="002D008B" w:rsidRPr="00DC769B" w14:paraId="3F6070EE" w14:textId="77777777" w:rsidTr="006A6B58">
        <w:trPr>
          <w:trHeight w:val="149"/>
        </w:trPr>
        <w:tc>
          <w:tcPr>
            <w:tcW w:w="1135" w:type="dxa"/>
            <w:vMerge/>
          </w:tcPr>
          <w:p w14:paraId="21A1F83C" w14:textId="77777777" w:rsidR="002D008B" w:rsidRPr="00DC769B" w:rsidRDefault="002D008B" w:rsidP="00037836">
            <w:pPr>
              <w:spacing w:line="360" w:lineRule="auto"/>
              <w:jc w:val="both"/>
              <w:rPr>
                <w:sz w:val="18"/>
                <w:szCs w:val="18"/>
                <w:lang w:val="en-GB"/>
              </w:rPr>
            </w:pPr>
          </w:p>
        </w:tc>
        <w:tc>
          <w:tcPr>
            <w:tcW w:w="1417" w:type="dxa"/>
            <w:vMerge/>
          </w:tcPr>
          <w:p w14:paraId="5DBCEC90" w14:textId="77777777" w:rsidR="002D008B" w:rsidRPr="00DC769B" w:rsidRDefault="002D008B" w:rsidP="00037836">
            <w:pPr>
              <w:spacing w:line="360" w:lineRule="auto"/>
              <w:jc w:val="both"/>
              <w:rPr>
                <w:sz w:val="18"/>
                <w:szCs w:val="18"/>
                <w:lang w:val="en-GB"/>
              </w:rPr>
            </w:pPr>
          </w:p>
        </w:tc>
        <w:tc>
          <w:tcPr>
            <w:tcW w:w="2410" w:type="dxa"/>
            <w:vAlign w:val="center"/>
          </w:tcPr>
          <w:p w14:paraId="33CC3731" w14:textId="77777777" w:rsidR="002D008B" w:rsidRPr="00DC769B" w:rsidRDefault="002D008B" w:rsidP="006A6B58">
            <w:pPr>
              <w:spacing w:line="360" w:lineRule="auto"/>
              <w:jc w:val="center"/>
              <w:rPr>
                <w:sz w:val="18"/>
                <w:szCs w:val="18"/>
                <w:lang w:val="en-GB"/>
              </w:rPr>
            </w:pPr>
            <w:r w:rsidRPr="00DC769B">
              <w:rPr>
                <w:sz w:val="18"/>
                <w:szCs w:val="18"/>
                <w:lang w:val="en-GB"/>
              </w:rPr>
              <w:t>20% - 30% Equity</w:t>
            </w:r>
          </w:p>
        </w:tc>
        <w:tc>
          <w:tcPr>
            <w:tcW w:w="851" w:type="dxa"/>
            <w:vAlign w:val="center"/>
          </w:tcPr>
          <w:p w14:paraId="3C6E1556" w14:textId="77777777" w:rsidR="002D008B" w:rsidRPr="00DC769B" w:rsidRDefault="002D008B" w:rsidP="006A6B58">
            <w:pPr>
              <w:spacing w:line="360" w:lineRule="auto"/>
              <w:jc w:val="center"/>
              <w:rPr>
                <w:sz w:val="18"/>
                <w:szCs w:val="18"/>
                <w:lang w:val="en-GB"/>
              </w:rPr>
            </w:pPr>
            <w:r w:rsidRPr="00DC769B">
              <w:rPr>
                <w:sz w:val="18"/>
                <w:szCs w:val="18"/>
                <w:lang w:val="en-GB"/>
              </w:rPr>
              <w:t>222</w:t>
            </w:r>
          </w:p>
        </w:tc>
        <w:tc>
          <w:tcPr>
            <w:tcW w:w="1827" w:type="dxa"/>
            <w:vMerge/>
          </w:tcPr>
          <w:p w14:paraId="66356978" w14:textId="77777777" w:rsidR="002D008B" w:rsidRPr="00DC769B" w:rsidRDefault="002D008B" w:rsidP="00037836">
            <w:pPr>
              <w:spacing w:line="360" w:lineRule="auto"/>
              <w:jc w:val="both"/>
              <w:rPr>
                <w:sz w:val="18"/>
                <w:szCs w:val="18"/>
                <w:lang w:val="en-GB"/>
              </w:rPr>
            </w:pPr>
          </w:p>
        </w:tc>
        <w:tc>
          <w:tcPr>
            <w:tcW w:w="724" w:type="dxa"/>
            <w:vMerge/>
          </w:tcPr>
          <w:p w14:paraId="2A1C09A5" w14:textId="77777777" w:rsidR="002D008B" w:rsidRPr="00DC769B" w:rsidRDefault="002D008B" w:rsidP="00037836">
            <w:pPr>
              <w:spacing w:line="360" w:lineRule="auto"/>
              <w:jc w:val="both"/>
              <w:rPr>
                <w:sz w:val="18"/>
                <w:szCs w:val="18"/>
                <w:lang w:val="en-GB"/>
              </w:rPr>
            </w:pPr>
          </w:p>
        </w:tc>
        <w:tc>
          <w:tcPr>
            <w:tcW w:w="1276" w:type="dxa"/>
            <w:vMerge/>
          </w:tcPr>
          <w:p w14:paraId="10AACBBF" w14:textId="77777777" w:rsidR="002D008B" w:rsidRPr="00DC769B" w:rsidRDefault="002D008B" w:rsidP="00037836">
            <w:pPr>
              <w:spacing w:line="360" w:lineRule="auto"/>
              <w:jc w:val="both"/>
              <w:rPr>
                <w:sz w:val="18"/>
                <w:szCs w:val="18"/>
                <w:lang w:val="en-GB"/>
              </w:rPr>
            </w:pPr>
          </w:p>
        </w:tc>
        <w:tc>
          <w:tcPr>
            <w:tcW w:w="1134" w:type="dxa"/>
            <w:vMerge/>
          </w:tcPr>
          <w:p w14:paraId="035718D6" w14:textId="77777777" w:rsidR="002D008B" w:rsidRPr="00DC769B" w:rsidRDefault="002D008B" w:rsidP="00037836">
            <w:pPr>
              <w:keepNext/>
              <w:spacing w:line="360" w:lineRule="auto"/>
              <w:jc w:val="both"/>
              <w:rPr>
                <w:sz w:val="18"/>
                <w:szCs w:val="18"/>
                <w:lang w:val="en-GB"/>
              </w:rPr>
            </w:pPr>
          </w:p>
        </w:tc>
      </w:tr>
      <w:tr w:rsidR="002D008B" w:rsidRPr="00DC769B" w14:paraId="338ECB69" w14:textId="77777777" w:rsidTr="006A6B58">
        <w:trPr>
          <w:trHeight w:val="149"/>
        </w:trPr>
        <w:tc>
          <w:tcPr>
            <w:tcW w:w="1135" w:type="dxa"/>
            <w:vMerge/>
          </w:tcPr>
          <w:p w14:paraId="71D93439" w14:textId="77777777" w:rsidR="002D008B" w:rsidRPr="00DC769B" w:rsidRDefault="002D008B" w:rsidP="00037836">
            <w:pPr>
              <w:spacing w:line="360" w:lineRule="auto"/>
              <w:jc w:val="both"/>
              <w:rPr>
                <w:sz w:val="18"/>
                <w:szCs w:val="18"/>
                <w:lang w:val="en-GB"/>
              </w:rPr>
            </w:pPr>
          </w:p>
        </w:tc>
        <w:tc>
          <w:tcPr>
            <w:tcW w:w="1417" w:type="dxa"/>
            <w:vMerge/>
          </w:tcPr>
          <w:p w14:paraId="34B55FC6" w14:textId="77777777" w:rsidR="002D008B" w:rsidRPr="00DC769B" w:rsidRDefault="002D008B" w:rsidP="00037836">
            <w:pPr>
              <w:spacing w:line="360" w:lineRule="auto"/>
              <w:jc w:val="both"/>
              <w:rPr>
                <w:sz w:val="18"/>
                <w:szCs w:val="18"/>
                <w:lang w:val="en-GB"/>
              </w:rPr>
            </w:pPr>
          </w:p>
        </w:tc>
        <w:tc>
          <w:tcPr>
            <w:tcW w:w="2410" w:type="dxa"/>
            <w:vAlign w:val="center"/>
          </w:tcPr>
          <w:p w14:paraId="2D280C84" w14:textId="77777777" w:rsidR="002D008B" w:rsidRPr="00DC769B" w:rsidRDefault="002D008B" w:rsidP="006A6B58">
            <w:pPr>
              <w:spacing w:line="360" w:lineRule="auto"/>
              <w:jc w:val="center"/>
              <w:rPr>
                <w:sz w:val="18"/>
                <w:szCs w:val="18"/>
                <w:lang w:val="en-GB"/>
              </w:rPr>
            </w:pPr>
            <w:r w:rsidRPr="00DC769B">
              <w:rPr>
                <w:sz w:val="18"/>
                <w:szCs w:val="18"/>
                <w:lang w:val="en-GB"/>
              </w:rPr>
              <w:t>30% - 40% Equity</w:t>
            </w:r>
          </w:p>
        </w:tc>
        <w:tc>
          <w:tcPr>
            <w:tcW w:w="851" w:type="dxa"/>
            <w:vAlign w:val="center"/>
          </w:tcPr>
          <w:p w14:paraId="7474F8C5" w14:textId="77777777" w:rsidR="002D008B" w:rsidRPr="00DC769B" w:rsidRDefault="002D008B" w:rsidP="006A6B58">
            <w:pPr>
              <w:spacing w:line="360" w:lineRule="auto"/>
              <w:jc w:val="center"/>
              <w:rPr>
                <w:sz w:val="18"/>
                <w:szCs w:val="18"/>
                <w:lang w:val="en-GB"/>
              </w:rPr>
            </w:pPr>
            <w:r w:rsidRPr="00DC769B">
              <w:rPr>
                <w:sz w:val="18"/>
                <w:szCs w:val="18"/>
                <w:lang w:val="en-GB"/>
              </w:rPr>
              <w:t>296</w:t>
            </w:r>
          </w:p>
        </w:tc>
        <w:tc>
          <w:tcPr>
            <w:tcW w:w="1827" w:type="dxa"/>
            <w:vMerge/>
          </w:tcPr>
          <w:p w14:paraId="46788F15" w14:textId="77777777" w:rsidR="002D008B" w:rsidRPr="00DC769B" w:rsidRDefault="002D008B" w:rsidP="00037836">
            <w:pPr>
              <w:spacing w:line="360" w:lineRule="auto"/>
              <w:jc w:val="both"/>
              <w:rPr>
                <w:sz w:val="18"/>
                <w:szCs w:val="18"/>
                <w:lang w:val="en-GB"/>
              </w:rPr>
            </w:pPr>
          </w:p>
        </w:tc>
        <w:tc>
          <w:tcPr>
            <w:tcW w:w="724" w:type="dxa"/>
            <w:vMerge/>
          </w:tcPr>
          <w:p w14:paraId="1A15F9AA" w14:textId="77777777" w:rsidR="002D008B" w:rsidRPr="00DC769B" w:rsidRDefault="002D008B" w:rsidP="00037836">
            <w:pPr>
              <w:spacing w:line="360" w:lineRule="auto"/>
              <w:jc w:val="both"/>
              <w:rPr>
                <w:sz w:val="18"/>
                <w:szCs w:val="18"/>
                <w:lang w:val="en-GB"/>
              </w:rPr>
            </w:pPr>
          </w:p>
        </w:tc>
        <w:tc>
          <w:tcPr>
            <w:tcW w:w="1276" w:type="dxa"/>
            <w:vMerge/>
          </w:tcPr>
          <w:p w14:paraId="5817AAD9" w14:textId="77777777" w:rsidR="002D008B" w:rsidRPr="00DC769B" w:rsidRDefault="002D008B" w:rsidP="00037836">
            <w:pPr>
              <w:spacing w:line="360" w:lineRule="auto"/>
              <w:jc w:val="both"/>
              <w:rPr>
                <w:sz w:val="18"/>
                <w:szCs w:val="18"/>
                <w:lang w:val="en-GB"/>
              </w:rPr>
            </w:pPr>
          </w:p>
        </w:tc>
        <w:tc>
          <w:tcPr>
            <w:tcW w:w="1134" w:type="dxa"/>
            <w:vMerge/>
          </w:tcPr>
          <w:p w14:paraId="1F023A99" w14:textId="77777777" w:rsidR="002D008B" w:rsidRPr="00DC769B" w:rsidRDefault="002D008B" w:rsidP="00037836">
            <w:pPr>
              <w:keepNext/>
              <w:spacing w:line="360" w:lineRule="auto"/>
              <w:jc w:val="both"/>
              <w:rPr>
                <w:sz w:val="18"/>
                <w:szCs w:val="18"/>
                <w:lang w:val="en-GB"/>
              </w:rPr>
            </w:pPr>
          </w:p>
        </w:tc>
      </w:tr>
      <w:tr w:rsidR="002D008B" w:rsidRPr="00DC769B" w14:paraId="6F0C4182" w14:textId="77777777" w:rsidTr="006A6B58">
        <w:trPr>
          <w:trHeight w:val="149"/>
        </w:trPr>
        <w:tc>
          <w:tcPr>
            <w:tcW w:w="1135" w:type="dxa"/>
            <w:vMerge/>
          </w:tcPr>
          <w:p w14:paraId="081E4E18" w14:textId="77777777" w:rsidR="002D008B" w:rsidRPr="00DC769B" w:rsidRDefault="002D008B" w:rsidP="00037836">
            <w:pPr>
              <w:spacing w:line="360" w:lineRule="auto"/>
              <w:jc w:val="both"/>
              <w:rPr>
                <w:sz w:val="18"/>
                <w:szCs w:val="18"/>
                <w:lang w:val="en-GB"/>
              </w:rPr>
            </w:pPr>
          </w:p>
        </w:tc>
        <w:tc>
          <w:tcPr>
            <w:tcW w:w="1417" w:type="dxa"/>
            <w:vMerge/>
          </w:tcPr>
          <w:p w14:paraId="0DA6A51F" w14:textId="77777777" w:rsidR="002D008B" w:rsidRPr="00DC769B" w:rsidRDefault="002D008B" w:rsidP="00037836">
            <w:pPr>
              <w:spacing w:line="360" w:lineRule="auto"/>
              <w:jc w:val="both"/>
              <w:rPr>
                <w:sz w:val="18"/>
                <w:szCs w:val="18"/>
                <w:lang w:val="en-GB"/>
              </w:rPr>
            </w:pPr>
          </w:p>
        </w:tc>
        <w:tc>
          <w:tcPr>
            <w:tcW w:w="2410" w:type="dxa"/>
            <w:vAlign w:val="center"/>
          </w:tcPr>
          <w:p w14:paraId="4D1944CB" w14:textId="77777777" w:rsidR="002D008B" w:rsidRPr="00DC769B" w:rsidRDefault="002D008B" w:rsidP="006A6B58">
            <w:pPr>
              <w:spacing w:line="360" w:lineRule="auto"/>
              <w:jc w:val="center"/>
              <w:rPr>
                <w:sz w:val="18"/>
                <w:szCs w:val="18"/>
                <w:lang w:val="en-GB"/>
              </w:rPr>
            </w:pPr>
            <w:r w:rsidRPr="00DC769B">
              <w:rPr>
                <w:sz w:val="18"/>
                <w:szCs w:val="18"/>
                <w:lang w:val="en-GB"/>
              </w:rPr>
              <w:t>40% - 50% Equity</w:t>
            </w:r>
          </w:p>
        </w:tc>
        <w:tc>
          <w:tcPr>
            <w:tcW w:w="851" w:type="dxa"/>
            <w:vAlign w:val="center"/>
          </w:tcPr>
          <w:p w14:paraId="5D70F1DE" w14:textId="77777777" w:rsidR="002D008B" w:rsidRPr="00DC769B" w:rsidRDefault="002D008B" w:rsidP="006A6B58">
            <w:pPr>
              <w:spacing w:line="360" w:lineRule="auto"/>
              <w:jc w:val="center"/>
              <w:rPr>
                <w:sz w:val="18"/>
                <w:szCs w:val="18"/>
                <w:lang w:val="en-GB"/>
              </w:rPr>
            </w:pPr>
            <w:r w:rsidRPr="00DC769B">
              <w:rPr>
                <w:sz w:val="18"/>
                <w:szCs w:val="18"/>
                <w:lang w:val="en-GB"/>
              </w:rPr>
              <w:t>373</w:t>
            </w:r>
          </w:p>
        </w:tc>
        <w:tc>
          <w:tcPr>
            <w:tcW w:w="1827" w:type="dxa"/>
            <w:vMerge/>
          </w:tcPr>
          <w:p w14:paraId="50FBAE7C" w14:textId="77777777" w:rsidR="002D008B" w:rsidRPr="00DC769B" w:rsidRDefault="002D008B" w:rsidP="00037836">
            <w:pPr>
              <w:spacing w:line="360" w:lineRule="auto"/>
              <w:jc w:val="both"/>
              <w:rPr>
                <w:sz w:val="18"/>
                <w:szCs w:val="18"/>
                <w:lang w:val="en-GB"/>
              </w:rPr>
            </w:pPr>
          </w:p>
        </w:tc>
        <w:tc>
          <w:tcPr>
            <w:tcW w:w="724" w:type="dxa"/>
            <w:vMerge/>
          </w:tcPr>
          <w:p w14:paraId="6261A6E8" w14:textId="77777777" w:rsidR="002D008B" w:rsidRPr="00DC769B" w:rsidRDefault="002D008B" w:rsidP="00037836">
            <w:pPr>
              <w:spacing w:line="360" w:lineRule="auto"/>
              <w:jc w:val="both"/>
              <w:rPr>
                <w:sz w:val="18"/>
                <w:szCs w:val="18"/>
                <w:lang w:val="en-GB"/>
              </w:rPr>
            </w:pPr>
          </w:p>
        </w:tc>
        <w:tc>
          <w:tcPr>
            <w:tcW w:w="1276" w:type="dxa"/>
            <w:vMerge/>
          </w:tcPr>
          <w:p w14:paraId="574D06A5" w14:textId="77777777" w:rsidR="002D008B" w:rsidRPr="00DC769B" w:rsidRDefault="002D008B" w:rsidP="00037836">
            <w:pPr>
              <w:spacing w:line="360" w:lineRule="auto"/>
              <w:jc w:val="both"/>
              <w:rPr>
                <w:sz w:val="18"/>
                <w:szCs w:val="18"/>
                <w:lang w:val="en-GB"/>
              </w:rPr>
            </w:pPr>
          </w:p>
        </w:tc>
        <w:tc>
          <w:tcPr>
            <w:tcW w:w="1134" w:type="dxa"/>
            <w:vMerge/>
          </w:tcPr>
          <w:p w14:paraId="4104C527" w14:textId="77777777" w:rsidR="002D008B" w:rsidRPr="00DC769B" w:rsidRDefault="002D008B" w:rsidP="00037836">
            <w:pPr>
              <w:keepNext/>
              <w:spacing w:line="360" w:lineRule="auto"/>
              <w:jc w:val="both"/>
              <w:rPr>
                <w:sz w:val="18"/>
                <w:szCs w:val="18"/>
                <w:lang w:val="en-GB"/>
              </w:rPr>
            </w:pPr>
          </w:p>
        </w:tc>
      </w:tr>
      <w:tr w:rsidR="002D008B" w:rsidRPr="00DC769B" w14:paraId="1D3A22CE" w14:textId="77777777" w:rsidTr="006A6B58">
        <w:trPr>
          <w:trHeight w:val="149"/>
        </w:trPr>
        <w:tc>
          <w:tcPr>
            <w:tcW w:w="1135" w:type="dxa"/>
            <w:vMerge/>
          </w:tcPr>
          <w:p w14:paraId="4439F7FC" w14:textId="77777777" w:rsidR="002D008B" w:rsidRPr="00DC769B" w:rsidRDefault="002D008B" w:rsidP="00037836">
            <w:pPr>
              <w:spacing w:line="360" w:lineRule="auto"/>
              <w:jc w:val="both"/>
              <w:rPr>
                <w:sz w:val="18"/>
                <w:szCs w:val="18"/>
                <w:lang w:val="en-GB"/>
              </w:rPr>
            </w:pPr>
          </w:p>
        </w:tc>
        <w:tc>
          <w:tcPr>
            <w:tcW w:w="1417" w:type="dxa"/>
            <w:vMerge/>
          </w:tcPr>
          <w:p w14:paraId="7EEB5DC7" w14:textId="77777777" w:rsidR="002D008B" w:rsidRPr="00DC769B" w:rsidRDefault="002D008B" w:rsidP="00037836">
            <w:pPr>
              <w:spacing w:line="360" w:lineRule="auto"/>
              <w:jc w:val="both"/>
              <w:rPr>
                <w:sz w:val="18"/>
                <w:szCs w:val="18"/>
                <w:lang w:val="en-GB"/>
              </w:rPr>
            </w:pPr>
          </w:p>
        </w:tc>
        <w:tc>
          <w:tcPr>
            <w:tcW w:w="2410" w:type="dxa"/>
            <w:vAlign w:val="center"/>
          </w:tcPr>
          <w:p w14:paraId="26799654" w14:textId="77777777" w:rsidR="002D008B" w:rsidRPr="00DC769B" w:rsidRDefault="002D008B" w:rsidP="006A6B58">
            <w:pPr>
              <w:spacing w:line="360" w:lineRule="auto"/>
              <w:jc w:val="center"/>
              <w:rPr>
                <w:sz w:val="18"/>
                <w:szCs w:val="18"/>
                <w:lang w:val="en-GB"/>
              </w:rPr>
            </w:pPr>
            <w:r w:rsidRPr="00DC769B">
              <w:rPr>
                <w:sz w:val="18"/>
                <w:szCs w:val="18"/>
                <w:lang w:val="en-GB"/>
              </w:rPr>
              <w:t>50% - 60% Equity</w:t>
            </w:r>
          </w:p>
        </w:tc>
        <w:tc>
          <w:tcPr>
            <w:tcW w:w="851" w:type="dxa"/>
            <w:vAlign w:val="center"/>
          </w:tcPr>
          <w:p w14:paraId="2188D1E2" w14:textId="77777777" w:rsidR="002D008B" w:rsidRPr="00DC769B" w:rsidRDefault="002D008B" w:rsidP="006A6B58">
            <w:pPr>
              <w:spacing w:line="360" w:lineRule="auto"/>
              <w:jc w:val="center"/>
              <w:rPr>
                <w:sz w:val="18"/>
                <w:szCs w:val="18"/>
                <w:lang w:val="en-GB"/>
              </w:rPr>
            </w:pPr>
            <w:r w:rsidRPr="00DC769B">
              <w:rPr>
                <w:sz w:val="18"/>
                <w:szCs w:val="18"/>
                <w:lang w:val="en-GB"/>
              </w:rPr>
              <w:t>402</w:t>
            </w:r>
          </w:p>
        </w:tc>
        <w:tc>
          <w:tcPr>
            <w:tcW w:w="1827" w:type="dxa"/>
            <w:vMerge/>
          </w:tcPr>
          <w:p w14:paraId="18E89BE1" w14:textId="77777777" w:rsidR="002D008B" w:rsidRPr="00DC769B" w:rsidRDefault="002D008B" w:rsidP="00037836">
            <w:pPr>
              <w:spacing w:line="360" w:lineRule="auto"/>
              <w:jc w:val="both"/>
              <w:rPr>
                <w:sz w:val="18"/>
                <w:szCs w:val="18"/>
                <w:lang w:val="en-GB"/>
              </w:rPr>
            </w:pPr>
          </w:p>
        </w:tc>
        <w:tc>
          <w:tcPr>
            <w:tcW w:w="724" w:type="dxa"/>
            <w:vMerge/>
          </w:tcPr>
          <w:p w14:paraId="2EB0B2DF" w14:textId="77777777" w:rsidR="002D008B" w:rsidRPr="00DC769B" w:rsidRDefault="002D008B" w:rsidP="00037836">
            <w:pPr>
              <w:spacing w:line="360" w:lineRule="auto"/>
              <w:jc w:val="both"/>
              <w:rPr>
                <w:sz w:val="18"/>
                <w:szCs w:val="18"/>
                <w:lang w:val="en-GB"/>
              </w:rPr>
            </w:pPr>
          </w:p>
        </w:tc>
        <w:tc>
          <w:tcPr>
            <w:tcW w:w="1276" w:type="dxa"/>
            <w:vMerge/>
          </w:tcPr>
          <w:p w14:paraId="4BCAEE53" w14:textId="77777777" w:rsidR="002D008B" w:rsidRPr="00DC769B" w:rsidRDefault="002D008B" w:rsidP="00037836">
            <w:pPr>
              <w:spacing w:line="360" w:lineRule="auto"/>
              <w:jc w:val="both"/>
              <w:rPr>
                <w:sz w:val="18"/>
                <w:szCs w:val="18"/>
                <w:lang w:val="en-GB"/>
              </w:rPr>
            </w:pPr>
          </w:p>
        </w:tc>
        <w:tc>
          <w:tcPr>
            <w:tcW w:w="1134" w:type="dxa"/>
            <w:vMerge/>
          </w:tcPr>
          <w:p w14:paraId="4325D3C6" w14:textId="77777777" w:rsidR="002D008B" w:rsidRPr="00DC769B" w:rsidRDefault="002D008B" w:rsidP="00037836">
            <w:pPr>
              <w:keepNext/>
              <w:spacing w:line="360" w:lineRule="auto"/>
              <w:jc w:val="both"/>
              <w:rPr>
                <w:sz w:val="18"/>
                <w:szCs w:val="18"/>
                <w:lang w:val="en-GB"/>
              </w:rPr>
            </w:pPr>
          </w:p>
        </w:tc>
      </w:tr>
      <w:tr w:rsidR="002D008B" w:rsidRPr="00DC769B" w14:paraId="3A20EDA3" w14:textId="77777777" w:rsidTr="006A6B58">
        <w:trPr>
          <w:trHeight w:val="149"/>
        </w:trPr>
        <w:tc>
          <w:tcPr>
            <w:tcW w:w="1135" w:type="dxa"/>
            <w:vMerge/>
          </w:tcPr>
          <w:p w14:paraId="5A560470" w14:textId="77777777" w:rsidR="002D008B" w:rsidRPr="00DC769B" w:rsidRDefault="002D008B" w:rsidP="00037836">
            <w:pPr>
              <w:spacing w:line="360" w:lineRule="auto"/>
              <w:jc w:val="both"/>
              <w:rPr>
                <w:sz w:val="18"/>
                <w:szCs w:val="18"/>
                <w:lang w:val="en-GB"/>
              </w:rPr>
            </w:pPr>
          </w:p>
        </w:tc>
        <w:tc>
          <w:tcPr>
            <w:tcW w:w="1417" w:type="dxa"/>
            <w:vMerge/>
          </w:tcPr>
          <w:p w14:paraId="30F52118" w14:textId="77777777" w:rsidR="002D008B" w:rsidRPr="00DC769B" w:rsidRDefault="002D008B" w:rsidP="00037836">
            <w:pPr>
              <w:spacing w:line="360" w:lineRule="auto"/>
              <w:jc w:val="both"/>
              <w:rPr>
                <w:sz w:val="18"/>
                <w:szCs w:val="18"/>
                <w:lang w:val="en-GB"/>
              </w:rPr>
            </w:pPr>
          </w:p>
        </w:tc>
        <w:tc>
          <w:tcPr>
            <w:tcW w:w="2410" w:type="dxa"/>
            <w:vAlign w:val="center"/>
          </w:tcPr>
          <w:p w14:paraId="4703587B" w14:textId="77777777" w:rsidR="002D008B" w:rsidRPr="00DC769B" w:rsidRDefault="002D008B" w:rsidP="006A6B58">
            <w:pPr>
              <w:spacing w:line="360" w:lineRule="auto"/>
              <w:jc w:val="center"/>
              <w:rPr>
                <w:sz w:val="18"/>
                <w:szCs w:val="18"/>
                <w:lang w:val="en-GB"/>
              </w:rPr>
            </w:pPr>
            <w:r w:rsidRPr="00DC769B">
              <w:rPr>
                <w:sz w:val="18"/>
                <w:szCs w:val="18"/>
                <w:lang w:val="en-GB"/>
              </w:rPr>
              <w:t>60% - 70% Equity</w:t>
            </w:r>
          </w:p>
        </w:tc>
        <w:tc>
          <w:tcPr>
            <w:tcW w:w="851" w:type="dxa"/>
            <w:vAlign w:val="center"/>
          </w:tcPr>
          <w:p w14:paraId="66663A74" w14:textId="77777777" w:rsidR="002D008B" w:rsidRPr="00DC769B" w:rsidRDefault="002D008B" w:rsidP="006A6B58">
            <w:pPr>
              <w:spacing w:line="360" w:lineRule="auto"/>
              <w:jc w:val="center"/>
              <w:rPr>
                <w:sz w:val="18"/>
                <w:szCs w:val="18"/>
                <w:lang w:val="en-GB"/>
              </w:rPr>
            </w:pPr>
            <w:r w:rsidRPr="00DC769B">
              <w:rPr>
                <w:sz w:val="18"/>
                <w:szCs w:val="18"/>
                <w:lang w:val="en-GB"/>
              </w:rPr>
              <w:t>438</w:t>
            </w:r>
          </w:p>
        </w:tc>
        <w:tc>
          <w:tcPr>
            <w:tcW w:w="1827" w:type="dxa"/>
            <w:vMerge/>
          </w:tcPr>
          <w:p w14:paraId="7ADD50D3" w14:textId="77777777" w:rsidR="002D008B" w:rsidRPr="00DC769B" w:rsidRDefault="002D008B" w:rsidP="00037836">
            <w:pPr>
              <w:spacing w:line="360" w:lineRule="auto"/>
              <w:jc w:val="both"/>
              <w:rPr>
                <w:sz w:val="18"/>
                <w:szCs w:val="18"/>
                <w:lang w:val="en-GB"/>
              </w:rPr>
            </w:pPr>
          </w:p>
        </w:tc>
        <w:tc>
          <w:tcPr>
            <w:tcW w:w="724" w:type="dxa"/>
            <w:vMerge/>
          </w:tcPr>
          <w:p w14:paraId="1772A2F2" w14:textId="77777777" w:rsidR="002D008B" w:rsidRPr="00DC769B" w:rsidRDefault="002D008B" w:rsidP="00037836">
            <w:pPr>
              <w:spacing w:line="360" w:lineRule="auto"/>
              <w:jc w:val="both"/>
              <w:rPr>
                <w:sz w:val="18"/>
                <w:szCs w:val="18"/>
                <w:lang w:val="en-GB"/>
              </w:rPr>
            </w:pPr>
          </w:p>
        </w:tc>
        <w:tc>
          <w:tcPr>
            <w:tcW w:w="1276" w:type="dxa"/>
            <w:vMerge/>
          </w:tcPr>
          <w:p w14:paraId="23E1CDCC" w14:textId="77777777" w:rsidR="002D008B" w:rsidRPr="00DC769B" w:rsidRDefault="002D008B" w:rsidP="00037836">
            <w:pPr>
              <w:spacing w:line="360" w:lineRule="auto"/>
              <w:jc w:val="both"/>
              <w:rPr>
                <w:sz w:val="18"/>
                <w:szCs w:val="18"/>
                <w:lang w:val="en-GB"/>
              </w:rPr>
            </w:pPr>
          </w:p>
        </w:tc>
        <w:tc>
          <w:tcPr>
            <w:tcW w:w="1134" w:type="dxa"/>
            <w:vMerge/>
          </w:tcPr>
          <w:p w14:paraId="28A0C136" w14:textId="77777777" w:rsidR="002D008B" w:rsidRPr="00DC769B" w:rsidRDefault="002D008B" w:rsidP="00037836">
            <w:pPr>
              <w:keepNext/>
              <w:spacing w:line="360" w:lineRule="auto"/>
              <w:jc w:val="both"/>
              <w:rPr>
                <w:sz w:val="18"/>
                <w:szCs w:val="18"/>
                <w:lang w:val="en-GB"/>
              </w:rPr>
            </w:pPr>
          </w:p>
        </w:tc>
      </w:tr>
      <w:tr w:rsidR="002D008B" w:rsidRPr="00DC769B" w14:paraId="5A8F0393" w14:textId="77777777" w:rsidTr="006A6B58">
        <w:trPr>
          <w:trHeight w:val="149"/>
        </w:trPr>
        <w:tc>
          <w:tcPr>
            <w:tcW w:w="1135" w:type="dxa"/>
            <w:vMerge/>
          </w:tcPr>
          <w:p w14:paraId="1C4968D3" w14:textId="77777777" w:rsidR="002D008B" w:rsidRPr="00DC769B" w:rsidRDefault="002D008B" w:rsidP="00037836">
            <w:pPr>
              <w:spacing w:line="360" w:lineRule="auto"/>
              <w:jc w:val="both"/>
              <w:rPr>
                <w:sz w:val="18"/>
                <w:szCs w:val="18"/>
                <w:lang w:val="en-GB"/>
              </w:rPr>
            </w:pPr>
          </w:p>
        </w:tc>
        <w:tc>
          <w:tcPr>
            <w:tcW w:w="1417" w:type="dxa"/>
            <w:vMerge/>
          </w:tcPr>
          <w:p w14:paraId="47471BA0" w14:textId="77777777" w:rsidR="002D008B" w:rsidRPr="00DC769B" w:rsidRDefault="002D008B" w:rsidP="00037836">
            <w:pPr>
              <w:spacing w:line="360" w:lineRule="auto"/>
              <w:jc w:val="both"/>
              <w:rPr>
                <w:sz w:val="18"/>
                <w:szCs w:val="18"/>
                <w:lang w:val="en-GB"/>
              </w:rPr>
            </w:pPr>
          </w:p>
        </w:tc>
        <w:tc>
          <w:tcPr>
            <w:tcW w:w="2410" w:type="dxa"/>
            <w:vAlign w:val="center"/>
          </w:tcPr>
          <w:p w14:paraId="0DFBB314" w14:textId="77777777" w:rsidR="002D008B" w:rsidRPr="00DC769B" w:rsidRDefault="002D008B" w:rsidP="006A6B58">
            <w:pPr>
              <w:spacing w:line="360" w:lineRule="auto"/>
              <w:jc w:val="center"/>
              <w:rPr>
                <w:sz w:val="18"/>
                <w:szCs w:val="18"/>
                <w:lang w:val="en-GB"/>
              </w:rPr>
            </w:pPr>
            <w:r w:rsidRPr="00DC769B">
              <w:rPr>
                <w:sz w:val="18"/>
                <w:szCs w:val="18"/>
                <w:lang w:val="en-GB"/>
              </w:rPr>
              <w:t>70% - 80% Equity</w:t>
            </w:r>
          </w:p>
        </w:tc>
        <w:tc>
          <w:tcPr>
            <w:tcW w:w="851" w:type="dxa"/>
            <w:vAlign w:val="center"/>
          </w:tcPr>
          <w:p w14:paraId="0C11B39A" w14:textId="77777777" w:rsidR="002D008B" w:rsidRPr="00DC769B" w:rsidRDefault="002D008B" w:rsidP="006A6B58">
            <w:pPr>
              <w:spacing w:line="360" w:lineRule="auto"/>
              <w:jc w:val="center"/>
              <w:rPr>
                <w:sz w:val="18"/>
                <w:szCs w:val="18"/>
                <w:lang w:val="en-GB"/>
              </w:rPr>
            </w:pPr>
            <w:r w:rsidRPr="00DC769B">
              <w:rPr>
                <w:sz w:val="18"/>
                <w:szCs w:val="18"/>
                <w:lang w:val="en-GB"/>
              </w:rPr>
              <w:t>507</w:t>
            </w:r>
          </w:p>
        </w:tc>
        <w:tc>
          <w:tcPr>
            <w:tcW w:w="1827" w:type="dxa"/>
            <w:vMerge/>
          </w:tcPr>
          <w:p w14:paraId="1E23CA4D" w14:textId="77777777" w:rsidR="002D008B" w:rsidRPr="00DC769B" w:rsidRDefault="002D008B" w:rsidP="00037836">
            <w:pPr>
              <w:spacing w:line="360" w:lineRule="auto"/>
              <w:jc w:val="both"/>
              <w:rPr>
                <w:sz w:val="18"/>
                <w:szCs w:val="18"/>
                <w:lang w:val="en-GB"/>
              </w:rPr>
            </w:pPr>
          </w:p>
        </w:tc>
        <w:tc>
          <w:tcPr>
            <w:tcW w:w="724" w:type="dxa"/>
            <w:vMerge/>
          </w:tcPr>
          <w:p w14:paraId="5E14BE05" w14:textId="77777777" w:rsidR="002D008B" w:rsidRPr="00DC769B" w:rsidRDefault="002D008B" w:rsidP="00037836">
            <w:pPr>
              <w:spacing w:line="360" w:lineRule="auto"/>
              <w:jc w:val="both"/>
              <w:rPr>
                <w:sz w:val="18"/>
                <w:szCs w:val="18"/>
                <w:lang w:val="en-GB"/>
              </w:rPr>
            </w:pPr>
          </w:p>
        </w:tc>
        <w:tc>
          <w:tcPr>
            <w:tcW w:w="1276" w:type="dxa"/>
            <w:vMerge/>
          </w:tcPr>
          <w:p w14:paraId="5CCA9BAF" w14:textId="77777777" w:rsidR="002D008B" w:rsidRPr="00DC769B" w:rsidRDefault="002D008B" w:rsidP="00037836">
            <w:pPr>
              <w:spacing w:line="360" w:lineRule="auto"/>
              <w:jc w:val="both"/>
              <w:rPr>
                <w:sz w:val="18"/>
                <w:szCs w:val="18"/>
                <w:lang w:val="en-GB"/>
              </w:rPr>
            </w:pPr>
          </w:p>
        </w:tc>
        <w:tc>
          <w:tcPr>
            <w:tcW w:w="1134" w:type="dxa"/>
            <w:vMerge/>
          </w:tcPr>
          <w:p w14:paraId="63C3688E" w14:textId="77777777" w:rsidR="002D008B" w:rsidRPr="00DC769B" w:rsidRDefault="002D008B" w:rsidP="00037836">
            <w:pPr>
              <w:keepNext/>
              <w:spacing w:line="360" w:lineRule="auto"/>
              <w:jc w:val="both"/>
              <w:rPr>
                <w:sz w:val="18"/>
                <w:szCs w:val="18"/>
                <w:lang w:val="en-GB"/>
              </w:rPr>
            </w:pPr>
          </w:p>
        </w:tc>
      </w:tr>
      <w:tr w:rsidR="002D008B" w:rsidRPr="00DC769B" w14:paraId="0193C8D2" w14:textId="77777777" w:rsidTr="006A6B58">
        <w:trPr>
          <w:trHeight w:val="149"/>
        </w:trPr>
        <w:tc>
          <w:tcPr>
            <w:tcW w:w="1135" w:type="dxa"/>
            <w:vMerge/>
          </w:tcPr>
          <w:p w14:paraId="3B88FF23" w14:textId="77777777" w:rsidR="002D008B" w:rsidRPr="00DC769B" w:rsidRDefault="002D008B" w:rsidP="00037836">
            <w:pPr>
              <w:spacing w:line="360" w:lineRule="auto"/>
              <w:jc w:val="both"/>
              <w:rPr>
                <w:sz w:val="18"/>
                <w:szCs w:val="18"/>
                <w:lang w:val="en-GB"/>
              </w:rPr>
            </w:pPr>
          </w:p>
        </w:tc>
        <w:tc>
          <w:tcPr>
            <w:tcW w:w="1417" w:type="dxa"/>
            <w:vMerge/>
          </w:tcPr>
          <w:p w14:paraId="11B0A84D" w14:textId="77777777" w:rsidR="002D008B" w:rsidRPr="00DC769B" w:rsidRDefault="002D008B" w:rsidP="00037836">
            <w:pPr>
              <w:spacing w:line="360" w:lineRule="auto"/>
              <w:jc w:val="both"/>
              <w:rPr>
                <w:sz w:val="18"/>
                <w:szCs w:val="18"/>
                <w:lang w:val="en-GB"/>
              </w:rPr>
            </w:pPr>
          </w:p>
        </w:tc>
        <w:tc>
          <w:tcPr>
            <w:tcW w:w="2410" w:type="dxa"/>
            <w:vAlign w:val="center"/>
          </w:tcPr>
          <w:p w14:paraId="4135497F" w14:textId="77777777" w:rsidR="002D008B" w:rsidRPr="00DC769B" w:rsidRDefault="002D008B" w:rsidP="006A6B58">
            <w:pPr>
              <w:spacing w:line="360" w:lineRule="auto"/>
              <w:jc w:val="center"/>
              <w:rPr>
                <w:sz w:val="18"/>
                <w:szCs w:val="18"/>
                <w:lang w:val="en-GB"/>
              </w:rPr>
            </w:pPr>
            <w:r w:rsidRPr="00DC769B">
              <w:rPr>
                <w:sz w:val="18"/>
                <w:szCs w:val="18"/>
                <w:lang w:val="en-GB"/>
              </w:rPr>
              <w:t>80% - 90% Equity</w:t>
            </w:r>
          </w:p>
        </w:tc>
        <w:tc>
          <w:tcPr>
            <w:tcW w:w="851" w:type="dxa"/>
            <w:vAlign w:val="center"/>
          </w:tcPr>
          <w:p w14:paraId="34515777" w14:textId="77777777" w:rsidR="002D008B" w:rsidRPr="00DC769B" w:rsidRDefault="002D008B" w:rsidP="006A6B58">
            <w:pPr>
              <w:spacing w:line="360" w:lineRule="auto"/>
              <w:jc w:val="center"/>
              <w:rPr>
                <w:sz w:val="18"/>
                <w:szCs w:val="18"/>
                <w:lang w:val="en-GB"/>
              </w:rPr>
            </w:pPr>
            <w:r w:rsidRPr="00DC769B">
              <w:rPr>
                <w:sz w:val="18"/>
                <w:szCs w:val="18"/>
                <w:lang w:val="en-GB"/>
              </w:rPr>
              <w:t>480</w:t>
            </w:r>
          </w:p>
        </w:tc>
        <w:tc>
          <w:tcPr>
            <w:tcW w:w="1827" w:type="dxa"/>
            <w:vMerge/>
          </w:tcPr>
          <w:p w14:paraId="2F955144" w14:textId="77777777" w:rsidR="002D008B" w:rsidRPr="00DC769B" w:rsidRDefault="002D008B" w:rsidP="00037836">
            <w:pPr>
              <w:spacing w:line="360" w:lineRule="auto"/>
              <w:jc w:val="both"/>
              <w:rPr>
                <w:sz w:val="18"/>
                <w:szCs w:val="18"/>
                <w:lang w:val="en-GB"/>
              </w:rPr>
            </w:pPr>
          </w:p>
        </w:tc>
        <w:tc>
          <w:tcPr>
            <w:tcW w:w="724" w:type="dxa"/>
            <w:vMerge/>
          </w:tcPr>
          <w:p w14:paraId="0E5B59CD" w14:textId="77777777" w:rsidR="002D008B" w:rsidRPr="00DC769B" w:rsidRDefault="002D008B" w:rsidP="00037836">
            <w:pPr>
              <w:spacing w:line="360" w:lineRule="auto"/>
              <w:jc w:val="both"/>
              <w:rPr>
                <w:sz w:val="18"/>
                <w:szCs w:val="18"/>
                <w:lang w:val="en-GB"/>
              </w:rPr>
            </w:pPr>
          </w:p>
        </w:tc>
        <w:tc>
          <w:tcPr>
            <w:tcW w:w="1276" w:type="dxa"/>
            <w:vMerge/>
          </w:tcPr>
          <w:p w14:paraId="6190B482" w14:textId="77777777" w:rsidR="002D008B" w:rsidRPr="00DC769B" w:rsidRDefault="002D008B" w:rsidP="00037836">
            <w:pPr>
              <w:spacing w:line="360" w:lineRule="auto"/>
              <w:jc w:val="both"/>
              <w:rPr>
                <w:sz w:val="18"/>
                <w:szCs w:val="18"/>
                <w:lang w:val="en-GB"/>
              </w:rPr>
            </w:pPr>
          </w:p>
        </w:tc>
        <w:tc>
          <w:tcPr>
            <w:tcW w:w="1134" w:type="dxa"/>
            <w:vMerge/>
          </w:tcPr>
          <w:p w14:paraId="0769D16C" w14:textId="77777777" w:rsidR="002D008B" w:rsidRPr="00DC769B" w:rsidRDefault="002D008B" w:rsidP="00037836">
            <w:pPr>
              <w:keepNext/>
              <w:spacing w:line="360" w:lineRule="auto"/>
              <w:jc w:val="both"/>
              <w:rPr>
                <w:sz w:val="18"/>
                <w:szCs w:val="18"/>
                <w:lang w:val="en-GB"/>
              </w:rPr>
            </w:pPr>
          </w:p>
        </w:tc>
      </w:tr>
      <w:tr w:rsidR="002D008B" w:rsidRPr="00DC769B" w14:paraId="5F34F833" w14:textId="77777777" w:rsidTr="006A6B58">
        <w:trPr>
          <w:trHeight w:val="149"/>
        </w:trPr>
        <w:tc>
          <w:tcPr>
            <w:tcW w:w="1135" w:type="dxa"/>
            <w:vMerge/>
          </w:tcPr>
          <w:p w14:paraId="1D8BD6B0" w14:textId="77777777" w:rsidR="002D008B" w:rsidRPr="00DC769B" w:rsidRDefault="002D008B" w:rsidP="00037836">
            <w:pPr>
              <w:spacing w:line="360" w:lineRule="auto"/>
              <w:jc w:val="both"/>
              <w:rPr>
                <w:sz w:val="18"/>
                <w:szCs w:val="18"/>
                <w:lang w:val="en-GB"/>
              </w:rPr>
            </w:pPr>
          </w:p>
        </w:tc>
        <w:tc>
          <w:tcPr>
            <w:tcW w:w="1417" w:type="dxa"/>
            <w:vMerge/>
          </w:tcPr>
          <w:p w14:paraId="18B7F2D6" w14:textId="77777777" w:rsidR="002D008B" w:rsidRPr="00DC769B" w:rsidRDefault="002D008B" w:rsidP="00037836">
            <w:pPr>
              <w:spacing w:line="360" w:lineRule="auto"/>
              <w:jc w:val="both"/>
              <w:rPr>
                <w:sz w:val="18"/>
                <w:szCs w:val="18"/>
                <w:lang w:val="en-GB"/>
              </w:rPr>
            </w:pPr>
          </w:p>
        </w:tc>
        <w:tc>
          <w:tcPr>
            <w:tcW w:w="2410" w:type="dxa"/>
            <w:vAlign w:val="center"/>
          </w:tcPr>
          <w:p w14:paraId="63EBB300" w14:textId="77777777" w:rsidR="002D008B" w:rsidRPr="00DC769B" w:rsidRDefault="002D008B" w:rsidP="006A6B58">
            <w:pPr>
              <w:spacing w:line="360" w:lineRule="auto"/>
              <w:jc w:val="center"/>
              <w:rPr>
                <w:sz w:val="18"/>
                <w:szCs w:val="18"/>
                <w:lang w:val="en-GB"/>
              </w:rPr>
            </w:pPr>
            <w:r w:rsidRPr="00DC769B">
              <w:rPr>
                <w:sz w:val="18"/>
                <w:szCs w:val="18"/>
                <w:lang w:val="en-GB"/>
              </w:rPr>
              <w:t>90% - 100% Equity</w:t>
            </w:r>
          </w:p>
        </w:tc>
        <w:tc>
          <w:tcPr>
            <w:tcW w:w="851" w:type="dxa"/>
            <w:vAlign w:val="center"/>
          </w:tcPr>
          <w:p w14:paraId="643EF27C" w14:textId="77777777" w:rsidR="002D008B" w:rsidRPr="00DC769B" w:rsidRDefault="002D008B" w:rsidP="006A6B58">
            <w:pPr>
              <w:spacing w:line="360" w:lineRule="auto"/>
              <w:jc w:val="center"/>
              <w:rPr>
                <w:sz w:val="18"/>
                <w:szCs w:val="18"/>
                <w:lang w:val="en-GB"/>
              </w:rPr>
            </w:pPr>
            <w:r w:rsidRPr="00DC769B">
              <w:rPr>
                <w:sz w:val="18"/>
                <w:szCs w:val="18"/>
                <w:lang w:val="en-GB"/>
              </w:rPr>
              <w:t>1589</w:t>
            </w:r>
          </w:p>
        </w:tc>
        <w:tc>
          <w:tcPr>
            <w:tcW w:w="1827" w:type="dxa"/>
            <w:vMerge/>
          </w:tcPr>
          <w:p w14:paraId="5DE95B5B" w14:textId="77777777" w:rsidR="002D008B" w:rsidRPr="00DC769B" w:rsidRDefault="002D008B" w:rsidP="00037836">
            <w:pPr>
              <w:spacing w:line="360" w:lineRule="auto"/>
              <w:jc w:val="both"/>
              <w:rPr>
                <w:sz w:val="18"/>
                <w:szCs w:val="18"/>
                <w:lang w:val="en-GB"/>
              </w:rPr>
            </w:pPr>
          </w:p>
        </w:tc>
        <w:tc>
          <w:tcPr>
            <w:tcW w:w="724" w:type="dxa"/>
            <w:vMerge/>
          </w:tcPr>
          <w:p w14:paraId="5C62A9DE" w14:textId="77777777" w:rsidR="002D008B" w:rsidRPr="00DC769B" w:rsidRDefault="002D008B" w:rsidP="00037836">
            <w:pPr>
              <w:spacing w:line="360" w:lineRule="auto"/>
              <w:jc w:val="both"/>
              <w:rPr>
                <w:sz w:val="18"/>
                <w:szCs w:val="18"/>
                <w:lang w:val="en-GB"/>
              </w:rPr>
            </w:pPr>
          </w:p>
        </w:tc>
        <w:tc>
          <w:tcPr>
            <w:tcW w:w="1276" w:type="dxa"/>
            <w:vMerge/>
          </w:tcPr>
          <w:p w14:paraId="501B947F" w14:textId="77777777" w:rsidR="002D008B" w:rsidRPr="00DC769B" w:rsidRDefault="002D008B" w:rsidP="00037836">
            <w:pPr>
              <w:spacing w:line="360" w:lineRule="auto"/>
              <w:jc w:val="both"/>
              <w:rPr>
                <w:sz w:val="18"/>
                <w:szCs w:val="18"/>
                <w:lang w:val="en-GB"/>
              </w:rPr>
            </w:pPr>
          </w:p>
        </w:tc>
        <w:tc>
          <w:tcPr>
            <w:tcW w:w="1134" w:type="dxa"/>
            <w:vMerge/>
          </w:tcPr>
          <w:p w14:paraId="4D1CA6B9" w14:textId="77777777" w:rsidR="002D008B" w:rsidRPr="00DC769B" w:rsidRDefault="002D008B" w:rsidP="00037836">
            <w:pPr>
              <w:keepNext/>
              <w:spacing w:line="360" w:lineRule="auto"/>
              <w:jc w:val="both"/>
              <w:rPr>
                <w:sz w:val="18"/>
                <w:szCs w:val="18"/>
                <w:lang w:val="en-GB"/>
              </w:rPr>
            </w:pPr>
          </w:p>
        </w:tc>
      </w:tr>
    </w:tbl>
    <w:p w14:paraId="6798EB16" w14:textId="389D07D0" w:rsidR="00393E05" w:rsidRPr="00242901" w:rsidRDefault="006738D7" w:rsidP="006E6DD6">
      <w:pPr>
        <w:pStyle w:val="Kop2"/>
        <w:jc w:val="both"/>
      </w:pPr>
      <w:bookmarkStart w:id="43" w:name="_Toc439346649"/>
      <w:r>
        <w:t>4.4</w:t>
      </w:r>
      <w:r w:rsidR="003D712D" w:rsidRPr="00242901">
        <w:t xml:space="preserve"> </w:t>
      </w:r>
      <w:r w:rsidR="00393E05" w:rsidRPr="00242901">
        <w:t>Testing the hypotheses</w:t>
      </w:r>
      <w:bookmarkEnd w:id="43"/>
    </w:p>
    <w:p w14:paraId="707F9636" w14:textId="0C3DB779" w:rsidR="004F6B69" w:rsidRDefault="003D712D" w:rsidP="006E33E6">
      <w:pPr>
        <w:spacing w:line="360" w:lineRule="auto"/>
        <w:jc w:val="both"/>
        <w:rPr>
          <w:lang w:val="en-GB"/>
        </w:rPr>
      </w:pPr>
      <w:r w:rsidRPr="00242901">
        <w:rPr>
          <w:lang w:val="en-GB"/>
        </w:rPr>
        <w:t>Th</w:t>
      </w:r>
      <w:r w:rsidR="001C3834">
        <w:rPr>
          <w:lang w:val="en-GB"/>
        </w:rPr>
        <w:t xml:space="preserve">is paragraph explains the statistical approach of the hypotheses. </w:t>
      </w:r>
    </w:p>
    <w:p w14:paraId="201FC9AF" w14:textId="0A1C80C9" w:rsidR="00835F08" w:rsidRDefault="006738D7" w:rsidP="001C3834">
      <w:pPr>
        <w:pStyle w:val="Kop3"/>
      </w:pPr>
      <w:bookmarkStart w:id="44" w:name="_Toc439346650"/>
      <w:r>
        <w:t>4.4.1</w:t>
      </w:r>
      <w:r w:rsidR="00835F08">
        <w:t xml:space="preserve"> Testing hypothesis </w:t>
      </w:r>
      <w:r w:rsidR="00692EA4">
        <w:t>1</w:t>
      </w:r>
      <w:bookmarkEnd w:id="44"/>
    </w:p>
    <w:p w14:paraId="42B16F9B" w14:textId="386DAF82" w:rsidR="001C3834" w:rsidRDefault="00040DC4" w:rsidP="0025157D">
      <w:pPr>
        <w:spacing w:line="360" w:lineRule="auto"/>
        <w:jc w:val="both"/>
        <w:rPr>
          <w:lang w:val="en-GB"/>
        </w:rPr>
      </w:pPr>
      <w:r>
        <w:rPr>
          <w:lang w:val="en-GB"/>
        </w:rPr>
        <w:t>Hypothesis 1</w:t>
      </w:r>
      <w:r w:rsidR="001C3834">
        <w:rPr>
          <w:lang w:val="en-GB"/>
        </w:rPr>
        <w:t xml:space="preserve"> predicts that equity-based compensated CFOs do better on </w:t>
      </w:r>
      <w:r w:rsidR="005B0A4D">
        <w:rPr>
          <w:lang w:val="en-GB"/>
        </w:rPr>
        <w:t xml:space="preserve">managerial and fiduciary </w:t>
      </w:r>
      <w:r w:rsidR="001C3834">
        <w:rPr>
          <w:lang w:val="en-GB"/>
        </w:rPr>
        <w:t>performance than CFOs who are not equity-based compensated. This hypothesis is tested by an Independent T-test, which compares two groups on the same moment. This is computed according to the following formula where “Avg” is average</w:t>
      </w:r>
      <w:r w:rsidR="006574F5">
        <w:rPr>
          <w:lang w:val="en-GB"/>
        </w:rPr>
        <w:t xml:space="preserve"> of the performance</w:t>
      </w:r>
      <w:r w:rsidR="001C3834">
        <w:rPr>
          <w:lang w:val="en-GB"/>
        </w:rPr>
        <w:t>, “S” is variance, and “n” is number</w:t>
      </w:r>
      <w:r w:rsidR="0028498F">
        <w:rPr>
          <w:lang w:val="en-GB"/>
        </w:rPr>
        <w:t xml:space="preserve"> of performances</w:t>
      </w:r>
      <w:r w:rsidR="001C3834">
        <w:rPr>
          <w:lang w:val="en-GB"/>
        </w:rPr>
        <w:t>. This T-test is computed for each of the measures o</w:t>
      </w:r>
      <w:r w:rsidR="0025157D">
        <w:rPr>
          <w:lang w:val="en-GB"/>
        </w:rPr>
        <w:t xml:space="preserve">f </w:t>
      </w:r>
      <w:r w:rsidR="001C3834">
        <w:rPr>
          <w:lang w:val="en-GB"/>
        </w:rPr>
        <w:t xml:space="preserve">performance, </w:t>
      </w:r>
      <w:r w:rsidR="0025157D">
        <w:rPr>
          <w:lang w:val="en-GB"/>
        </w:rPr>
        <w:t>which</w:t>
      </w:r>
      <w:r w:rsidR="001C3834">
        <w:rPr>
          <w:lang w:val="en-GB"/>
        </w:rPr>
        <w:t xml:space="preserve"> means it generates </w:t>
      </w:r>
      <w:r w:rsidR="0025157D">
        <w:rPr>
          <w:lang w:val="en-GB"/>
        </w:rPr>
        <w:t xml:space="preserve">a T-value for </w:t>
      </w:r>
      <w:r w:rsidR="0008794F">
        <w:rPr>
          <w:lang w:val="en-GB"/>
        </w:rPr>
        <w:t>FIN PERF</w:t>
      </w:r>
      <w:r w:rsidR="0025157D">
        <w:rPr>
          <w:lang w:val="en-GB"/>
        </w:rPr>
        <w:t xml:space="preserve">, ICMW and </w:t>
      </w:r>
      <w:r w:rsidR="0008794F">
        <w:rPr>
          <w:lang w:val="en-GB"/>
        </w:rPr>
        <w:t>REST</w:t>
      </w:r>
      <w:r w:rsidR="001C3834">
        <w:rPr>
          <w:lang w:val="en-GB"/>
        </w:rPr>
        <w:t>. The T-value is teste</w:t>
      </w:r>
      <w:r w:rsidR="0025157D">
        <w:rPr>
          <w:lang w:val="en-GB"/>
        </w:rPr>
        <w:t>d against a 5% confidence level and calculated according the following formula.</w:t>
      </w:r>
    </w:p>
    <w:p w14:paraId="1561A193" w14:textId="0D72CFFF" w:rsidR="0025157D" w:rsidRPr="0025157D" w:rsidRDefault="0025157D" w:rsidP="0025157D">
      <w:pPr>
        <w:rPr>
          <w:rFonts w:eastAsiaTheme="minorEastAsia"/>
          <w:lang w:val="en-GB"/>
        </w:rPr>
      </w:pPr>
      <m:oMathPara>
        <m:oMath>
          <m:r>
            <m:rPr>
              <m:sty m:val="p"/>
            </m:rPr>
            <w:rPr>
              <w:rFonts w:ascii="Cambria Math" w:hAnsi="Cambria Math"/>
              <w:lang w:val="en-GB"/>
            </w:rPr>
            <w:lastRenderedPageBreak/>
            <m:t>T=</m:t>
          </m:r>
          <m:f>
            <m:fPr>
              <m:ctrlPr>
                <w:rPr>
                  <w:rFonts w:ascii="Cambria Math" w:hAnsi="Cambria Math"/>
                  <w:lang w:val="en-GB"/>
                </w:rPr>
              </m:ctrlPr>
            </m:fPr>
            <m:num>
              <m:r>
                <m:rPr>
                  <m:sty m:val="p"/>
                </m:rPr>
                <w:rPr>
                  <w:rFonts w:ascii="Cambria Math" w:hAnsi="Cambria Math"/>
                  <w:lang w:val="en-GB"/>
                </w:rPr>
                <m:t xml:space="preserve"> Avg Per</m:t>
              </m:r>
              <m:sSub>
                <m:sSubPr>
                  <m:ctrlPr>
                    <w:rPr>
                      <w:rFonts w:ascii="Cambria Math" w:hAnsi="Cambria Math"/>
                      <w:lang w:val="en-GB"/>
                    </w:rPr>
                  </m:ctrlPr>
                </m:sSubPr>
                <m:e>
                  <m:r>
                    <m:rPr>
                      <m:sty m:val="p"/>
                    </m:rPr>
                    <w:rPr>
                      <w:rFonts w:ascii="Cambria Math" w:hAnsi="Cambria Math"/>
                      <w:lang w:val="en-GB"/>
                    </w:rPr>
                    <m:t>f FIN PERF</m:t>
                  </m:r>
                </m:e>
                <m:sub>
                  <m:r>
                    <m:rPr>
                      <m:sty m:val="p"/>
                    </m:rPr>
                    <w:rPr>
                      <w:rFonts w:ascii="Cambria Math" w:hAnsi="Cambria Math"/>
                      <w:lang w:val="en-GB"/>
                    </w:rPr>
                    <m:t>Equity-based compensation</m:t>
                  </m:r>
                </m:sub>
              </m:sSub>
              <m:r>
                <m:rPr>
                  <m:sty m:val="p"/>
                </m:rPr>
                <w:rPr>
                  <w:rFonts w:ascii="Cambria Math" w:hAnsi="Cambria Math"/>
                  <w:lang w:val="en-GB"/>
                </w:rPr>
                <m:t>-Avg Per</m:t>
              </m:r>
              <m:sSub>
                <m:sSubPr>
                  <m:ctrlPr>
                    <w:rPr>
                      <w:rFonts w:ascii="Cambria Math" w:hAnsi="Cambria Math"/>
                      <w:lang w:val="en-GB"/>
                    </w:rPr>
                  </m:ctrlPr>
                </m:sSubPr>
                <m:e>
                  <m:r>
                    <m:rPr>
                      <m:sty m:val="p"/>
                    </m:rPr>
                    <w:rPr>
                      <w:rFonts w:ascii="Cambria Math" w:hAnsi="Cambria Math"/>
                      <w:lang w:val="en-GB"/>
                    </w:rPr>
                    <m:t>f FIN PERF</m:t>
                  </m:r>
                </m:e>
                <m:sub>
                  <m:r>
                    <m:rPr>
                      <m:sty m:val="p"/>
                    </m:rPr>
                    <w:rPr>
                      <w:rFonts w:ascii="Cambria Math" w:hAnsi="Cambria Math"/>
                      <w:lang w:val="en-GB"/>
                    </w:rPr>
                    <m:t xml:space="preserve"> Not equity-based compensation</m:t>
                  </m:r>
                </m:sub>
              </m:sSub>
            </m:num>
            <m:den>
              <m:rad>
                <m:radPr>
                  <m:degHide m:val="1"/>
                  <m:ctrlPr>
                    <w:rPr>
                      <w:rFonts w:ascii="Cambria Math" w:hAnsi="Cambria Math"/>
                      <w:lang w:val="en-GB"/>
                    </w:rPr>
                  </m:ctrlPr>
                </m:radPr>
                <m:deg/>
                <m:e>
                  <m:f>
                    <m:fPr>
                      <m:ctrlPr>
                        <w:rPr>
                          <w:rFonts w:ascii="Cambria Math" w:hAnsi="Cambria Math"/>
                          <w:lang w:val="en-GB"/>
                        </w:rPr>
                      </m:ctrlPr>
                    </m:fPr>
                    <m:num>
                      <m:sSup>
                        <m:sSupPr>
                          <m:ctrlPr>
                            <w:rPr>
                              <w:rFonts w:ascii="Cambria Math" w:hAnsi="Cambria Math"/>
                              <w:lang w:val="en-GB"/>
                            </w:rPr>
                          </m:ctrlPr>
                        </m:sSupPr>
                        <m:e>
                          <m:eqArr>
                            <m:eqArrPr>
                              <m:ctrlPr>
                                <w:rPr>
                                  <w:rFonts w:ascii="Cambria Math" w:hAnsi="Cambria Math"/>
                                  <w:lang w:val="en-GB"/>
                                </w:rPr>
                              </m:ctrlPr>
                            </m:eqArrPr>
                            <m:e>
                              <m:sSub>
                                <m:sSubPr>
                                  <m:ctrlPr>
                                    <w:rPr>
                                      <w:rFonts w:ascii="Cambria Math" w:hAnsi="Cambria Math"/>
                                      <w:lang w:val="en-GB"/>
                                    </w:rPr>
                                  </m:ctrlPr>
                                </m:sSubPr>
                                <m:e>
                                  <m:r>
                                    <m:rPr>
                                      <m:sty m:val="p"/>
                                    </m:rPr>
                                    <w:rPr>
                                      <w:rFonts w:ascii="Cambria Math" w:hAnsi="Cambria Math"/>
                                      <w:lang w:val="en-GB"/>
                                    </w:rPr>
                                    <m:t>S</m:t>
                                  </m:r>
                                </m:e>
                                <m:sub>
                                  <m:r>
                                    <m:rPr>
                                      <m:sty m:val="p"/>
                                    </m:rPr>
                                    <w:rPr>
                                      <w:rFonts w:ascii="Cambria Math" w:hAnsi="Cambria Math"/>
                                      <w:lang w:val="en-GB"/>
                                    </w:rPr>
                                    <m:t>Equity-compensated</m:t>
                                  </m:r>
                                </m:sub>
                              </m:sSub>
                            </m:e>
                          </m:eqArr>
                        </m:e>
                        <m:sup>
                          <m:r>
                            <m:rPr>
                              <m:sty m:val="p"/>
                            </m:rPr>
                            <w:rPr>
                              <w:rFonts w:ascii="Cambria Math" w:hAnsi="Cambria Math"/>
                              <w:lang w:val="en-GB"/>
                            </w:rPr>
                            <m:t>2</m:t>
                          </m:r>
                        </m:sup>
                      </m:sSup>
                    </m:num>
                    <m:den>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Equity-compensated</m:t>
                          </m:r>
                        </m:sub>
                      </m:sSub>
                    </m:den>
                  </m:f>
                </m:e>
              </m:rad>
              <m:r>
                <m:rPr>
                  <m:sty m:val="p"/>
                </m:rPr>
                <w:rPr>
                  <w:rFonts w:ascii="Cambria Math" w:hAnsi="Cambria Math"/>
                  <w:lang w:val="en-GB"/>
                </w:rPr>
                <m:t>+</m:t>
              </m:r>
              <m:f>
                <m:fPr>
                  <m:ctrlPr>
                    <w:rPr>
                      <w:rFonts w:ascii="Cambria Math" w:hAnsi="Cambria Math"/>
                      <w:lang w:val="en-GB"/>
                    </w:rPr>
                  </m:ctrlPr>
                </m:fPr>
                <m:num>
                  <m:sSup>
                    <m:sSupPr>
                      <m:ctrlPr>
                        <w:rPr>
                          <w:rFonts w:ascii="Cambria Math" w:hAnsi="Cambria Math"/>
                          <w:lang w:val="en-GB"/>
                        </w:rPr>
                      </m:ctrlPr>
                    </m:sSupPr>
                    <m:e>
                      <m:eqArr>
                        <m:eqArrPr>
                          <m:ctrlPr>
                            <w:rPr>
                              <w:rFonts w:ascii="Cambria Math" w:hAnsi="Cambria Math"/>
                              <w:lang w:val="en-GB"/>
                            </w:rPr>
                          </m:ctrlPr>
                        </m:eqArrPr>
                        <m:e>
                          <m:sSub>
                            <m:sSubPr>
                              <m:ctrlPr>
                                <w:rPr>
                                  <w:rFonts w:ascii="Cambria Math" w:hAnsi="Cambria Math"/>
                                  <w:lang w:val="en-GB"/>
                                </w:rPr>
                              </m:ctrlPr>
                            </m:sSubPr>
                            <m:e>
                              <m:r>
                                <m:rPr>
                                  <m:sty m:val="p"/>
                                </m:rPr>
                                <w:rPr>
                                  <w:rFonts w:ascii="Cambria Math" w:hAnsi="Cambria Math"/>
                                  <w:lang w:val="en-GB"/>
                                </w:rPr>
                                <m:t>S</m:t>
                              </m:r>
                            </m:e>
                            <m:sub>
                              <m:r>
                                <m:rPr>
                                  <m:sty m:val="p"/>
                                </m:rPr>
                                <w:rPr>
                                  <w:rFonts w:ascii="Cambria Math" w:hAnsi="Cambria Math"/>
                                  <w:lang w:val="en-GB"/>
                                </w:rPr>
                                <m:t>Not equity-compensated</m:t>
                              </m:r>
                            </m:sub>
                          </m:sSub>
                        </m:e>
                      </m:eqArr>
                    </m:e>
                    <m:sup>
                      <m:r>
                        <m:rPr>
                          <m:sty m:val="p"/>
                        </m:rPr>
                        <w:rPr>
                          <w:rFonts w:ascii="Cambria Math" w:hAnsi="Cambria Math"/>
                          <w:lang w:val="en-GB"/>
                        </w:rPr>
                        <m:t>2</m:t>
                      </m:r>
                    </m:sup>
                  </m:sSup>
                </m:num>
                <m:den>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Not equity-compensated</m:t>
                      </m:r>
                    </m:sub>
                  </m:sSub>
                </m:den>
              </m:f>
            </m:den>
          </m:f>
        </m:oMath>
      </m:oMathPara>
    </w:p>
    <w:p w14:paraId="390583A0" w14:textId="7ED0CE28" w:rsidR="0025157D" w:rsidRPr="0025157D" w:rsidRDefault="0025157D" w:rsidP="0025157D">
      <w:pPr>
        <w:rPr>
          <w:rFonts w:eastAsiaTheme="minorEastAsia"/>
          <w:lang w:val="en-GB"/>
        </w:rPr>
      </w:pPr>
      <m:oMathPara>
        <m:oMath>
          <m:r>
            <m:rPr>
              <m:sty m:val="p"/>
            </m:rPr>
            <w:rPr>
              <w:rFonts w:ascii="Cambria Math" w:hAnsi="Cambria Math"/>
              <w:lang w:val="en-GB"/>
            </w:rPr>
            <m:t>T=</m:t>
          </m:r>
          <m:f>
            <m:fPr>
              <m:ctrlPr>
                <w:rPr>
                  <w:rFonts w:ascii="Cambria Math" w:hAnsi="Cambria Math"/>
                  <w:lang w:val="en-GB"/>
                </w:rPr>
              </m:ctrlPr>
            </m:fPr>
            <m:num>
              <m:r>
                <m:rPr>
                  <m:sty m:val="p"/>
                </m:rPr>
                <w:rPr>
                  <w:rFonts w:ascii="Cambria Math" w:hAnsi="Cambria Math"/>
                  <w:lang w:val="en-GB"/>
                </w:rPr>
                <m:t xml:space="preserve"> Avg Per</m:t>
              </m:r>
              <m:sSub>
                <m:sSubPr>
                  <m:ctrlPr>
                    <w:rPr>
                      <w:rFonts w:ascii="Cambria Math" w:hAnsi="Cambria Math"/>
                      <w:lang w:val="en-GB"/>
                    </w:rPr>
                  </m:ctrlPr>
                </m:sSubPr>
                <m:e>
                  <m:r>
                    <m:rPr>
                      <m:sty m:val="p"/>
                    </m:rPr>
                    <w:rPr>
                      <w:rFonts w:ascii="Cambria Math" w:hAnsi="Cambria Math"/>
                      <w:lang w:val="en-GB"/>
                    </w:rPr>
                    <m:t>f ICMW</m:t>
                  </m:r>
                </m:e>
                <m:sub>
                  <m:r>
                    <m:rPr>
                      <m:sty m:val="p"/>
                    </m:rPr>
                    <w:rPr>
                      <w:rFonts w:ascii="Cambria Math" w:hAnsi="Cambria Math"/>
                      <w:lang w:val="en-GB"/>
                    </w:rPr>
                    <m:t>Equity-based compensation</m:t>
                  </m:r>
                </m:sub>
              </m:sSub>
              <m:r>
                <m:rPr>
                  <m:sty m:val="p"/>
                </m:rPr>
                <w:rPr>
                  <w:rFonts w:ascii="Cambria Math" w:hAnsi="Cambria Math"/>
                  <w:lang w:val="en-GB"/>
                </w:rPr>
                <m:t>-Avg Per</m:t>
              </m:r>
              <m:sSub>
                <m:sSubPr>
                  <m:ctrlPr>
                    <w:rPr>
                      <w:rFonts w:ascii="Cambria Math" w:hAnsi="Cambria Math"/>
                      <w:lang w:val="en-GB"/>
                    </w:rPr>
                  </m:ctrlPr>
                </m:sSubPr>
                <m:e>
                  <m:r>
                    <m:rPr>
                      <m:sty m:val="p"/>
                    </m:rPr>
                    <w:rPr>
                      <w:rFonts w:ascii="Cambria Math" w:hAnsi="Cambria Math"/>
                      <w:lang w:val="en-GB"/>
                    </w:rPr>
                    <m:t>f ICMW</m:t>
                  </m:r>
                </m:e>
                <m:sub>
                  <m:r>
                    <m:rPr>
                      <m:sty m:val="p"/>
                    </m:rPr>
                    <w:rPr>
                      <w:rFonts w:ascii="Cambria Math" w:hAnsi="Cambria Math"/>
                      <w:lang w:val="en-GB"/>
                    </w:rPr>
                    <m:t>Not equity-compensation</m:t>
                  </m:r>
                </m:sub>
              </m:sSub>
            </m:num>
            <m:den>
              <m:rad>
                <m:radPr>
                  <m:degHide m:val="1"/>
                  <m:ctrlPr>
                    <w:rPr>
                      <w:rFonts w:ascii="Cambria Math" w:hAnsi="Cambria Math"/>
                      <w:lang w:val="en-GB"/>
                    </w:rPr>
                  </m:ctrlPr>
                </m:radPr>
                <m:deg/>
                <m:e>
                  <m:f>
                    <m:fPr>
                      <m:ctrlPr>
                        <w:rPr>
                          <w:rFonts w:ascii="Cambria Math" w:hAnsi="Cambria Math"/>
                          <w:lang w:val="en-GB"/>
                        </w:rPr>
                      </m:ctrlPr>
                    </m:fPr>
                    <m:num>
                      <m:sSup>
                        <m:sSupPr>
                          <m:ctrlPr>
                            <w:rPr>
                              <w:rFonts w:ascii="Cambria Math" w:hAnsi="Cambria Math"/>
                              <w:lang w:val="en-GB"/>
                            </w:rPr>
                          </m:ctrlPr>
                        </m:sSupPr>
                        <m:e>
                          <m:eqArr>
                            <m:eqArrPr>
                              <m:ctrlPr>
                                <w:rPr>
                                  <w:rFonts w:ascii="Cambria Math" w:hAnsi="Cambria Math"/>
                                  <w:lang w:val="en-GB"/>
                                </w:rPr>
                              </m:ctrlPr>
                            </m:eqArrPr>
                            <m:e>
                              <m:sSub>
                                <m:sSubPr>
                                  <m:ctrlPr>
                                    <w:rPr>
                                      <w:rFonts w:ascii="Cambria Math" w:hAnsi="Cambria Math"/>
                                      <w:lang w:val="en-GB"/>
                                    </w:rPr>
                                  </m:ctrlPr>
                                </m:sSubPr>
                                <m:e>
                                  <m:r>
                                    <m:rPr>
                                      <m:sty m:val="p"/>
                                    </m:rPr>
                                    <w:rPr>
                                      <w:rFonts w:ascii="Cambria Math" w:hAnsi="Cambria Math"/>
                                      <w:lang w:val="en-GB"/>
                                    </w:rPr>
                                    <m:t>S</m:t>
                                  </m:r>
                                </m:e>
                                <m:sub>
                                  <m:r>
                                    <m:rPr>
                                      <m:sty m:val="p"/>
                                    </m:rPr>
                                    <w:rPr>
                                      <w:rFonts w:ascii="Cambria Math" w:hAnsi="Cambria Math"/>
                                      <w:lang w:val="en-GB"/>
                                    </w:rPr>
                                    <m:t>Equity-compensated</m:t>
                                  </m:r>
                                </m:sub>
                              </m:sSub>
                            </m:e>
                          </m:eqArr>
                        </m:e>
                        <m:sup>
                          <m:r>
                            <m:rPr>
                              <m:sty m:val="p"/>
                            </m:rPr>
                            <w:rPr>
                              <w:rFonts w:ascii="Cambria Math" w:hAnsi="Cambria Math"/>
                              <w:lang w:val="en-GB"/>
                            </w:rPr>
                            <m:t>2</m:t>
                          </m:r>
                        </m:sup>
                      </m:sSup>
                    </m:num>
                    <m:den>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Equity-compensated</m:t>
                          </m:r>
                        </m:sub>
                      </m:sSub>
                    </m:den>
                  </m:f>
                </m:e>
              </m:rad>
              <m:r>
                <m:rPr>
                  <m:sty m:val="p"/>
                </m:rPr>
                <w:rPr>
                  <w:rFonts w:ascii="Cambria Math" w:hAnsi="Cambria Math"/>
                  <w:lang w:val="en-GB"/>
                </w:rPr>
                <m:t>+</m:t>
              </m:r>
              <m:f>
                <m:fPr>
                  <m:ctrlPr>
                    <w:rPr>
                      <w:rFonts w:ascii="Cambria Math" w:hAnsi="Cambria Math"/>
                      <w:lang w:val="en-GB"/>
                    </w:rPr>
                  </m:ctrlPr>
                </m:fPr>
                <m:num>
                  <m:sSup>
                    <m:sSupPr>
                      <m:ctrlPr>
                        <w:rPr>
                          <w:rFonts w:ascii="Cambria Math" w:hAnsi="Cambria Math"/>
                          <w:lang w:val="en-GB"/>
                        </w:rPr>
                      </m:ctrlPr>
                    </m:sSupPr>
                    <m:e>
                      <m:eqArr>
                        <m:eqArrPr>
                          <m:ctrlPr>
                            <w:rPr>
                              <w:rFonts w:ascii="Cambria Math" w:hAnsi="Cambria Math"/>
                              <w:lang w:val="en-GB"/>
                            </w:rPr>
                          </m:ctrlPr>
                        </m:eqArrPr>
                        <m:e>
                          <m:sSub>
                            <m:sSubPr>
                              <m:ctrlPr>
                                <w:rPr>
                                  <w:rFonts w:ascii="Cambria Math" w:hAnsi="Cambria Math"/>
                                  <w:lang w:val="en-GB"/>
                                </w:rPr>
                              </m:ctrlPr>
                            </m:sSubPr>
                            <m:e>
                              <m:r>
                                <m:rPr>
                                  <m:sty m:val="p"/>
                                </m:rPr>
                                <w:rPr>
                                  <w:rFonts w:ascii="Cambria Math" w:hAnsi="Cambria Math"/>
                                  <w:lang w:val="en-GB"/>
                                </w:rPr>
                                <m:t>S</m:t>
                              </m:r>
                            </m:e>
                            <m:sub>
                              <m:r>
                                <m:rPr>
                                  <m:sty m:val="p"/>
                                </m:rPr>
                                <w:rPr>
                                  <w:rFonts w:ascii="Cambria Math" w:hAnsi="Cambria Math"/>
                                  <w:lang w:val="en-GB"/>
                                </w:rPr>
                                <m:t>Not equity-compensated</m:t>
                              </m:r>
                            </m:sub>
                          </m:sSub>
                        </m:e>
                      </m:eqArr>
                    </m:e>
                    <m:sup>
                      <m:r>
                        <m:rPr>
                          <m:sty m:val="p"/>
                        </m:rPr>
                        <w:rPr>
                          <w:rFonts w:ascii="Cambria Math" w:hAnsi="Cambria Math"/>
                          <w:lang w:val="en-GB"/>
                        </w:rPr>
                        <m:t>2</m:t>
                      </m:r>
                    </m:sup>
                  </m:sSup>
                </m:num>
                <m:den>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Not equity-compensated</m:t>
                      </m:r>
                    </m:sub>
                  </m:sSub>
                </m:den>
              </m:f>
            </m:den>
          </m:f>
        </m:oMath>
      </m:oMathPara>
    </w:p>
    <w:p w14:paraId="2626572F" w14:textId="0609DBC0" w:rsidR="0025157D" w:rsidRPr="0025157D" w:rsidRDefault="0025157D" w:rsidP="0025157D">
      <w:pPr>
        <w:rPr>
          <w:rFonts w:eastAsiaTheme="minorEastAsia"/>
          <w:lang w:val="en-GB"/>
        </w:rPr>
      </w:pPr>
      <m:oMathPara>
        <m:oMath>
          <m:r>
            <m:rPr>
              <m:sty m:val="p"/>
            </m:rPr>
            <w:rPr>
              <w:rFonts w:ascii="Cambria Math" w:hAnsi="Cambria Math"/>
              <w:lang w:val="en-GB"/>
            </w:rPr>
            <m:t>T=</m:t>
          </m:r>
          <m:f>
            <m:fPr>
              <m:ctrlPr>
                <w:rPr>
                  <w:rFonts w:ascii="Cambria Math" w:hAnsi="Cambria Math"/>
                  <w:lang w:val="en-GB"/>
                </w:rPr>
              </m:ctrlPr>
            </m:fPr>
            <m:num>
              <m:r>
                <m:rPr>
                  <m:sty m:val="p"/>
                </m:rPr>
                <w:rPr>
                  <w:rFonts w:ascii="Cambria Math" w:hAnsi="Cambria Math"/>
                  <w:lang w:val="en-GB"/>
                </w:rPr>
                <m:t xml:space="preserve"> Avg Per</m:t>
              </m:r>
              <m:sSub>
                <m:sSubPr>
                  <m:ctrlPr>
                    <w:rPr>
                      <w:rFonts w:ascii="Cambria Math" w:hAnsi="Cambria Math"/>
                      <w:lang w:val="en-GB"/>
                    </w:rPr>
                  </m:ctrlPr>
                </m:sSubPr>
                <m:e>
                  <m:r>
                    <m:rPr>
                      <m:sty m:val="p"/>
                    </m:rPr>
                    <w:rPr>
                      <w:rFonts w:ascii="Cambria Math" w:hAnsi="Cambria Math"/>
                      <w:lang w:val="en-GB"/>
                    </w:rPr>
                    <m:t>f REST</m:t>
                  </m:r>
                </m:e>
                <m:sub>
                  <m:r>
                    <m:rPr>
                      <m:sty m:val="p"/>
                    </m:rPr>
                    <w:rPr>
                      <w:rFonts w:ascii="Cambria Math" w:hAnsi="Cambria Math"/>
                      <w:lang w:val="en-GB"/>
                    </w:rPr>
                    <m:t>Equity-based comp</m:t>
                  </m:r>
                </m:sub>
              </m:sSub>
              <m:r>
                <m:rPr>
                  <m:sty m:val="p"/>
                </m:rPr>
                <w:rPr>
                  <w:rFonts w:ascii="Cambria Math" w:hAnsi="Cambria Math"/>
                  <w:lang w:val="en-GB"/>
                </w:rPr>
                <m:t>-Avg Per</m:t>
              </m:r>
              <m:sSub>
                <m:sSubPr>
                  <m:ctrlPr>
                    <w:rPr>
                      <w:rFonts w:ascii="Cambria Math" w:hAnsi="Cambria Math"/>
                      <w:lang w:val="en-GB"/>
                    </w:rPr>
                  </m:ctrlPr>
                </m:sSubPr>
                <m:e>
                  <m:r>
                    <m:rPr>
                      <m:sty m:val="p"/>
                    </m:rPr>
                    <w:rPr>
                      <w:rFonts w:ascii="Cambria Math" w:hAnsi="Cambria Math"/>
                      <w:lang w:val="en-GB"/>
                    </w:rPr>
                    <m:t>f REST</m:t>
                  </m:r>
                </m:e>
                <m:sub>
                  <m:r>
                    <m:rPr>
                      <m:sty m:val="p"/>
                    </m:rPr>
                    <w:rPr>
                      <w:rFonts w:ascii="Cambria Math" w:hAnsi="Cambria Math"/>
                      <w:lang w:val="en-GB"/>
                    </w:rPr>
                    <m:t>Not equity-based comp</m:t>
                  </m:r>
                </m:sub>
              </m:sSub>
            </m:num>
            <m:den>
              <m:rad>
                <m:radPr>
                  <m:degHide m:val="1"/>
                  <m:ctrlPr>
                    <w:rPr>
                      <w:rFonts w:ascii="Cambria Math" w:hAnsi="Cambria Math"/>
                      <w:lang w:val="en-GB"/>
                    </w:rPr>
                  </m:ctrlPr>
                </m:radPr>
                <m:deg/>
                <m:e>
                  <m:f>
                    <m:fPr>
                      <m:ctrlPr>
                        <w:rPr>
                          <w:rFonts w:ascii="Cambria Math" w:hAnsi="Cambria Math"/>
                          <w:lang w:val="en-GB"/>
                        </w:rPr>
                      </m:ctrlPr>
                    </m:fPr>
                    <m:num>
                      <m:sSup>
                        <m:sSupPr>
                          <m:ctrlPr>
                            <w:rPr>
                              <w:rFonts w:ascii="Cambria Math" w:hAnsi="Cambria Math"/>
                              <w:lang w:val="en-GB"/>
                            </w:rPr>
                          </m:ctrlPr>
                        </m:sSupPr>
                        <m:e>
                          <m:eqArr>
                            <m:eqArrPr>
                              <m:ctrlPr>
                                <w:rPr>
                                  <w:rFonts w:ascii="Cambria Math" w:hAnsi="Cambria Math"/>
                                  <w:lang w:val="en-GB"/>
                                </w:rPr>
                              </m:ctrlPr>
                            </m:eqArrPr>
                            <m:e>
                              <m:sSub>
                                <m:sSubPr>
                                  <m:ctrlPr>
                                    <w:rPr>
                                      <w:rFonts w:ascii="Cambria Math" w:hAnsi="Cambria Math"/>
                                      <w:lang w:val="en-GB"/>
                                    </w:rPr>
                                  </m:ctrlPr>
                                </m:sSubPr>
                                <m:e>
                                  <m:r>
                                    <m:rPr>
                                      <m:sty m:val="p"/>
                                    </m:rPr>
                                    <w:rPr>
                                      <w:rFonts w:ascii="Cambria Math" w:hAnsi="Cambria Math"/>
                                      <w:lang w:val="en-GB"/>
                                    </w:rPr>
                                    <m:t>S</m:t>
                                  </m:r>
                                </m:e>
                                <m:sub>
                                  <m:r>
                                    <m:rPr>
                                      <m:sty m:val="p"/>
                                    </m:rPr>
                                    <w:rPr>
                                      <w:rFonts w:ascii="Cambria Math" w:hAnsi="Cambria Math"/>
                                      <w:lang w:val="en-GB"/>
                                    </w:rPr>
                                    <m:t>Equity-compensated</m:t>
                                  </m:r>
                                </m:sub>
                              </m:sSub>
                            </m:e>
                          </m:eqArr>
                        </m:e>
                        <m:sup>
                          <m:r>
                            <m:rPr>
                              <m:sty m:val="p"/>
                            </m:rPr>
                            <w:rPr>
                              <w:rFonts w:ascii="Cambria Math" w:hAnsi="Cambria Math"/>
                              <w:lang w:val="en-GB"/>
                            </w:rPr>
                            <m:t>2</m:t>
                          </m:r>
                        </m:sup>
                      </m:sSup>
                    </m:num>
                    <m:den>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Equity-compensated</m:t>
                          </m:r>
                        </m:sub>
                      </m:sSub>
                    </m:den>
                  </m:f>
                </m:e>
              </m:rad>
              <m:r>
                <m:rPr>
                  <m:sty m:val="p"/>
                </m:rPr>
                <w:rPr>
                  <w:rFonts w:ascii="Cambria Math" w:hAnsi="Cambria Math"/>
                  <w:lang w:val="en-GB"/>
                </w:rPr>
                <m:t>+</m:t>
              </m:r>
              <m:f>
                <m:fPr>
                  <m:ctrlPr>
                    <w:rPr>
                      <w:rFonts w:ascii="Cambria Math" w:hAnsi="Cambria Math"/>
                      <w:lang w:val="en-GB"/>
                    </w:rPr>
                  </m:ctrlPr>
                </m:fPr>
                <m:num>
                  <m:sSup>
                    <m:sSupPr>
                      <m:ctrlPr>
                        <w:rPr>
                          <w:rFonts w:ascii="Cambria Math" w:hAnsi="Cambria Math"/>
                          <w:lang w:val="en-GB"/>
                        </w:rPr>
                      </m:ctrlPr>
                    </m:sSupPr>
                    <m:e>
                      <m:eqArr>
                        <m:eqArrPr>
                          <m:ctrlPr>
                            <w:rPr>
                              <w:rFonts w:ascii="Cambria Math" w:hAnsi="Cambria Math"/>
                              <w:lang w:val="en-GB"/>
                            </w:rPr>
                          </m:ctrlPr>
                        </m:eqArrPr>
                        <m:e>
                          <m:sSub>
                            <m:sSubPr>
                              <m:ctrlPr>
                                <w:rPr>
                                  <w:rFonts w:ascii="Cambria Math" w:hAnsi="Cambria Math"/>
                                  <w:lang w:val="en-GB"/>
                                </w:rPr>
                              </m:ctrlPr>
                            </m:sSubPr>
                            <m:e>
                              <m:r>
                                <m:rPr>
                                  <m:sty m:val="p"/>
                                </m:rPr>
                                <w:rPr>
                                  <w:rFonts w:ascii="Cambria Math" w:hAnsi="Cambria Math"/>
                                  <w:lang w:val="en-GB"/>
                                </w:rPr>
                                <m:t>S</m:t>
                              </m:r>
                            </m:e>
                            <m:sub>
                              <m:r>
                                <m:rPr>
                                  <m:sty m:val="p"/>
                                </m:rPr>
                                <w:rPr>
                                  <w:rFonts w:ascii="Cambria Math" w:hAnsi="Cambria Math"/>
                                  <w:lang w:val="en-GB"/>
                                </w:rPr>
                                <m:t>Not equity-compensated</m:t>
                              </m:r>
                            </m:sub>
                          </m:sSub>
                        </m:e>
                      </m:eqArr>
                    </m:e>
                    <m:sup>
                      <m:r>
                        <m:rPr>
                          <m:sty m:val="p"/>
                        </m:rPr>
                        <w:rPr>
                          <w:rFonts w:ascii="Cambria Math" w:hAnsi="Cambria Math"/>
                          <w:lang w:val="en-GB"/>
                        </w:rPr>
                        <m:t>2</m:t>
                      </m:r>
                    </m:sup>
                  </m:sSup>
                </m:num>
                <m:den>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Not equity-compensated</m:t>
                      </m:r>
                    </m:sub>
                  </m:sSub>
                </m:den>
              </m:f>
            </m:den>
          </m:f>
        </m:oMath>
      </m:oMathPara>
    </w:p>
    <w:p w14:paraId="33869D96" w14:textId="352E09F6" w:rsidR="00835F08" w:rsidRPr="0025157D" w:rsidRDefault="006738D7" w:rsidP="0025157D">
      <w:pPr>
        <w:pStyle w:val="Kop3"/>
      </w:pPr>
      <w:bookmarkStart w:id="45" w:name="_Toc439346651"/>
      <w:r w:rsidRPr="0025157D">
        <w:t>4.4.2</w:t>
      </w:r>
      <w:r w:rsidR="00835F08" w:rsidRPr="0025157D">
        <w:t xml:space="preserve"> Testing hypothesis </w:t>
      </w:r>
      <w:r w:rsidR="00692EA4" w:rsidRPr="0025157D">
        <w:t>2</w:t>
      </w:r>
      <w:bookmarkEnd w:id="45"/>
    </w:p>
    <w:p w14:paraId="76C12E24" w14:textId="560CC3A6" w:rsidR="001C3834" w:rsidRPr="0025157D" w:rsidRDefault="001C3834" w:rsidP="0025157D">
      <w:pPr>
        <w:spacing w:line="360" w:lineRule="auto"/>
        <w:jc w:val="both"/>
        <w:rPr>
          <w:lang w:val="en-GB"/>
        </w:rPr>
      </w:pPr>
      <w:r>
        <w:rPr>
          <w:lang w:val="en-GB"/>
        </w:rPr>
        <w:t>Hypothesis 2 predicts that fiduciary</w:t>
      </w:r>
      <w:r w:rsidR="0025157D">
        <w:rPr>
          <w:lang w:val="en-GB"/>
        </w:rPr>
        <w:t xml:space="preserve"> and managerial</w:t>
      </w:r>
      <w:r>
        <w:rPr>
          <w:lang w:val="en-GB"/>
        </w:rPr>
        <w:t xml:space="preserve"> performance differs per proportion of equity-based compensation, which is tested by an one-way ANOVA F-test. This test compares the ten deciles </w:t>
      </w:r>
      <w:r w:rsidR="006574F5">
        <w:rPr>
          <w:lang w:val="en-GB"/>
        </w:rPr>
        <w:t>in the degree of the proportion equity compensation</w:t>
      </w:r>
      <w:r>
        <w:rPr>
          <w:lang w:val="en-GB"/>
        </w:rPr>
        <w:t xml:space="preserve">. The formula is as follows, where “n” is the number of observations per decile, “x” is the average performance of the decile, “x” is the average performance of all the deciles, “S” is de variance of the decile, “N” is the total number of observations. </w:t>
      </w:r>
      <w:r w:rsidR="0025157D">
        <w:rPr>
          <w:lang w:val="en-GB"/>
        </w:rPr>
        <w:t>F</w:t>
      </w:r>
      <w:r w:rsidR="0008794F">
        <w:rPr>
          <w:lang w:val="en-GB"/>
        </w:rPr>
        <w:t xml:space="preserve">or each performance measure FIN </w:t>
      </w:r>
      <w:r w:rsidR="0025157D">
        <w:rPr>
          <w:lang w:val="en-GB"/>
        </w:rPr>
        <w:t xml:space="preserve">PERF, ICMW and REST, an ANOVA test is computed. </w:t>
      </w:r>
      <w:r>
        <w:rPr>
          <w:lang w:val="en-GB"/>
        </w:rPr>
        <w:t>The F-value is tested against a 5% confidence level</w:t>
      </w:r>
      <w:r w:rsidR="003A5948">
        <w:rPr>
          <w:lang w:val="en-GB"/>
        </w:rPr>
        <w:t xml:space="preserve"> </w:t>
      </w:r>
      <w:r w:rsidR="003A5948">
        <w:rPr>
          <w:lang w:val="en-GB"/>
        </w:rPr>
        <w:fldChar w:fldCharType="begin"/>
      </w:r>
      <w:r w:rsidR="003A5948">
        <w:rPr>
          <w:lang w:val="en-GB"/>
        </w:rPr>
        <w:instrText>ADDIN RW.CITE{{4 Bol,JasmijnC. 2011 /h}}</w:instrText>
      </w:r>
      <w:r w:rsidR="003A5948">
        <w:rPr>
          <w:lang w:val="en-GB"/>
        </w:rPr>
        <w:fldChar w:fldCharType="end"/>
      </w:r>
      <w:r w:rsidR="0025157D">
        <w:rPr>
          <w:lang w:val="en-GB"/>
        </w:rPr>
        <w:t>and calculated according to the following formula:</w:t>
      </w:r>
    </w:p>
    <w:p w14:paraId="4557F588" w14:textId="0B47DFA4" w:rsidR="0025157D" w:rsidRPr="00FF3033" w:rsidRDefault="00A726AB" w:rsidP="0025157D">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FIN PERF</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10</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num>
                <m:den>
                  <m:r>
                    <m:rPr>
                      <m:sty m:val="p"/>
                    </m:rPr>
                    <w:rPr>
                      <w:rFonts w:ascii="Cambria Math" w:hAnsi="Cambria Math"/>
                    </w:rPr>
                    <m:t>p-1</m:t>
                  </m:r>
                </m:den>
              </m:f>
            </m:num>
            <m:den>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10</m:t>
                          </m:r>
                        </m:sub>
                      </m:sSub>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10</m:t>
                      </m:r>
                    </m:sub>
                    <m:sup>
                      <m:r>
                        <m:rPr>
                          <m:sty m:val="p"/>
                        </m:rPr>
                        <w:rPr>
                          <w:rFonts w:ascii="Cambria Math" w:hAnsi="Cambria Math"/>
                        </w:rPr>
                        <m:t>2</m:t>
                      </m:r>
                    </m:sup>
                  </m:sSubSup>
                </m:num>
                <m:den>
                  <m:r>
                    <m:rPr>
                      <m:sty m:val="p"/>
                    </m:rPr>
                    <w:rPr>
                      <w:rFonts w:ascii="Cambria Math" w:hAnsi="Cambria Math"/>
                    </w:rPr>
                    <m:t>N-p</m:t>
                  </m:r>
                </m:den>
              </m:f>
            </m:den>
          </m:f>
        </m:oMath>
      </m:oMathPara>
    </w:p>
    <w:p w14:paraId="32AD4D71" w14:textId="505C7737" w:rsidR="0025157D" w:rsidRPr="00FF3033" w:rsidRDefault="00A726AB" w:rsidP="0025157D">
      <w:pPr>
        <w:rPr>
          <w:lang w:val="en-GB"/>
        </w:rPr>
      </w:pPr>
      <m:oMathPara>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ICMW</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10</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num>
                <m:den>
                  <m:r>
                    <m:rPr>
                      <m:sty m:val="p"/>
                    </m:rPr>
                    <w:rPr>
                      <w:rFonts w:ascii="Cambria Math" w:hAnsi="Cambria Math"/>
                    </w:rPr>
                    <m:t>p-1</m:t>
                  </m:r>
                </m:den>
              </m:f>
            </m:num>
            <m:den>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10</m:t>
                          </m:r>
                        </m:sub>
                      </m:sSub>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10</m:t>
                      </m:r>
                    </m:sub>
                    <m:sup>
                      <m:r>
                        <m:rPr>
                          <m:sty m:val="p"/>
                        </m:rPr>
                        <w:rPr>
                          <w:rFonts w:ascii="Cambria Math" w:hAnsi="Cambria Math"/>
                        </w:rPr>
                        <m:t>2</m:t>
                      </m:r>
                    </m:sup>
                  </m:sSubSup>
                </m:num>
                <m:den>
                  <m:r>
                    <m:rPr>
                      <m:sty m:val="p"/>
                    </m:rPr>
                    <w:rPr>
                      <w:rFonts w:ascii="Cambria Math" w:hAnsi="Cambria Math"/>
                    </w:rPr>
                    <m:t>N-p</m:t>
                  </m:r>
                </m:den>
              </m:f>
            </m:den>
          </m:f>
        </m:oMath>
      </m:oMathPara>
    </w:p>
    <w:p w14:paraId="0DC68E95" w14:textId="68B0F501" w:rsidR="0025157D" w:rsidRPr="00FF3033" w:rsidRDefault="00A726AB" w:rsidP="0025157D">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REST</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10</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num>
                <m:den>
                  <m:r>
                    <m:rPr>
                      <m:sty m:val="p"/>
                    </m:rPr>
                    <w:rPr>
                      <w:rFonts w:ascii="Cambria Math" w:hAnsi="Cambria Math"/>
                    </w:rPr>
                    <m:t>p-1</m:t>
                  </m:r>
                </m:den>
              </m:f>
            </m:num>
            <m:den>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10</m:t>
                          </m:r>
                        </m:sub>
                      </m:sSub>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10</m:t>
                      </m:r>
                    </m:sub>
                    <m:sup>
                      <m:r>
                        <m:rPr>
                          <m:sty m:val="p"/>
                        </m:rPr>
                        <w:rPr>
                          <w:rFonts w:ascii="Cambria Math" w:hAnsi="Cambria Math"/>
                        </w:rPr>
                        <m:t>2</m:t>
                      </m:r>
                    </m:sup>
                  </m:sSubSup>
                </m:num>
                <m:den>
                  <m:r>
                    <m:rPr>
                      <m:sty m:val="p"/>
                    </m:rPr>
                    <w:rPr>
                      <w:rFonts w:ascii="Cambria Math" w:hAnsi="Cambria Math"/>
                    </w:rPr>
                    <m:t>N-p</m:t>
                  </m:r>
                </m:den>
              </m:f>
            </m:den>
          </m:f>
        </m:oMath>
      </m:oMathPara>
    </w:p>
    <w:p w14:paraId="15945A26" w14:textId="5A56B72E" w:rsidR="0025157D" w:rsidRPr="0025157D" w:rsidRDefault="0025157D" w:rsidP="0025157D">
      <w:pPr>
        <w:pStyle w:val="Kop3"/>
      </w:pPr>
      <w:bookmarkStart w:id="46" w:name="_Toc439346652"/>
      <w:r w:rsidRPr="0025157D">
        <w:t>4.4.3 Testing hypothesis 3</w:t>
      </w:r>
      <w:bookmarkEnd w:id="46"/>
    </w:p>
    <w:p w14:paraId="7EEA7228" w14:textId="199B3D55" w:rsidR="0025157D" w:rsidRDefault="0025157D" w:rsidP="0025157D">
      <w:pPr>
        <w:spacing w:line="360" w:lineRule="auto"/>
        <w:jc w:val="both"/>
        <w:rPr>
          <w:lang w:val="en-GB"/>
        </w:rPr>
      </w:pPr>
      <w:r>
        <w:rPr>
          <w:lang w:val="en-GB"/>
        </w:rPr>
        <w:t>Hypothesis 3 predicts a positive relation between CFO managerial or fiduciary performance and CFO total performance. This association is tested by an Ordinary Least Squares regression to examine the coefficients of the variables</w:t>
      </w:r>
      <w:r w:rsidR="0008794F">
        <w:rPr>
          <w:lang w:val="en-GB"/>
        </w:rPr>
        <w:t xml:space="preserve">. The independent variables FIN </w:t>
      </w:r>
      <w:r>
        <w:rPr>
          <w:lang w:val="en-GB"/>
        </w:rPr>
        <w:t xml:space="preserve">PERF, ICMW and REST are tested against </w:t>
      </w:r>
      <w:r>
        <w:rPr>
          <w:lang w:val="en-GB"/>
        </w:rPr>
        <w:lastRenderedPageBreak/>
        <w:t xml:space="preserve">dependent variable </w:t>
      </w:r>
      <w:r w:rsidR="00C536DF">
        <w:rPr>
          <w:lang w:val="en-GB"/>
        </w:rPr>
        <w:t>of total performance</w:t>
      </w:r>
      <w:r>
        <w:rPr>
          <w:lang w:val="en-GB"/>
        </w:rPr>
        <w:t xml:space="preserve">. Moreover, </w:t>
      </w:r>
      <w:r w:rsidR="0028498F">
        <w:rPr>
          <w:lang w:val="en-GB"/>
        </w:rPr>
        <w:t>the control variable is added to control for firm size effects</w:t>
      </w:r>
      <w:r>
        <w:rPr>
          <w:lang w:val="en-GB"/>
        </w:rPr>
        <w:t xml:space="preserve">. The OLS regression is stated as follows: </w:t>
      </w:r>
    </w:p>
    <w:p w14:paraId="12BC09EE" w14:textId="7A1D9DCA" w:rsidR="0025157D" w:rsidRPr="0025157D" w:rsidRDefault="00841A67" w:rsidP="0025157D">
      <w:pPr>
        <w:rPr>
          <w:rFonts w:ascii="Cambria Math" w:hAnsi="Cambria Math"/>
          <w:lang w:val="en-GB"/>
          <w:oMath/>
        </w:rPr>
      </w:pPr>
      <m:oMathPara>
        <m:oMath>
          <m:r>
            <m:rPr>
              <m:sty m:val="p"/>
            </m:rPr>
            <w:rPr>
              <w:rFonts w:ascii="Cambria Math" w:hAnsi="Cambria Math"/>
              <w:lang w:val="en-GB"/>
            </w:rPr>
            <m:t xml:space="preserve">CFO Total performance = β0 + β1*Mangerial performance + β2*Fiduciary performance </m:t>
          </m:r>
          <m:d>
            <m:dPr>
              <m:ctrlPr>
                <w:rPr>
                  <w:rFonts w:ascii="Cambria Math" w:hAnsi="Cambria Math"/>
                  <w:lang w:val="en-GB"/>
                </w:rPr>
              </m:ctrlPr>
            </m:dPr>
            <m:e>
              <m:r>
                <m:rPr>
                  <m:sty m:val="p"/>
                </m:rPr>
                <w:rPr>
                  <w:rFonts w:ascii="Cambria Math" w:hAnsi="Cambria Math"/>
                  <w:lang w:val="en-GB"/>
                </w:rPr>
                <m:t>ICMW</m:t>
              </m:r>
            </m:e>
          </m:d>
          <m:r>
            <m:rPr>
              <m:sty m:val="p"/>
            </m:rPr>
            <w:rPr>
              <w:rFonts w:ascii="Cambria Math" w:hAnsi="Cambria Math"/>
              <w:lang w:val="en-GB"/>
            </w:rPr>
            <m:t>+ β3*Fiduciary performance (Restatement) + β4*Size + ε</m:t>
          </m:r>
        </m:oMath>
      </m:oMathPara>
    </w:p>
    <w:p w14:paraId="61CA61EC" w14:textId="14B6F88A" w:rsidR="0025157D" w:rsidRDefault="0025157D" w:rsidP="0025157D">
      <w:pPr>
        <w:pStyle w:val="Kop3"/>
      </w:pPr>
      <w:bookmarkStart w:id="47" w:name="_Toc439346653"/>
      <w:r w:rsidRPr="0025157D">
        <w:t>4.4.</w:t>
      </w:r>
      <w:r>
        <w:t>4</w:t>
      </w:r>
      <w:r w:rsidRPr="0025157D">
        <w:t xml:space="preserve"> Testing hypothesis </w:t>
      </w:r>
      <w:r>
        <w:t>4</w:t>
      </w:r>
      <w:bookmarkEnd w:id="47"/>
    </w:p>
    <w:p w14:paraId="05375C9D" w14:textId="60F0AA37" w:rsidR="0025157D" w:rsidRPr="0025157D" w:rsidRDefault="0025157D" w:rsidP="0025157D">
      <w:pPr>
        <w:spacing w:line="360" w:lineRule="auto"/>
        <w:jc w:val="both"/>
        <w:rPr>
          <w:lang w:val="en-GB"/>
        </w:rPr>
      </w:pPr>
      <w:r>
        <w:rPr>
          <w:lang w:val="en-GB"/>
        </w:rPr>
        <w:t>Hypothesis 4 pred</w:t>
      </w:r>
      <w:r w:rsidR="00C536DF">
        <w:rPr>
          <w:lang w:val="en-GB"/>
        </w:rPr>
        <w:t xml:space="preserve">icts that CFO total performance </w:t>
      </w:r>
      <w:r>
        <w:rPr>
          <w:lang w:val="en-GB"/>
        </w:rPr>
        <w:t xml:space="preserve">differs per proportion of equity-based compensation which is tested by an one-way ANOVA F-test. </w:t>
      </w:r>
      <w:r w:rsidR="0028498F">
        <w:rPr>
          <w:lang w:val="en-GB"/>
        </w:rPr>
        <w:t>This test compares the ten deciles in the degree of the proportion equity compensation</w:t>
      </w:r>
      <w:r>
        <w:rPr>
          <w:lang w:val="en-GB"/>
        </w:rPr>
        <w:t xml:space="preserve">. The formula is as follows, where “n” is the number of observations per decile, “x” is the average total performance of the decile, “x” is the average total  performance of all the deciles, “S” is de variance of the decile, “N” is the total number of observations. The F-value is tested against a 5% confidence level </w:t>
      </w:r>
      <w:r>
        <w:rPr>
          <w:lang w:val="en-GB"/>
        </w:rPr>
        <w:fldChar w:fldCharType="begin"/>
      </w:r>
      <w:r>
        <w:rPr>
          <w:lang w:val="en-GB"/>
        </w:rPr>
        <w:instrText>ADDIN RW.CITE{{4 Bol,JasmijnC. 2011 /h}}</w:instrText>
      </w:r>
      <w:r>
        <w:rPr>
          <w:lang w:val="en-GB"/>
        </w:rPr>
        <w:fldChar w:fldCharType="end"/>
      </w:r>
      <w:r>
        <w:rPr>
          <w:lang w:val="en-GB"/>
        </w:rPr>
        <w:t>and calculated according to the following formula:</w:t>
      </w:r>
    </w:p>
    <w:p w14:paraId="15ECD21C" w14:textId="2AF50173" w:rsidR="0025157D" w:rsidRPr="0025157D" w:rsidRDefault="00A726AB" w:rsidP="0025157D">
      <w:pPr>
        <w:pStyle w:val="Kop6"/>
        <w:rPr>
          <w:i w:val="0"/>
          <w:color w:val="auto"/>
        </w:rPr>
      </w:pPr>
      <m:oMathPara>
        <m:oMathParaPr>
          <m:jc m:val="center"/>
        </m:oMathParaPr>
        <m:oMath>
          <m:sSub>
            <m:sSubPr>
              <m:ctrlPr>
                <w:rPr>
                  <w:rFonts w:ascii="Cambria Math" w:hAnsi="Cambria Math"/>
                  <w:i w:val="0"/>
                  <w:color w:val="auto"/>
                </w:rPr>
              </m:ctrlPr>
            </m:sSubPr>
            <m:e>
              <m:r>
                <w:rPr>
                  <w:rFonts w:ascii="Cambria Math" w:hAnsi="Cambria Math"/>
                  <w:color w:val="auto"/>
                </w:rPr>
                <m:t>F</m:t>
              </m:r>
            </m:e>
            <m:sub>
              <m:r>
                <w:rPr>
                  <w:rFonts w:ascii="Cambria Math" w:hAnsi="Cambria Math"/>
                  <w:color w:val="auto"/>
                </w:rPr>
                <m:t>Total Performance</m:t>
              </m:r>
            </m:sub>
          </m:sSub>
          <m:r>
            <w:rPr>
              <w:rFonts w:ascii="Cambria Math" w:hAnsi="Cambria Math"/>
              <w:color w:val="auto"/>
            </w:rPr>
            <m:t>=</m:t>
          </m:r>
          <m:f>
            <m:fPr>
              <m:ctrlPr>
                <w:rPr>
                  <w:rFonts w:ascii="Cambria Math" w:hAnsi="Cambria Math"/>
                  <w:i w:val="0"/>
                  <w:color w:val="auto"/>
                </w:rPr>
              </m:ctrlPr>
            </m:fPr>
            <m:num>
              <m:f>
                <m:fPr>
                  <m:ctrlPr>
                    <w:rPr>
                      <w:rFonts w:ascii="Cambria Math" w:hAnsi="Cambria Math"/>
                      <w:i w:val="0"/>
                      <w:color w:val="auto"/>
                    </w:rPr>
                  </m:ctrlPr>
                </m:fPr>
                <m:num>
                  <m:r>
                    <w:rPr>
                      <w:rFonts w:ascii="Cambria Math" w:hAnsi="Cambria Math"/>
                      <w:color w:val="auto"/>
                    </w:rPr>
                    <m:t>n</m:t>
                  </m:r>
                  <m:d>
                    <m:dPr>
                      <m:ctrlPr>
                        <w:rPr>
                          <w:rFonts w:ascii="Cambria Math" w:hAnsi="Cambria Math"/>
                          <w:i w:val="0"/>
                          <w:color w:val="auto"/>
                        </w:rPr>
                      </m:ctrlPr>
                    </m:dPr>
                    <m:e>
                      <m:sSub>
                        <m:sSubPr>
                          <m:ctrlPr>
                            <w:rPr>
                              <w:rFonts w:ascii="Cambria Math" w:hAnsi="Cambria Math"/>
                              <w:i w:val="0"/>
                              <w:color w:val="auto"/>
                            </w:rPr>
                          </m:ctrlPr>
                        </m:sSubPr>
                        <m:e>
                          <m:r>
                            <w:rPr>
                              <w:rFonts w:ascii="Cambria Math" w:hAnsi="Cambria Math"/>
                              <w:color w:val="auto"/>
                            </w:rPr>
                            <m:t>x</m:t>
                          </m:r>
                        </m:e>
                        <m:sub>
                          <m:r>
                            <w:rPr>
                              <w:rFonts w:ascii="Cambria Math" w:hAnsi="Cambria Math"/>
                              <w:color w:val="auto"/>
                            </w:rPr>
                            <m:t>1</m:t>
                          </m:r>
                        </m:sub>
                      </m:sSub>
                      <m:r>
                        <w:rPr>
                          <w:rFonts w:ascii="Cambria Math" w:hAnsi="Cambria Math"/>
                          <w:color w:val="auto"/>
                        </w:rPr>
                        <m:t>-</m:t>
                      </m:r>
                      <m:acc>
                        <m:accPr>
                          <m:chr m:val="̅"/>
                          <m:ctrlPr>
                            <w:rPr>
                              <w:rFonts w:ascii="Cambria Math" w:hAnsi="Cambria Math"/>
                              <w:i w:val="0"/>
                              <w:color w:val="auto"/>
                            </w:rPr>
                          </m:ctrlPr>
                        </m:accPr>
                        <m:e>
                          <m:r>
                            <w:rPr>
                              <w:rFonts w:ascii="Cambria Math" w:hAnsi="Cambria Math"/>
                              <w:color w:val="auto"/>
                            </w:rPr>
                            <m:t>x</m:t>
                          </m:r>
                        </m:e>
                      </m:acc>
                    </m:e>
                  </m:d>
                  <m:r>
                    <w:rPr>
                      <w:rFonts w:ascii="Cambria Math" w:hAnsi="Cambria Math"/>
                      <w:color w:val="auto"/>
                    </w:rPr>
                    <m:t>+n</m:t>
                  </m:r>
                  <m:d>
                    <m:dPr>
                      <m:ctrlPr>
                        <w:rPr>
                          <w:rFonts w:ascii="Cambria Math" w:hAnsi="Cambria Math"/>
                          <w:i w:val="0"/>
                          <w:color w:val="auto"/>
                        </w:rPr>
                      </m:ctrlPr>
                    </m:dPr>
                    <m:e>
                      <m:sSub>
                        <m:sSubPr>
                          <m:ctrlPr>
                            <w:rPr>
                              <w:rFonts w:ascii="Cambria Math" w:hAnsi="Cambria Math"/>
                              <w:i w:val="0"/>
                              <w:color w:val="auto"/>
                            </w:rPr>
                          </m:ctrlPr>
                        </m:sSubPr>
                        <m:e>
                          <m:r>
                            <w:rPr>
                              <w:rFonts w:ascii="Cambria Math" w:hAnsi="Cambria Math"/>
                              <w:color w:val="auto"/>
                            </w:rPr>
                            <m:t>x</m:t>
                          </m:r>
                        </m:e>
                        <m:sub>
                          <m:r>
                            <w:rPr>
                              <w:rFonts w:ascii="Cambria Math" w:hAnsi="Cambria Math"/>
                              <w:color w:val="auto"/>
                            </w:rPr>
                            <m:t>2</m:t>
                          </m:r>
                        </m:sub>
                      </m:sSub>
                      <m:r>
                        <w:rPr>
                          <w:rFonts w:ascii="Cambria Math" w:hAnsi="Cambria Math"/>
                          <w:color w:val="auto"/>
                        </w:rPr>
                        <m:t>-</m:t>
                      </m:r>
                      <m:acc>
                        <m:accPr>
                          <m:chr m:val="̅"/>
                          <m:ctrlPr>
                            <w:rPr>
                              <w:rFonts w:ascii="Cambria Math" w:hAnsi="Cambria Math"/>
                              <w:i w:val="0"/>
                              <w:color w:val="auto"/>
                            </w:rPr>
                          </m:ctrlPr>
                        </m:accPr>
                        <m:e>
                          <m:r>
                            <w:rPr>
                              <w:rFonts w:ascii="Cambria Math" w:hAnsi="Cambria Math"/>
                              <w:color w:val="auto"/>
                            </w:rPr>
                            <m:t>x</m:t>
                          </m:r>
                        </m:e>
                      </m:acc>
                    </m:e>
                  </m:d>
                  <m:r>
                    <w:rPr>
                      <w:rFonts w:ascii="Cambria Math" w:hAnsi="Cambria Math"/>
                      <w:color w:val="auto"/>
                    </w:rPr>
                    <m:t>+…n</m:t>
                  </m:r>
                  <m:d>
                    <m:dPr>
                      <m:ctrlPr>
                        <w:rPr>
                          <w:rFonts w:ascii="Cambria Math" w:hAnsi="Cambria Math"/>
                          <w:i w:val="0"/>
                          <w:color w:val="auto"/>
                        </w:rPr>
                      </m:ctrlPr>
                    </m:dPr>
                    <m:e>
                      <m:sSub>
                        <m:sSubPr>
                          <m:ctrlPr>
                            <w:rPr>
                              <w:rFonts w:ascii="Cambria Math" w:hAnsi="Cambria Math"/>
                              <w:i w:val="0"/>
                              <w:color w:val="auto"/>
                            </w:rPr>
                          </m:ctrlPr>
                        </m:sSubPr>
                        <m:e>
                          <m:r>
                            <w:rPr>
                              <w:rFonts w:ascii="Cambria Math" w:hAnsi="Cambria Math"/>
                              <w:color w:val="auto"/>
                            </w:rPr>
                            <m:t>x</m:t>
                          </m:r>
                        </m:e>
                        <m:sub>
                          <m:r>
                            <w:rPr>
                              <w:rFonts w:ascii="Cambria Math" w:hAnsi="Cambria Math"/>
                              <w:color w:val="auto"/>
                            </w:rPr>
                            <m:t>10</m:t>
                          </m:r>
                        </m:sub>
                      </m:sSub>
                      <m:r>
                        <w:rPr>
                          <w:rFonts w:ascii="Cambria Math" w:hAnsi="Cambria Math"/>
                          <w:color w:val="auto"/>
                        </w:rPr>
                        <m:t>-</m:t>
                      </m:r>
                      <m:acc>
                        <m:accPr>
                          <m:chr m:val="̅"/>
                          <m:ctrlPr>
                            <w:rPr>
                              <w:rFonts w:ascii="Cambria Math" w:hAnsi="Cambria Math"/>
                              <w:i w:val="0"/>
                              <w:color w:val="auto"/>
                            </w:rPr>
                          </m:ctrlPr>
                        </m:accPr>
                        <m:e>
                          <m:r>
                            <w:rPr>
                              <w:rFonts w:ascii="Cambria Math" w:hAnsi="Cambria Math"/>
                              <w:color w:val="auto"/>
                            </w:rPr>
                            <m:t>x</m:t>
                          </m:r>
                        </m:e>
                      </m:acc>
                    </m:e>
                  </m:d>
                </m:num>
                <m:den>
                  <m:r>
                    <w:rPr>
                      <w:rFonts w:ascii="Cambria Math" w:hAnsi="Cambria Math"/>
                      <w:color w:val="auto"/>
                    </w:rPr>
                    <m:t>p-1</m:t>
                  </m:r>
                </m:den>
              </m:f>
            </m:num>
            <m:den>
              <m:f>
                <m:fPr>
                  <m:ctrlPr>
                    <w:rPr>
                      <w:rFonts w:ascii="Cambria Math" w:hAnsi="Cambria Math"/>
                      <w:i w:val="0"/>
                      <w:color w:val="auto"/>
                    </w:rPr>
                  </m:ctrlPr>
                </m:fPr>
                <m:num>
                  <m:d>
                    <m:dPr>
                      <m:ctrlPr>
                        <w:rPr>
                          <w:rFonts w:ascii="Cambria Math" w:hAnsi="Cambria Math"/>
                          <w:i w:val="0"/>
                          <w:color w:val="auto"/>
                        </w:rPr>
                      </m:ctrlPr>
                    </m:dPr>
                    <m:e>
                      <m:sSub>
                        <m:sSubPr>
                          <m:ctrlPr>
                            <w:rPr>
                              <w:rFonts w:ascii="Cambria Math" w:hAnsi="Cambria Math"/>
                              <w:i w:val="0"/>
                              <w:color w:val="auto"/>
                            </w:rPr>
                          </m:ctrlPr>
                        </m:sSubPr>
                        <m:e>
                          <m:r>
                            <w:rPr>
                              <w:rFonts w:ascii="Cambria Math" w:hAnsi="Cambria Math"/>
                              <w:color w:val="auto"/>
                            </w:rPr>
                            <m:t>n</m:t>
                          </m:r>
                        </m:e>
                        <m:sub>
                          <m:r>
                            <w:rPr>
                              <w:rFonts w:ascii="Cambria Math" w:hAnsi="Cambria Math"/>
                              <w:color w:val="auto"/>
                            </w:rPr>
                            <m:t>1</m:t>
                          </m:r>
                        </m:sub>
                      </m:sSub>
                      <m:r>
                        <w:rPr>
                          <w:rFonts w:ascii="Cambria Math" w:hAnsi="Cambria Math"/>
                          <w:color w:val="auto"/>
                        </w:rPr>
                        <m:t>-1</m:t>
                      </m:r>
                    </m:e>
                  </m:d>
                  <m:sSubSup>
                    <m:sSubSupPr>
                      <m:ctrlPr>
                        <w:rPr>
                          <w:rFonts w:ascii="Cambria Math" w:hAnsi="Cambria Math"/>
                          <w:i w:val="0"/>
                          <w:color w:val="auto"/>
                        </w:rPr>
                      </m:ctrlPr>
                    </m:sSubSupPr>
                    <m:e>
                      <m:r>
                        <w:rPr>
                          <w:rFonts w:ascii="Cambria Math" w:hAnsi="Cambria Math"/>
                          <w:color w:val="auto"/>
                        </w:rPr>
                        <m:t>S</m:t>
                      </m:r>
                    </m:e>
                    <m:sub>
                      <m:r>
                        <w:rPr>
                          <w:rFonts w:ascii="Cambria Math" w:hAnsi="Cambria Math"/>
                          <w:color w:val="auto"/>
                        </w:rPr>
                        <m:t>1</m:t>
                      </m:r>
                    </m:sub>
                    <m:sup>
                      <m:r>
                        <w:rPr>
                          <w:rFonts w:ascii="Cambria Math" w:hAnsi="Cambria Math"/>
                          <w:color w:val="auto"/>
                        </w:rPr>
                        <m:t>2</m:t>
                      </m:r>
                    </m:sup>
                  </m:sSubSup>
                  <m:r>
                    <w:rPr>
                      <w:rFonts w:ascii="Cambria Math" w:hAnsi="Cambria Math"/>
                      <w:color w:val="auto"/>
                    </w:rPr>
                    <m:t>+</m:t>
                  </m:r>
                  <m:d>
                    <m:dPr>
                      <m:ctrlPr>
                        <w:rPr>
                          <w:rFonts w:ascii="Cambria Math" w:hAnsi="Cambria Math"/>
                          <w:i w:val="0"/>
                          <w:color w:val="auto"/>
                        </w:rPr>
                      </m:ctrlPr>
                    </m:dPr>
                    <m:e>
                      <m:sSub>
                        <m:sSubPr>
                          <m:ctrlPr>
                            <w:rPr>
                              <w:rFonts w:ascii="Cambria Math" w:hAnsi="Cambria Math"/>
                              <w:i w:val="0"/>
                              <w:color w:val="auto"/>
                            </w:rPr>
                          </m:ctrlPr>
                        </m:sSubPr>
                        <m:e>
                          <m:r>
                            <w:rPr>
                              <w:rFonts w:ascii="Cambria Math" w:hAnsi="Cambria Math"/>
                              <w:color w:val="auto"/>
                            </w:rPr>
                            <m:t>n</m:t>
                          </m:r>
                        </m:e>
                        <m:sub>
                          <m:r>
                            <w:rPr>
                              <w:rFonts w:ascii="Cambria Math" w:hAnsi="Cambria Math"/>
                              <w:color w:val="auto"/>
                            </w:rPr>
                            <m:t>2</m:t>
                          </m:r>
                        </m:sub>
                      </m:sSub>
                      <m:r>
                        <w:rPr>
                          <w:rFonts w:ascii="Cambria Math" w:hAnsi="Cambria Math"/>
                          <w:color w:val="auto"/>
                        </w:rPr>
                        <m:t>-1</m:t>
                      </m:r>
                    </m:e>
                  </m:d>
                  <m:sSubSup>
                    <m:sSubSupPr>
                      <m:ctrlPr>
                        <w:rPr>
                          <w:rFonts w:ascii="Cambria Math" w:hAnsi="Cambria Math"/>
                          <w:i w:val="0"/>
                          <w:color w:val="auto"/>
                        </w:rPr>
                      </m:ctrlPr>
                    </m:sSubSupPr>
                    <m:e>
                      <m:r>
                        <w:rPr>
                          <w:rFonts w:ascii="Cambria Math" w:hAnsi="Cambria Math"/>
                          <w:color w:val="auto"/>
                        </w:rPr>
                        <m:t>S</m:t>
                      </m:r>
                    </m:e>
                    <m:sub>
                      <m:r>
                        <w:rPr>
                          <w:rFonts w:ascii="Cambria Math" w:hAnsi="Cambria Math"/>
                          <w:color w:val="auto"/>
                        </w:rPr>
                        <m:t>2</m:t>
                      </m:r>
                    </m:sub>
                    <m:sup>
                      <m:r>
                        <w:rPr>
                          <w:rFonts w:ascii="Cambria Math" w:hAnsi="Cambria Math"/>
                          <w:color w:val="auto"/>
                        </w:rPr>
                        <m:t>2</m:t>
                      </m:r>
                    </m:sup>
                  </m:sSubSup>
                  <m:r>
                    <w:rPr>
                      <w:rFonts w:ascii="Cambria Math" w:hAnsi="Cambria Math"/>
                      <w:color w:val="auto"/>
                    </w:rPr>
                    <m:t>+…</m:t>
                  </m:r>
                  <m:d>
                    <m:dPr>
                      <m:ctrlPr>
                        <w:rPr>
                          <w:rFonts w:ascii="Cambria Math" w:hAnsi="Cambria Math"/>
                          <w:i w:val="0"/>
                          <w:color w:val="auto"/>
                        </w:rPr>
                      </m:ctrlPr>
                    </m:dPr>
                    <m:e>
                      <m:sSub>
                        <m:sSubPr>
                          <m:ctrlPr>
                            <w:rPr>
                              <w:rFonts w:ascii="Cambria Math" w:hAnsi="Cambria Math"/>
                              <w:i w:val="0"/>
                              <w:color w:val="auto"/>
                            </w:rPr>
                          </m:ctrlPr>
                        </m:sSubPr>
                        <m:e>
                          <m:r>
                            <w:rPr>
                              <w:rFonts w:ascii="Cambria Math" w:hAnsi="Cambria Math"/>
                              <w:color w:val="auto"/>
                            </w:rPr>
                            <m:t>n</m:t>
                          </m:r>
                        </m:e>
                        <m:sub>
                          <m:r>
                            <w:rPr>
                              <w:rFonts w:ascii="Cambria Math" w:hAnsi="Cambria Math"/>
                              <w:color w:val="auto"/>
                            </w:rPr>
                            <m:t>10</m:t>
                          </m:r>
                        </m:sub>
                      </m:sSub>
                      <m:r>
                        <w:rPr>
                          <w:rFonts w:ascii="Cambria Math" w:hAnsi="Cambria Math"/>
                          <w:color w:val="auto"/>
                        </w:rPr>
                        <m:t>-1</m:t>
                      </m:r>
                    </m:e>
                  </m:d>
                  <m:sSubSup>
                    <m:sSubSupPr>
                      <m:ctrlPr>
                        <w:rPr>
                          <w:rFonts w:ascii="Cambria Math" w:hAnsi="Cambria Math"/>
                          <w:i w:val="0"/>
                          <w:color w:val="auto"/>
                        </w:rPr>
                      </m:ctrlPr>
                    </m:sSubSupPr>
                    <m:e>
                      <m:r>
                        <w:rPr>
                          <w:rFonts w:ascii="Cambria Math" w:hAnsi="Cambria Math"/>
                          <w:color w:val="auto"/>
                        </w:rPr>
                        <m:t>S</m:t>
                      </m:r>
                    </m:e>
                    <m:sub>
                      <m:r>
                        <w:rPr>
                          <w:rFonts w:ascii="Cambria Math" w:hAnsi="Cambria Math"/>
                          <w:color w:val="auto"/>
                        </w:rPr>
                        <m:t>10</m:t>
                      </m:r>
                    </m:sub>
                    <m:sup>
                      <m:r>
                        <w:rPr>
                          <w:rFonts w:ascii="Cambria Math" w:hAnsi="Cambria Math"/>
                          <w:color w:val="auto"/>
                        </w:rPr>
                        <m:t>2</m:t>
                      </m:r>
                    </m:sup>
                  </m:sSubSup>
                </m:num>
                <m:den>
                  <m:r>
                    <w:rPr>
                      <w:rFonts w:ascii="Cambria Math" w:hAnsi="Cambria Math"/>
                      <w:color w:val="auto"/>
                    </w:rPr>
                    <m:t>N-p</m:t>
                  </m:r>
                </m:den>
              </m:f>
            </m:den>
          </m:f>
        </m:oMath>
      </m:oMathPara>
    </w:p>
    <w:p w14:paraId="4A6984D9" w14:textId="4D988989" w:rsidR="0025157D" w:rsidRPr="0025157D" w:rsidRDefault="0025157D" w:rsidP="0025157D">
      <w:pPr>
        <w:spacing w:line="360" w:lineRule="auto"/>
        <w:jc w:val="both"/>
        <w:rPr>
          <w:lang w:val="en-GB"/>
        </w:rPr>
      </w:pPr>
    </w:p>
    <w:p w14:paraId="40950AE1" w14:textId="77777777" w:rsidR="0025157D" w:rsidRPr="0025157D" w:rsidRDefault="0025157D" w:rsidP="0025157D">
      <w:pPr>
        <w:spacing w:line="360" w:lineRule="auto"/>
        <w:rPr>
          <w:lang w:val="en-GB"/>
        </w:rPr>
      </w:pPr>
    </w:p>
    <w:p w14:paraId="4200B132" w14:textId="77777777" w:rsidR="0028498F" w:rsidRDefault="0028498F">
      <w:pPr>
        <w:rPr>
          <w:rStyle w:val="Kop1Char"/>
        </w:rPr>
      </w:pPr>
      <w:r>
        <w:rPr>
          <w:rStyle w:val="Kop1Char"/>
          <w:b w:val="0"/>
          <w:bCs w:val="0"/>
        </w:rPr>
        <w:br w:type="page"/>
      </w:r>
    </w:p>
    <w:p w14:paraId="72FE3A30" w14:textId="674E4D84" w:rsidR="0025157D" w:rsidRDefault="0025157D" w:rsidP="00875AC0">
      <w:pPr>
        <w:pStyle w:val="Kop1"/>
        <w:rPr>
          <w:rStyle w:val="Kop1Char"/>
          <w:b/>
          <w:bCs/>
        </w:rPr>
      </w:pPr>
      <w:bookmarkStart w:id="48" w:name="_Toc439346654"/>
      <w:r w:rsidRPr="00875AC0">
        <w:rPr>
          <w:rStyle w:val="Kop1Char"/>
          <w:b/>
          <w:bCs/>
        </w:rPr>
        <w:lastRenderedPageBreak/>
        <w:t>5 Results</w:t>
      </w:r>
      <w:bookmarkEnd w:id="48"/>
    </w:p>
    <w:p w14:paraId="505E5F81" w14:textId="2234DAAA" w:rsidR="00545067" w:rsidRDefault="00545067" w:rsidP="00545067">
      <w:pPr>
        <w:spacing w:line="360" w:lineRule="auto"/>
        <w:jc w:val="both"/>
        <w:rPr>
          <w:lang w:val="en-GB"/>
        </w:rPr>
      </w:pPr>
      <w:r>
        <w:rPr>
          <w:lang w:val="en-GB"/>
        </w:rPr>
        <w:t xml:space="preserve">The outcomes of the statistical tests are discussed in this chapter. This leads to an interpretation with regard to the acceptation or rejection of all the hypotheses. Eventually, an overview of the expected outcomes and actual outcomes per hypothesis is provided. </w:t>
      </w:r>
    </w:p>
    <w:p w14:paraId="25636D54" w14:textId="52DEC56C" w:rsidR="00E8478C" w:rsidRDefault="00291ECC" w:rsidP="009A5A14">
      <w:pPr>
        <w:spacing w:line="360" w:lineRule="auto"/>
        <w:jc w:val="both"/>
        <w:rPr>
          <w:lang w:val="en-GB"/>
        </w:rPr>
      </w:pPr>
      <w:r>
        <w:rPr>
          <w:lang w:val="en-GB"/>
        </w:rPr>
        <w:t xml:space="preserve">The first </w:t>
      </w:r>
      <w:r w:rsidR="00525041">
        <w:rPr>
          <w:lang w:val="en-GB"/>
        </w:rPr>
        <w:t>hypothesis examines the presence of equity based compensation in a CFO compensati</w:t>
      </w:r>
      <w:r w:rsidR="0087604D">
        <w:rPr>
          <w:lang w:val="en-GB"/>
        </w:rPr>
        <w:t>on contract and the managerial</w:t>
      </w:r>
      <w:r w:rsidR="00525041">
        <w:rPr>
          <w:lang w:val="en-GB"/>
        </w:rPr>
        <w:t xml:space="preserve"> and fiduciary performance. T</w:t>
      </w:r>
      <w:r w:rsidR="0047315F">
        <w:rPr>
          <w:lang w:val="en-GB"/>
        </w:rPr>
        <w:t>he statistical results regarding hypoth</w:t>
      </w:r>
      <w:r w:rsidR="00541F67">
        <w:rPr>
          <w:lang w:val="en-GB"/>
        </w:rPr>
        <w:t>esis 1 are presented in table 7</w:t>
      </w:r>
      <w:r w:rsidR="0047315F">
        <w:rPr>
          <w:lang w:val="en-GB"/>
        </w:rPr>
        <w:t>. Since the Levene’s Test for equality of variances is significant, the variances of errors</w:t>
      </w:r>
      <w:r w:rsidR="00D76BD7">
        <w:rPr>
          <w:lang w:val="en-GB"/>
        </w:rPr>
        <w:t xml:space="preserve"> are not equal for both groups. </w:t>
      </w:r>
      <w:r w:rsidR="00F36161">
        <w:rPr>
          <w:lang w:val="en-GB"/>
        </w:rPr>
        <w:t xml:space="preserve">Therefore, a wider confidence interval </w:t>
      </w:r>
      <w:r w:rsidR="00EB4AF6">
        <w:rPr>
          <w:lang w:val="en-GB"/>
        </w:rPr>
        <w:t xml:space="preserve">is used with the result that the CFOs with equity in their compensation package </w:t>
      </w:r>
      <w:r w:rsidR="00037836">
        <w:rPr>
          <w:lang w:val="en-GB"/>
        </w:rPr>
        <w:t>generate a significantly better financial performance than CFOs without equity in their compensation package.</w:t>
      </w:r>
      <w:r w:rsidR="00A90BCD">
        <w:rPr>
          <w:lang w:val="en-GB"/>
        </w:rPr>
        <w:t xml:space="preserve"> </w:t>
      </w:r>
    </w:p>
    <w:p w14:paraId="790ED6BF" w14:textId="6998669F" w:rsidR="00E8478C" w:rsidRDefault="00E8478C" w:rsidP="009A5A14">
      <w:pPr>
        <w:spacing w:line="360" w:lineRule="auto"/>
        <w:jc w:val="both"/>
        <w:rPr>
          <w:lang w:val="en-GB"/>
        </w:rPr>
      </w:pPr>
      <w:r>
        <w:rPr>
          <w:lang w:val="en-GB"/>
        </w:rPr>
        <w:t xml:space="preserve">With regard to the fiduciary duty, the first hypothesis is tested on both ICMWs and </w:t>
      </w:r>
      <w:r w:rsidR="00A90BCD">
        <w:rPr>
          <w:lang w:val="en-GB"/>
        </w:rPr>
        <w:t xml:space="preserve">financial </w:t>
      </w:r>
      <w:r w:rsidR="00D57D4D">
        <w:rPr>
          <w:lang w:val="en-GB"/>
        </w:rPr>
        <w:t>restatements. Table 7</w:t>
      </w:r>
      <w:r>
        <w:rPr>
          <w:lang w:val="en-GB"/>
        </w:rPr>
        <w:t xml:space="preserve"> shows the results of the statistical test performed with the ICMWs and indicates the inequality of variances and no significant difference regarding ICMWs between the equity compensated CFOs and the CFOs that were not equity compensated.</w:t>
      </w:r>
      <w:r w:rsidR="00A16D93">
        <w:rPr>
          <w:lang w:val="en-GB"/>
        </w:rPr>
        <w:t xml:space="preserve"> Moreover, i</w:t>
      </w:r>
      <w:r>
        <w:rPr>
          <w:lang w:val="en-GB"/>
        </w:rPr>
        <w:t>t appears that there is no significant difference between equity compensated CFOs and non-equity compensated CFOs with regard to financial restatements.</w:t>
      </w:r>
      <w:r w:rsidR="00A90BCD">
        <w:rPr>
          <w:lang w:val="en-GB"/>
        </w:rPr>
        <w:t xml:space="preserve"> </w:t>
      </w:r>
    </w:p>
    <w:p w14:paraId="2C1DA28C" w14:textId="44EDB123" w:rsidR="003C0C79" w:rsidRPr="002B43F9" w:rsidRDefault="003C0C79" w:rsidP="002B43F9">
      <w:pPr>
        <w:pStyle w:val="Kop5"/>
      </w:pPr>
      <w:r w:rsidRPr="002B43F9">
        <w:t xml:space="preserve">Table </w:t>
      </w:r>
      <w:r w:rsidR="00DF7A1A">
        <w:fldChar w:fldCharType="begin"/>
      </w:r>
      <w:r w:rsidR="00DF7A1A">
        <w:instrText xml:space="preserve"> SEQ Table \* ARABIC </w:instrText>
      </w:r>
      <w:r w:rsidR="00DF7A1A">
        <w:fldChar w:fldCharType="separate"/>
      </w:r>
      <w:r w:rsidR="004043A1">
        <w:rPr>
          <w:noProof/>
        </w:rPr>
        <w:t>7</w:t>
      </w:r>
      <w:r w:rsidR="00DF7A1A">
        <w:fldChar w:fldCharType="end"/>
      </w:r>
      <w:r w:rsidR="00DF7A1A">
        <w:rPr>
          <w:noProof/>
        </w:rPr>
        <w:t xml:space="preserve">: </w:t>
      </w:r>
      <w:r w:rsidR="005147FA">
        <w:rPr>
          <w:noProof/>
        </w:rPr>
        <w:t>Association between presence of equity based compensation and managerial and fiduciary performance</w:t>
      </w:r>
    </w:p>
    <w:tbl>
      <w:tblPr>
        <w:tblStyle w:val="Tabelraster"/>
        <w:tblW w:w="0" w:type="auto"/>
        <w:tblLook w:val="04A0" w:firstRow="1" w:lastRow="0" w:firstColumn="1" w:lastColumn="0" w:noHBand="0" w:noVBand="1"/>
      </w:tblPr>
      <w:tblGrid>
        <w:gridCol w:w="1242"/>
        <w:gridCol w:w="2268"/>
        <w:gridCol w:w="993"/>
        <w:gridCol w:w="992"/>
        <w:gridCol w:w="1134"/>
        <w:gridCol w:w="1276"/>
        <w:gridCol w:w="1275"/>
      </w:tblGrid>
      <w:tr w:rsidR="00E8478C" w14:paraId="1509404D" w14:textId="52E8265B" w:rsidTr="00427E2A">
        <w:tc>
          <w:tcPr>
            <w:tcW w:w="1242" w:type="dxa"/>
          </w:tcPr>
          <w:p w14:paraId="3B534861" w14:textId="77777777" w:rsidR="00E8478C" w:rsidRDefault="00E8478C" w:rsidP="00291ECC">
            <w:pPr>
              <w:jc w:val="both"/>
              <w:rPr>
                <w:lang w:val="en-GB"/>
              </w:rPr>
            </w:pPr>
          </w:p>
        </w:tc>
        <w:tc>
          <w:tcPr>
            <w:tcW w:w="2268" w:type="dxa"/>
            <w:tcBorders>
              <w:bottom w:val="single" w:sz="4" w:space="0" w:color="auto"/>
            </w:tcBorders>
          </w:tcPr>
          <w:p w14:paraId="050C7859" w14:textId="7F19F742" w:rsidR="00E8478C" w:rsidRDefault="00427E2A" w:rsidP="00291ECC">
            <w:pPr>
              <w:jc w:val="both"/>
              <w:rPr>
                <w:lang w:val="en-GB"/>
              </w:rPr>
            </w:pPr>
            <w:r>
              <w:rPr>
                <w:lang w:val="en-GB"/>
              </w:rPr>
              <w:t>Equity Compensated?</w:t>
            </w:r>
          </w:p>
        </w:tc>
        <w:tc>
          <w:tcPr>
            <w:tcW w:w="993" w:type="dxa"/>
            <w:tcBorders>
              <w:bottom w:val="single" w:sz="4" w:space="0" w:color="auto"/>
            </w:tcBorders>
          </w:tcPr>
          <w:p w14:paraId="4A71B045" w14:textId="5EC03DA5" w:rsidR="00E8478C" w:rsidRPr="0038674F" w:rsidRDefault="00E8478C" w:rsidP="00291ECC">
            <w:pPr>
              <w:jc w:val="both"/>
            </w:pPr>
            <w:r>
              <w:t>N</w:t>
            </w:r>
          </w:p>
        </w:tc>
        <w:tc>
          <w:tcPr>
            <w:tcW w:w="992" w:type="dxa"/>
            <w:tcBorders>
              <w:bottom w:val="single" w:sz="4" w:space="0" w:color="auto"/>
            </w:tcBorders>
          </w:tcPr>
          <w:p w14:paraId="06841AEA" w14:textId="5AE64E75" w:rsidR="00E8478C" w:rsidRDefault="00E8478C" w:rsidP="00291ECC">
            <w:pPr>
              <w:jc w:val="both"/>
              <w:rPr>
                <w:lang w:val="en-GB"/>
              </w:rPr>
            </w:pPr>
            <w:r>
              <w:rPr>
                <w:lang w:val="en-GB"/>
              </w:rPr>
              <w:t>Mean</w:t>
            </w:r>
          </w:p>
        </w:tc>
        <w:tc>
          <w:tcPr>
            <w:tcW w:w="1134" w:type="dxa"/>
            <w:tcBorders>
              <w:bottom w:val="single" w:sz="4" w:space="0" w:color="auto"/>
            </w:tcBorders>
          </w:tcPr>
          <w:p w14:paraId="499DA757" w14:textId="223E9EB1" w:rsidR="00E8478C" w:rsidRDefault="00E8478C" w:rsidP="00291ECC">
            <w:pPr>
              <w:jc w:val="both"/>
              <w:rPr>
                <w:lang w:val="en-GB"/>
              </w:rPr>
            </w:pPr>
            <w:r>
              <w:rPr>
                <w:lang w:val="en-GB"/>
              </w:rPr>
              <w:t>Std. Dev.</w:t>
            </w:r>
          </w:p>
        </w:tc>
        <w:tc>
          <w:tcPr>
            <w:tcW w:w="1276" w:type="dxa"/>
            <w:tcBorders>
              <w:bottom w:val="single" w:sz="4" w:space="0" w:color="auto"/>
            </w:tcBorders>
          </w:tcPr>
          <w:p w14:paraId="1271325A" w14:textId="6EE420C8" w:rsidR="00E8478C" w:rsidRDefault="00E8478C" w:rsidP="00291ECC">
            <w:pPr>
              <w:jc w:val="both"/>
              <w:rPr>
                <w:lang w:val="en-GB"/>
              </w:rPr>
            </w:pPr>
            <w:r>
              <w:rPr>
                <w:lang w:val="en-GB"/>
              </w:rPr>
              <w:t>Levene´s</w:t>
            </w:r>
          </w:p>
        </w:tc>
        <w:tc>
          <w:tcPr>
            <w:tcW w:w="1275" w:type="dxa"/>
            <w:tcBorders>
              <w:bottom w:val="single" w:sz="4" w:space="0" w:color="auto"/>
            </w:tcBorders>
          </w:tcPr>
          <w:p w14:paraId="7D3F54A0" w14:textId="6FCF5D5F" w:rsidR="00E8478C" w:rsidRPr="00817E36" w:rsidRDefault="00E8478C" w:rsidP="00291ECC">
            <w:pPr>
              <w:jc w:val="both"/>
              <w:rPr>
                <w:lang w:val="en-GB"/>
              </w:rPr>
            </w:pPr>
            <w:r w:rsidRPr="00817E36">
              <w:rPr>
                <w:lang w:val="en-GB"/>
              </w:rPr>
              <w:t>p-value</w:t>
            </w:r>
          </w:p>
        </w:tc>
      </w:tr>
      <w:tr w:rsidR="00E8478C" w14:paraId="2B82B28C" w14:textId="3AF14F8D" w:rsidTr="00427E2A">
        <w:tc>
          <w:tcPr>
            <w:tcW w:w="1242" w:type="dxa"/>
            <w:vMerge w:val="restart"/>
            <w:tcBorders>
              <w:right w:val="single" w:sz="4" w:space="0" w:color="auto"/>
            </w:tcBorders>
            <w:vAlign w:val="center"/>
          </w:tcPr>
          <w:p w14:paraId="1EF493C8" w14:textId="0F8B17D0" w:rsidR="00E8478C" w:rsidRDefault="00427E2A" w:rsidP="006A6B58">
            <w:pPr>
              <w:jc w:val="center"/>
              <w:rPr>
                <w:lang w:val="en-GB"/>
              </w:rPr>
            </w:pPr>
            <w:r>
              <w:rPr>
                <w:lang w:val="en-GB"/>
              </w:rPr>
              <w:t xml:space="preserve">FIN </w:t>
            </w:r>
            <w:r w:rsidR="00E8478C">
              <w:rPr>
                <w:lang w:val="en-GB"/>
              </w:rPr>
              <w:t>PERF</w:t>
            </w:r>
          </w:p>
        </w:tc>
        <w:tc>
          <w:tcPr>
            <w:tcW w:w="2268" w:type="dxa"/>
            <w:tcBorders>
              <w:top w:val="single" w:sz="4" w:space="0" w:color="auto"/>
              <w:left w:val="single" w:sz="4" w:space="0" w:color="auto"/>
              <w:bottom w:val="single" w:sz="4" w:space="0" w:color="auto"/>
              <w:right w:val="single" w:sz="4" w:space="0" w:color="auto"/>
            </w:tcBorders>
          </w:tcPr>
          <w:p w14:paraId="27D60FE9" w14:textId="13DD3B17" w:rsidR="00E8478C" w:rsidRDefault="00427E2A" w:rsidP="00291ECC">
            <w:pPr>
              <w:jc w:val="both"/>
              <w:rPr>
                <w:lang w:val="en-GB"/>
              </w:rPr>
            </w:pPr>
            <w:r>
              <w:rPr>
                <w:lang w:val="en-GB"/>
              </w:rPr>
              <w:t>Yes</w:t>
            </w:r>
          </w:p>
        </w:tc>
        <w:tc>
          <w:tcPr>
            <w:tcW w:w="993" w:type="dxa"/>
            <w:tcBorders>
              <w:top w:val="single" w:sz="4" w:space="0" w:color="auto"/>
              <w:left w:val="single" w:sz="4" w:space="0" w:color="auto"/>
              <w:bottom w:val="single" w:sz="4" w:space="0" w:color="auto"/>
              <w:right w:val="single" w:sz="4" w:space="0" w:color="auto"/>
            </w:tcBorders>
          </w:tcPr>
          <w:p w14:paraId="5A2D3695" w14:textId="1009C600" w:rsidR="00E8478C" w:rsidRDefault="00E8478C" w:rsidP="00291ECC">
            <w:pPr>
              <w:jc w:val="both"/>
              <w:rPr>
                <w:lang w:val="en-GB"/>
              </w:rPr>
            </w:pPr>
            <w:r>
              <w:rPr>
                <w:lang w:val="en-GB"/>
              </w:rPr>
              <w:t>7613</w:t>
            </w:r>
          </w:p>
        </w:tc>
        <w:tc>
          <w:tcPr>
            <w:tcW w:w="992" w:type="dxa"/>
            <w:tcBorders>
              <w:top w:val="single" w:sz="4" w:space="0" w:color="auto"/>
              <w:left w:val="single" w:sz="4" w:space="0" w:color="auto"/>
              <w:bottom w:val="single" w:sz="4" w:space="0" w:color="auto"/>
              <w:right w:val="single" w:sz="4" w:space="0" w:color="auto"/>
            </w:tcBorders>
          </w:tcPr>
          <w:p w14:paraId="1393E346" w14:textId="0B108E95" w:rsidR="00E8478C" w:rsidRDefault="00E8478C" w:rsidP="00291ECC">
            <w:pPr>
              <w:jc w:val="both"/>
              <w:rPr>
                <w:lang w:val="en-GB"/>
              </w:rPr>
            </w:pPr>
            <w:r>
              <w:rPr>
                <w:lang w:val="en-GB"/>
              </w:rPr>
              <w:t>5,41</w:t>
            </w:r>
          </w:p>
        </w:tc>
        <w:tc>
          <w:tcPr>
            <w:tcW w:w="1134" w:type="dxa"/>
            <w:tcBorders>
              <w:top w:val="single" w:sz="4" w:space="0" w:color="auto"/>
              <w:left w:val="single" w:sz="4" w:space="0" w:color="auto"/>
              <w:bottom w:val="single" w:sz="4" w:space="0" w:color="auto"/>
              <w:right w:val="single" w:sz="4" w:space="0" w:color="auto"/>
            </w:tcBorders>
          </w:tcPr>
          <w:p w14:paraId="133F54A0" w14:textId="62E19629" w:rsidR="00E8478C" w:rsidRDefault="00E8478C" w:rsidP="00291ECC">
            <w:pPr>
              <w:jc w:val="both"/>
              <w:rPr>
                <w:lang w:val="en-GB"/>
              </w:rPr>
            </w:pPr>
            <w:r>
              <w:rPr>
                <w:lang w:val="en-GB"/>
              </w:rPr>
              <w:t>6,05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49A1C00" w14:textId="77777777" w:rsidR="00E8478C" w:rsidRDefault="00E8478C" w:rsidP="0077166E">
            <w:pPr>
              <w:jc w:val="center"/>
              <w:rPr>
                <w:lang w:val="en-GB"/>
              </w:rPr>
            </w:pPr>
            <w:r>
              <w:rPr>
                <w:lang w:val="en-GB"/>
              </w:rPr>
              <w:t>0,000</w:t>
            </w:r>
          </w:p>
          <w:p w14:paraId="321C54AC" w14:textId="1BF60070" w:rsidR="0077166E" w:rsidRDefault="0077166E" w:rsidP="0077166E">
            <w:pPr>
              <w:jc w:val="center"/>
              <w:rPr>
                <w:lang w:val="en-GB"/>
              </w:rPr>
            </w:pPr>
            <w:r>
              <w:rPr>
                <w:lang w:val="en-GB"/>
              </w:rPr>
              <w:t>(121,424)</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4624A264" w14:textId="77777777" w:rsidR="00E8478C" w:rsidRDefault="00E8478C" w:rsidP="0077166E">
            <w:pPr>
              <w:jc w:val="center"/>
              <w:rPr>
                <w:lang w:val="en-GB"/>
              </w:rPr>
            </w:pPr>
            <w:r>
              <w:rPr>
                <w:lang w:val="en-GB"/>
              </w:rPr>
              <w:t>0,000</w:t>
            </w:r>
          </w:p>
          <w:p w14:paraId="35F16A67" w14:textId="477B829B" w:rsidR="0077166E" w:rsidRDefault="0077166E" w:rsidP="0077166E">
            <w:pPr>
              <w:jc w:val="center"/>
              <w:rPr>
                <w:lang w:val="en-GB"/>
              </w:rPr>
            </w:pPr>
            <w:r>
              <w:rPr>
                <w:lang w:val="en-GB"/>
              </w:rPr>
              <w:t>(-7,147)</w:t>
            </w:r>
          </w:p>
        </w:tc>
      </w:tr>
      <w:tr w:rsidR="00E8478C" w14:paraId="490EA33E" w14:textId="61736D7C" w:rsidTr="00427E2A">
        <w:tc>
          <w:tcPr>
            <w:tcW w:w="1242" w:type="dxa"/>
            <w:vMerge/>
            <w:tcBorders>
              <w:right w:val="single" w:sz="4" w:space="0" w:color="auto"/>
            </w:tcBorders>
            <w:vAlign w:val="center"/>
          </w:tcPr>
          <w:p w14:paraId="50086E97" w14:textId="77777777" w:rsidR="00E8478C" w:rsidRDefault="00E8478C" w:rsidP="006A6B58">
            <w:pPr>
              <w:jc w:val="center"/>
              <w:rPr>
                <w:lang w:val="en-GB"/>
              </w:rPr>
            </w:pPr>
          </w:p>
        </w:tc>
        <w:tc>
          <w:tcPr>
            <w:tcW w:w="2268" w:type="dxa"/>
            <w:tcBorders>
              <w:top w:val="single" w:sz="4" w:space="0" w:color="auto"/>
              <w:left w:val="single" w:sz="4" w:space="0" w:color="auto"/>
              <w:bottom w:val="single" w:sz="4" w:space="0" w:color="auto"/>
              <w:right w:val="single" w:sz="4" w:space="0" w:color="auto"/>
            </w:tcBorders>
          </w:tcPr>
          <w:p w14:paraId="6E876680" w14:textId="464C3240" w:rsidR="00E8478C" w:rsidRDefault="00427E2A" w:rsidP="00291ECC">
            <w:pPr>
              <w:jc w:val="both"/>
              <w:rPr>
                <w:lang w:val="en-GB"/>
              </w:rPr>
            </w:pPr>
            <w:r>
              <w:rPr>
                <w:lang w:val="en-GB"/>
              </w:rPr>
              <w:t>No</w:t>
            </w:r>
          </w:p>
        </w:tc>
        <w:tc>
          <w:tcPr>
            <w:tcW w:w="993" w:type="dxa"/>
            <w:tcBorders>
              <w:top w:val="single" w:sz="4" w:space="0" w:color="auto"/>
              <w:left w:val="single" w:sz="4" w:space="0" w:color="auto"/>
              <w:bottom w:val="single" w:sz="4" w:space="0" w:color="auto"/>
              <w:right w:val="single" w:sz="4" w:space="0" w:color="auto"/>
            </w:tcBorders>
          </w:tcPr>
          <w:p w14:paraId="5B743FEC" w14:textId="61FDA66B" w:rsidR="00E8478C" w:rsidRDefault="00E8478C" w:rsidP="00291ECC">
            <w:pPr>
              <w:jc w:val="both"/>
              <w:rPr>
                <w:lang w:val="en-GB"/>
              </w:rPr>
            </w:pPr>
            <w:r>
              <w:rPr>
                <w:lang w:val="en-GB"/>
              </w:rPr>
              <w:t>690</w:t>
            </w:r>
          </w:p>
        </w:tc>
        <w:tc>
          <w:tcPr>
            <w:tcW w:w="992" w:type="dxa"/>
            <w:tcBorders>
              <w:top w:val="single" w:sz="4" w:space="0" w:color="auto"/>
              <w:left w:val="single" w:sz="4" w:space="0" w:color="auto"/>
              <w:bottom w:val="single" w:sz="4" w:space="0" w:color="auto"/>
              <w:right w:val="single" w:sz="4" w:space="0" w:color="auto"/>
            </w:tcBorders>
          </w:tcPr>
          <w:p w14:paraId="15C531A7" w14:textId="153A8FD2" w:rsidR="00E8478C" w:rsidRDefault="00E8478C" w:rsidP="00291ECC">
            <w:pPr>
              <w:jc w:val="both"/>
              <w:rPr>
                <w:lang w:val="en-GB"/>
              </w:rPr>
            </w:pPr>
            <w:r>
              <w:rPr>
                <w:lang w:val="en-GB"/>
              </w:rPr>
              <w:t>3,45</w:t>
            </w:r>
          </w:p>
        </w:tc>
        <w:tc>
          <w:tcPr>
            <w:tcW w:w="1134" w:type="dxa"/>
            <w:tcBorders>
              <w:top w:val="single" w:sz="4" w:space="0" w:color="auto"/>
              <w:left w:val="single" w:sz="4" w:space="0" w:color="auto"/>
              <w:bottom w:val="single" w:sz="4" w:space="0" w:color="auto"/>
              <w:right w:val="single" w:sz="4" w:space="0" w:color="auto"/>
            </w:tcBorders>
          </w:tcPr>
          <w:p w14:paraId="75FB0EEC" w14:textId="4FDDA259" w:rsidR="00E8478C" w:rsidRDefault="00E8478C" w:rsidP="00291ECC">
            <w:pPr>
              <w:jc w:val="both"/>
              <w:rPr>
                <w:lang w:val="en-GB"/>
              </w:rPr>
            </w:pPr>
            <w:r>
              <w:rPr>
                <w:lang w:val="en-GB"/>
              </w:rPr>
              <w:t>6,99</w:t>
            </w:r>
          </w:p>
        </w:tc>
        <w:tc>
          <w:tcPr>
            <w:tcW w:w="1276" w:type="dxa"/>
            <w:vMerge/>
            <w:tcBorders>
              <w:top w:val="single" w:sz="4" w:space="0" w:color="auto"/>
              <w:left w:val="single" w:sz="4" w:space="0" w:color="auto"/>
              <w:bottom w:val="single" w:sz="4" w:space="0" w:color="auto"/>
              <w:right w:val="single" w:sz="4" w:space="0" w:color="auto"/>
            </w:tcBorders>
            <w:vAlign w:val="center"/>
          </w:tcPr>
          <w:p w14:paraId="23374969" w14:textId="77777777" w:rsidR="00E8478C" w:rsidRDefault="00E8478C" w:rsidP="0077166E">
            <w:pPr>
              <w:jc w:val="center"/>
              <w:rPr>
                <w:lang w:val="en-GB"/>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110367C" w14:textId="77777777" w:rsidR="00E8478C" w:rsidRDefault="00E8478C" w:rsidP="0077166E">
            <w:pPr>
              <w:jc w:val="center"/>
              <w:rPr>
                <w:lang w:val="en-GB"/>
              </w:rPr>
            </w:pPr>
          </w:p>
        </w:tc>
      </w:tr>
      <w:tr w:rsidR="00E8478C" w14:paraId="7900572C" w14:textId="2DF621EA" w:rsidTr="00427E2A">
        <w:tc>
          <w:tcPr>
            <w:tcW w:w="1242" w:type="dxa"/>
            <w:vMerge w:val="restart"/>
            <w:tcBorders>
              <w:right w:val="single" w:sz="4" w:space="0" w:color="auto"/>
            </w:tcBorders>
            <w:vAlign w:val="center"/>
          </w:tcPr>
          <w:p w14:paraId="5199579E" w14:textId="6ECCA527" w:rsidR="00E8478C" w:rsidRDefault="00E8478C" w:rsidP="006A6B58">
            <w:pPr>
              <w:jc w:val="center"/>
              <w:rPr>
                <w:lang w:val="en-GB"/>
              </w:rPr>
            </w:pPr>
            <w:r>
              <w:rPr>
                <w:lang w:val="en-GB"/>
              </w:rPr>
              <w:t>ICMW</w:t>
            </w:r>
          </w:p>
        </w:tc>
        <w:tc>
          <w:tcPr>
            <w:tcW w:w="2268" w:type="dxa"/>
            <w:tcBorders>
              <w:top w:val="single" w:sz="4" w:space="0" w:color="auto"/>
              <w:left w:val="single" w:sz="4" w:space="0" w:color="auto"/>
              <w:bottom w:val="single" w:sz="4" w:space="0" w:color="auto"/>
              <w:right w:val="single" w:sz="4" w:space="0" w:color="auto"/>
            </w:tcBorders>
          </w:tcPr>
          <w:p w14:paraId="02C316ED" w14:textId="094FE0CC" w:rsidR="00E8478C" w:rsidRDefault="00427E2A" w:rsidP="00291ECC">
            <w:pPr>
              <w:jc w:val="both"/>
              <w:rPr>
                <w:lang w:val="en-GB"/>
              </w:rPr>
            </w:pPr>
            <w:r>
              <w:rPr>
                <w:lang w:val="en-GB"/>
              </w:rPr>
              <w:t>Yes</w:t>
            </w:r>
          </w:p>
        </w:tc>
        <w:tc>
          <w:tcPr>
            <w:tcW w:w="993" w:type="dxa"/>
            <w:tcBorders>
              <w:top w:val="single" w:sz="4" w:space="0" w:color="auto"/>
              <w:left w:val="single" w:sz="4" w:space="0" w:color="auto"/>
              <w:bottom w:val="single" w:sz="4" w:space="0" w:color="auto"/>
              <w:right w:val="single" w:sz="4" w:space="0" w:color="auto"/>
            </w:tcBorders>
          </w:tcPr>
          <w:p w14:paraId="1153435D" w14:textId="7732B742" w:rsidR="00E8478C" w:rsidRDefault="00E8478C" w:rsidP="00291ECC">
            <w:pPr>
              <w:jc w:val="both"/>
              <w:rPr>
                <w:lang w:val="en-GB"/>
              </w:rPr>
            </w:pPr>
            <w:r>
              <w:rPr>
                <w:lang w:val="en-GB"/>
              </w:rPr>
              <w:t>14389</w:t>
            </w:r>
          </w:p>
        </w:tc>
        <w:tc>
          <w:tcPr>
            <w:tcW w:w="992" w:type="dxa"/>
            <w:tcBorders>
              <w:top w:val="single" w:sz="4" w:space="0" w:color="auto"/>
              <w:left w:val="single" w:sz="4" w:space="0" w:color="auto"/>
              <w:bottom w:val="single" w:sz="4" w:space="0" w:color="auto"/>
              <w:right w:val="single" w:sz="4" w:space="0" w:color="auto"/>
            </w:tcBorders>
          </w:tcPr>
          <w:p w14:paraId="424C0248" w14:textId="6FAD489F" w:rsidR="00E8478C" w:rsidRDefault="00E8478C" w:rsidP="00291ECC">
            <w:pPr>
              <w:jc w:val="both"/>
              <w:rPr>
                <w:lang w:val="en-GB"/>
              </w:rPr>
            </w:pPr>
            <w:r>
              <w:rPr>
                <w:lang w:val="en-GB"/>
              </w:rPr>
              <w:t>0,19</w:t>
            </w:r>
          </w:p>
        </w:tc>
        <w:tc>
          <w:tcPr>
            <w:tcW w:w="1134" w:type="dxa"/>
            <w:tcBorders>
              <w:top w:val="single" w:sz="4" w:space="0" w:color="auto"/>
              <w:left w:val="single" w:sz="4" w:space="0" w:color="auto"/>
              <w:bottom w:val="single" w:sz="4" w:space="0" w:color="auto"/>
              <w:right w:val="single" w:sz="4" w:space="0" w:color="auto"/>
            </w:tcBorders>
          </w:tcPr>
          <w:p w14:paraId="133EBB64" w14:textId="0DAB6E1F" w:rsidR="00E8478C" w:rsidRDefault="00E8478C" w:rsidP="00291ECC">
            <w:pPr>
              <w:jc w:val="both"/>
              <w:rPr>
                <w:lang w:val="en-GB"/>
              </w:rPr>
            </w:pPr>
            <w:r>
              <w:rPr>
                <w:lang w:val="en-GB"/>
              </w:rPr>
              <w:t>3,88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81425E4" w14:textId="77777777" w:rsidR="00E8478C" w:rsidRDefault="00E8478C" w:rsidP="0077166E">
            <w:pPr>
              <w:jc w:val="center"/>
              <w:rPr>
                <w:lang w:val="en-GB"/>
              </w:rPr>
            </w:pPr>
            <w:r>
              <w:rPr>
                <w:lang w:val="en-GB"/>
              </w:rPr>
              <w:t>0,021</w:t>
            </w:r>
          </w:p>
          <w:p w14:paraId="1F22DCB0" w14:textId="684E5DCE" w:rsidR="0077166E" w:rsidRDefault="0077166E" w:rsidP="0077166E">
            <w:pPr>
              <w:jc w:val="center"/>
              <w:rPr>
                <w:lang w:val="en-GB"/>
              </w:rPr>
            </w:pPr>
            <w:r>
              <w:rPr>
                <w:lang w:val="en-GB"/>
              </w:rPr>
              <w:t>(5,309)</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13EC40CD" w14:textId="77777777" w:rsidR="00E8478C" w:rsidRDefault="00E8478C" w:rsidP="0077166E">
            <w:pPr>
              <w:jc w:val="center"/>
              <w:rPr>
                <w:lang w:val="en-GB"/>
              </w:rPr>
            </w:pPr>
            <w:r>
              <w:rPr>
                <w:lang w:val="en-GB"/>
              </w:rPr>
              <w:t>0,247</w:t>
            </w:r>
          </w:p>
          <w:p w14:paraId="099CDA16" w14:textId="1ED869DC" w:rsidR="0077166E" w:rsidRDefault="0077166E" w:rsidP="0077166E">
            <w:pPr>
              <w:jc w:val="center"/>
              <w:rPr>
                <w:lang w:val="en-GB"/>
              </w:rPr>
            </w:pPr>
            <w:r>
              <w:rPr>
                <w:lang w:val="en-GB"/>
              </w:rPr>
              <w:t>(-1,158)</w:t>
            </w:r>
          </w:p>
        </w:tc>
      </w:tr>
      <w:tr w:rsidR="00E8478C" w14:paraId="3816340D" w14:textId="01D1D9D2" w:rsidTr="00427E2A">
        <w:tc>
          <w:tcPr>
            <w:tcW w:w="1242" w:type="dxa"/>
            <w:vMerge/>
            <w:tcBorders>
              <w:right w:val="single" w:sz="4" w:space="0" w:color="auto"/>
            </w:tcBorders>
            <w:vAlign w:val="center"/>
          </w:tcPr>
          <w:p w14:paraId="1DF94EBA" w14:textId="77777777" w:rsidR="00E8478C" w:rsidRDefault="00E8478C" w:rsidP="006A6B58">
            <w:pPr>
              <w:jc w:val="center"/>
              <w:rPr>
                <w:lang w:val="en-GB"/>
              </w:rPr>
            </w:pPr>
          </w:p>
        </w:tc>
        <w:tc>
          <w:tcPr>
            <w:tcW w:w="2268" w:type="dxa"/>
            <w:tcBorders>
              <w:top w:val="single" w:sz="4" w:space="0" w:color="auto"/>
              <w:left w:val="single" w:sz="4" w:space="0" w:color="auto"/>
              <w:bottom w:val="single" w:sz="4" w:space="0" w:color="auto"/>
              <w:right w:val="single" w:sz="4" w:space="0" w:color="auto"/>
            </w:tcBorders>
          </w:tcPr>
          <w:p w14:paraId="004DFF87" w14:textId="4D4A4782" w:rsidR="00E8478C" w:rsidRDefault="00427E2A" w:rsidP="00291ECC">
            <w:pPr>
              <w:jc w:val="both"/>
              <w:rPr>
                <w:lang w:val="en-GB"/>
              </w:rPr>
            </w:pPr>
            <w:r>
              <w:rPr>
                <w:lang w:val="en-GB"/>
              </w:rPr>
              <w:t>No</w:t>
            </w:r>
          </w:p>
        </w:tc>
        <w:tc>
          <w:tcPr>
            <w:tcW w:w="993" w:type="dxa"/>
            <w:tcBorders>
              <w:top w:val="single" w:sz="4" w:space="0" w:color="auto"/>
              <w:left w:val="single" w:sz="4" w:space="0" w:color="auto"/>
              <w:bottom w:val="single" w:sz="4" w:space="0" w:color="auto"/>
              <w:right w:val="single" w:sz="4" w:space="0" w:color="auto"/>
            </w:tcBorders>
          </w:tcPr>
          <w:p w14:paraId="4B509C3C" w14:textId="20DA7121" w:rsidR="00E8478C" w:rsidRDefault="00E8478C" w:rsidP="00291ECC">
            <w:pPr>
              <w:jc w:val="both"/>
              <w:rPr>
                <w:lang w:val="en-GB"/>
              </w:rPr>
            </w:pPr>
            <w:r>
              <w:rPr>
                <w:lang w:val="en-GB"/>
              </w:rPr>
              <w:t>1547</w:t>
            </w:r>
          </w:p>
        </w:tc>
        <w:tc>
          <w:tcPr>
            <w:tcW w:w="992" w:type="dxa"/>
            <w:tcBorders>
              <w:top w:val="single" w:sz="4" w:space="0" w:color="auto"/>
              <w:left w:val="single" w:sz="4" w:space="0" w:color="auto"/>
              <w:bottom w:val="single" w:sz="4" w:space="0" w:color="auto"/>
              <w:right w:val="single" w:sz="4" w:space="0" w:color="auto"/>
            </w:tcBorders>
          </w:tcPr>
          <w:p w14:paraId="6E867A7E" w14:textId="65C80075" w:rsidR="00E8478C" w:rsidRDefault="00E8478C" w:rsidP="00291ECC">
            <w:pPr>
              <w:jc w:val="both"/>
              <w:rPr>
                <w:lang w:val="en-GB"/>
              </w:rPr>
            </w:pPr>
            <w:r>
              <w:rPr>
                <w:lang w:val="en-GB"/>
              </w:rPr>
              <w:t>0,17</w:t>
            </w:r>
          </w:p>
        </w:tc>
        <w:tc>
          <w:tcPr>
            <w:tcW w:w="1134" w:type="dxa"/>
            <w:tcBorders>
              <w:top w:val="single" w:sz="4" w:space="0" w:color="auto"/>
              <w:left w:val="single" w:sz="4" w:space="0" w:color="auto"/>
              <w:bottom w:val="single" w:sz="4" w:space="0" w:color="auto"/>
              <w:right w:val="single" w:sz="4" w:space="0" w:color="auto"/>
            </w:tcBorders>
          </w:tcPr>
          <w:p w14:paraId="0308250E" w14:textId="44C67CB8" w:rsidR="00E8478C" w:rsidRDefault="00E8478C" w:rsidP="00291ECC">
            <w:pPr>
              <w:jc w:val="both"/>
              <w:rPr>
                <w:lang w:val="en-GB"/>
              </w:rPr>
            </w:pPr>
            <w:r>
              <w:rPr>
                <w:lang w:val="en-GB"/>
              </w:rPr>
              <w:t>3,79</w:t>
            </w:r>
          </w:p>
        </w:tc>
        <w:tc>
          <w:tcPr>
            <w:tcW w:w="1276" w:type="dxa"/>
            <w:vMerge/>
            <w:tcBorders>
              <w:top w:val="single" w:sz="4" w:space="0" w:color="auto"/>
              <w:left w:val="single" w:sz="4" w:space="0" w:color="auto"/>
              <w:bottom w:val="single" w:sz="4" w:space="0" w:color="auto"/>
              <w:right w:val="single" w:sz="4" w:space="0" w:color="auto"/>
            </w:tcBorders>
            <w:vAlign w:val="center"/>
          </w:tcPr>
          <w:p w14:paraId="1CA2A0DE" w14:textId="77777777" w:rsidR="00E8478C" w:rsidRDefault="00E8478C" w:rsidP="0077166E">
            <w:pPr>
              <w:jc w:val="center"/>
              <w:rPr>
                <w:lang w:val="en-GB"/>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4EED19BF" w14:textId="77777777" w:rsidR="00E8478C" w:rsidRDefault="00E8478C" w:rsidP="0077166E">
            <w:pPr>
              <w:jc w:val="center"/>
              <w:rPr>
                <w:lang w:val="en-GB"/>
              </w:rPr>
            </w:pPr>
          </w:p>
        </w:tc>
      </w:tr>
      <w:tr w:rsidR="00E8478C" w14:paraId="44EBF239" w14:textId="4B9E64B8" w:rsidTr="00427E2A">
        <w:tc>
          <w:tcPr>
            <w:tcW w:w="1242" w:type="dxa"/>
            <w:vMerge w:val="restart"/>
            <w:tcBorders>
              <w:right w:val="single" w:sz="4" w:space="0" w:color="auto"/>
            </w:tcBorders>
            <w:vAlign w:val="center"/>
          </w:tcPr>
          <w:p w14:paraId="2E67EE5C" w14:textId="2C78FBA2" w:rsidR="00E8478C" w:rsidRDefault="00E8478C" w:rsidP="006A6B58">
            <w:pPr>
              <w:jc w:val="center"/>
              <w:rPr>
                <w:lang w:val="en-GB"/>
              </w:rPr>
            </w:pPr>
            <w:r>
              <w:rPr>
                <w:lang w:val="en-GB"/>
              </w:rPr>
              <w:t>REST</w:t>
            </w:r>
          </w:p>
        </w:tc>
        <w:tc>
          <w:tcPr>
            <w:tcW w:w="2268" w:type="dxa"/>
            <w:tcBorders>
              <w:top w:val="single" w:sz="4" w:space="0" w:color="auto"/>
              <w:left w:val="single" w:sz="4" w:space="0" w:color="auto"/>
              <w:bottom w:val="single" w:sz="4" w:space="0" w:color="auto"/>
              <w:right w:val="single" w:sz="4" w:space="0" w:color="auto"/>
            </w:tcBorders>
          </w:tcPr>
          <w:p w14:paraId="642FFBD0" w14:textId="4481974F" w:rsidR="00E8478C" w:rsidRDefault="00427E2A" w:rsidP="00291ECC">
            <w:pPr>
              <w:jc w:val="both"/>
              <w:rPr>
                <w:lang w:val="en-GB"/>
              </w:rPr>
            </w:pPr>
            <w:r>
              <w:rPr>
                <w:lang w:val="en-GB"/>
              </w:rPr>
              <w:t>Yes</w:t>
            </w:r>
          </w:p>
        </w:tc>
        <w:tc>
          <w:tcPr>
            <w:tcW w:w="993" w:type="dxa"/>
            <w:tcBorders>
              <w:top w:val="single" w:sz="4" w:space="0" w:color="auto"/>
              <w:left w:val="single" w:sz="4" w:space="0" w:color="auto"/>
              <w:bottom w:val="single" w:sz="4" w:space="0" w:color="auto"/>
              <w:right w:val="single" w:sz="4" w:space="0" w:color="auto"/>
            </w:tcBorders>
          </w:tcPr>
          <w:p w14:paraId="1FDC43D7" w14:textId="75A99F8A" w:rsidR="00E8478C" w:rsidRDefault="00E8478C" w:rsidP="00291ECC">
            <w:pPr>
              <w:jc w:val="both"/>
              <w:rPr>
                <w:lang w:val="en-GB"/>
              </w:rPr>
            </w:pPr>
            <w:r>
              <w:rPr>
                <w:lang w:val="en-GB"/>
              </w:rPr>
              <w:t>14389</w:t>
            </w:r>
          </w:p>
        </w:tc>
        <w:tc>
          <w:tcPr>
            <w:tcW w:w="992" w:type="dxa"/>
            <w:tcBorders>
              <w:top w:val="single" w:sz="4" w:space="0" w:color="auto"/>
              <w:left w:val="single" w:sz="4" w:space="0" w:color="auto"/>
              <w:bottom w:val="single" w:sz="4" w:space="0" w:color="auto"/>
              <w:right w:val="single" w:sz="4" w:space="0" w:color="auto"/>
            </w:tcBorders>
          </w:tcPr>
          <w:p w14:paraId="60234A72" w14:textId="075A595D" w:rsidR="00E8478C" w:rsidRDefault="00E8478C" w:rsidP="00291ECC">
            <w:pPr>
              <w:jc w:val="both"/>
              <w:rPr>
                <w:lang w:val="en-GB"/>
              </w:rPr>
            </w:pPr>
            <w:r>
              <w:rPr>
                <w:lang w:val="en-GB"/>
              </w:rPr>
              <w:t>0,05</w:t>
            </w:r>
          </w:p>
        </w:tc>
        <w:tc>
          <w:tcPr>
            <w:tcW w:w="1134" w:type="dxa"/>
            <w:tcBorders>
              <w:top w:val="single" w:sz="4" w:space="0" w:color="auto"/>
              <w:left w:val="single" w:sz="4" w:space="0" w:color="auto"/>
              <w:bottom w:val="single" w:sz="4" w:space="0" w:color="auto"/>
              <w:right w:val="single" w:sz="4" w:space="0" w:color="auto"/>
            </w:tcBorders>
          </w:tcPr>
          <w:p w14:paraId="1E8C9100" w14:textId="46AC8A41" w:rsidR="00E8478C" w:rsidRDefault="00E8478C" w:rsidP="00291ECC">
            <w:pPr>
              <w:jc w:val="both"/>
              <w:rPr>
                <w:lang w:val="en-GB"/>
              </w:rPr>
            </w:pPr>
            <w:r>
              <w:rPr>
                <w:lang w:val="en-GB"/>
              </w:rPr>
              <w:t>0,218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8FA8707" w14:textId="77777777" w:rsidR="00E8478C" w:rsidRDefault="00E8478C" w:rsidP="0077166E">
            <w:pPr>
              <w:jc w:val="center"/>
              <w:rPr>
                <w:lang w:val="en-GB"/>
              </w:rPr>
            </w:pPr>
            <w:r>
              <w:rPr>
                <w:lang w:val="en-GB"/>
              </w:rPr>
              <w:t>0,769</w:t>
            </w:r>
          </w:p>
          <w:p w14:paraId="38A69DD5" w14:textId="1AC339D8" w:rsidR="0077166E" w:rsidRDefault="0077166E" w:rsidP="0077166E">
            <w:pPr>
              <w:jc w:val="center"/>
              <w:rPr>
                <w:lang w:val="en-GB"/>
              </w:rPr>
            </w:pPr>
            <w:r>
              <w:rPr>
                <w:lang w:val="en-GB"/>
              </w:rPr>
              <w:t>(0,086)</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3F321170" w14:textId="77777777" w:rsidR="00E8478C" w:rsidRDefault="00E8478C" w:rsidP="0077166E">
            <w:pPr>
              <w:jc w:val="center"/>
              <w:rPr>
                <w:lang w:val="en-GB"/>
              </w:rPr>
            </w:pPr>
            <w:r>
              <w:rPr>
                <w:lang w:val="en-GB"/>
              </w:rPr>
              <w:t>0,883</w:t>
            </w:r>
          </w:p>
          <w:p w14:paraId="4EF033C1" w14:textId="03467D75" w:rsidR="0077166E" w:rsidRDefault="0077166E" w:rsidP="0077166E">
            <w:pPr>
              <w:jc w:val="center"/>
              <w:rPr>
                <w:lang w:val="en-GB"/>
              </w:rPr>
            </w:pPr>
            <w:r>
              <w:rPr>
                <w:lang w:val="en-GB"/>
              </w:rPr>
              <w:t>(</w:t>
            </w:r>
            <w:r w:rsidR="008E58A5">
              <w:rPr>
                <w:lang w:val="en-GB"/>
              </w:rPr>
              <w:t>0,147</w:t>
            </w:r>
            <w:r>
              <w:rPr>
                <w:lang w:val="en-GB"/>
              </w:rPr>
              <w:t>)</w:t>
            </w:r>
          </w:p>
        </w:tc>
      </w:tr>
      <w:tr w:rsidR="00E8478C" w14:paraId="62D48A98" w14:textId="66E04AC9" w:rsidTr="00427E2A">
        <w:tc>
          <w:tcPr>
            <w:tcW w:w="1242" w:type="dxa"/>
            <w:vMerge/>
            <w:tcBorders>
              <w:right w:val="single" w:sz="4" w:space="0" w:color="auto"/>
            </w:tcBorders>
          </w:tcPr>
          <w:p w14:paraId="04496905" w14:textId="77777777" w:rsidR="00E8478C" w:rsidRDefault="00E8478C" w:rsidP="00291ECC">
            <w:pPr>
              <w:jc w:val="both"/>
              <w:rPr>
                <w:lang w:val="en-GB"/>
              </w:rPr>
            </w:pPr>
          </w:p>
        </w:tc>
        <w:tc>
          <w:tcPr>
            <w:tcW w:w="2268" w:type="dxa"/>
            <w:tcBorders>
              <w:top w:val="single" w:sz="4" w:space="0" w:color="auto"/>
              <w:left w:val="single" w:sz="4" w:space="0" w:color="auto"/>
              <w:bottom w:val="single" w:sz="4" w:space="0" w:color="auto"/>
              <w:right w:val="single" w:sz="4" w:space="0" w:color="auto"/>
            </w:tcBorders>
          </w:tcPr>
          <w:p w14:paraId="0F4E8B8F" w14:textId="3C51805B" w:rsidR="00E8478C" w:rsidRDefault="00427E2A" w:rsidP="00291ECC">
            <w:pPr>
              <w:jc w:val="both"/>
              <w:rPr>
                <w:lang w:val="en-GB"/>
              </w:rPr>
            </w:pPr>
            <w:r>
              <w:rPr>
                <w:lang w:val="en-GB"/>
              </w:rPr>
              <w:t>No</w:t>
            </w:r>
          </w:p>
        </w:tc>
        <w:tc>
          <w:tcPr>
            <w:tcW w:w="993" w:type="dxa"/>
            <w:tcBorders>
              <w:top w:val="single" w:sz="4" w:space="0" w:color="auto"/>
              <w:left w:val="single" w:sz="4" w:space="0" w:color="auto"/>
              <w:bottom w:val="single" w:sz="4" w:space="0" w:color="auto"/>
              <w:right w:val="single" w:sz="4" w:space="0" w:color="auto"/>
            </w:tcBorders>
          </w:tcPr>
          <w:p w14:paraId="534C9CE7" w14:textId="6C04226D" w:rsidR="00E8478C" w:rsidRDefault="00E8478C" w:rsidP="00291ECC">
            <w:pPr>
              <w:jc w:val="both"/>
              <w:rPr>
                <w:lang w:val="en-GB"/>
              </w:rPr>
            </w:pPr>
            <w:r>
              <w:rPr>
                <w:lang w:val="en-GB"/>
              </w:rPr>
              <w:t>1547</w:t>
            </w:r>
          </w:p>
        </w:tc>
        <w:tc>
          <w:tcPr>
            <w:tcW w:w="992" w:type="dxa"/>
            <w:tcBorders>
              <w:top w:val="single" w:sz="4" w:space="0" w:color="auto"/>
              <w:left w:val="single" w:sz="4" w:space="0" w:color="auto"/>
              <w:bottom w:val="single" w:sz="4" w:space="0" w:color="auto"/>
              <w:right w:val="single" w:sz="4" w:space="0" w:color="auto"/>
            </w:tcBorders>
          </w:tcPr>
          <w:p w14:paraId="3D2C2D59" w14:textId="3022EB60" w:rsidR="00E8478C" w:rsidRDefault="00E8478C" w:rsidP="00291ECC">
            <w:pPr>
              <w:jc w:val="both"/>
              <w:rPr>
                <w:lang w:val="en-GB"/>
              </w:rPr>
            </w:pPr>
            <w:r>
              <w:rPr>
                <w:lang w:val="en-GB"/>
              </w:rPr>
              <w:t>0,05</w:t>
            </w:r>
          </w:p>
        </w:tc>
        <w:tc>
          <w:tcPr>
            <w:tcW w:w="1134" w:type="dxa"/>
            <w:tcBorders>
              <w:top w:val="single" w:sz="4" w:space="0" w:color="auto"/>
              <w:left w:val="single" w:sz="4" w:space="0" w:color="auto"/>
              <w:bottom w:val="single" w:sz="4" w:space="0" w:color="auto"/>
              <w:right w:val="single" w:sz="4" w:space="0" w:color="auto"/>
            </w:tcBorders>
          </w:tcPr>
          <w:p w14:paraId="488D0262" w14:textId="6440CB49" w:rsidR="00E8478C" w:rsidRDefault="00E8478C" w:rsidP="00291ECC">
            <w:pPr>
              <w:jc w:val="both"/>
              <w:rPr>
                <w:lang w:val="en-GB"/>
              </w:rPr>
            </w:pPr>
            <w:r>
              <w:rPr>
                <w:lang w:val="en-GB"/>
              </w:rPr>
              <w:t>0,216</w:t>
            </w:r>
          </w:p>
        </w:tc>
        <w:tc>
          <w:tcPr>
            <w:tcW w:w="1276" w:type="dxa"/>
            <w:vMerge/>
            <w:tcBorders>
              <w:top w:val="single" w:sz="4" w:space="0" w:color="auto"/>
              <w:left w:val="single" w:sz="4" w:space="0" w:color="auto"/>
              <w:bottom w:val="single" w:sz="4" w:space="0" w:color="auto"/>
              <w:right w:val="single" w:sz="4" w:space="0" w:color="auto"/>
            </w:tcBorders>
          </w:tcPr>
          <w:p w14:paraId="3FC406D8" w14:textId="77777777" w:rsidR="00E8478C" w:rsidRDefault="00E8478C" w:rsidP="00291ECC">
            <w:pPr>
              <w:jc w:val="both"/>
              <w:rPr>
                <w:lang w:val="en-GB"/>
              </w:rPr>
            </w:pPr>
          </w:p>
        </w:tc>
        <w:tc>
          <w:tcPr>
            <w:tcW w:w="1275" w:type="dxa"/>
            <w:vMerge/>
            <w:tcBorders>
              <w:top w:val="single" w:sz="4" w:space="0" w:color="auto"/>
              <w:left w:val="single" w:sz="4" w:space="0" w:color="auto"/>
              <w:bottom w:val="single" w:sz="4" w:space="0" w:color="auto"/>
              <w:right w:val="single" w:sz="4" w:space="0" w:color="auto"/>
            </w:tcBorders>
          </w:tcPr>
          <w:p w14:paraId="0B61ECBA" w14:textId="77777777" w:rsidR="00E8478C" w:rsidRDefault="00E8478C" w:rsidP="00291ECC">
            <w:pPr>
              <w:jc w:val="both"/>
              <w:rPr>
                <w:lang w:val="en-GB"/>
              </w:rPr>
            </w:pPr>
          </w:p>
        </w:tc>
      </w:tr>
    </w:tbl>
    <w:p w14:paraId="32A2A99C" w14:textId="77777777" w:rsidR="00DF7A1A" w:rsidRDefault="00DF7A1A" w:rsidP="00A90BCD">
      <w:pPr>
        <w:spacing w:line="360" w:lineRule="auto"/>
        <w:jc w:val="both"/>
        <w:rPr>
          <w:lang w:val="en-GB"/>
        </w:rPr>
      </w:pPr>
    </w:p>
    <w:p w14:paraId="02571FE4" w14:textId="6FA58943" w:rsidR="00A90BCD" w:rsidRDefault="00A11922" w:rsidP="00A90BCD">
      <w:pPr>
        <w:spacing w:line="360" w:lineRule="auto"/>
        <w:jc w:val="both"/>
        <w:rPr>
          <w:lang w:val="en-GB"/>
        </w:rPr>
      </w:pPr>
      <w:r>
        <w:rPr>
          <w:lang w:val="en-GB"/>
        </w:rPr>
        <w:t>The second hypothesis splits the equity compensation in ten different deciles, based on the proportion of equity</w:t>
      </w:r>
      <w:r w:rsidR="0087604D">
        <w:rPr>
          <w:lang w:val="en-GB"/>
        </w:rPr>
        <w:t xml:space="preserve"> in the compensation package</w:t>
      </w:r>
      <w:r>
        <w:rPr>
          <w:lang w:val="en-GB"/>
        </w:rPr>
        <w:t xml:space="preserve">. The outcomes of these tests are </w:t>
      </w:r>
      <w:r w:rsidR="00D57D4D">
        <w:rPr>
          <w:lang w:val="en-GB"/>
        </w:rPr>
        <w:t>presented in table 8</w:t>
      </w:r>
      <w:r>
        <w:rPr>
          <w:lang w:val="en-GB"/>
        </w:rPr>
        <w:t>.</w:t>
      </w:r>
      <w:r w:rsidR="00961FFF">
        <w:rPr>
          <w:lang w:val="en-GB"/>
        </w:rPr>
        <w:t xml:space="preserve"> Although the variances of the deciles are heterogenetic, the one-way ANOVA s</w:t>
      </w:r>
      <w:r w:rsidR="0087604D">
        <w:rPr>
          <w:lang w:val="en-GB"/>
        </w:rPr>
        <w:t>hows a highly significant value, which indicates</w:t>
      </w:r>
      <w:r w:rsidR="006F38EF">
        <w:rPr>
          <w:lang w:val="en-GB"/>
        </w:rPr>
        <w:t xml:space="preserve"> that not all the means of the deciles are equal. </w:t>
      </w:r>
      <w:r w:rsidR="00817E36">
        <w:rPr>
          <w:lang w:val="en-GB"/>
        </w:rPr>
        <w:t>Figure 6</w:t>
      </w:r>
      <w:r w:rsidR="00A90BCD">
        <w:rPr>
          <w:lang w:val="en-GB"/>
        </w:rPr>
        <w:t xml:space="preserve"> shows the increase of firm’s financial performance as a function of the equity compensation, which </w:t>
      </w:r>
      <w:r w:rsidR="0087604D">
        <w:rPr>
          <w:lang w:val="en-GB"/>
        </w:rPr>
        <w:t>mentions</w:t>
      </w:r>
      <w:r w:rsidR="00A90BCD">
        <w:rPr>
          <w:lang w:val="en-GB"/>
        </w:rPr>
        <w:t xml:space="preserve"> a positive relation between CFO managerial performance and equity compensation.</w:t>
      </w:r>
      <w:r w:rsidR="009B6855">
        <w:rPr>
          <w:lang w:val="en-GB"/>
        </w:rPr>
        <w:t xml:space="preserve"> The comprehensive statistical output in the appendix provides evidence that the mean of most of the deciles are significantly different. The only insignificant differences occur for the means between the adjacent deciles.</w:t>
      </w:r>
    </w:p>
    <w:p w14:paraId="29697A5F" w14:textId="74507315" w:rsidR="00860798" w:rsidRDefault="00860798" w:rsidP="00860798">
      <w:pPr>
        <w:spacing w:line="360" w:lineRule="auto"/>
        <w:jc w:val="both"/>
        <w:rPr>
          <w:lang w:val="en-GB"/>
        </w:rPr>
      </w:pPr>
      <w:r>
        <w:rPr>
          <w:lang w:val="en-GB"/>
        </w:rPr>
        <w:lastRenderedPageBreak/>
        <w:t>With regard to ICMW, table 4</w:t>
      </w:r>
      <w:r w:rsidR="00937B62">
        <w:rPr>
          <w:lang w:val="en-GB"/>
        </w:rPr>
        <w:t xml:space="preserve"> shows a significant Levene’s statistic, so equality of variances is not assumed. The ANOVA results in a non-significant p-value, which means that there is no significant difference between </w:t>
      </w:r>
      <w:r w:rsidR="007E12CB">
        <w:rPr>
          <w:lang w:val="en-GB"/>
        </w:rPr>
        <w:t>the different proportions in the relation to fiduciary performance.</w:t>
      </w:r>
      <w:r w:rsidRPr="00860798">
        <w:rPr>
          <w:rStyle w:val="Kop1Char"/>
          <w:rFonts w:asciiTheme="minorHAnsi" w:eastAsiaTheme="minorHAnsi" w:hAnsiTheme="minorHAnsi" w:cstheme="minorBidi"/>
          <w:b w:val="0"/>
          <w:bCs w:val="0"/>
          <w:sz w:val="22"/>
          <w:szCs w:val="22"/>
        </w:rPr>
        <w:t xml:space="preserve"> </w:t>
      </w:r>
      <w:r w:rsidR="00817E36">
        <w:rPr>
          <w:lang w:val="en-GB"/>
        </w:rPr>
        <w:t xml:space="preserve">Figure 7 </w:t>
      </w:r>
      <w:r w:rsidR="002054B4">
        <w:rPr>
          <w:lang w:val="en-GB"/>
        </w:rPr>
        <w:t>visualizes this insignificant relation.</w:t>
      </w:r>
    </w:p>
    <w:p w14:paraId="79F77195" w14:textId="3F3A2A52" w:rsidR="00545067" w:rsidRDefault="00545067" w:rsidP="00860798">
      <w:pPr>
        <w:spacing w:line="360" w:lineRule="auto"/>
        <w:jc w:val="both"/>
        <w:rPr>
          <w:rStyle w:val="Kop1Char"/>
          <w:rFonts w:asciiTheme="minorHAnsi" w:eastAsiaTheme="minorHAnsi" w:hAnsiTheme="minorHAnsi" w:cstheme="minorBidi"/>
          <w:b w:val="0"/>
          <w:bCs w:val="0"/>
          <w:sz w:val="22"/>
          <w:szCs w:val="22"/>
        </w:rPr>
      </w:pPr>
      <w:r>
        <w:rPr>
          <w:lang w:val="en-GB"/>
        </w:rPr>
        <w:t xml:space="preserve">For the financial restatements, Leven’s statistic is significant, so equality of variances is not assumed. The p-value of the ANOVA is not significant, which means that there is no difference in financial restatement for different proportion </w:t>
      </w:r>
      <w:r w:rsidR="00817E36">
        <w:rPr>
          <w:lang w:val="en-GB"/>
        </w:rPr>
        <w:t>of equity compensation. Figure 8</w:t>
      </w:r>
      <w:r>
        <w:rPr>
          <w:lang w:val="en-GB"/>
        </w:rPr>
        <w:t xml:space="preserve"> visualizes the non-significant association between the proportion of equity compensation and financial restatements. See the multiple comparisons in the Appendix for more insights in the mutual relation between the deciles.</w:t>
      </w:r>
    </w:p>
    <w:p w14:paraId="576D09A8" w14:textId="5FD31642" w:rsidR="003C0C79" w:rsidRDefault="003C0C79" w:rsidP="002B43F9">
      <w:pPr>
        <w:pStyle w:val="Kop5"/>
      </w:pPr>
      <w:r>
        <w:t xml:space="preserve">Table </w:t>
      </w:r>
      <w:r w:rsidR="00DF7A1A">
        <w:fldChar w:fldCharType="begin"/>
      </w:r>
      <w:r w:rsidR="00DF7A1A">
        <w:instrText xml:space="preserve"> SEQ Table \* ARABIC </w:instrText>
      </w:r>
      <w:r w:rsidR="00DF7A1A">
        <w:fldChar w:fldCharType="separate"/>
      </w:r>
      <w:r w:rsidR="004043A1">
        <w:rPr>
          <w:noProof/>
        </w:rPr>
        <w:t>8</w:t>
      </w:r>
      <w:r w:rsidR="00DF7A1A">
        <w:fldChar w:fldCharType="end"/>
      </w:r>
      <w:r w:rsidR="00DF7A1A">
        <w:rPr>
          <w:noProof/>
        </w:rPr>
        <w:t xml:space="preserve">: </w:t>
      </w:r>
      <w:r w:rsidR="005147FA">
        <w:rPr>
          <w:noProof/>
        </w:rPr>
        <w:t>Association between the proportion of equity based compensation and managerial and fiduciary performance</w:t>
      </w:r>
    </w:p>
    <w:tbl>
      <w:tblPr>
        <w:tblStyle w:val="Tabelraster"/>
        <w:tblW w:w="0" w:type="auto"/>
        <w:tblLook w:val="04A0" w:firstRow="1" w:lastRow="0" w:firstColumn="1" w:lastColumn="0" w:noHBand="0" w:noVBand="1"/>
      </w:tblPr>
      <w:tblGrid>
        <w:gridCol w:w="1377"/>
        <w:gridCol w:w="1838"/>
        <w:gridCol w:w="988"/>
        <w:gridCol w:w="990"/>
        <w:gridCol w:w="1410"/>
        <w:gridCol w:w="1273"/>
        <w:gridCol w:w="1412"/>
      </w:tblGrid>
      <w:tr w:rsidR="00A16D93" w14:paraId="6169CEE4" w14:textId="77777777" w:rsidTr="006A6B58">
        <w:tc>
          <w:tcPr>
            <w:tcW w:w="1377" w:type="dxa"/>
            <w:vAlign w:val="center"/>
          </w:tcPr>
          <w:p w14:paraId="0C411FD8" w14:textId="77777777" w:rsidR="00A16D93" w:rsidRDefault="00A16D93" w:rsidP="006A6B58">
            <w:pPr>
              <w:jc w:val="center"/>
              <w:rPr>
                <w:lang w:val="en-GB"/>
              </w:rPr>
            </w:pPr>
          </w:p>
        </w:tc>
        <w:tc>
          <w:tcPr>
            <w:tcW w:w="1838" w:type="dxa"/>
            <w:vAlign w:val="center"/>
          </w:tcPr>
          <w:p w14:paraId="396F5A31" w14:textId="06A2481C" w:rsidR="00A16D93" w:rsidRDefault="00E43035" w:rsidP="006A6B58">
            <w:pPr>
              <w:jc w:val="center"/>
              <w:rPr>
                <w:lang w:val="en-GB"/>
              </w:rPr>
            </w:pPr>
            <w:r>
              <w:rPr>
                <w:lang w:val="en-GB"/>
              </w:rPr>
              <w:t>Equity Proportion</w:t>
            </w:r>
          </w:p>
        </w:tc>
        <w:tc>
          <w:tcPr>
            <w:tcW w:w="988" w:type="dxa"/>
            <w:vAlign w:val="center"/>
          </w:tcPr>
          <w:p w14:paraId="7FE3D088" w14:textId="77777777" w:rsidR="00A16D93" w:rsidRPr="0038674F" w:rsidRDefault="00A16D93" w:rsidP="006A6B58">
            <w:pPr>
              <w:jc w:val="center"/>
            </w:pPr>
            <w:r>
              <w:t>N</w:t>
            </w:r>
          </w:p>
        </w:tc>
        <w:tc>
          <w:tcPr>
            <w:tcW w:w="990" w:type="dxa"/>
            <w:vAlign w:val="center"/>
          </w:tcPr>
          <w:p w14:paraId="61C3DD3A" w14:textId="77777777" w:rsidR="00A16D93" w:rsidRDefault="00A16D93" w:rsidP="006A6B58">
            <w:pPr>
              <w:jc w:val="center"/>
              <w:rPr>
                <w:lang w:val="en-GB"/>
              </w:rPr>
            </w:pPr>
            <w:r>
              <w:rPr>
                <w:lang w:val="en-GB"/>
              </w:rPr>
              <w:t>Mean</w:t>
            </w:r>
          </w:p>
        </w:tc>
        <w:tc>
          <w:tcPr>
            <w:tcW w:w="1410" w:type="dxa"/>
            <w:vAlign w:val="center"/>
          </w:tcPr>
          <w:p w14:paraId="320AE299" w14:textId="77777777" w:rsidR="00A16D93" w:rsidRDefault="00A16D93" w:rsidP="006A6B58">
            <w:pPr>
              <w:jc w:val="center"/>
              <w:rPr>
                <w:lang w:val="en-GB"/>
              </w:rPr>
            </w:pPr>
            <w:r>
              <w:rPr>
                <w:lang w:val="en-GB"/>
              </w:rPr>
              <w:t>Std. Dev.</w:t>
            </w:r>
          </w:p>
        </w:tc>
        <w:tc>
          <w:tcPr>
            <w:tcW w:w="1273" w:type="dxa"/>
            <w:vAlign w:val="center"/>
          </w:tcPr>
          <w:p w14:paraId="66A3C9F7" w14:textId="77777777" w:rsidR="00A16D93" w:rsidRDefault="00A16D93" w:rsidP="006A6B58">
            <w:pPr>
              <w:jc w:val="center"/>
              <w:rPr>
                <w:lang w:val="en-GB"/>
              </w:rPr>
            </w:pPr>
            <w:r>
              <w:rPr>
                <w:lang w:val="en-GB"/>
              </w:rPr>
              <w:t>Levene´s</w:t>
            </w:r>
          </w:p>
        </w:tc>
        <w:tc>
          <w:tcPr>
            <w:tcW w:w="1412" w:type="dxa"/>
            <w:vAlign w:val="center"/>
          </w:tcPr>
          <w:p w14:paraId="34880663" w14:textId="589A1F04" w:rsidR="00A16D93" w:rsidRPr="00014636" w:rsidRDefault="003535F4" w:rsidP="006A6B58">
            <w:pPr>
              <w:jc w:val="center"/>
            </w:pPr>
            <w:r>
              <w:rPr>
                <w:lang w:val="en-GB"/>
              </w:rPr>
              <w:t>p-value</w:t>
            </w:r>
          </w:p>
        </w:tc>
      </w:tr>
      <w:tr w:rsidR="00846F58" w14:paraId="232C7137" w14:textId="77777777" w:rsidTr="006A6B58">
        <w:tc>
          <w:tcPr>
            <w:tcW w:w="1377" w:type="dxa"/>
            <w:vMerge w:val="restart"/>
            <w:vAlign w:val="center"/>
          </w:tcPr>
          <w:p w14:paraId="3332F33F" w14:textId="34AAD086" w:rsidR="00846F58" w:rsidRDefault="000126B5" w:rsidP="006A6B58">
            <w:pPr>
              <w:jc w:val="center"/>
              <w:rPr>
                <w:lang w:val="en-GB"/>
              </w:rPr>
            </w:pPr>
            <w:r>
              <w:rPr>
                <w:lang w:val="en-GB"/>
              </w:rPr>
              <w:t>Firm’s financial performance</w:t>
            </w:r>
          </w:p>
        </w:tc>
        <w:tc>
          <w:tcPr>
            <w:tcW w:w="1838" w:type="dxa"/>
            <w:vAlign w:val="center"/>
          </w:tcPr>
          <w:p w14:paraId="44AA7960" w14:textId="28659A7B" w:rsidR="00846F58" w:rsidRDefault="00846F58" w:rsidP="006A6B58">
            <w:pPr>
              <w:jc w:val="center"/>
              <w:rPr>
                <w:lang w:val="en-GB"/>
              </w:rPr>
            </w:pPr>
            <w:r w:rsidRPr="00DC769B">
              <w:rPr>
                <w:sz w:val="18"/>
                <w:szCs w:val="18"/>
                <w:lang w:val="en-GB"/>
              </w:rPr>
              <w:t>0% - 10% Equity</w:t>
            </w:r>
          </w:p>
        </w:tc>
        <w:tc>
          <w:tcPr>
            <w:tcW w:w="988" w:type="dxa"/>
            <w:vAlign w:val="center"/>
          </w:tcPr>
          <w:p w14:paraId="5AFF2846" w14:textId="782AAF3A" w:rsidR="00846F58" w:rsidRDefault="00846F58" w:rsidP="006A6B58">
            <w:pPr>
              <w:jc w:val="center"/>
              <w:rPr>
                <w:lang w:val="en-GB"/>
              </w:rPr>
            </w:pPr>
            <w:r>
              <w:rPr>
                <w:lang w:val="en-GB"/>
              </w:rPr>
              <w:t>749</w:t>
            </w:r>
          </w:p>
        </w:tc>
        <w:tc>
          <w:tcPr>
            <w:tcW w:w="990" w:type="dxa"/>
            <w:vAlign w:val="center"/>
          </w:tcPr>
          <w:p w14:paraId="09B8DB73" w14:textId="5C3F18C6" w:rsidR="00846F58" w:rsidRDefault="00846F58" w:rsidP="006A6B58">
            <w:pPr>
              <w:jc w:val="center"/>
              <w:rPr>
                <w:lang w:val="en-GB"/>
              </w:rPr>
            </w:pPr>
            <w:r>
              <w:rPr>
                <w:lang w:val="en-GB"/>
              </w:rPr>
              <w:t>3,26</w:t>
            </w:r>
          </w:p>
        </w:tc>
        <w:tc>
          <w:tcPr>
            <w:tcW w:w="1410" w:type="dxa"/>
            <w:vAlign w:val="center"/>
          </w:tcPr>
          <w:p w14:paraId="13C79256" w14:textId="5C4DB297" w:rsidR="00846F58" w:rsidRDefault="006765D0" w:rsidP="006A6B58">
            <w:pPr>
              <w:jc w:val="center"/>
              <w:rPr>
                <w:lang w:val="en-GB"/>
              </w:rPr>
            </w:pPr>
            <w:r>
              <w:rPr>
                <w:lang w:val="en-GB"/>
              </w:rPr>
              <w:t>6,996</w:t>
            </w:r>
            <w:r w:rsidR="00E3532B">
              <w:rPr>
                <w:lang w:val="en-GB"/>
              </w:rPr>
              <w:t>3</w:t>
            </w:r>
          </w:p>
        </w:tc>
        <w:tc>
          <w:tcPr>
            <w:tcW w:w="1273" w:type="dxa"/>
            <w:vMerge w:val="restart"/>
            <w:vAlign w:val="center"/>
          </w:tcPr>
          <w:p w14:paraId="7908A917" w14:textId="1D36C1C3" w:rsidR="003535F4" w:rsidRDefault="003535F4" w:rsidP="0054357D">
            <w:pPr>
              <w:jc w:val="center"/>
              <w:rPr>
                <w:lang w:val="en-GB"/>
              </w:rPr>
            </w:pPr>
            <w:r>
              <w:rPr>
                <w:lang w:val="en-GB"/>
              </w:rPr>
              <w:t>0,000</w:t>
            </w:r>
          </w:p>
          <w:p w14:paraId="4EB16149" w14:textId="300882D3" w:rsidR="00846F58" w:rsidRDefault="003535F4" w:rsidP="0054357D">
            <w:pPr>
              <w:jc w:val="center"/>
              <w:rPr>
                <w:lang w:val="en-GB"/>
              </w:rPr>
            </w:pPr>
            <w:r>
              <w:rPr>
                <w:lang w:val="en-GB"/>
              </w:rPr>
              <w:t>(27,494)</w:t>
            </w:r>
          </w:p>
          <w:p w14:paraId="6A45B2A0" w14:textId="5435C814" w:rsidR="00846F58" w:rsidRDefault="00846F58" w:rsidP="0054357D">
            <w:pPr>
              <w:jc w:val="center"/>
              <w:rPr>
                <w:lang w:val="en-GB"/>
              </w:rPr>
            </w:pPr>
          </w:p>
        </w:tc>
        <w:tc>
          <w:tcPr>
            <w:tcW w:w="1412" w:type="dxa"/>
            <w:vMerge w:val="restart"/>
            <w:vAlign w:val="center"/>
          </w:tcPr>
          <w:p w14:paraId="2BA4B219" w14:textId="4C6A8B14" w:rsidR="00846F58" w:rsidRDefault="003A5B70" w:rsidP="0054357D">
            <w:pPr>
              <w:jc w:val="center"/>
              <w:rPr>
                <w:lang w:val="en-GB"/>
              </w:rPr>
            </w:pPr>
            <w:r>
              <w:rPr>
                <w:lang w:val="en-GB"/>
              </w:rPr>
              <w:t>0,0</w:t>
            </w:r>
            <w:r w:rsidR="003535F4">
              <w:rPr>
                <w:lang w:val="en-GB"/>
              </w:rPr>
              <w:t>0</w:t>
            </w:r>
            <w:r>
              <w:rPr>
                <w:lang w:val="en-GB"/>
              </w:rPr>
              <w:t>0</w:t>
            </w:r>
          </w:p>
          <w:p w14:paraId="0EE2859C" w14:textId="0AD63245" w:rsidR="003535F4" w:rsidRDefault="003535F4" w:rsidP="0054357D">
            <w:pPr>
              <w:jc w:val="center"/>
              <w:rPr>
                <w:lang w:val="en-GB"/>
              </w:rPr>
            </w:pPr>
            <w:r>
              <w:rPr>
                <w:lang w:val="en-GB"/>
              </w:rPr>
              <w:t>(18,008)</w:t>
            </w:r>
          </w:p>
        </w:tc>
      </w:tr>
      <w:tr w:rsidR="00846F58" w14:paraId="30561D11" w14:textId="77777777" w:rsidTr="006A6B58">
        <w:tc>
          <w:tcPr>
            <w:tcW w:w="1377" w:type="dxa"/>
            <w:vMerge/>
            <w:vAlign w:val="center"/>
          </w:tcPr>
          <w:p w14:paraId="7AFFFFA7" w14:textId="77777777" w:rsidR="00846F58" w:rsidRDefault="00846F58" w:rsidP="006A6B58">
            <w:pPr>
              <w:jc w:val="center"/>
              <w:rPr>
                <w:lang w:val="en-GB"/>
              </w:rPr>
            </w:pPr>
          </w:p>
        </w:tc>
        <w:tc>
          <w:tcPr>
            <w:tcW w:w="1838" w:type="dxa"/>
            <w:vAlign w:val="center"/>
          </w:tcPr>
          <w:p w14:paraId="49FF9E1B" w14:textId="38221552" w:rsidR="00846F58" w:rsidRDefault="00846F58" w:rsidP="006A6B58">
            <w:pPr>
              <w:jc w:val="center"/>
              <w:rPr>
                <w:lang w:val="en-GB"/>
              </w:rPr>
            </w:pPr>
            <w:r w:rsidRPr="00DC769B">
              <w:rPr>
                <w:sz w:val="18"/>
                <w:szCs w:val="18"/>
                <w:lang w:val="en-GB"/>
              </w:rPr>
              <w:t>10% - 20% Equity</w:t>
            </w:r>
          </w:p>
        </w:tc>
        <w:tc>
          <w:tcPr>
            <w:tcW w:w="988" w:type="dxa"/>
            <w:vAlign w:val="center"/>
          </w:tcPr>
          <w:p w14:paraId="6E615623" w14:textId="18914C25" w:rsidR="00846F58" w:rsidRDefault="00846F58" w:rsidP="006A6B58">
            <w:pPr>
              <w:jc w:val="center"/>
              <w:rPr>
                <w:lang w:val="en-GB"/>
              </w:rPr>
            </w:pPr>
            <w:r>
              <w:rPr>
                <w:lang w:val="en-GB"/>
              </w:rPr>
              <w:t>310</w:t>
            </w:r>
          </w:p>
        </w:tc>
        <w:tc>
          <w:tcPr>
            <w:tcW w:w="990" w:type="dxa"/>
            <w:vAlign w:val="center"/>
          </w:tcPr>
          <w:p w14:paraId="27325EDF" w14:textId="7BA63F30" w:rsidR="00846F58" w:rsidRDefault="00846F58" w:rsidP="006A6B58">
            <w:pPr>
              <w:jc w:val="center"/>
              <w:rPr>
                <w:lang w:val="en-GB"/>
              </w:rPr>
            </w:pPr>
            <w:r>
              <w:rPr>
                <w:lang w:val="en-GB"/>
              </w:rPr>
              <w:t>4,07</w:t>
            </w:r>
          </w:p>
        </w:tc>
        <w:tc>
          <w:tcPr>
            <w:tcW w:w="1410" w:type="dxa"/>
            <w:vAlign w:val="center"/>
          </w:tcPr>
          <w:p w14:paraId="526E690D" w14:textId="2BC934E1" w:rsidR="00846F58" w:rsidRDefault="006765D0" w:rsidP="006A6B58">
            <w:pPr>
              <w:jc w:val="center"/>
              <w:rPr>
                <w:lang w:val="en-GB"/>
              </w:rPr>
            </w:pPr>
            <w:r>
              <w:rPr>
                <w:lang w:val="en-GB"/>
              </w:rPr>
              <w:t>6,380</w:t>
            </w:r>
            <w:r w:rsidR="00E3532B">
              <w:rPr>
                <w:lang w:val="en-GB"/>
              </w:rPr>
              <w:t>5</w:t>
            </w:r>
          </w:p>
        </w:tc>
        <w:tc>
          <w:tcPr>
            <w:tcW w:w="1273" w:type="dxa"/>
            <w:vMerge/>
            <w:vAlign w:val="center"/>
          </w:tcPr>
          <w:p w14:paraId="70C101F8" w14:textId="77777777" w:rsidR="00846F58" w:rsidRDefault="00846F58" w:rsidP="0054357D">
            <w:pPr>
              <w:jc w:val="center"/>
              <w:rPr>
                <w:lang w:val="en-GB"/>
              </w:rPr>
            </w:pPr>
          </w:p>
        </w:tc>
        <w:tc>
          <w:tcPr>
            <w:tcW w:w="1412" w:type="dxa"/>
            <w:vMerge/>
            <w:vAlign w:val="center"/>
          </w:tcPr>
          <w:p w14:paraId="377576AA" w14:textId="77777777" w:rsidR="00846F58" w:rsidRDefault="00846F58" w:rsidP="0054357D">
            <w:pPr>
              <w:jc w:val="center"/>
              <w:rPr>
                <w:lang w:val="en-GB"/>
              </w:rPr>
            </w:pPr>
          </w:p>
        </w:tc>
      </w:tr>
      <w:tr w:rsidR="00846F58" w14:paraId="74769188" w14:textId="77777777" w:rsidTr="006A6B58">
        <w:tc>
          <w:tcPr>
            <w:tcW w:w="1377" w:type="dxa"/>
            <w:vMerge/>
            <w:vAlign w:val="center"/>
          </w:tcPr>
          <w:p w14:paraId="769DEAE2" w14:textId="77777777" w:rsidR="00846F58" w:rsidRDefault="00846F58" w:rsidP="006A6B58">
            <w:pPr>
              <w:jc w:val="center"/>
              <w:rPr>
                <w:lang w:val="en-GB"/>
              </w:rPr>
            </w:pPr>
          </w:p>
        </w:tc>
        <w:tc>
          <w:tcPr>
            <w:tcW w:w="1838" w:type="dxa"/>
            <w:vAlign w:val="center"/>
          </w:tcPr>
          <w:p w14:paraId="2348DFB5" w14:textId="1606E2CD" w:rsidR="00846F58" w:rsidRDefault="00846F58" w:rsidP="006A6B58">
            <w:pPr>
              <w:jc w:val="center"/>
              <w:rPr>
                <w:lang w:val="en-GB"/>
              </w:rPr>
            </w:pPr>
            <w:r w:rsidRPr="00DC769B">
              <w:rPr>
                <w:sz w:val="18"/>
                <w:szCs w:val="18"/>
                <w:lang w:val="en-GB"/>
              </w:rPr>
              <w:t>20% - 30% Equity</w:t>
            </w:r>
          </w:p>
        </w:tc>
        <w:tc>
          <w:tcPr>
            <w:tcW w:w="988" w:type="dxa"/>
            <w:vAlign w:val="center"/>
          </w:tcPr>
          <w:p w14:paraId="3DBAE31E" w14:textId="1922D586" w:rsidR="00846F58" w:rsidRDefault="00846F58" w:rsidP="006A6B58">
            <w:pPr>
              <w:jc w:val="center"/>
              <w:rPr>
                <w:lang w:val="en-GB"/>
              </w:rPr>
            </w:pPr>
            <w:r>
              <w:rPr>
                <w:lang w:val="en-GB"/>
              </w:rPr>
              <w:t>410</w:t>
            </w:r>
          </w:p>
        </w:tc>
        <w:tc>
          <w:tcPr>
            <w:tcW w:w="990" w:type="dxa"/>
            <w:vAlign w:val="center"/>
          </w:tcPr>
          <w:p w14:paraId="45A7D0DD" w14:textId="31B6A9B3" w:rsidR="00846F58" w:rsidRDefault="00846F58" w:rsidP="006A6B58">
            <w:pPr>
              <w:jc w:val="center"/>
              <w:rPr>
                <w:lang w:val="en-GB"/>
              </w:rPr>
            </w:pPr>
            <w:r>
              <w:rPr>
                <w:lang w:val="en-GB"/>
              </w:rPr>
              <w:t>4,26</w:t>
            </w:r>
          </w:p>
        </w:tc>
        <w:tc>
          <w:tcPr>
            <w:tcW w:w="1410" w:type="dxa"/>
            <w:vAlign w:val="center"/>
          </w:tcPr>
          <w:p w14:paraId="52047564" w14:textId="34DFAEE0" w:rsidR="00846F58" w:rsidRDefault="006765D0" w:rsidP="006A6B58">
            <w:pPr>
              <w:jc w:val="center"/>
              <w:rPr>
                <w:lang w:val="en-GB"/>
              </w:rPr>
            </w:pPr>
            <w:r>
              <w:rPr>
                <w:lang w:val="en-GB"/>
              </w:rPr>
              <w:t>6,3</w:t>
            </w:r>
            <w:r w:rsidR="00E3532B">
              <w:rPr>
                <w:lang w:val="en-GB"/>
              </w:rPr>
              <w:t>656</w:t>
            </w:r>
          </w:p>
        </w:tc>
        <w:tc>
          <w:tcPr>
            <w:tcW w:w="1273" w:type="dxa"/>
            <w:vMerge/>
            <w:vAlign w:val="center"/>
          </w:tcPr>
          <w:p w14:paraId="101865A2" w14:textId="77777777" w:rsidR="00846F58" w:rsidRDefault="00846F58" w:rsidP="0054357D">
            <w:pPr>
              <w:jc w:val="center"/>
              <w:rPr>
                <w:lang w:val="en-GB"/>
              </w:rPr>
            </w:pPr>
          </w:p>
        </w:tc>
        <w:tc>
          <w:tcPr>
            <w:tcW w:w="1412" w:type="dxa"/>
            <w:vMerge/>
            <w:vAlign w:val="center"/>
          </w:tcPr>
          <w:p w14:paraId="12FFA556" w14:textId="77777777" w:rsidR="00846F58" w:rsidRDefault="00846F58" w:rsidP="0054357D">
            <w:pPr>
              <w:jc w:val="center"/>
              <w:rPr>
                <w:lang w:val="en-GB"/>
              </w:rPr>
            </w:pPr>
          </w:p>
        </w:tc>
      </w:tr>
      <w:tr w:rsidR="00846F58" w14:paraId="04066E50" w14:textId="77777777" w:rsidTr="006A6B58">
        <w:tc>
          <w:tcPr>
            <w:tcW w:w="1377" w:type="dxa"/>
            <w:vMerge/>
            <w:vAlign w:val="center"/>
          </w:tcPr>
          <w:p w14:paraId="18AFB6D1" w14:textId="77777777" w:rsidR="00846F58" w:rsidRDefault="00846F58" w:rsidP="006A6B58">
            <w:pPr>
              <w:jc w:val="center"/>
              <w:rPr>
                <w:lang w:val="en-GB"/>
              </w:rPr>
            </w:pPr>
          </w:p>
        </w:tc>
        <w:tc>
          <w:tcPr>
            <w:tcW w:w="1838" w:type="dxa"/>
            <w:vAlign w:val="center"/>
          </w:tcPr>
          <w:p w14:paraId="280528B9" w14:textId="6B3A0004" w:rsidR="00846F58" w:rsidRDefault="00846F58" w:rsidP="006A6B58">
            <w:pPr>
              <w:jc w:val="center"/>
              <w:rPr>
                <w:lang w:val="en-GB"/>
              </w:rPr>
            </w:pPr>
            <w:r w:rsidRPr="00DC769B">
              <w:rPr>
                <w:sz w:val="18"/>
                <w:szCs w:val="18"/>
                <w:lang w:val="en-GB"/>
              </w:rPr>
              <w:t>30% - 40% Equity</w:t>
            </w:r>
          </w:p>
        </w:tc>
        <w:tc>
          <w:tcPr>
            <w:tcW w:w="988" w:type="dxa"/>
            <w:vAlign w:val="center"/>
          </w:tcPr>
          <w:p w14:paraId="68F81A68" w14:textId="6866445A" w:rsidR="00846F58" w:rsidRDefault="00846F58" w:rsidP="006A6B58">
            <w:pPr>
              <w:jc w:val="center"/>
              <w:rPr>
                <w:lang w:val="en-GB"/>
              </w:rPr>
            </w:pPr>
            <w:r>
              <w:rPr>
                <w:lang w:val="en-GB"/>
              </w:rPr>
              <w:t>485</w:t>
            </w:r>
          </w:p>
        </w:tc>
        <w:tc>
          <w:tcPr>
            <w:tcW w:w="990" w:type="dxa"/>
            <w:vAlign w:val="center"/>
          </w:tcPr>
          <w:p w14:paraId="1119FE22" w14:textId="7BD7FF4D" w:rsidR="00846F58" w:rsidRDefault="00846F58" w:rsidP="006A6B58">
            <w:pPr>
              <w:jc w:val="center"/>
              <w:rPr>
                <w:lang w:val="en-GB"/>
              </w:rPr>
            </w:pPr>
            <w:r>
              <w:rPr>
                <w:lang w:val="en-GB"/>
              </w:rPr>
              <w:t>4,86</w:t>
            </w:r>
          </w:p>
        </w:tc>
        <w:tc>
          <w:tcPr>
            <w:tcW w:w="1410" w:type="dxa"/>
            <w:vAlign w:val="center"/>
          </w:tcPr>
          <w:p w14:paraId="2D372130" w14:textId="0CC4ECB4" w:rsidR="00846F58" w:rsidRDefault="00E3532B" w:rsidP="006A6B58">
            <w:pPr>
              <w:jc w:val="center"/>
              <w:rPr>
                <w:lang w:val="en-GB"/>
              </w:rPr>
            </w:pPr>
            <w:r>
              <w:rPr>
                <w:lang w:val="en-GB"/>
              </w:rPr>
              <w:t>6,0491</w:t>
            </w:r>
          </w:p>
        </w:tc>
        <w:tc>
          <w:tcPr>
            <w:tcW w:w="1273" w:type="dxa"/>
            <w:vMerge/>
            <w:vAlign w:val="center"/>
          </w:tcPr>
          <w:p w14:paraId="3701092D" w14:textId="77777777" w:rsidR="00846F58" w:rsidRDefault="00846F58" w:rsidP="0054357D">
            <w:pPr>
              <w:jc w:val="center"/>
              <w:rPr>
                <w:lang w:val="en-GB"/>
              </w:rPr>
            </w:pPr>
          </w:p>
        </w:tc>
        <w:tc>
          <w:tcPr>
            <w:tcW w:w="1412" w:type="dxa"/>
            <w:vMerge/>
            <w:vAlign w:val="center"/>
          </w:tcPr>
          <w:p w14:paraId="3DC9DBEA" w14:textId="77777777" w:rsidR="00846F58" w:rsidRDefault="00846F58" w:rsidP="0054357D">
            <w:pPr>
              <w:jc w:val="center"/>
              <w:rPr>
                <w:lang w:val="en-GB"/>
              </w:rPr>
            </w:pPr>
          </w:p>
        </w:tc>
      </w:tr>
      <w:tr w:rsidR="00846F58" w14:paraId="1690FCB6" w14:textId="77777777" w:rsidTr="006A6B58">
        <w:tc>
          <w:tcPr>
            <w:tcW w:w="1377" w:type="dxa"/>
            <w:vMerge/>
            <w:vAlign w:val="center"/>
          </w:tcPr>
          <w:p w14:paraId="687B4108" w14:textId="77777777" w:rsidR="00846F58" w:rsidRDefault="00846F58" w:rsidP="006A6B58">
            <w:pPr>
              <w:jc w:val="center"/>
              <w:rPr>
                <w:lang w:val="en-GB"/>
              </w:rPr>
            </w:pPr>
          </w:p>
        </w:tc>
        <w:tc>
          <w:tcPr>
            <w:tcW w:w="1838" w:type="dxa"/>
            <w:vAlign w:val="center"/>
          </w:tcPr>
          <w:p w14:paraId="5B7AC16C" w14:textId="720105B2" w:rsidR="00846F58" w:rsidRDefault="00846F58" w:rsidP="006A6B58">
            <w:pPr>
              <w:jc w:val="center"/>
              <w:rPr>
                <w:lang w:val="en-GB"/>
              </w:rPr>
            </w:pPr>
            <w:r w:rsidRPr="00DC769B">
              <w:rPr>
                <w:sz w:val="18"/>
                <w:szCs w:val="18"/>
                <w:lang w:val="en-GB"/>
              </w:rPr>
              <w:t>40% - 50% Equity</w:t>
            </w:r>
          </w:p>
        </w:tc>
        <w:tc>
          <w:tcPr>
            <w:tcW w:w="988" w:type="dxa"/>
            <w:vAlign w:val="center"/>
          </w:tcPr>
          <w:p w14:paraId="0F5B2D32" w14:textId="36592642" w:rsidR="00846F58" w:rsidRDefault="00846F58" w:rsidP="006A6B58">
            <w:pPr>
              <w:jc w:val="center"/>
              <w:rPr>
                <w:lang w:val="en-GB"/>
              </w:rPr>
            </w:pPr>
            <w:r>
              <w:rPr>
                <w:lang w:val="en-GB"/>
              </w:rPr>
              <w:t>590</w:t>
            </w:r>
          </w:p>
        </w:tc>
        <w:tc>
          <w:tcPr>
            <w:tcW w:w="990" w:type="dxa"/>
            <w:vAlign w:val="center"/>
          </w:tcPr>
          <w:p w14:paraId="37E18C4A" w14:textId="286A2190" w:rsidR="00846F58" w:rsidRDefault="00846F58" w:rsidP="006A6B58">
            <w:pPr>
              <w:jc w:val="center"/>
              <w:rPr>
                <w:lang w:val="en-GB"/>
              </w:rPr>
            </w:pPr>
            <w:r>
              <w:rPr>
                <w:lang w:val="en-GB"/>
              </w:rPr>
              <w:t>4,82</w:t>
            </w:r>
          </w:p>
        </w:tc>
        <w:tc>
          <w:tcPr>
            <w:tcW w:w="1410" w:type="dxa"/>
            <w:vAlign w:val="center"/>
          </w:tcPr>
          <w:p w14:paraId="62CFC467" w14:textId="79B97646" w:rsidR="00846F58" w:rsidRDefault="006765D0" w:rsidP="006A6B58">
            <w:pPr>
              <w:jc w:val="center"/>
              <w:rPr>
                <w:lang w:val="en-GB"/>
              </w:rPr>
            </w:pPr>
            <w:r>
              <w:rPr>
                <w:lang w:val="en-GB"/>
              </w:rPr>
              <w:t>6,316</w:t>
            </w:r>
            <w:r w:rsidR="00E3532B">
              <w:rPr>
                <w:lang w:val="en-GB"/>
              </w:rPr>
              <w:t>3</w:t>
            </w:r>
          </w:p>
        </w:tc>
        <w:tc>
          <w:tcPr>
            <w:tcW w:w="1273" w:type="dxa"/>
            <w:vMerge/>
            <w:vAlign w:val="center"/>
          </w:tcPr>
          <w:p w14:paraId="57AE953C" w14:textId="77777777" w:rsidR="00846F58" w:rsidRDefault="00846F58" w:rsidP="0054357D">
            <w:pPr>
              <w:jc w:val="center"/>
              <w:rPr>
                <w:lang w:val="en-GB"/>
              </w:rPr>
            </w:pPr>
          </w:p>
        </w:tc>
        <w:tc>
          <w:tcPr>
            <w:tcW w:w="1412" w:type="dxa"/>
            <w:vMerge/>
            <w:vAlign w:val="center"/>
          </w:tcPr>
          <w:p w14:paraId="5F9FF543" w14:textId="77777777" w:rsidR="00846F58" w:rsidRDefault="00846F58" w:rsidP="0054357D">
            <w:pPr>
              <w:jc w:val="center"/>
              <w:rPr>
                <w:lang w:val="en-GB"/>
              </w:rPr>
            </w:pPr>
          </w:p>
        </w:tc>
      </w:tr>
      <w:tr w:rsidR="00846F58" w14:paraId="01A8C98F" w14:textId="77777777" w:rsidTr="006A6B58">
        <w:tc>
          <w:tcPr>
            <w:tcW w:w="1377" w:type="dxa"/>
            <w:vMerge/>
            <w:vAlign w:val="center"/>
          </w:tcPr>
          <w:p w14:paraId="017992E0" w14:textId="77777777" w:rsidR="00846F58" w:rsidRDefault="00846F58" w:rsidP="006A6B58">
            <w:pPr>
              <w:jc w:val="center"/>
              <w:rPr>
                <w:lang w:val="en-GB"/>
              </w:rPr>
            </w:pPr>
          </w:p>
        </w:tc>
        <w:tc>
          <w:tcPr>
            <w:tcW w:w="1838" w:type="dxa"/>
            <w:vAlign w:val="center"/>
          </w:tcPr>
          <w:p w14:paraId="3004597E" w14:textId="5883F781" w:rsidR="00846F58" w:rsidRDefault="00846F58" w:rsidP="006A6B58">
            <w:pPr>
              <w:jc w:val="center"/>
              <w:rPr>
                <w:lang w:val="en-GB"/>
              </w:rPr>
            </w:pPr>
            <w:r w:rsidRPr="00DC769B">
              <w:rPr>
                <w:sz w:val="18"/>
                <w:szCs w:val="18"/>
                <w:lang w:val="en-GB"/>
              </w:rPr>
              <w:t>50% - 60% Equity</w:t>
            </w:r>
          </w:p>
        </w:tc>
        <w:tc>
          <w:tcPr>
            <w:tcW w:w="988" w:type="dxa"/>
            <w:vAlign w:val="center"/>
          </w:tcPr>
          <w:p w14:paraId="31EA0081" w14:textId="151D8B98" w:rsidR="00846F58" w:rsidRDefault="00846F58" w:rsidP="006A6B58">
            <w:pPr>
              <w:jc w:val="center"/>
              <w:rPr>
                <w:lang w:val="en-GB"/>
              </w:rPr>
            </w:pPr>
            <w:r>
              <w:rPr>
                <w:lang w:val="en-GB"/>
              </w:rPr>
              <w:t>646</w:t>
            </w:r>
          </w:p>
        </w:tc>
        <w:tc>
          <w:tcPr>
            <w:tcW w:w="990" w:type="dxa"/>
            <w:vAlign w:val="center"/>
          </w:tcPr>
          <w:p w14:paraId="79223003" w14:textId="0A965D12" w:rsidR="00846F58" w:rsidRDefault="00846F58" w:rsidP="006A6B58">
            <w:pPr>
              <w:jc w:val="center"/>
              <w:rPr>
                <w:lang w:val="en-GB"/>
              </w:rPr>
            </w:pPr>
            <w:r>
              <w:rPr>
                <w:lang w:val="en-GB"/>
              </w:rPr>
              <w:t>5,73</w:t>
            </w:r>
          </w:p>
        </w:tc>
        <w:tc>
          <w:tcPr>
            <w:tcW w:w="1410" w:type="dxa"/>
            <w:vAlign w:val="center"/>
          </w:tcPr>
          <w:p w14:paraId="2F98CECD" w14:textId="3612AC1A" w:rsidR="00846F58" w:rsidRDefault="00E3532B" w:rsidP="006A6B58">
            <w:pPr>
              <w:jc w:val="center"/>
              <w:rPr>
                <w:lang w:val="en-GB"/>
              </w:rPr>
            </w:pPr>
            <w:r>
              <w:rPr>
                <w:lang w:val="en-GB"/>
              </w:rPr>
              <w:t>5,6869</w:t>
            </w:r>
          </w:p>
        </w:tc>
        <w:tc>
          <w:tcPr>
            <w:tcW w:w="1273" w:type="dxa"/>
            <w:vMerge/>
            <w:vAlign w:val="center"/>
          </w:tcPr>
          <w:p w14:paraId="14425954" w14:textId="77777777" w:rsidR="00846F58" w:rsidRDefault="00846F58" w:rsidP="0054357D">
            <w:pPr>
              <w:jc w:val="center"/>
              <w:rPr>
                <w:lang w:val="en-GB"/>
              </w:rPr>
            </w:pPr>
          </w:p>
        </w:tc>
        <w:tc>
          <w:tcPr>
            <w:tcW w:w="1412" w:type="dxa"/>
            <w:vMerge/>
            <w:vAlign w:val="center"/>
          </w:tcPr>
          <w:p w14:paraId="5069B099" w14:textId="77777777" w:rsidR="00846F58" w:rsidRDefault="00846F58" w:rsidP="0054357D">
            <w:pPr>
              <w:jc w:val="center"/>
              <w:rPr>
                <w:lang w:val="en-GB"/>
              </w:rPr>
            </w:pPr>
          </w:p>
        </w:tc>
      </w:tr>
      <w:tr w:rsidR="00846F58" w14:paraId="1E13D2D9" w14:textId="77777777" w:rsidTr="006A6B58">
        <w:tc>
          <w:tcPr>
            <w:tcW w:w="1377" w:type="dxa"/>
            <w:vMerge/>
            <w:vAlign w:val="center"/>
          </w:tcPr>
          <w:p w14:paraId="7964771A" w14:textId="77777777" w:rsidR="00846F58" w:rsidRDefault="00846F58" w:rsidP="006A6B58">
            <w:pPr>
              <w:jc w:val="center"/>
              <w:rPr>
                <w:lang w:val="en-GB"/>
              </w:rPr>
            </w:pPr>
          </w:p>
        </w:tc>
        <w:tc>
          <w:tcPr>
            <w:tcW w:w="1838" w:type="dxa"/>
            <w:vAlign w:val="center"/>
          </w:tcPr>
          <w:p w14:paraId="1E3A273E" w14:textId="73148B04" w:rsidR="00846F58" w:rsidRDefault="00846F58" w:rsidP="006A6B58">
            <w:pPr>
              <w:jc w:val="center"/>
              <w:rPr>
                <w:lang w:val="en-GB"/>
              </w:rPr>
            </w:pPr>
            <w:r w:rsidRPr="00DC769B">
              <w:rPr>
                <w:sz w:val="18"/>
                <w:szCs w:val="18"/>
                <w:lang w:val="en-GB"/>
              </w:rPr>
              <w:t>60% - 70% Equity</w:t>
            </w:r>
          </w:p>
        </w:tc>
        <w:tc>
          <w:tcPr>
            <w:tcW w:w="988" w:type="dxa"/>
            <w:vAlign w:val="center"/>
          </w:tcPr>
          <w:p w14:paraId="380046AC" w14:textId="298102FD" w:rsidR="00846F58" w:rsidRDefault="00846F58" w:rsidP="006A6B58">
            <w:pPr>
              <w:jc w:val="center"/>
              <w:rPr>
                <w:lang w:val="en-GB"/>
              </w:rPr>
            </w:pPr>
            <w:r>
              <w:rPr>
                <w:lang w:val="en-GB"/>
              </w:rPr>
              <w:t>763</w:t>
            </w:r>
          </w:p>
        </w:tc>
        <w:tc>
          <w:tcPr>
            <w:tcW w:w="990" w:type="dxa"/>
            <w:vAlign w:val="center"/>
          </w:tcPr>
          <w:p w14:paraId="7DA40375" w14:textId="457D2127" w:rsidR="00846F58" w:rsidRDefault="00846F58" w:rsidP="006A6B58">
            <w:pPr>
              <w:jc w:val="center"/>
              <w:rPr>
                <w:lang w:val="en-GB"/>
              </w:rPr>
            </w:pPr>
            <w:r>
              <w:rPr>
                <w:lang w:val="en-GB"/>
              </w:rPr>
              <w:t>5,52</w:t>
            </w:r>
          </w:p>
        </w:tc>
        <w:tc>
          <w:tcPr>
            <w:tcW w:w="1410" w:type="dxa"/>
            <w:vAlign w:val="center"/>
          </w:tcPr>
          <w:p w14:paraId="18258A94" w14:textId="15FA68FD" w:rsidR="00846F58" w:rsidRDefault="006765D0" w:rsidP="006A6B58">
            <w:pPr>
              <w:jc w:val="center"/>
              <w:rPr>
                <w:lang w:val="en-GB"/>
              </w:rPr>
            </w:pPr>
            <w:r>
              <w:rPr>
                <w:lang w:val="en-GB"/>
              </w:rPr>
              <w:t>6,024</w:t>
            </w:r>
            <w:r w:rsidR="00E3532B">
              <w:rPr>
                <w:lang w:val="en-GB"/>
              </w:rPr>
              <w:t>2</w:t>
            </w:r>
          </w:p>
        </w:tc>
        <w:tc>
          <w:tcPr>
            <w:tcW w:w="1273" w:type="dxa"/>
            <w:vMerge/>
            <w:vAlign w:val="center"/>
          </w:tcPr>
          <w:p w14:paraId="734218F8" w14:textId="77777777" w:rsidR="00846F58" w:rsidRDefault="00846F58" w:rsidP="0054357D">
            <w:pPr>
              <w:jc w:val="center"/>
              <w:rPr>
                <w:lang w:val="en-GB"/>
              </w:rPr>
            </w:pPr>
          </w:p>
        </w:tc>
        <w:tc>
          <w:tcPr>
            <w:tcW w:w="1412" w:type="dxa"/>
            <w:vMerge/>
            <w:vAlign w:val="center"/>
          </w:tcPr>
          <w:p w14:paraId="49C4CDB1" w14:textId="77777777" w:rsidR="00846F58" w:rsidRDefault="00846F58" w:rsidP="0054357D">
            <w:pPr>
              <w:jc w:val="center"/>
              <w:rPr>
                <w:lang w:val="en-GB"/>
              </w:rPr>
            </w:pPr>
          </w:p>
        </w:tc>
      </w:tr>
      <w:tr w:rsidR="00846F58" w14:paraId="23A3E161" w14:textId="77777777" w:rsidTr="006A6B58">
        <w:tc>
          <w:tcPr>
            <w:tcW w:w="1377" w:type="dxa"/>
            <w:vMerge/>
            <w:vAlign w:val="center"/>
          </w:tcPr>
          <w:p w14:paraId="799C8C62" w14:textId="77777777" w:rsidR="00846F58" w:rsidRDefault="00846F58" w:rsidP="006A6B58">
            <w:pPr>
              <w:jc w:val="center"/>
              <w:rPr>
                <w:lang w:val="en-GB"/>
              </w:rPr>
            </w:pPr>
          </w:p>
        </w:tc>
        <w:tc>
          <w:tcPr>
            <w:tcW w:w="1838" w:type="dxa"/>
            <w:vAlign w:val="center"/>
          </w:tcPr>
          <w:p w14:paraId="05C291BA" w14:textId="2D64A406" w:rsidR="00846F58" w:rsidRDefault="00846F58" w:rsidP="006A6B58">
            <w:pPr>
              <w:jc w:val="center"/>
              <w:rPr>
                <w:lang w:val="en-GB"/>
              </w:rPr>
            </w:pPr>
            <w:r w:rsidRPr="00DC769B">
              <w:rPr>
                <w:sz w:val="18"/>
                <w:szCs w:val="18"/>
                <w:lang w:val="en-GB"/>
              </w:rPr>
              <w:t>70% - 80% Equity</w:t>
            </w:r>
          </w:p>
        </w:tc>
        <w:tc>
          <w:tcPr>
            <w:tcW w:w="988" w:type="dxa"/>
            <w:vAlign w:val="center"/>
          </w:tcPr>
          <w:p w14:paraId="145D4572" w14:textId="555C634C" w:rsidR="00846F58" w:rsidRDefault="00846F58" w:rsidP="006A6B58">
            <w:pPr>
              <w:jc w:val="center"/>
              <w:rPr>
                <w:lang w:val="en-GB"/>
              </w:rPr>
            </w:pPr>
            <w:r>
              <w:rPr>
                <w:lang w:val="en-GB"/>
              </w:rPr>
              <w:t>860</w:t>
            </w:r>
          </w:p>
        </w:tc>
        <w:tc>
          <w:tcPr>
            <w:tcW w:w="990" w:type="dxa"/>
            <w:vAlign w:val="center"/>
          </w:tcPr>
          <w:p w14:paraId="593DD4B8" w14:textId="6C6DB60C" w:rsidR="00846F58" w:rsidRDefault="00846F58" w:rsidP="006A6B58">
            <w:pPr>
              <w:jc w:val="center"/>
              <w:rPr>
                <w:lang w:val="en-GB"/>
              </w:rPr>
            </w:pPr>
            <w:r>
              <w:rPr>
                <w:lang w:val="en-GB"/>
              </w:rPr>
              <w:t>5,93</w:t>
            </w:r>
          </w:p>
        </w:tc>
        <w:tc>
          <w:tcPr>
            <w:tcW w:w="1410" w:type="dxa"/>
            <w:vAlign w:val="center"/>
          </w:tcPr>
          <w:p w14:paraId="34167A6D" w14:textId="3B46D513" w:rsidR="00846F58" w:rsidRDefault="00E3532B" w:rsidP="006A6B58">
            <w:pPr>
              <w:jc w:val="center"/>
              <w:rPr>
                <w:lang w:val="en-GB"/>
              </w:rPr>
            </w:pPr>
            <w:r>
              <w:rPr>
                <w:lang w:val="en-GB"/>
              </w:rPr>
              <w:t>5,9140</w:t>
            </w:r>
          </w:p>
        </w:tc>
        <w:tc>
          <w:tcPr>
            <w:tcW w:w="1273" w:type="dxa"/>
            <w:vMerge/>
            <w:vAlign w:val="center"/>
          </w:tcPr>
          <w:p w14:paraId="5D636A6F" w14:textId="77777777" w:rsidR="00846F58" w:rsidRDefault="00846F58" w:rsidP="0054357D">
            <w:pPr>
              <w:jc w:val="center"/>
              <w:rPr>
                <w:lang w:val="en-GB"/>
              </w:rPr>
            </w:pPr>
          </w:p>
        </w:tc>
        <w:tc>
          <w:tcPr>
            <w:tcW w:w="1412" w:type="dxa"/>
            <w:vMerge/>
            <w:vAlign w:val="center"/>
          </w:tcPr>
          <w:p w14:paraId="49F6FF10" w14:textId="77777777" w:rsidR="00846F58" w:rsidRDefault="00846F58" w:rsidP="0054357D">
            <w:pPr>
              <w:jc w:val="center"/>
              <w:rPr>
                <w:lang w:val="en-GB"/>
              </w:rPr>
            </w:pPr>
          </w:p>
        </w:tc>
      </w:tr>
      <w:tr w:rsidR="00846F58" w14:paraId="71AC7539" w14:textId="77777777" w:rsidTr="006A6B58">
        <w:tc>
          <w:tcPr>
            <w:tcW w:w="1377" w:type="dxa"/>
            <w:vMerge/>
            <w:vAlign w:val="center"/>
          </w:tcPr>
          <w:p w14:paraId="0CD5955F" w14:textId="77777777" w:rsidR="00846F58" w:rsidRDefault="00846F58" w:rsidP="006A6B58">
            <w:pPr>
              <w:jc w:val="center"/>
              <w:rPr>
                <w:lang w:val="en-GB"/>
              </w:rPr>
            </w:pPr>
          </w:p>
        </w:tc>
        <w:tc>
          <w:tcPr>
            <w:tcW w:w="1838" w:type="dxa"/>
            <w:vAlign w:val="center"/>
          </w:tcPr>
          <w:p w14:paraId="78D022BE" w14:textId="46F591DE" w:rsidR="00846F58" w:rsidRDefault="00846F58" w:rsidP="006A6B58">
            <w:pPr>
              <w:jc w:val="center"/>
              <w:rPr>
                <w:lang w:val="en-GB"/>
              </w:rPr>
            </w:pPr>
            <w:r w:rsidRPr="00DC769B">
              <w:rPr>
                <w:sz w:val="18"/>
                <w:szCs w:val="18"/>
                <w:lang w:val="en-GB"/>
              </w:rPr>
              <w:t>80% - 90% Equity</w:t>
            </w:r>
          </w:p>
        </w:tc>
        <w:tc>
          <w:tcPr>
            <w:tcW w:w="988" w:type="dxa"/>
            <w:vAlign w:val="center"/>
          </w:tcPr>
          <w:p w14:paraId="63D1CCEE" w14:textId="545A4E13" w:rsidR="00846F58" w:rsidRDefault="00846F58" w:rsidP="006A6B58">
            <w:pPr>
              <w:jc w:val="center"/>
              <w:rPr>
                <w:lang w:val="en-GB"/>
              </w:rPr>
            </w:pPr>
            <w:r>
              <w:rPr>
                <w:lang w:val="en-GB"/>
              </w:rPr>
              <w:t>764</w:t>
            </w:r>
          </w:p>
        </w:tc>
        <w:tc>
          <w:tcPr>
            <w:tcW w:w="990" w:type="dxa"/>
            <w:vAlign w:val="center"/>
          </w:tcPr>
          <w:p w14:paraId="02AFB4AF" w14:textId="0C80512C" w:rsidR="00846F58" w:rsidRDefault="00846F58" w:rsidP="006A6B58">
            <w:pPr>
              <w:jc w:val="center"/>
              <w:rPr>
                <w:lang w:val="en-GB"/>
              </w:rPr>
            </w:pPr>
            <w:r>
              <w:rPr>
                <w:lang w:val="en-GB"/>
              </w:rPr>
              <w:t>6,54</w:t>
            </w:r>
          </w:p>
        </w:tc>
        <w:tc>
          <w:tcPr>
            <w:tcW w:w="1410" w:type="dxa"/>
            <w:vAlign w:val="center"/>
          </w:tcPr>
          <w:p w14:paraId="29B35878" w14:textId="63D343FE" w:rsidR="00846F58" w:rsidRDefault="00E3532B" w:rsidP="006A6B58">
            <w:pPr>
              <w:jc w:val="center"/>
              <w:rPr>
                <w:lang w:val="en-GB"/>
              </w:rPr>
            </w:pPr>
            <w:r>
              <w:rPr>
                <w:lang w:val="en-GB"/>
              </w:rPr>
              <w:t>5,5974</w:t>
            </w:r>
          </w:p>
        </w:tc>
        <w:tc>
          <w:tcPr>
            <w:tcW w:w="1273" w:type="dxa"/>
            <w:vMerge/>
            <w:vAlign w:val="center"/>
          </w:tcPr>
          <w:p w14:paraId="6055C498" w14:textId="77777777" w:rsidR="00846F58" w:rsidRDefault="00846F58" w:rsidP="0054357D">
            <w:pPr>
              <w:jc w:val="center"/>
              <w:rPr>
                <w:lang w:val="en-GB"/>
              </w:rPr>
            </w:pPr>
          </w:p>
        </w:tc>
        <w:tc>
          <w:tcPr>
            <w:tcW w:w="1412" w:type="dxa"/>
            <w:vMerge/>
            <w:vAlign w:val="center"/>
          </w:tcPr>
          <w:p w14:paraId="5563D342" w14:textId="77777777" w:rsidR="00846F58" w:rsidRDefault="00846F58" w:rsidP="0054357D">
            <w:pPr>
              <w:jc w:val="center"/>
              <w:rPr>
                <w:lang w:val="en-GB"/>
              </w:rPr>
            </w:pPr>
          </w:p>
        </w:tc>
      </w:tr>
      <w:tr w:rsidR="00846F58" w14:paraId="74A085F5" w14:textId="77777777" w:rsidTr="006A6B58">
        <w:tc>
          <w:tcPr>
            <w:tcW w:w="1377" w:type="dxa"/>
            <w:vMerge/>
            <w:vAlign w:val="center"/>
          </w:tcPr>
          <w:p w14:paraId="43EA5FBC" w14:textId="77777777" w:rsidR="00846F58" w:rsidRDefault="00846F58" w:rsidP="006A6B58">
            <w:pPr>
              <w:jc w:val="center"/>
              <w:rPr>
                <w:lang w:val="en-GB"/>
              </w:rPr>
            </w:pPr>
          </w:p>
        </w:tc>
        <w:tc>
          <w:tcPr>
            <w:tcW w:w="1838" w:type="dxa"/>
            <w:vAlign w:val="center"/>
          </w:tcPr>
          <w:p w14:paraId="11677E20" w14:textId="05138D61" w:rsidR="00846F58" w:rsidRDefault="00846F58" w:rsidP="006A6B58">
            <w:pPr>
              <w:jc w:val="center"/>
              <w:rPr>
                <w:lang w:val="en-GB"/>
              </w:rPr>
            </w:pPr>
            <w:r w:rsidRPr="00DC769B">
              <w:rPr>
                <w:sz w:val="18"/>
                <w:szCs w:val="18"/>
                <w:lang w:val="en-GB"/>
              </w:rPr>
              <w:t>90% - 100% Equity</w:t>
            </w:r>
          </w:p>
        </w:tc>
        <w:tc>
          <w:tcPr>
            <w:tcW w:w="988" w:type="dxa"/>
            <w:vAlign w:val="center"/>
          </w:tcPr>
          <w:p w14:paraId="4A5E4866" w14:textId="27720539" w:rsidR="00846F58" w:rsidRDefault="00846F58" w:rsidP="006A6B58">
            <w:pPr>
              <w:jc w:val="center"/>
              <w:rPr>
                <w:lang w:val="en-GB"/>
              </w:rPr>
            </w:pPr>
            <w:r>
              <w:rPr>
                <w:lang w:val="en-GB"/>
              </w:rPr>
              <w:t>2742</w:t>
            </w:r>
          </w:p>
        </w:tc>
        <w:tc>
          <w:tcPr>
            <w:tcW w:w="990" w:type="dxa"/>
            <w:vAlign w:val="center"/>
          </w:tcPr>
          <w:p w14:paraId="1E0C426E" w14:textId="70B97769" w:rsidR="00846F58" w:rsidRDefault="00846F58" w:rsidP="006A6B58">
            <w:pPr>
              <w:jc w:val="center"/>
              <w:rPr>
                <w:lang w:val="en-GB"/>
              </w:rPr>
            </w:pPr>
            <w:r>
              <w:rPr>
                <w:lang w:val="en-GB"/>
              </w:rPr>
              <w:t>5,51</w:t>
            </w:r>
          </w:p>
        </w:tc>
        <w:tc>
          <w:tcPr>
            <w:tcW w:w="1410" w:type="dxa"/>
            <w:vAlign w:val="center"/>
          </w:tcPr>
          <w:p w14:paraId="575D337A" w14:textId="3AE464EE" w:rsidR="00846F58" w:rsidRDefault="006765D0" w:rsidP="006A6B58">
            <w:pPr>
              <w:jc w:val="center"/>
              <w:rPr>
                <w:lang w:val="en-GB"/>
              </w:rPr>
            </w:pPr>
            <w:r>
              <w:rPr>
                <w:lang w:val="en-GB"/>
              </w:rPr>
              <w:t>6,023</w:t>
            </w:r>
            <w:r w:rsidR="00E3532B">
              <w:rPr>
                <w:lang w:val="en-GB"/>
              </w:rPr>
              <w:t>5</w:t>
            </w:r>
          </w:p>
        </w:tc>
        <w:tc>
          <w:tcPr>
            <w:tcW w:w="1273" w:type="dxa"/>
            <w:vMerge/>
            <w:vAlign w:val="center"/>
          </w:tcPr>
          <w:p w14:paraId="2D8CAE08" w14:textId="77777777" w:rsidR="00846F58" w:rsidRDefault="00846F58" w:rsidP="0054357D">
            <w:pPr>
              <w:jc w:val="center"/>
              <w:rPr>
                <w:lang w:val="en-GB"/>
              </w:rPr>
            </w:pPr>
          </w:p>
        </w:tc>
        <w:tc>
          <w:tcPr>
            <w:tcW w:w="1412" w:type="dxa"/>
            <w:vMerge/>
            <w:vAlign w:val="center"/>
          </w:tcPr>
          <w:p w14:paraId="08FD332A" w14:textId="77777777" w:rsidR="00846F58" w:rsidRDefault="00846F58" w:rsidP="0054357D">
            <w:pPr>
              <w:jc w:val="center"/>
              <w:rPr>
                <w:lang w:val="en-GB"/>
              </w:rPr>
            </w:pPr>
          </w:p>
        </w:tc>
      </w:tr>
      <w:tr w:rsidR="00846F58" w14:paraId="08425BF4" w14:textId="77777777" w:rsidTr="006A6B58">
        <w:tc>
          <w:tcPr>
            <w:tcW w:w="1377" w:type="dxa"/>
            <w:vMerge w:val="restart"/>
            <w:vAlign w:val="center"/>
          </w:tcPr>
          <w:p w14:paraId="72A5EFB0" w14:textId="77777777" w:rsidR="00846F58" w:rsidRDefault="00846F58" w:rsidP="006A6B58">
            <w:pPr>
              <w:jc w:val="center"/>
              <w:rPr>
                <w:lang w:val="en-GB"/>
              </w:rPr>
            </w:pPr>
            <w:r>
              <w:rPr>
                <w:lang w:val="en-GB"/>
              </w:rPr>
              <w:t>ICMW</w:t>
            </w:r>
          </w:p>
        </w:tc>
        <w:tc>
          <w:tcPr>
            <w:tcW w:w="1838" w:type="dxa"/>
            <w:vAlign w:val="center"/>
          </w:tcPr>
          <w:p w14:paraId="62E91CF6" w14:textId="0A1EF5E9" w:rsidR="00846F58" w:rsidRDefault="00846F58" w:rsidP="006A6B58">
            <w:pPr>
              <w:jc w:val="center"/>
              <w:rPr>
                <w:lang w:val="en-GB"/>
              </w:rPr>
            </w:pPr>
            <w:r w:rsidRPr="00DC769B">
              <w:rPr>
                <w:sz w:val="18"/>
                <w:szCs w:val="18"/>
                <w:lang w:val="en-GB"/>
              </w:rPr>
              <w:t>0% - 10% Equity</w:t>
            </w:r>
          </w:p>
        </w:tc>
        <w:tc>
          <w:tcPr>
            <w:tcW w:w="988" w:type="dxa"/>
            <w:vAlign w:val="center"/>
          </w:tcPr>
          <w:p w14:paraId="2408E41B" w14:textId="1FA06A76" w:rsidR="003A5B70" w:rsidRDefault="003A5B70" w:rsidP="006A6B58">
            <w:pPr>
              <w:jc w:val="center"/>
              <w:rPr>
                <w:lang w:val="en-GB"/>
              </w:rPr>
            </w:pPr>
            <w:r>
              <w:rPr>
                <w:lang w:val="en-GB"/>
              </w:rPr>
              <w:t>1530</w:t>
            </w:r>
          </w:p>
        </w:tc>
        <w:tc>
          <w:tcPr>
            <w:tcW w:w="990" w:type="dxa"/>
            <w:vAlign w:val="center"/>
          </w:tcPr>
          <w:p w14:paraId="0423B861" w14:textId="107F1458" w:rsidR="00846F58" w:rsidRDefault="003A5B70" w:rsidP="006A6B58">
            <w:pPr>
              <w:jc w:val="center"/>
              <w:rPr>
                <w:lang w:val="en-GB"/>
              </w:rPr>
            </w:pPr>
            <w:r>
              <w:rPr>
                <w:lang w:val="en-GB"/>
              </w:rPr>
              <w:t>0,176</w:t>
            </w:r>
          </w:p>
        </w:tc>
        <w:tc>
          <w:tcPr>
            <w:tcW w:w="1410" w:type="dxa"/>
            <w:vAlign w:val="center"/>
          </w:tcPr>
          <w:p w14:paraId="6965092C" w14:textId="786E98D3" w:rsidR="00846F58" w:rsidRDefault="003A5B70" w:rsidP="006A6B58">
            <w:pPr>
              <w:jc w:val="center"/>
              <w:rPr>
                <w:lang w:val="en-GB"/>
              </w:rPr>
            </w:pPr>
            <w:r>
              <w:rPr>
                <w:lang w:val="en-GB"/>
              </w:rPr>
              <w:t>0,3813</w:t>
            </w:r>
          </w:p>
        </w:tc>
        <w:tc>
          <w:tcPr>
            <w:tcW w:w="1273" w:type="dxa"/>
            <w:vMerge w:val="restart"/>
            <w:vAlign w:val="center"/>
          </w:tcPr>
          <w:p w14:paraId="4EA8CEBD" w14:textId="77777777" w:rsidR="00846F58" w:rsidRDefault="003A5B70" w:rsidP="0054357D">
            <w:pPr>
              <w:jc w:val="center"/>
              <w:rPr>
                <w:lang w:val="en-GB"/>
              </w:rPr>
            </w:pPr>
            <w:r>
              <w:rPr>
                <w:lang w:val="en-GB"/>
              </w:rPr>
              <w:t>0,000</w:t>
            </w:r>
          </w:p>
          <w:p w14:paraId="641DD611" w14:textId="17AFB9FF" w:rsidR="003A5B70" w:rsidRDefault="003A5B70" w:rsidP="0054357D">
            <w:pPr>
              <w:jc w:val="center"/>
              <w:rPr>
                <w:lang w:val="en-GB"/>
              </w:rPr>
            </w:pPr>
            <w:r>
              <w:rPr>
                <w:lang w:val="en-GB"/>
              </w:rPr>
              <w:t>(6,824)</w:t>
            </w:r>
          </w:p>
        </w:tc>
        <w:tc>
          <w:tcPr>
            <w:tcW w:w="1412" w:type="dxa"/>
            <w:vMerge w:val="restart"/>
            <w:vAlign w:val="center"/>
          </w:tcPr>
          <w:p w14:paraId="4B7F324B" w14:textId="77777777" w:rsidR="00846F58" w:rsidRDefault="003A5B70" w:rsidP="0054357D">
            <w:pPr>
              <w:jc w:val="center"/>
              <w:rPr>
                <w:lang w:val="en-GB"/>
              </w:rPr>
            </w:pPr>
            <w:r>
              <w:rPr>
                <w:lang w:val="en-GB"/>
              </w:rPr>
              <w:t>0,086</w:t>
            </w:r>
          </w:p>
          <w:p w14:paraId="67AA3865" w14:textId="04A947A8" w:rsidR="003A5B70" w:rsidRDefault="003A5B70" w:rsidP="0054357D">
            <w:pPr>
              <w:jc w:val="center"/>
              <w:rPr>
                <w:lang w:val="en-GB"/>
              </w:rPr>
            </w:pPr>
            <w:r>
              <w:rPr>
                <w:lang w:val="en-GB"/>
              </w:rPr>
              <w:t>(1,686)</w:t>
            </w:r>
          </w:p>
        </w:tc>
      </w:tr>
      <w:tr w:rsidR="00846F58" w14:paraId="5E498BF0" w14:textId="77777777" w:rsidTr="006A6B58">
        <w:tc>
          <w:tcPr>
            <w:tcW w:w="1377" w:type="dxa"/>
            <w:vMerge/>
            <w:vAlign w:val="center"/>
          </w:tcPr>
          <w:p w14:paraId="74CE4A46" w14:textId="69B94C19" w:rsidR="00846F58" w:rsidRDefault="00846F58" w:rsidP="006A6B58">
            <w:pPr>
              <w:jc w:val="center"/>
              <w:rPr>
                <w:lang w:val="en-GB"/>
              </w:rPr>
            </w:pPr>
          </w:p>
        </w:tc>
        <w:tc>
          <w:tcPr>
            <w:tcW w:w="1838" w:type="dxa"/>
            <w:vAlign w:val="center"/>
          </w:tcPr>
          <w:p w14:paraId="290446D5" w14:textId="60CCB06D" w:rsidR="00846F58" w:rsidRDefault="00846F58" w:rsidP="006A6B58">
            <w:pPr>
              <w:jc w:val="center"/>
              <w:rPr>
                <w:lang w:val="en-GB"/>
              </w:rPr>
            </w:pPr>
            <w:r w:rsidRPr="00DC769B">
              <w:rPr>
                <w:sz w:val="18"/>
                <w:szCs w:val="18"/>
                <w:lang w:val="en-GB"/>
              </w:rPr>
              <w:t>10% - 20% Equity</w:t>
            </w:r>
          </w:p>
        </w:tc>
        <w:tc>
          <w:tcPr>
            <w:tcW w:w="988" w:type="dxa"/>
            <w:vAlign w:val="center"/>
          </w:tcPr>
          <w:p w14:paraId="241E2655" w14:textId="6820ED55" w:rsidR="00846F58" w:rsidRDefault="003A5B70" w:rsidP="006A6B58">
            <w:pPr>
              <w:jc w:val="center"/>
              <w:rPr>
                <w:lang w:val="en-GB"/>
              </w:rPr>
            </w:pPr>
            <w:r>
              <w:rPr>
                <w:lang w:val="en-GB"/>
              </w:rPr>
              <w:t>551</w:t>
            </w:r>
          </w:p>
        </w:tc>
        <w:tc>
          <w:tcPr>
            <w:tcW w:w="990" w:type="dxa"/>
            <w:vAlign w:val="center"/>
          </w:tcPr>
          <w:p w14:paraId="33B15343" w14:textId="763C2DCF" w:rsidR="00846F58" w:rsidRDefault="003A5B70" w:rsidP="006A6B58">
            <w:pPr>
              <w:jc w:val="center"/>
              <w:rPr>
                <w:lang w:val="en-GB"/>
              </w:rPr>
            </w:pPr>
            <w:r>
              <w:rPr>
                <w:lang w:val="en-GB"/>
              </w:rPr>
              <w:t>0,176</w:t>
            </w:r>
          </w:p>
        </w:tc>
        <w:tc>
          <w:tcPr>
            <w:tcW w:w="1410" w:type="dxa"/>
            <w:vAlign w:val="center"/>
          </w:tcPr>
          <w:p w14:paraId="34D3F6A6" w14:textId="45E9CED6" w:rsidR="00846F58" w:rsidRDefault="003A5B70" w:rsidP="006A6B58">
            <w:pPr>
              <w:jc w:val="center"/>
              <w:rPr>
                <w:lang w:val="en-GB"/>
              </w:rPr>
            </w:pPr>
            <w:r>
              <w:rPr>
                <w:lang w:val="en-GB"/>
              </w:rPr>
              <w:t>0,3812</w:t>
            </w:r>
          </w:p>
        </w:tc>
        <w:tc>
          <w:tcPr>
            <w:tcW w:w="1273" w:type="dxa"/>
            <w:vMerge/>
            <w:vAlign w:val="center"/>
          </w:tcPr>
          <w:p w14:paraId="42AA18D1" w14:textId="77777777" w:rsidR="00846F58" w:rsidRDefault="00846F58" w:rsidP="0054357D">
            <w:pPr>
              <w:jc w:val="center"/>
              <w:rPr>
                <w:lang w:val="en-GB"/>
              </w:rPr>
            </w:pPr>
          </w:p>
        </w:tc>
        <w:tc>
          <w:tcPr>
            <w:tcW w:w="1412" w:type="dxa"/>
            <w:vMerge/>
            <w:vAlign w:val="center"/>
          </w:tcPr>
          <w:p w14:paraId="1286F3F4" w14:textId="77777777" w:rsidR="00846F58" w:rsidRDefault="00846F58" w:rsidP="0054357D">
            <w:pPr>
              <w:jc w:val="center"/>
              <w:rPr>
                <w:lang w:val="en-GB"/>
              </w:rPr>
            </w:pPr>
          </w:p>
        </w:tc>
      </w:tr>
      <w:tr w:rsidR="00846F58" w14:paraId="3DB659C9" w14:textId="77777777" w:rsidTr="006A6B58">
        <w:tc>
          <w:tcPr>
            <w:tcW w:w="1377" w:type="dxa"/>
            <w:vMerge/>
            <w:vAlign w:val="center"/>
          </w:tcPr>
          <w:p w14:paraId="3E5CF135" w14:textId="77777777" w:rsidR="00846F58" w:rsidRDefault="00846F58" w:rsidP="006A6B58">
            <w:pPr>
              <w:jc w:val="center"/>
              <w:rPr>
                <w:lang w:val="en-GB"/>
              </w:rPr>
            </w:pPr>
          </w:p>
        </w:tc>
        <w:tc>
          <w:tcPr>
            <w:tcW w:w="1838" w:type="dxa"/>
            <w:vAlign w:val="center"/>
          </w:tcPr>
          <w:p w14:paraId="0E9E53D3" w14:textId="27993C10" w:rsidR="00846F58" w:rsidRDefault="00846F58" w:rsidP="006A6B58">
            <w:pPr>
              <w:jc w:val="center"/>
              <w:rPr>
                <w:lang w:val="en-GB"/>
              </w:rPr>
            </w:pPr>
            <w:r w:rsidRPr="00DC769B">
              <w:rPr>
                <w:sz w:val="18"/>
                <w:szCs w:val="18"/>
                <w:lang w:val="en-GB"/>
              </w:rPr>
              <w:t>20% - 30% Equity</w:t>
            </w:r>
          </w:p>
        </w:tc>
        <w:tc>
          <w:tcPr>
            <w:tcW w:w="988" w:type="dxa"/>
            <w:vAlign w:val="center"/>
          </w:tcPr>
          <w:p w14:paraId="6B0289C3" w14:textId="523DC61F" w:rsidR="00846F58" w:rsidRDefault="003A5B70" w:rsidP="006A6B58">
            <w:pPr>
              <w:jc w:val="center"/>
              <w:rPr>
                <w:lang w:val="en-GB"/>
              </w:rPr>
            </w:pPr>
            <w:r>
              <w:rPr>
                <w:lang w:val="en-GB"/>
              </w:rPr>
              <w:t>772</w:t>
            </w:r>
          </w:p>
        </w:tc>
        <w:tc>
          <w:tcPr>
            <w:tcW w:w="990" w:type="dxa"/>
            <w:vAlign w:val="center"/>
          </w:tcPr>
          <w:p w14:paraId="5B6BDBF3" w14:textId="7DB66717" w:rsidR="00846F58" w:rsidRDefault="003A5B70" w:rsidP="006A6B58">
            <w:pPr>
              <w:jc w:val="center"/>
              <w:rPr>
                <w:lang w:val="en-GB"/>
              </w:rPr>
            </w:pPr>
            <w:r>
              <w:rPr>
                <w:lang w:val="en-GB"/>
              </w:rPr>
              <w:t>0,167</w:t>
            </w:r>
          </w:p>
        </w:tc>
        <w:tc>
          <w:tcPr>
            <w:tcW w:w="1410" w:type="dxa"/>
            <w:vAlign w:val="center"/>
          </w:tcPr>
          <w:p w14:paraId="53E1D883" w14:textId="35B0CF12" w:rsidR="00846F58" w:rsidRDefault="003A5B70" w:rsidP="006A6B58">
            <w:pPr>
              <w:jc w:val="center"/>
              <w:rPr>
                <w:lang w:val="en-GB"/>
              </w:rPr>
            </w:pPr>
            <w:r>
              <w:rPr>
                <w:lang w:val="en-GB"/>
              </w:rPr>
              <w:t>0,3733</w:t>
            </w:r>
          </w:p>
        </w:tc>
        <w:tc>
          <w:tcPr>
            <w:tcW w:w="1273" w:type="dxa"/>
            <w:vMerge/>
            <w:vAlign w:val="center"/>
          </w:tcPr>
          <w:p w14:paraId="1A3BEE43" w14:textId="77777777" w:rsidR="00846F58" w:rsidRDefault="00846F58" w:rsidP="0054357D">
            <w:pPr>
              <w:jc w:val="center"/>
              <w:rPr>
                <w:lang w:val="en-GB"/>
              </w:rPr>
            </w:pPr>
          </w:p>
        </w:tc>
        <w:tc>
          <w:tcPr>
            <w:tcW w:w="1412" w:type="dxa"/>
            <w:vMerge/>
            <w:vAlign w:val="center"/>
          </w:tcPr>
          <w:p w14:paraId="08303D8F" w14:textId="77777777" w:rsidR="00846F58" w:rsidRDefault="00846F58" w:rsidP="0054357D">
            <w:pPr>
              <w:jc w:val="center"/>
              <w:rPr>
                <w:lang w:val="en-GB"/>
              </w:rPr>
            </w:pPr>
          </w:p>
        </w:tc>
      </w:tr>
      <w:tr w:rsidR="00846F58" w14:paraId="094281C8" w14:textId="77777777" w:rsidTr="006A6B58">
        <w:tc>
          <w:tcPr>
            <w:tcW w:w="1377" w:type="dxa"/>
            <w:vMerge/>
            <w:vAlign w:val="center"/>
          </w:tcPr>
          <w:p w14:paraId="21C48F88" w14:textId="77777777" w:rsidR="00846F58" w:rsidRDefault="00846F58" w:rsidP="006A6B58">
            <w:pPr>
              <w:jc w:val="center"/>
              <w:rPr>
                <w:lang w:val="en-GB"/>
              </w:rPr>
            </w:pPr>
          </w:p>
        </w:tc>
        <w:tc>
          <w:tcPr>
            <w:tcW w:w="1838" w:type="dxa"/>
            <w:vAlign w:val="center"/>
          </w:tcPr>
          <w:p w14:paraId="0CC3215C" w14:textId="3CA1EBF5" w:rsidR="00846F58" w:rsidRDefault="00846F58" w:rsidP="006A6B58">
            <w:pPr>
              <w:jc w:val="center"/>
              <w:rPr>
                <w:lang w:val="en-GB"/>
              </w:rPr>
            </w:pPr>
            <w:r w:rsidRPr="00DC769B">
              <w:rPr>
                <w:sz w:val="18"/>
                <w:szCs w:val="18"/>
                <w:lang w:val="en-GB"/>
              </w:rPr>
              <w:t>30% - 40% Equity</w:t>
            </w:r>
          </w:p>
        </w:tc>
        <w:tc>
          <w:tcPr>
            <w:tcW w:w="988" w:type="dxa"/>
            <w:vAlign w:val="center"/>
          </w:tcPr>
          <w:p w14:paraId="34E38ECE" w14:textId="26E670D9" w:rsidR="00846F58" w:rsidRDefault="003A5B70" w:rsidP="006A6B58">
            <w:pPr>
              <w:jc w:val="center"/>
              <w:rPr>
                <w:lang w:val="en-GB"/>
              </w:rPr>
            </w:pPr>
            <w:r>
              <w:rPr>
                <w:lang w:val="en-GB"/>
              </w:rPr>
              <w:t>933</w:t>
            </w:r>
          </w:p>
        </w:tc>
        <w:tc>
          <w:tcPr>
            <w:tcW w:w="990" w:type="dxa"/>
            <w:vAlign w:val="center"/>
          </w:tcPr>
          <w:p w14:paraId="18EA3A26" w14:textId="599DD829" w:rsidR="00846F58" w:rsidRDefault="003A5B70" w:rsidP="006A6B58">
            <w:pPr>
              <w:jc w:val="center"/>
              <w:rPr>
                <w:lang w:val="en-GB"/>
              </w:rPr>
            </w:pPr>
            <w:r>
              <w:rPr>
                <w:lang w:val="en-GB"/>
              </w:rPr>
              <w:t>0,163</w:t>
            </w:r>
          </w:p>
        </w:tc>
        <w:tc>
          <w:tcPr>
            <w:tcW w:w="1410" w:type="dxa"/>
            <w:vAlign w:val="center"/>
          </w:tcPr>
          <w:p w14:paraId="6CC577F4" w14:textId="5B04AB85" w:rsidR="00846F58" w:rsidRDefault="003A5B70" w:rsidP="006A6B58">
            <w:pPr>
              <w:jc w:val="center"/>
              <w:rPr>
                <w:lang w:val="en-GB"/>
              </w:rPr>
            </w:pPr>
            <w:r>
              <w:rPr>
                <w:lang w:val="en-GB"/>
              </w:rPr>
              <w:t>0,3695</w:t>
            </w:r>
          </w:p>
        </w:tc>
        <w:tc>
          <w:tcPr>
            <w:tcW w:w="1273" w:type="dxa"/>
            <w:vMerge/>
            <w:vAlign w:val="center"/>
          </w:tcPr>
          <w:p w14:paraId="6E97B5A9" w14:textId="77777777" w:rsidR="00846F58" w:rsidRDefault="00846F58" w:rsidP="0054357D">
            <w:pPr>
              <w:jc w:val="center"/>
              <w:rPr>
                <w:lang w:val="en-GB"/>
              </w:rPr>
            </w:pPr>
          </w:p>
        </w:tc>
        <w:tc>
          <w:tcPr>
            <w:tcW w:w="1412" w:type="dxa"/>
            <w:vMerge/>
            <w:vAlign w:val="center"/>
          </w:tcPr>
          <w:p w14:paraId="4D21157F" w14:textId="77777777" w:rsidR="00846F58" w:rsidRDefault="00846F58" w:rsidP="0054357D">
            <w:pPr>
              <w:jc w:val="center"/>
              <w:rPr>
                <w:lang w:val="en-GB"/>
              </w:rPr>
            </w:pPr>
          </w:p>
        </w:tc>
      </w:tr>
      <w:tr w:rsidR="00846F58" w14:paraId="218AD9ED" w14:textId="77777777" w:rsidTr="006A6B58">
        <w:tc>
          <w:tcPr>
            <w:tcW w:w="1377" w:type="dxa"/>
            <w:vMerge/>
            <w:vAlign w:val="center"/>
          </w:tcPr>
          <w:p w14:paraId="2BCA0717" w14:textId="77777777" w:rsidR="00846F58" w:rsidRDefault="00846F58" w:rsidP="006A6B58">
            <w:pPr>
              <w:jc w:val="center"/>
              <w:rPr>
                <w:lang w:val="en-GB"/>
              </w:rPr>
            </w:pPr>
          </w:p>
        </w:tc>
        <w:tc>
          <w:tcPr>
            <w:tcW w:w="1838" w:type="dxa"/>
            <w:vAlign w:val="center"/>
          </w:tcPr>
          <w:p w14:paraId="007EC883" w14:textId="2AE5EE0C" w:rsidR="00846F58" w:rsidRDefault="00846F58" w:rsidP="006A6B58">
            <w:pPr>
              <w:jc w:val="center"/>
              <w:rPr>
                <w:lang w:val="en-GB"/>
              </w:rPr>
            </w:pPr>
            <w:r w:rsidRPr="00DC769B">
              <w:rPr>
                <w:sz w:val="18"/>
                <w:szCs w:val="18"/>
                <w:lang w:val="en-GB"/>
              </w:rPr>
              <w:t>40% - 50% Equity</w:t>
            </w:r>
          </w:p>
        </w:tc>
        <w:tc>
          <w:tcPr>
            <w:tcW w:w="988" w:type="dxa"/>
            <w:vAlign w:val="center"/>
          </w:tcPr>
          <w:p w14:paraId="1ADF0430" w14:textId="718409A6" w:rsidR="00846F58" w:rsidRDefault="003A5B70" w:rsidP="006A6B58">
            <w:pPr>
              <w:jc w:val="center"/>
              <w:rPr>
                <w:lang w:val="en-GB"/>
              </w:rPr>
            </w:pPr>
            <w:r>
              <w:rPr>
                <w:lang w:val="en-GB"/>
              </w:rPr>
              <w:t>1086</w:t>
            </w:r>
          </w:p>
        </w:tc>
        <w:tc>
          <w:tcPr>
            <w:tcW w:w="990" w:type="dxa"/>
            <w:vAlign w:val="center"/>
          </w:tcPr>
          <w:p w14:paraId="78B05A8F" w14:textId="177A9203" w:rsidR="00846F58" w:rsidRDefault="003A5B70" w:rsidP="006A6B58">
            <w:pPr>
              <w:jc w:val="center"/>
              <w:rPr>
                <w:lang w:val="en-GB"/>
              </w:rPr>
            </w:pPr>
            <w:r>
              <w:rPr>
                <w:lang w:val="en-GB"/>
              </w:rPr>
              <w:t>0,174</w:t>
            </w:r>
          </w:p>
        </w:tc>
        <w:tc>
          <w:tcPr>
            <w:tcW w:w="1410" w:type="dxa"/>
            <w:vAlign w:val="center"/>
          </w:tcPr>
          <w:p w14:paraId="208F2357" w14:textId="5D35002E" w:rsidR="00846F58" w:rsidRDefault="003A5B70" w:rsidP="006A6B58">
            <w:pPr>
              <w:jc w:val="center"/>
              <w:rPr>
                <w:lang w:val="en-GB"/>
              </w:rPr>
            </w:pPr>
            <w:r>
              <w:rPr>
                <w:lang w:val="en-GB"/>
              </w:rPr>
              <w:t>0,3793</w:t>
            </w:r>
          </w:p>
        </w:tc>
        <w:tc>
          <w:tcPr>
            <w:tcW w:w="1273" w:type="dxa"/>
            <w:vMerge/>
            <w:vAlign w:val="center"/>
          </w:tcPr>
          <w:p w14:paraId="2E4B7462" w14:textId="77777777" w:rsidR="00846F58" w:rsidRDefault="00846F58" w:rsidP="0054357D">
            <w:pPr>
              <w:jc w:val="center"/>
              <w:rPr>
                <w:lang w:val="en-GB"/>
              </w:rPr>
            </w:pPr>
          </w:p>
        </w:tc>
        <w:tc>
          <w:tcPr>
            <w:tcW w:w="1412" w:type="dxa"/>
            <w:vMerge/>
            <w:vAlign w:val="center"/>
          </w:tcPr>
          <w:p w14:paraId="1FBC9AC9" w14:textId="77777777" w:rsidR="00846F58" w:rsidRDefault="00846F58" w:rsidP="0054357D">
            <w:pPr>
              <w:jc w:val="center"/>
              <w:rPr>
                <w:lang w:val="en-GB"/>
              </w:rPr>
            </w:pPr>
          </w:p>
        </w:tc>
      </w:tr>
      <w:tr w:rsidR="00846F58" w14:paraId="1831BB89" w14:textId="77777777" w:rsidTr="006A6B58">
        <w:tc>
          <w:tcPr>
            <w:tcW w:w="1377" w:type="dxa"/>
            <w:vMerge/>
            <w:vAlign w:val="center"/>
          </w:tcPr>
          <w:p w14:paraId="769E0BA5" w14:textId="77777777" w:rsidR="00846F58" w:rsidRDefault="00846F58" w:rsidP="006A6B58">
            <w:pPr>
              <w:jc w:val="center"/>
              <w:rPr>
                <w:lang w:val="en-GB"/>
              </w:rPr>
            </w:pPr>
          </w:p>
        </w:tc>
        <w:tc>
          <w:tcPr>
            <w:tcW w:w="1838" w:type="dxa"/>
            <w:vAlign w:val="center"/>
          </w:tcPr>
          <w:p w14:paraId="28319E65" w14:textId="51EA063E" w:rsidR="00846F58" w:rsidRDefault="00846F58" w:rsidP="006A6B58">
            <w:pPr>
              <w:jc w:val="center"/>
              <w:rPr>
                <w:lang w:val="en-GB"/>
              </w:rPr>
            </w:pPr>
            <w:r w:rsidRPr="00DC769B">
              <w:rPr>
                <w:sz w:val="18"/>
                <w:szCs w:val="18"/>
                <w:lang w:val="en-GB"/>
              </w:rPr>
              <w:t>50% - 60% Equity</w:t>
            </w:r>
          </w:p>
        </w:tc>
        <w:tc>
          <w:tcPr>
            <w:tcW w:w="988" w:type="dxa"/>
            <w:vAlign w:val="center"/>
          </w:tcPr>
          <w:p w14:paraId="1296606F" w14:textId="717316D2" w:rsidR="00846F58" w:rsidRDefault="003A5B70" w:rsidP="006A6B58">
            <w:pPr>
              <w:jc w:val="center"/>
              <w:rPr>
                <w:lang w:val="en-GB"/>
              </w:rPr>
            </w:pPr>
            <w:r>
              <w:rPr>
                <w:lang w:val="en-GB"/>
              </w:rPr>
              <w:t>1238</w:t>
            </w:r>
          </w:p>
        </w:tc>
        <w:tc>
          <w:tcPr>
            <w:tcW w:w="990" w:type="dxa"/>
            <w:vAlign w:val="center"/>
          </w:tcPr>
          <w:p w14:paraId="2DFE50B3" w14:textId="54402CE5" w:rsidR="00846F58" w:rsidRDefault="003A5B70" w:rsidP="006A6B58">
            <w:pPr>
              <w:jc w:val="center"/>
              <w:rPr>
                <w:lang w:val="en-GB"/>
              </w:rPr>
            </w:pPr>
            <w:r>
              <w:rPr>
                <w:lang w:val="en-GB"/>
              </w:rPr>
              <w:t>0,170</w:t>
            </w:r>
          </w:p>
        </w:tc>
        <w:tc>
          <w:tcPr>
            <w:tcW w:w="1410" w:type="dxa"/>
            <w:vAlign w:val="center"/>
          </w:tcPr>
          <w:p w14:paraId="106ABCB8" w14:textId="5554D002" w:rsidR="00846F58" w:rsidRDefault="003A5B70" w:rsidP="006A6B58">
            <w:pPr>
              <w:jc w:val="center"/>
              <w:rPr>
                <w:lang w:val="en-GB"/>
              </w:rPr>
            </w:pPr>
            <w:r>
              <w:rPr>
                <w:lang w:val="en-GB"/>
              </w:rPr>
              <w:t>0,3762</w:t>
            </w:r>
          </w:p>
        </w:tc>
        <w:tc>
          <w:tcPr>
            <w:tcW w:w="1273" w:type="dxa"/>
            <w:vMerge/>
            <w:vAlign w:val="center"/>
          </w:tcPr>
          <w:p w14:paraId="69D6A294" w14:textId="77777777" w:rsidR="00846F58" w:rsidRDefault="00846F58" w:rsidP="0054357D">
            <w:pPr>
              <w:jc w:val="center"/>
              <w:rPr>
                <w:lang w:val="en-GB"/>
              </w:rPr>
            </w:pPr>
          </w:p>
        </w:tc>
        <w:tc>
          <w:tcPr>
            <w:tcW w:w="1412" w:type="dxa"/>
            <w:vMerge/>
            <w:vAlign w:val="center"/>
          </w:tcPr>
          <w:p w14:paraId="6A27E965" w14:textId="77777777" w:rsidR="00846F58" w:rsidRDefault="00846F58" w:rsidP="0054357D">
            <w:pPr>
              <w:jc w:val="center"/>
              <w:rPr>
                <w:lang w:val="en-GB"/>
              </w:rPr>
            </w:pPr>
          </w:p>
        </w:tc>
      </w:tr>
      <w:tr w:rsidR="00846F58" w14:paraId="42B45622" w14:textId="77777777" w:rsidTr="006A6B58">
        <w:tc>
          <w:tcPr>
            <w:tcW w:w="1377" w:type="dxa"/>
            <w:vMerge/>
            <w:vAlign w:val="center"/>
          </w:tcPr>
          <w:p w14:paraId="2BBF96E1" w14:textId="77777777" w:rsidR="00846F58" w:rsidRDefault="00846F58" w:rsidP="006A6B58">
            <w:pPr>
              <w:jc w:val="center"/>
              <w:rPr>
                <w:lang w:val="en-GB"/>
              </w:rPr>
            </w:pPr>
          </w:p>
        </w:tc>
        <w:tc>
          <w:tcPr>
            <w:tcW w:w="1838" w:type="dxa"/>
            <w:vAlign w:val="center"/>
          </w:tcPr>
          <w:p w14:paraId="700BFCFE" w14:textId="19FE6818" w:rsidR="00846F58" w:rsidRDefault="00846F58" w:rsidP="006A6B58">
            <w:pPr>
              <w:jc w:val="center"/>
              <w:rPr>
                <w:lang w:val="en-GB"/>
              </w:rPr>
            </w:pPr>
            <w:r w:rsidRPr="00DC769B">
              <w:rPr>
                <w:sz w:val="18"/>
                <w:szCs w:val="18"/>
                <w:lang w:val="en-GB"/>
              </w:rPr>
              <w:t>60% - 70% Equity</w:t>
            </w:r>
          </w:p>
        </w:tc>
        <w:tc>
          <w:tcPr>
            <w:tcW w:w="988" w:type="dxa"/>
            <w:vAlign w:val="center"/>
          </w:tcPr>
          <w:p w14:paraId="16F59283" w14:textId="673F5752" w:rsidR="00846F58" w:rsidRDefault="003A5B70" w:rsidP="006A6B58">
            <w:pPr>
              <w:jc w:val="center"/>
              <w:rPr>
                <w:lang w:val="en-GB"/>
              </w:rPr>
            </w:pPr>
            <w:r>
              <w:rPr>
                <w:lang w:val="en-GB"/>
              </w:rPr>
              <w:t>1409</w:t>
            </w:r>
          </w:p>
        </w:tc>
        <w:tc>
          <w:tcPr>
            <w:tcW w:w="990" w:type="dxa"/>
            <w:vAlign w:val="center"/>
          </w:tcPr>
          <w:p w14:paraId="66027757" w14:textId="3D0722AF" w:rsidR="00846F58" w:rsidRDefault="003A5B70" w:rsidP="006A6B58">
            <w:pPr>
              <w:jc w:val="center"/>
              <w:rPr>
                <w:lang w:val="en-GB"/>
              </w:rPr>
            </w:pPr>
            <w:r>
              <w:rPr>
                <w:lang w:val="en-GB"/>
              </w:rPr>
              <w:t>0,199</w:t>
            </w:r>
          </w:p>
        </w:tc>
        <w:tc>
          <w:tcPr>
            <w:tcW w:w="1410" w:type="dxa"/>
            <w:vAlign w:val="center"/>
          </w:tcPr>
          <w:p w14:paraId="07A936F3" w14:textId="31BCBAC3" w:rsidR="00846F58" w:rsidRDefault="003A5B70" w:rsidP="006A6B58">
            <w:pPr>
              <w:jc w:val="center"/>
              <w:rPr>
                <w:lang w:val="en-GB"/>
              </w:rPr>
            </w:pPr>
            <w:r>
              <w:rPr>
                <w:lang w:val="en-GB"/>
              </w:rPr>
              <w:t>0,3997</w:t>
            </w:r>
          </w:p>
        </w:tc>
        <w:tc>
          <w:tcPr>
            <w:tcW w:w="1273" w:type="dxa"/>
            <w:vMerge/>
            <w:vAlign w:val="center"/>
          </w:tcPr>
          <w:p w14:paraId="01ADC2CD" w14:textId="77777777" w:rsidR="00846F58" w:rsidRDefault="00846F58" w:rsidP="0054357D">
            <w:pPr>
              <w:jc w:val="center"/>
              <w:rPr>
                <w:lang w:val="en-GB"/>
              </w:rPr>
            </w:pPr>
          </w:p>
        </w:tc>
        <w:tc>
          <w:tcPr>
            <w:tcW w:w="1412" w:type="dxa"/>
            <w:vMerge/>
            <w:vAlign w:val="center"/>
          </w:tcPr>
          <w:p w14:paraId="0216E0A2" w14:textId="77777777" w:rsidR="00846F58" w:rsidRDefault="00846F58" w:rsidP="0054357D">
            <w:pPr>
              <w:jc w:val="center"/>
              <w:rPr>
                <w:lang w:val="en-GB"/>
              </w:rPr>
            </w:pPr>
          </w:p>
        </w:tc>
      </w:tr>
      <w:tr w:rsidR="00846F58" w14:paraId="134D54B4" w14:textId="77777777" w:rsidTr="006A6B58">
        <w:tc>
          <w:tcPr>
            <w:tcW w:w="1377" w:type="dxa"/>
            <w:vMerge/>
            <w:vAlign w:val="center"/>
          </w:tcPr>
          <w:p w14:paraId="0AE0F8E5" w14:textId="77777777" w:rsidR="00846F58" w:rsidRDefault="00846F58" w:rsidP="006A6B58">
            <w:pPr>
              <w:jc w:val="center"/>
              <w:rPr>
                <w:lang w:val="en-GB"/>
              </w:rPr>
            </w:pPr>
          </w:p>
        </w:tc>
        <w:tc>
          <w:tcPr>
            <w:tcW w:w="1838" w:type="dxa"/>
            <w:vAlign w:val="center"/>
          </w:tcPr>
          <w:p w14:paraId="73B9244F" w14:textId="4FEC25F4" w:rsidR="00846F58" w:rsidRDefault="00846F58" w:rsidP="006A6B58">
            <w:pPr>
              <w:jc w:val="center"/>
              <w:rPr>
                <w:lang w:val="en-GB"/>
              </w:rPr>
            </w:pPr>
            <w:r w:rsidRPr="00DC769B">
              <w:rPr>
                <w:sz w:val="18"/>
                <w:szCs w:val="18"/>
                <w:lang w:val="en-GB"/>
              </w:rPr>
              <w:t>70% - 80% Equity</w:t>
            </w:r>
          </w:p>
        </w:tc>
        <w:tc>
          <w:tcPr>
            <w:tcW w:w="988" w:type="dxa"/>
            <w:vAlign w:val="center"/>
          </w:tcPr>
          <w:p w14:paraId="20B2D09B" w14:textId="0405C753" w:rsidR="00846F58" w:rsidRDefault="003A5B70" w:rsidP="006A6B58">
            <w:pPr>
              <w:jc w:val="center"/>
              <w:rPr>
                <w:lang w:val="en-GB"/>
              </w:rPr>
            </w:pPr>
            <w:r>
              <w:rPr>
                <w:lang w:val="en-GB"/>
              </w:rPr>
              <w:t>1583</w:t>
            </w:r>
          </w:p>
        </w:tc>
        <w:tc>
          <w:tcPr>
            <w:tcW w:w="990" w:type="dxa"/>
            <w:vAlign w:val="center"/>
          </w:tcPr>
          <w:p w14:paraId="06F97EFD" w14:textId="55CA7714" w:rsidR="00846F58" w:rsidRDefault="003A5B70" w:rsidP="006A6B58">
            <w:pPr>
              <w:jc w:val="center"/>
              <w:rPr>
                <w:lang w:val="en-GB"/>
              </w:rPr>
            </w:pPr>
            <w:r>
              <w:rPr>
                <w:lang w:val="en-GB"/>
              </w:rPr>
              <w:t>0,183</w:t>
            </w:r>
          </w:p>
        </w:tc>
        <w:tc>
          <w:tcPr>
            <w:tcW w:w="1410" w:type="dxa"/>
            <w:vAlign w:val="center"/>
          </w:tcPr>
          <w:p w14:paraId="2C8957A0" w14:textId="3055A31B" w:rsidR="00846F58" w:rsidRDefault="003A5B70" w:rsidP="006A6B58">
            <w:pPr>
              <w:jc w:val="center"/>
              <w:rPr>
                <w:lang w:val="en-GB"/>
              </w:rPr>
            </w:pPr>
            <w:r>
              <w:rPr>
                <w:lang w:val="en-GB"/>
              </w:rPr>
              <w:t>0,3864</w:t>
            </w:r>
          </w:p>
        </w:tc>
        <w:tc>
          <w:tcPr>
            <w:tcW w:w="1273" w:type="dxa"/>
            <w:vMerge/>
            <w:vAlign w:val="center"/>
          </w:tcPr>
          <w:p w14:paraId="2BF352F1" w14:textId="77777777" w:rsidR="00846F58" w:rsidRDefault="00846F58" w:rsidP="0054357D">
            <w:pPr>
              <w:jc w:val="center"/>
              <w:rPr>
                <w:lang w:val="en-GB"/>
              </w:rPr>
            </w:pPr>
          </w:p>
        </w:tc>
        <w:tc>
          <w:tcPr>
            <w:tcW w:w="1412" w:type="dxa"/>
            <w:vMerge/>
            <w:vAlign w:val="center"/>
          </w:tcPr>
          <w:p w14:paraId="30C1BBC5" w14:textId="77777777" w:rsidR="00846F58" w:rsidRDefault="00846F58" w:rsidP="0054357D">
            <w:pPr>
              <w:jc w:val="center"/>
              <w:rPr>
                <w:lang w:val="en-GB"/>
              </w:rPr>
            </w:pPr>
          </w:p>
        </w:tc>
      </w:tr>
      <w:tr w:rsidR="00846F58" w14:paraId="30BC48DA" w14:textId="77777777" w:rsidTr="006A6B58">
        <w:tc>
          <w:tcPr>
            <w:tcW w:w="1377" w:type="dxa"/>
            <w:vMerge/>
            <w:vAlign w:val="center"/>
          </w:tcPr>
          <w:p w14:paraId="24771AB9" w14:textId="77777777" w:rsidR="00846F58" w:rsidRDefault="00846F58" w:rsidP="006A6B58">
            <w:pPr>
              <w:jc w:val="center"/>
              <w:rPr>
                <w:lang w:val="en-GB"/>
              </w:rPr>
            </w:pPr>
          </w:p>
        </w:tc>
        <w:tc>
          <w:tcPr>
            <w:tcW w:w="1838" w:type="dxa"/>
            <w:vAlign w:val="center"/>
          </w:tcPr>
          <w:p w14:paraId="0848DF49" w14:textId="3178D530" w:rsidR="00846F58" w:rsidRDefault="00846F58" w:rsidP="006A6B58">
            <w:pPr>
              <w:jc w:val="center"/>
              <w:rPr>
                <w:lang w:val="en-GB"/>
              </w:rPr>
            </w:pPr>
            <w:r w:rsidRPr="00DC769B">
              <w:rPr>
                <w:sz w:val="18"/>
                <w:szCs w:val="18"/>
                <w:lang w:val="en-GB"/>
              </w:rPr>
              <w:t>80% - 90% Equity</w:t>
            </w:r>
          </w:p>
        </w:tc>
        <w:tc>
          <w:tcPr>
            <w:tcW w:w="988" w:type="dxa"/>
            <w:vAlign w:val="center"/>
          </w:tcPr>
          <w:p w14:paraId="6EAAB035" w14:textId="6CBC6928" w:rsidR="00846F58" w:rsidRDefault="003A5B70" w:rsidP="006A6B58">
            <w:pPr>
              <w:jc w:val="center"/>
              <w:rPr>
                <w:lang w:val="en-GB"/>
              </w:rPr>
            </w:pPr>
            <w:r>
              <w:rPr>
                <w:lang w:val="en-GB"/>
              </w:rPr>
              <w:t>1388</w:t>
            </w:r>
          </w:p>
        </w:tc>
        <w:tc>
          <w:tcPr>
            <w:tcW w:w="990" w:type="dxa"/>
            <w:vAlign w:val="center"/>
          </w:tcPr>
          <w:p w14:paraId="2536E667" w14:textId="53471C7F" w:rsidR="00846F58" w:rsidRDefault="003A5B70" w:rsidP="006A6B58">
            <w:pPr>
              <w:jc w:val="center"/>
              <w:rPr>
                <w:lang w:val="en-GB"/>
              </w:rPr>
            </w:pPr>
            <w:r>
              <w:rPr>
                <w:lang w:val="en-GB"/>
              </w:rPr>
              <w:t>0,187</w:t>
            </w:r>
          </w:p>
        </w:tc>
        <w:tc>
          <w:tcPr>
            <w:tcW w:w="1410" w:type="dxa"/>
            <w:vAlign w:val="center"/>
          </w:tcPr>
          <w:p w14:paraId="4631CEB7" w14:textId="605F1B99" w:rsidR="00846F58" w:rsidRDefault="003A5B70" w:rsidP="006A6B58">
            <w:pPr>
              <w:jc w:val="center"/>
              <w:rPr>
                <w:lang w:val="en-GB"/>
              </w:rPr>
            </w:pPr>
            <w:r>
              <w:rPr>
                <w:lang w:val="en-GB"/>
              </w:rPr>
              <w:t>0,3897</w:t>
            </w:r>
          </w:p>
        </w:tc>
        <w:tc>
          <w:tcPr>
            <w:tcW w:w="1273" w:type="dxa"/>
            <w:vMerge/>
            <w:vAlign w:val="center"/>
          </w:tcPr>
          <w:p w14:paraId="7FD41F63" w14:textId="77777777" w:rsidR="00846F58" w:rsidRDefault="00846F58" w:rsidP="0054357D">
            <w:pPr>
              <w:jc w:val="center"/>
              <w:rPr>
                <w:lang w:val="en-GB"/>
              </w:rPr>
            </w:pPr>
          </w:p>
        </w:tc>
        <w:tc>
          <w:tcPr>
            <w:tcW w:w="1412" w:type="dxa"/>
            <w:vMerge/>
            <w:vAlign w:val="center"/>
          </w:tcPr>
          <w:p w14:paraId="07C5222A" w14:textId="77777777" w:rsidR="00846F58" w:rsidRDefault="00846F58" w:rsidP="0054357D">
            <w:pPr>
              <w:jc w:val="center"/>
              <w:rPr>
                <w:lang w:val="en-GB"/>
              </w:rPr>
            </w:pPr>
          </w:p>
        </w:tc>
      </w:tr>
      <w:tr w:rsidR="00846F58" w14:paraId="7FE70194" w14:textId="77777777" w:rsidTr="006A6B58">
        <w:tc>
          <w:tcPr>
            <w:tcW w:w="1377" w:type="dxa"/>
            <w:vMerge/>
            <w:vAlign w:val="center"/>
          </w:tcPr>
          <w:p w14:paraId="6FCAE584" w14:textId="77777777" w:rsidR="00846F58" w:rsidRDefault="00846F58" w:rsidP="006A6B58">
            <w:pPr>
              <w:jc w:val="center"/>
              <w:rPr>
                <w:lang w:val="en-GB"/>
              </w:rPr>
            </w:pPr>
          </w:p>
        </w:tc>
        <w:tc>
          <w:tcPr>
            <w:tcW w:w="1838" w:type="dxa"/>
            <w:vAlign w:val="center"/>
          </w:tcPr>
          <w:p w14:paraId="55D3F3AF" w14:textId="03975A39" w:rsidR="00846F58" w:rsidRDefault="00846F58" w:rsidP="006A6B58">
            <w:pPr>
              <w:jc w:val="center"/>
              <w:rPr>
                <w:lang w:val="en-GB"/>
              </w:rPr>
            </w:pPr>
            <w:r w:rsidRPr="00DC769B">
              <w:rPr>
                <w:sz w:val="18"/>
                <w:szCs w:val="18"/>
                <w:lang w:val="en-GB"/>
              </w:rPr>
              <w:t>90% - 100% Equity</w:t>
            </w:r>
          </w:p>
        </w:tc>
        <w:tc>
          <w:tcPr>
            <w:tcW w:w="988" w:type="dxa"/>
            <w:vAlign w:val="center"/>
          </w:tcPr>
          <w:p w14:paraId="3F386ECB" w14:textId="131B119B" w:rsidR="00846F58" w:rsidRDefault="003A5B70" w:rsidP="006A6B58">
            <w:pPr>
              <w:jc w:val="center"/>
              <w:rPr>
                <w:lang w:val="en-GB"/>
              </w:rPr>
            </w:pPr>
            <w:r>
              <w:rPr>
                <w:lang w:val="en-GB"/>
              </w:rPr>
              <w:t>5014</w:t>
            </w:r>
          </w:p>
        </w:tc>
        <w:tc>
          <w:tcPr>
            <w:tcW w:w="990" w:type="dxa"/>
            <w:vAlign w:val="center"/>
          </w:tcPr>
          <w:p w14:paraId="72FF4300" w14:textId="6A1D12FE" w:rsidR="00846F58" w:rsidRDefault="003A5B70" w:rsidP="006A6B58">
            <w:pPr>
              <w:jc w:val="center"/>
              <w:rPr>
                <w:lang w:val="en-GB"/>
              </w:rPr>
            </w:pPr>
            <w:r>
              <w:rPr>
                <w:lang w:val="en-GB"/>
              </w:rPr>
              <w:t>0,197</w:t>
            </w:r>
          </w:p>
        </w:tc>
        <w:tc>
          <w:tcPr>
            <w:tcW w:w="1410" w:type="dxa"/>
            <w:vAlign w:val="center"/>
          </w:tcPr>
          <w:p w14:paraId="45BA4E5C" w14:textId="3BB29FCA" w:rsidR="00846F58" w:rsidRDefault="003A5B70" w:rsidP="006A6B58">
            <w:pPr>
              <w:jc w:val="center"/>
              <w:rPr>
                <w:lang w:val="en-GB"/>
              </w:rPr>
            </w:pPr>
            <w:r>
              <w:rPr>
                <w:lang w:val="en-GB"/>
              </w:rPr>
              <w:t>0,3978</w:t>
            </w:r>
          </w:p>
        </w:tc>
        <w:tc>
          <w:tcPr>
            <w:tcW w:w="1273" w:type="dxa"/>
            <w:vMerge/>
            <w:vAlign w:val="center"/>
          </w:tcPr>
          <w:p w14:paraId="175D06E7" w14:textId="77777777" w:rsidR="00846F58" w:rsidRDefault="00846F58" w:rsidP="0054357D">
            <w:pPr>
              <w:jc w:val="center"/>
              <w:rPr>
                <w:lang w:val="en-GB"/>
              </w:rPr>
            </w:pPr>
          </w:p>
        </w:tc>
        <w:tc>
          <w:tcPr>
            <w:tcW w:w="1412" w:type="dxa"/>
            <w:vMerge/>
            <w:vAlign w:val="center"/>
          </w:tcPr>
          <w:p w14:paraId="66DE7979" w14:textId="77777777" w:rsidR="00846F58" w:rsidRDefault="00846F58" w:rsidP="0054357D">
            <w:pPr>
              <w:jc w:val="center"/>
              <w:rPr>
                <w:lang w:val="en-GB"/>
              </w:rPr>
            </w:pPr>
          </w:p>
        </w:tc>
      </w:tr>
      <w:tr w:rsidR="00846F58" w14:paraId="53187211" w14:textId="77777777" w:rsidTr="006A6B58">
        <w:tc>
          <w:tcPr>
            <w:tcW w:w="1377" w:type="dxa"/>
            <w:vMerge w:val="restart"/>
            <w:vAlign w:val="center"/>
          </w:tcPr>
          <w:p w14:paraId="468A6E26" w14:textId="3A8A882F" w:rsidR="00846F58" w:rsidRDefault="000126B5" w:rsidP="006A6B58">
            <w:pPr>
              <w:jc w:val="center"/>
              <w:rPr>
                <w:lang w:val="en-GB"/>
              </w:rPr>
            </w:pPr>
            <w:r>
              <w:rPr>
                <w:lang w:val="en-GB"/>
              </w:rPr>
              <w:t>Restatement</w:t>
            </w:r>
          </w:p>
        </w:tc>
        <w:tc>
          <w:tcPr>
            <w:tcW w:w="1838" w:type="dxa"/>
            <w:vAlign w:val="center"/>
          </w:tcPr>
          <w:p w14:paraId="47B07A3A" w14:textId="5B0C5A48" w:rsidR="00846F58" w:rsidRDefault="00846F58" w:rsidP="006A6B58">
            <w:pPr>
              <w:jc w:val="center"/>
              <w:rPr>
                <w:lang w:val="en-GB"/>
              </w:rPr>
            </w:pPr>
            <w:r w:rsidRPr="00DC769B">
              <w:rPr>
                <w:sz w:val="18"/>
                <w:szCs w:val="18"/>
                <w:lang w:val="en-GB"/>
              </w:rPr>
              <w:t>0% - 10% Equity</w:t>
            </w:r>
          </w:p>
        </w:tc>
        <w:tc>
          <w:tcPr>
            <w:tcW w:w="988" w:type="dxa"/>
            <w:vAlign w:val="center"/>
          </w:tcPr>
          <w:p w14:paraId="584DD56A" w14:textId="6700E064" w:rsidR="00846F58" w:rsidRDefault="00E3532B" w:rsidP="006A6B58">
            <w:pPr>
              <w:jc w:val="center"/>
              <w:rPr>
                <w:lang w:val="en-GB"/>
              </w:rPr>
            </w:pPr>
            <w:r>
              <w:rPr>
                <w:lang w:val="en-GB"/>
              </w:rPr>
              <w:t>1530</w:t>
            </w:r>
          </w:p>
        </w:tc>
        <w:tc>
          <w:tcPr>
            <w:tcW w:w="990" w:type="dxa"/>
            <w:vAlign w:val="center"/>
          </w:tcPr>
          <w:p w14:paraId="3D013540" w14:textId="6EFAF648" w:rsidR="00846F58" w:rsidRDefault="00E3532B" w:rsidP="006A6B58">
            <w:pPr>
              <w:jc w:val="center"/>
              <w:rPr>
                <w:lang w:val="en-GB"/>
              </w:rPr>
            </w:pPr>
            <w:r>
              <w:rPr>
                <w:lang w:val="en-GB"/>
              </w:rPr>
              <w:t>0,06</w:t>
            </w:r>
          </w:p>
        </w:tc>
        <w:tc>
          <w:tcPr>
            <w:tcW w:w="1410" w:type="dxa"/>
            <w:vAlign w:val="center"/>
          </w:tcPr>
          <w:p w14:paraId="7264A7BF" w14:textId="128AA61F" w:rsidR="00846F58" w:rsidRDefault="00E3532B" w:rsidP="006A6B58">
            <w:pPr>
              <w:jc w:val="center"/>
              <w:rPr>
                <w:lang w:val="en-GB"/>
              </w:rPr>
            </w:pPr>
            <w:r>
              <w:rPr>
                <w:lang w:val="en-GB"/>
              </w:rPr>
              <w:t>0,232</w:t>
            </w:r>
          </w:p>
        </w:tc>
        <w:tc>
          <w:tcPr>
            <w:tcW w:w="1273" w:type="dxa"/>
            <w:vMerge w:val="restart"/>
            <w:vAlign w:val="center"/>
          </w:tcPr>
          <w:p w14:paraId="4723BF7A" w14:textId="77777777" w:rsidR="00846F58" w:rsidRDefault="0054357D" w:rsidP="0054357D">
            <w:pPr>
              <w:jc w:val="center"/>
              <w:rPr>
                <w:lang w:val="en-GB"/>
              </w:rPr>
            </w:pPr>
            <w:r>
              <w:rPr>
                <w:lang w:val="en-GB"/>
              </w:rPr>
              <w:t>0,000</w:t>
            </w:r>
          </w:p>
          <w:p w14:paraId="1A843FE0" w14:textId="559EDAC3" w:rsidR="0054357D" w:rsidRDefault="0054357D" w:rsidP="0054357D">
            <w:pPr>
              <w:jc w:val="center"/>
              <w:rPr>
                <w:lang w:val="en-GB"/>
              </w:rPr>
            </w:pPr>
            <w:r>
              <w:rPr>
                <w:lang w:val="en-GB"/>
              </w:rPr>
              <w:t>(6,193</w:t>
            </w:r>
          </w:p>
        </w:tc>
        <w:tc>
          <w:tcPr>
            <w:tcW w:w="1412" w:type="dxa"/>
            <w:vMerge w:val="restart"/>
            <w:vAlign w:val="center"/>
          </w:tcPr>
          <w:p w14:paraId="4A3B523E" w14:textId="77777777" w:rsidR="00846F58" w:rsidRDefault="0054357D" w:rsidP="0054357D">
            <w:pPr>
              <w:jc w:val="center"/>
              <w:rPr>
                <w:lang w:val="en-GB"/>
              </w:rPr>
            </w:pPr>
            <w:r>
              <w:rPr>
                <w:lang w:val="en-GB"/>
              </w:rPr>
              <w:t>0,123</w:t>
            </w:r>
          </w:p>
          <w:p w14:paraId="5E934705" w14:textId="7BACCDB3" w:rsidR="0054357D" w:rsidRDefault="0054357D" w:rsidP="0054357D">
            <w:pPr>
              <w:jc w:val="center"/>
              <w:rPr>
                <w:lang w:val="en-GB"/>
              </w:rPr>
            </w:pPr>
            <w:r>
              <w:rPr>
                <w:lang w:val="en-GB"/>
              </w:rPr>
              <w:t>(1,555)</w:t>
            </w:r>
          </w:p>
        </w:tc>
      </w:tr>
      <w:tr w:rsidR="00846F58" w14:paraId="24AC7FE5" w14:textId="77777777" w:rsidTr="006A6B58">
        <w:tc>
          <w:tcPr>
            <w:tcW w:w="1377" w:type="dxa"/>
            <w:vMerge/>
          </w:tcPr>
          <w:p w14:paraId="6BDCDB8D" w14:textId="60CEE179" w:rsidR="00846F58" w:rsidRDefault="00846F58" w:rsidP="0077166E">
            <w:pPr>
              <w:jc w:val="both"/>
              <w:rPr>
                <w:lang w:val="en-GB"/>
              </w:rPr>
            </w:pPr>
          </w:p>
        </w:tc>
        <w:tc>
          <w:tcPr>
            <w:tcW w:w="1838" w:type="dxa"/>
            <w:vAlign w:val="center"/>
          </w:tcPr>
          <w:p w14:paraId="12DFA736" w14:textId="03F065F6" w:rsidR="00846F58" w:rsidRDefault="00846F58" w:rsidP="006A6B58">
            <w:pPr>
              <w:jc w:val="center"/>
              <w:rPr>
                <w:lang w:val="en-GB"/>
              </w:rPr>
            </w:pPr>
            <w:r w:rsidRPr="00DC769B">
              <w:rPr>
                <w:sz w:val="18"/>
                <w:szCs w:val="18"/>
                <w:lang w:val="en-GB"/>
              </w:rPr>
              <w:t>10% - 20% Equity</w:t>
            </w:r>
          </w:p>
        </w:tc>
        <w:tc>
          <w:tcPr>
            <w:tcW w:w="988" w:type="dxa"/>
            <w:vAlign w:val="center"/>
          </w:tcPr>
          <w:p w14:paraId="291E872E" w14:textId="27AD45AE" w:rsidR="00846F58" w:rsidRDefault="00E3532B" w:rsidP="006A6B58">
            <w:pPr>
              <w:jc w:val="center"/>
              <w:rPr>
                <w:lang w:val="en-GB"/>
              </w:rPr>
            </w:pPr>
            <w:r>
              <w:rPr>
                <w:lang w:val="en-GB"/>
              </w:rPr>
              <w:t>551</w:t>
            </w:r>
          </w:p>
        </w:tc>
        <w:tc>
          <w:tcPr>
            <w:tcW w:w="990" w:type="dxa"/>
            <w:vAlign w:val="center"/>
          </w:tcPr>
          <w:p w14:paraId="1334AAE8" w14:textId="2CC7231D" w:rsidR="00846F58" w:rsidRDefault="00E3532B" w:rsidP="006A6B58">
            <w:pPr>
              <w:jc w:val="center"/>
              <w:rPr>
                <w:lang w:val="en-GB"/>
              </w:rPr>
            </w:pPr>
            <w:r>
              <w:rPr>
                <w:lang w:val="en-GB"/>
              </w:rPr>
              <w:t>0,05</w:t>
            </w:r>
          </w:p>
        </w:tc>
        <w:tc>
          <w:tcPr>
            <w:tcW w:w="1410" w:type="dxa"/>
            <w:vAlign w:val="center"/>
          </w:tcPr>
          <w:p w14:paraId="668D4CC9" w14:textId="6C13A2B0" w:rsidR="00846F58" w:rsidRDefault="00E3532B" w:rsidP="006A6B58">
            <w:pPr>
              <w:jc w:val="center"/>
              <w:rPr>
                <w:lang w:val="en-GB"/>
              </w:rPr>
            </w:pPr>
            <w:r>
              <w:rPr>
                <w:lang w:val="en-GB"/>
              </w:rPr>
              <w:t>0,227</w:t>
            </w:r>
          </w:p>
        </w:tc>
        <w:tc>
          <w:tcPr>
            <w:tcW w:w="1273" w:type="dxa"/>
            <w:vMerge/>
          </w:tcPr>
          <w:p w14:paraId="55C7B84C" w14:textId="77777777" w:rsidR="00846F58" w:rsidRDefault="00846F58" w:rsidP="0077166E">
            <w:pPr>
              <w:jc w:val="both"/>
              <w:rPr>
                <w:lang w:val="en-GB"/>
              </w:rPr>
            </w:pPr>
          </w:p>
        </w:tc>
        <w:tc>
          <w:tcPr>
            <w:tcW w:w="1412" w:type="dxa"/>
            <w:vMerge/>
          </w:tcPr>
          <w:p w14:paraId="69F6306C" w14:textId="77777777" w:rsidR="00846F58" w:rsidRDefault="00846F58" w:rsidP="0077166E">
            <w:pPr>
              <w:jc w:val="both"/>
              <w:rPr>
                <w:lang w:val="en-GB"/>
              </w:rPr>
            </w:pPr>
          </w:p>
        </w:tc>
      </w:tr>
      <w:tr w:rsidR="00846F58" w14:paraId="77098450" w14:textId="77777777" w:rsidTr="006A6B58">
        <w:tc>
          <w:tcPr>
            <w:tcW w:w="1377" w:type="dxa"/>
            <w:vMerge/>
          </w:tcPr>
          <w:p w14:paraId="6BD2E7BE" w14:textId="77777777" w:rsidR="00846F58" w:rsidRDefault="00846F58" w:rsidP="0077166E">
            <w:pPr>
              <w:jc w:val="both"/>
              <w:rPr>
                <w:lang w:val="en-GB"/>
              </w:rPr>
            </w:pPr>
          </w:p>
        </w:tc>
        <w:tc>
          <w:tcPr>
            <w:tcW w:w="1838" w:type="dxa"/>
            <w:vAlign w:val="center"/>
          </w:tcPr>
          <w:p w14:paraId="15114CB4" w14:textId="38842DC3" w:rsidR="00846F58" w:rsidRDefault="00846F58" w:rsidP="006A6B58">
            <w:pPr>
              <w:jc w:val="center"/>
              <w:rPr>
                <w:lang w:val="en-GB"/>
              </w:rPr>
            </w:pPr>
            <w:r w:rsidRPr="00DC769B">
              <w:rPr>
                <w:sz w:val="18"/>
                <w:szCs w:val="18"/>
                <w:lang w:val="en-GB"/>
              </w:rPr>
              <w:t>20% - 30% Equity</w:t>
            </w:r>
          </w:p>
        </w:tc>
        <w:tc>
          <w:tcPr>
            <w:tcW w:w="988" w:type="dxa"/>
            <w:vAlign w:val="center"/>
          </w:tcPr>
          <w:p w14:paraId="53B83F6D" w14:textId="3D56E686" w:rsidR="00846F58" w:rsidRDefault="00E3532B" w:rsidP="006A6B58">
            <w:pPr>
              <w:jc w:val="center"/>
              <w:rPr>
                <w:lang w:val="en-GB"/>
              </w:rPr>
            </w:pPr>
            <w:r>
              <w:rPr>
                <w:lang w:val="en-GB"/>
              </w:rPr>
              <w:t>772</w:t>
            </w:r>
          </w:p>
        </w:tc>
        <w:tc>
          <w:tcPr>
            <w:tcW w:w="990" w:type="dxa"/>
            <w:vAlign w:val="center"/>
          </w:tcPr>
          <w:p w14:paraId="5E660E9D" w14:textId="6E9AEC38" w:rsidR="00846F58" w:rsidRDefault="00E3532B" w:rsidP="006A6B58">
            <w:pPr>
              <w:jc w:val="center"/>
              <w:rPr>
                <w:lang w:val="en-GB"/>
              </w:rPr>
            </w:pPr>
            <w:r>
              <w:rPr>
                <w:lang w:val="en-GB"/>
              </w:rPr>
              <w:t>0,06</w:t>
            </w:r>
          </w:p>
        </w:tc>
        <w:tc>
          <w:tcPr>
            <w:tcW w:w="1410" w:type="dxa"/>
            <w:vAlign w:val="center"/>
          </w:tcPr>
          <w:p w14:paraId="0C4B8AF5" w14:textId="48553951" w:rsidR="00846F58" w:rsidRDefault="00E3532B" w:rsidP="006A6B58">
            <w:pPr>
              <w:jc w:val="center"/>
              <w:rPr>
                <w:lang w:val="en-GB"/>
              </w:rPr>
            </w:pPr>
            <w:r>
              <w:rPr>
                <w:lang w:val="en-GB"/>
              </w:rPr>
              <w:t>0,242</w:t>
            </w:r>
          </w:p>
        </w:tc>
        <w:tc>
          <w:tcPr>
            <w:tcW w:w="1273" w:type="dxa"/>
            <w:vMerge/>
          </w:tcPr>
          <w:p w14:paraId="491E9E63" w14:textId="77777777" w:rsidR="00846F58" w:rsidRDefault="00846F58" w:rsidP="0077166E">
            <w:pPr>
              <w:jc w:val="both"/>
              <w:rPr>
                <w:lang w:val="en-GB"/>
              </w:rPr>
            </w:pPr>
          </w:p>
        </w:tc>
        <w:tc>
          <w:tcPr>
            <w:tcW w:w="1412" w:type="dxa"/>
            <w:vMerge/>
          </w:tcPr>
          <w:p w14:paraId="36AF1D73" w14:textId="77777777" w:rsidR="00846F58" w:rsidRDefault="00846F58" w:rsidP="0077166E">
            <w:pPr>
              <w:jc w:val="both"/>
              <w:rPr>
                <w:lang w:val="en-GB"/>
              </w:rPr>
            </w:pPr>
          </w:p>
        </w:tc>
      </w:tr>
      <w:tr w:rsidR="00846F58" w14:paraId="733C37E0" w14:textId="77777777" w:rsidTr="006A6B58">
        <w:tc>
          <w:tcPr>
            <w:tcW w:w="1377" w:type="dxa"/>
            <w:vMerge/>
          </w:tcPr>
          <w:p w14:paraId="439082E8" w14:textId="77777777" w:rsidR="00846F58" w:rsidRDefault="00846F58" w:rsidP="0077166E">
            <w:pPr>
              <w:jc w:val="both"/>
              <w:rPr>
                <w:lang w:val="en-GB"/>
              </w:rPr>
            </w:pPr>
          </w:p>
        </w:tc>
        <w:tc>
          <w:tcPr>
            <w:tcW w:w="1838" w:type="dxa"/>
            <w:vAlign w:val="center"/>
          </w:tcPr>
          <w:p w14:paraId="19FAE9E2" w14:textId="41DC6FCD" w:rsidR="00846F58" w:rsidRDefault="00846F58" w:rsidP="006A6B58">
            <w:pPr>
              <w:jc w:val="center"/>
              <w:rPr>
                <w:lang w:val="en-GB"/>
              </w:rPr>
            </w:pPr>
            <w:r w:rsidRPr="00DC769B">
              <w:rPr>
                <w:sz w:val="18"/>
                <w:szCs w:val="18"/>
                <w:lang w:val="en-GB"/>
              </w:rPr>
              <w:t>30% - 40% Equity</w:t>
            </w:r>
          </w:p>
        </w:tc>
        <w:tc>
          <w:tcPr>
            <w:tcW w:w="988" w:type="dxa"/>
            <w:vAlign w:val="center"/>
          </w:tcPr>
          <w:p w14:paraId="49EB3048" w14:textId="49D67301" w:rsidR="00846F58" w:rsidRDefault="00E3532B" w:rsidP="006A6B58">
            <w:pPr>
              <w:jc w:val="center"/>
              <w:rPr>
                <w:lang w:val="en-GB"/>
              </w:rPr>
            </w:pPr>
            <w:r>
              <w:rPr>
                <w:lang w:val="en-GB"/>
              </w:rPr>
              <w:t>933</w:t>
            </w:r>
          </w:p>
        </w:tc>
        <w:tc>
          <w:tcPr>
            <w:tcW w:w="990" w:type="dxa"/>
            <w:vAlign w:val="center"/>
          </w:tcPr>
          <w:p w14:paraId="5EA8284D" w14:textId="486514A2" w:rsidR="00846F58" w:rsidRDefault="00E3532B" w:rsidP="006A6B58">
            <w:pPr>
              <w:jc w:val="center"/>
              <w:rPr>
                <w:lang w:val="en-GB"/>
              </w:rPr>
            </w:pPr>
            <w:r>
              <w:rPr>
                <w:lang w:val="en-GB"/>
              </w:rPr>
              <w:t>0,04</w:t>
            </w:r>
          </w:p>
        </w:tc>
        <w:tc>
          <w:tcPr>
            <w:tcW w:w="1410" w:type="dxa"/>
            <w:vAlign w:val="center"/>
          </w:tcPr>
          <w:p w14:paraId="741EEC42" w14:textId="5B3E9507" w:rsidR="00846F58" w:rsidRDefault="00E3532B" w:rsidP="006A6B58">
            <w:pPr>
              <w:jc w:val="center"/>
              <w:rPr>
                <w:lang w:val="en-GB"/>
              </w:rPr>
            </w:pPr>
            <w:r>
              <w:rPr>
                <w:lang w:val="en-GB"/>
              </w:rPr>
              <w:t>0,198</w:t>
            </w:r>
          </w:p>
        </w:tc>
        <w:tc>
          <w:tcPr>
            <w:tcW w:w="1273" w:type="dxa"/>
            <w:vMerge/>
          </w:tcPr>
          <w:p w14:paraId="615A9B75" w14:textId="77777777" w:rsidR="00846F58" w:rsidRDefault="00846F58" w:rsidP="0077166E">
            <w:pPr>
              <w:jc w:val="both"/>
              <w:rPr>
                <w:lang w:val="en-GB"/>
              </w:rPr>
            </w:pPr>
          </w:p>
        </w:tc>
        <w:tc>
          <w:tcPr>
            <w:tcW w:w="1412" w:type="dxa"/>
            <w:vMerge/>
          </w:tcPr>
          <w:p w14:paraId="6C0ABE87" w14:textId="77777777" w:rsidR="00846F58" w:rsidRDefault="00846F58" w:rsidP="0077166E">
            <w:pPr>
              <w:jc w:val="both"/>
              <w:rPr>
                <w:lang w:val="en-GB"/>
              </w:rPr>
            </w:pPr>
          </w:p>
        </w:tc>
      </w:tr>
      <w:tr w:rsidR="00846F58" w14:paraId="12E8EC44" w14:textId="77777777" w:rsidTr="006A6B58">
        <w:tc>
          <w:tcPr>
            <w:tcW w:w="1377" w:type="dxa"/>
            <w:vMerge/>
          </w:tcPr>
          <w:p w14:paraId="39BBDA78" w14:textId="77777777" w:rsidR="00846F58" w:rsidRDefault="00846F58" w:rsidP="0077166E">
            <w:pPr>
              <w:jc w:val="both"/>
              <w:rPr>
                <w:lang w:val="en-GB"/>
              </w:rPr>
            </w:pPr>
          </w:p>
        </w:tc>
        <w:tc>
          <w:tcPr>
            <w:tcW w:w="1838" w:type="dxa"/>
            <w:vAlign w:val="center"/>
          </w:tcPr>
          <w:p w14:paraId="76B8F945" w14:textId="40B9DCC5" w:rsidR="00846F58" w:rsidRDefault="00846F58" w:rsidP="006A6B58">
            <w:pPr>
              <w:jc w:val="center"/>
              <w:rPr>
                <w:lang w:val="en-GB"/>
              </w:rPr>
            </w:pPr>
            <w:r w:rsidRPr="00DC769B">
              <w:rPr>
                <w:sz w:val="18"/>
                <w:szCs w:val="18"/>
                <w:lang w:val="en-GB"/>
              </w:rPr>
              <w:t>40% - 50% Equity</w:t>
            </w:r>
          </w:p>
        </w:tc>
        <w:tc>
          <w:tcPr>
            <w:tcW w:w="988" w:type="dxa"/>
            <w:vAlign w:val="center"/>
          </w:tcPr>
          <w:p w14:paraId="313FB771" w14:textId="4306BC6A" w:rsidR="00846F58" w:rsidRDefault="00E3532B" w:rsidP="006A6B58">
            <w:pPr>
              <w:jc w:val="center"/>
              <w:rPr>
                <w:lang w:val="en-GB"/>
              </w:rPr>
            </w:pPr>
            <w:r>
              <w:rPr>
                <w:lang w:val="en-GB"/>
              </w:rPr>
              <w:t>1086</w:t>
            </w:r>
          </w:p>
        </w:tc>
        <w:tc>
          <w:tcPr>
            <w:tcW w:w="990" w:type="dxa"/>
            <w:vAlign w:val="center"/>
          </w:tcPr>
          <w:p w14:paraId="746D28C3" w14:textId="68D56118" w:rsidR="00846F58" w:rsidRDefault="00E3532B" w:rsidP="006A6B58">
            <w:pPr>
              <w:jc w:val="center"/>
              <w:rPr>
                <w:lang w:val="en-GB"/>
              </w:rPr>
            </w:pPr>
            <w:r>
              <w:rPr>
                <w:lang w:val="en-GB"/>
              </w:rPr>
              <w:t>0,05</w:t>
            </w:r>
          </w:p>
        </w:tc>
        <w:tc>
          <w:tcPr>
            <w:tcW w:w="1410" w:type="dxa"/>
            <w:vAlign w:val="center"/>
          </w:tcPr>
          <w:p w14:paraId="1AC1C252" w14:textId="0AE822CF" w:rsidR="00846F58" w:rsidRDefault="00E3532B" w:rsidP="006A6B58">
            <w:pPr>
              <w:jc w:val="center"/>
              <w:rPr>
                <w:lang w:val="en-GB"/>
              </w:rPr>
            </w:pPr>
            <w:r>
              <w:rPr>
                <w:lang w:val="en-GB"/>
              </w:rPr>
              <w:t>0,216</w:t>
            </w:r>
          </w:p>
        </w:tc>
        <w:tc>
          <w:tcPr>
            <w:tcW w:w="1273" w:type="dxa"/>
            <w:vMerge/>
          </w:tcPr>
          <w:p w14:paraId="16487279" w14:textId="77777777" w:rsidR="00846F58" w:rsidRDefault="00846F58" w:rsidP="0077166E">
            <w:pPr>
              <w:jc w:val="both"/>
              <w:rPr>
                <w:lang w:val="en-GB"/>
              </w:rPr>
            </w:pPr>
          </w:p>
        </w:tc>
        <w:tc>
          <w:tcPr>
            <w:tcW w:w="1412" w:type="dxa"/>
            <w:vMerge/>
          </w:tcPr>
          <w:p w14:paraId="745C45A6" w14:textId="77777777" w:rsidR="00846F58" w:rsidRDefault="00846F58" w:rsidP="0077166E">
            <w:pPr>
              <w:jc w:val="both"/>
              <w:rPr>
                <w:lang w:val="en-GB"/>
              </w:rPr>
            </w:pPr>
          </w:p>
        </w:tc>
      </w:tr>
      <w:tr w:rsidR="00846F58" w14:paraId="74A21F6E" w14:textId="77777777" w:rsidTr="006A6B58">
        <w:tc>
          <w:tcPr>
            <w:tcW w:w="1377" w:type="dxa"/>
            <w:vMerge/>
          </w:tcPr>
          <w:p w14:paraId="342B2E55" w14:textId="77777777" w:rsidR="00846F58" w:rsidRDefault="00846F58" w:rsidP="0077166E">
            <w:pPr>
              <w:jc w:val="both"/>
              <w:rPr>
                <w:lang w:val="en-GB"/>
              </w:rPr>
            </w:pPr>
          </w:p>
        </w:tc>
        <w:tc>
          <w:tcPr>
            <w:tcW w:w="1838" w:type="dxa"/>
            <w:vAlign w:val="center"/>
          </w:tcPr>
          <w:p w14:paraId="779D4D8A" w14:textId="35574E7A" w:rsidR="00846F58" w:rsidRDefault="00846F58" w:rsidP="006A6B58">
            <w:pPr>
              <w:jc w:val="center"/>
              <w:rPr>
                <w:lang w:val="en-GB"/>
              </w:rPr>
            </w:pPr>
            <w:r w:rsidRPr="00DC769B">
              <w:rPr>
                <w:sz w:val="18"/>
                <w:szCs w:val="18"/>
                <w:lang w:val="en-GB"/>
              </w:rPr>
              <w:t>50% - 60% Equity</w:t>
            </w:r>
          </w:p>
        </w:tc>
        <w:tc>
          <w:tcPr>
            <w:tcW w:w="988" w:type="dxa"/>
            <w:vAlign w:val="center"/>
          </w:tcPr>
          <w:p w14:paraId="68B49F17" w14:textId="7476FA2F" w:rsidR="00846F58" w:rsidRDefault="00E3532B" w:rsidP="006A6B58">
            <w:pPr>
              <w:jc w:val="center"/>
              <w:rPr>
                <w:lang w:val="en-GB"/>
              </w:rPr>
            </w:pPr>
            <w:r>
              <w:rPr>
                <w:lang w:val="en-GB"/>
              </w:rPr>
              <w:t>1238</w:t>
            </w:r>
          </w:p>
        </w:tc>
        <w:tc>
          <w:tcPr>
            <w:tcW w:w="990" w:type="dxa"/>
            <w:vAlign w:val="center"/>
          </w:tcPr>
          <w:p w14:paraId="74482E36" w14:textId="5CFAB22E" w:rsidR="00846F58" w:rsidRDefault="00E3532B" w:rsidP="006A6B58">
            <w:pPr>
              <w:jc w:val="center"/>
              <w:rPr>
                <w:lang w:val="en-GB"/>
              </w:rPr>
            </w:pPr>
            <w:r>
              <w:rPr>
                <w:lang w:val="en-GB"/>
              </w:rPr>
              <w:t>0,06</w:t>
            </w:r>
          </w:p>
        </w:tc>
        <w:tc>
          <w:tcPr>
            <w:tcW w:w="1410" w:type="dxa"/>
            <w:vAlign w:val="center"/>
          </w:tcPr>
          <w:p w14:paraId="1021CD4C" w14:textId="068C1CF2" w:rsidR="00846F58" w:rsidRDefault="00E3532B" w:rsidP="006A6B58">
            <w:pPr>
              <w:jc w:val="center"/>
              <w:rPr>
                <w:lang w:val="en-GB"/>
              </w:rPr>
            </w:pPr>
            <w:r>
              <w:rPr>
                <w:lang w:val="en-GB"/>
              </w:rPr>
              <w:t>0,234</w:t>
            </w:r>
          </w:p>
        </w:tc>
        <w:tc>
          <w:tcPr>
            <w:tcW w:w="1273" w:type="dxa"/>
            <w:vMerge/>
          </w:tcPr>
          <w:p w14:paraId="7BCDA3DD" w14:textId="77777777" w:rsidR="00846F58" w:rsidRDefault="00846F58" w:rsidP="0077166E">
            <w:pPr>
              <w:jc w:val="both"/>
              <w:rPr>
                <w:lang w:val="en-GB"/>
              </w:rPr>
            </w:pPr>
          </w:p>
        </w:tc>
        <w:tc>
          <w:tcPr>
            <w:tcW w:w="1412" w:type="dxa"/>
            <w:vMerge/>
          </w:tcPr>
          <w:p w14:paraId="1B144B86" w14:textId="77777777" w:rsidR="00846F58" w:rsidRDefault="00846F58" w:rsidP="0077166E">
            <w:pPr>
              <w:jc w:val="both"/>
              <w:rPr>
                <w:lang w:val="en-GB"/>
              </w:rPr>
            </w:pPr>
          </w:p>
        </w:tc>
      </w:tr>
      <w:tr w:rsidR="00846F58" w14:paraId="1F2B0FEA" w14:textId="77777777" w:rsidTr="006A6B58">
        <w:tc>
          <w:tcPr>
            <w:tcW w:w="1377" w:type="dxa"/>
            <w:vMerge/>
          </w:tcPr>
          <w:p w14:paraId="2211A5AE" w14:textId="77777777" w:rsidR="00846F58" w:rsidRDefault="00846F58" w:rsidP="0077166E">
            <w:pPr>
              <w:jc w:val="both"/>
              <w:rPr>
                <w:lang w:val="en-GB"/>
              </w:rPr>
            </w:pPr>
          </w:p>
        </w:tc>
        <w:tc>
          <w:tcPr>
            <w:tcW w:w="1838" w:type="dxa"/>
            <w:vAlign w:val="center"/>
          </w:tcPr>
          <w:p w14:paraId="1A0DC314" w14:textId="716A8126" w:rsidR="00846F58" w:rsidRDefault="00846F58" w:rsidP="006A6B58">
            <w:pPr>
              <w:jc w:val="center"/>
              <w:rPr>
                <w:lang w:val="en-GB"/>
              </w:rPr>
            </w:pPr>
            <w:r w:rsidRPr="00DC769B">
              <w:rPr>
                <w:sz w:val="18"/>
                <w:szCs w:val="18"/>
                <w:lang w:val="en-GB"/>
              </w:rPr>
              <w:t>60% - 70% Equity</w:t>
            </w:r>
          </w:p>
        </w:tc>
        <w:tc>
          <w:tcPr>
            <w:tcW w:w="988" w:type="dxa"/>
            <w:vAlign w:val="center"/>
          </w:tcPr>
          <w:p w14:paraId="1D0198F4" w14:textId="1368C873" w:rsidR="00846F58" w:rsidRDefault="00E3532B" w:rsidP="006A6B58">
            <w:pPr>
              <w:jc w:val="center"/>
              <w:rPr>
                <w:lang w:val="en-GB"/>
              </w:rPr>
            </w:pPr>
            <w:r>
              <w:rPr>
                <w:lang w:val="en-GB"/>
              </w:rPr>
              <w:t>1409</w:t>
            </w:r>
          </w:p>
        </w:tc>
        <w:tc>
          <w:tcPr>
            <w:tcW w:w="990" w:type="dxa"/>
            <w:vAlign w:val="center"/>
          </w:tcPr>
          <w:p w14:paraId="61559571" w14:textId="18926E19" w:rsidR="00846F58" w:rsidRDefault="00E3532B" w:rsidP="006A6B58">
            <w:pPr>
              <w:jc w:val="center"/>
              <w:rPr>
                <w:lang w:val="en-GB"/>
              </w:rPr>
            </w:pPr>
            <w:r>
              <w:rPr>
                <w:lang w:val="en-GB"/>
              </w:rPr>
              <w:t>0,06</w:t>
            </w:r>
          </w:p>
        </w:tc>
        <w:tc>
          <w:tcPr>
            <w:tcW w:w="1410" w:type="dxa"/>
            <w:vAlign w:val="center"/>
          </w:tcPr>
          <w:p w14:paraId="2B52F0DC" w14:textId="483F16CD" w:rsidR="00846F58" w:rsidRDefault="00E3532B" w:rsidP="006A6B58">
            <w:pPr>
              <w:jc w:val="center"/>
              <w:rPr>
                <w:lang w:val="en-GB"/>
              </w:rPr>
            </w:pPr>
            <w:r>
              <w:rPr>
                <w:lang w:val="en-GB"/>
              </w:rPr>
              <w:t>0,230</w:t>
            </w:r>
          </w:p>
        </w:tc>
        <w:tc>
          <w:tcPr>
            <w:tcW w:w="1273" w:type="dxa"/>
            <w:vMerge/>
          </w:tcPr>
          <w:p w14:paraId="27EEF579" w14:textId="77777777" w:rsidR="00846F58" w:rsidRDefault="00846F58" w:rsidP="0077166E">
            <w:pPr>
              <w:jc w:val="both"/>
              <w:rPr>
                <w:lang w:val="en-GB"/>
              </w:rPr>
            </w:pPr>
          </w:p>
        </w:tc>
        <w:tc>
          <w:tcPr>
            <w:tcW w:w="1412" w:type="dxa"/>
            <w:vMerge/>
          </w:tcPr>
          <w:p w14:paraId="154BFCB9" w14:textId="77777777" w:rsidR="00846F58" w:rsidRDefault="00846F58" w:rsidP="0077166E">
            <w:pPr>
              <w:jc w:val="both"/>
              <w:rPr>
                <w:lang w:val="en-GB"/>
              </w:rPr>
            </w:pPr>
          </w:p>
        </w:tc>
      </w:tr>
      <w:tr w:rsidR="00846F58" w14:paraId="4BE5856F" w14:textId="77777777" w:rsidTr="006A6B58">
        <w:tc>
          <w:tcPr>
            <w:tcW w:w="1377" w:type="dxa"/>
            <w:vMerge/>
          </w:tcPr>
          <w:p w14:paraId="703A17CF" w14:textId="77777777" w:rsidR="00846F58" w:rsidRDefault="00846F58" w:rsidP="0077166E">
            <w:pPr>
              <w:jc w:val="both"/>
              <w:rPr>
                <w:lang w:val="en-GB"/>
              </w:rPr>
            </w:pPr>
          </w:p>
        </w:tc>
        <w:tc>
          <w:tcPr>
            <w:tcW w:w="1838" w:type="dxa"/>
            <w:vAlign w:val="center"/>
          </w:tcPr>
          <w:p w14:paraId="7FB04593" w14:textId="1DE97F0D" w:rsidR="00846F58" w:rsidRDefault="00846F58" w:rsidP="006A6B58">
            <w:pPr>
              <w:jc w:val="center"/>
              <w:rPr>
                <w:lang w:val="en-GB"/>
              </w:rPr>
            </w:pPr>
            <w:r w:rsidRPr="00DC769B">
              <w:rPr>
                <w:sz w:val="18"/>
                <w:szCs w:val="18"/>
                <w:lang w:val="en-GB"/>
              </w:rPr>
              <w:t>70% - 80% Equity</w:t>
            </w:r>
          </w:p>
        </w:tc>
        <w:tc>
          <w:tcPr>
            <w:tcW w:w="988" w:type="dxa"/>
            <w:vAlign w:val="center"/>
          </w:tcPr>
          <w:p w14:paraId="286A0F77" w14:textId="35DEA27E" w:rsidR="00846F58" w:rsidRDefault="00E3532B" w:rsidP="006A6B58">
            <w:pPr>
              <w:jc w:val="center"/>
              <w:rPr>
                <w:lang w:val="en-GB"/>
              </w:rPr>
            </w:pPr>
            <w:r>
              <w:rPr>
                <w:lang w:val="en-GB"/>
              </w:rPr>
              <w:t>1583</w:t>
            </w:r>
          </w:p>
        </w:tc>
        <w:tc>
          <w:tcPr>
            <w:tcW w:w="990" w:type="dxa"/>
            <w:vAlign w:val="center"/>
          </w:tcPr>
          <w:p w14:paraId="07E013D6" w14:textId="44967153" w:rsidR="00846F58" w:rsidRDefault="00E3532B" w:rsidP="006A6B58">
            <w:pPr>
              <w:jc w:val="center"/>
              <w:rPr>
                <w:lang w:val="en-GB"/>
              </w:rPr>
            </w:pPr>
            <w:r>
              <w:rPr>
                <w:lang w:val="en-GB"/>
              </w:rPr>
              <w:t>0,04</w:t>
            </w:r>
          </w:p>
        </w:tc>
        <w:tc>
          <w:tcPr>
            <w:tcW w:w="1410" w:type="dxa"/>
            <w:vAlign w:val="center"/>
          </w:tcPr>
          <w:p w14:paraId="3A65B6C9" w14:textId="375A9ABA" w:rsidR="00846F58" w:rsidRDefault="00E3532B" w:rsidP="006A6B58">
            <w:pPr>
              <w:jc w:val="center"/>
              <w:rPr>
                <w:lang w:val="en-GB"/>
              </w:rPr>
            </w:pPr>
            <w:r>
              <w:rPr>
                <w:lang w:val="en-GB"/>
              </w:rPr>
              <w:t>0,207</w:t>
            </w:r>
          </w:p>
        </w:tc>
        <w:tc>
          <w:tcPr>
            <w:tcW w:w="1273" w:type="dxa"/>
            <w:vMerge/>
          </w:tcPr>
          <w:p w14:paraId="6B21FFC7" w14:textId="77777777" w:rsidR="00846F58" w:rsidRDefault="00846F58" w:rsidP="0077166E">
            <w:pPr>
              <w:jc w:val="both"/>
              <w:rPr>
                <w:lang w:val="en-GB"/>
              </w:rPr>
            </w:pPr>
          </w:p>
        </w:tc>
        <w:tc>
          <w:tcPr>
            <w:tcW w:w="1412" w:type="dxa"/>
            <w:vMerge/>
          </w:tcPr>
          <w:p w14:paraId="125E6F6E" w14:textId="77777777" w:rsidR="00846F58" w:rsidRDefault="00846F58" w:rsidP="0077166E">
            <w:pPr>
              <w:jc w:val="both"/>
              <w:rPr>
                <w:lang w:val="en-GB"/>
              </w:rPr>
            </w:pPr>
          </w:p>
        </w:tc>
      </w:tr>
      <w:tr w:rsidR="00846F58" w14:paraId="12324507" w14:textId="77777777" w:rsidTr="006A6B58">
        <w:tc>
          <w:tcPr>
            <w:tcW w:w="1377" w:type="dxa"/>
            <w:vMerge/>
          </w:tcPr>
          <w:p w14:paraId="6371088E" w14:textId="77777777" w:rsidR="00846F58" w:rsidRDefault="00846F58" w:rsidP="0077166E">
            <w:pPr>
              <w:jc w:val="both"/>
              <w:rPr>
                <w:lang w:val="en-GB"/>
              </w:rPr>
            </w:pPr>
          </w:p>
        </w:tc>
        <w:tc>
          <w:tcPr>
            <w:tcW w:w="1838" w:type="dxa"/>
            <w:vAlign w:val="center"/>
          </w:tcPr>
          <w:p w14:paraId="026218CA" w14:textId="21BBCD19" w:rsidR="00846F58" w:rsidRDefault="00846F58" w:rsidP="006A6B58">
            <w:pPr>
              <w:jc w:val="center"/>
              <w:rPr>
                <w:lang w:val="en-GB"/>
              </w:rPr>
            </w:pPr>
            <w:r w:rsidRPr="00DC769B">
              <w:rPr>
                <w:sz w:val="18"/>
                <w:szCs w:val="18"/>
                <w:lang w:val="en-GB"/>
              </w:rPr>
              <w:t>80% - 90% Equity</w:t>
            </w:r>
          </w:p>
        </w:tc>
        <w:tc>
          <w:tcPr>
            <w:tcW w:w="988" w:type="dxa"/>
            <w:vAlign w:val="center"/>
          </w:tcPr>
          <w:p w14:paraId="085DB1C3" w14:textId="390C96E3" w:rsidR="00846F58" w:rsidRDefault="00E3532B" w:rsidP="006A6B58">
            <w:pPr>
              <w:jc w:val="center"/>
              <w:rPr>
                <w:lang w:val="en-GB"/>
              </w:rPr>
            </w:pPr>
            <w:r>
              <w:rPr>
                <w:lang w:val="en-GB"/>
              </w:rPr>
              <w:t>1388</w:t>
            </w:r>
          </w:p>
        </w:tc>
        <w:tc>
          <w:tcPr>
            <w:tcW w:w="990" w:type="dxa"/>
            <w:vAlign w:val="center"/>
          </w:tcPr>
          <w:p w14:paraId="0D79380C" w14:textId="5A86587D" w:rsidR="00846F58" w:rsidRDefault="00E3532B" w:rsidP="006A6B58">
            <w:pPr>
              <w:jc w:val="center"/>
              <w:rPr>
                <w:lang w:val="en-GB"/>
              </w:rPr>
            </w:pPr>
            <w:r>
              <w:rPr>
                <w:lang w:val="en-GB"/>
              </w:rPr>
              <w:t>0,05</w:t>
            </w:r>
          </w:p>
        </w:tc>
        <w:tc>
          <w:tcPr>
            <w:tcW w:w="1410" w:type="dxa"/>
            <w:vAlign w:val="center"/>
          </w:tcPr>
          <w:p w14:paraId="7E67E349" w14:textId="29EEACC2" w:rsidR="00846F58" w:rsidRDefault="00E3532B" w:rsidP="006A6B58">
            <w:pPr>
              <w:jc w:val="center"/>
              <w:rPr>
                <w:lang w:val="en-GB"/>
              </w:rPr>
            </w:pPr>
            <w:r>
              <w:rPr>
                <w:lang w:val="en-GB"/>
              </w:rPr>
              <w:t>0,213</w:t>
            </w:r>
          </w:p>
        </w:tc>
        <w:tc>
          <w:tcPr>
            <w:tcW w:w="1273" w:type="dxa"/>
            <w:vMerge/>
          </w:tcPr>
          <w:p w14:paraId="72876EA6" w14:textId="77777777" w:rsidR="00846F58" w:rsidRDefault="00846F58" w:rsidP="0077166E">
            <w:pPr>
              <w:jc w:val="both"/>
              <w:rPr>
                <w:lang w:val="en-GB"/>
              </w:rPr>
            </w:pPr>
          </w:p>
        </w:tc>
        <w:tc>
          <w:tcPr>
            <w:tcW w:w="1412" w:type="dxa"/>
            <w:vMerge/>
          </w:tcPr>
          <w:p w14:paraId="50ACD9F4" w14:textId="77777777" w:rsidR="00846F58" w:rsidRDefault="00846F58" w:rsidP="0077166E">
            <w:pPr>
              <w:jc w:val="both"/>
              <w:rPr>
                <w:lang w:val="en-GB"/>
              </w:rPr>
            </w:pPr>
          </w:p>
        </w:tc>
      </w:tr>
      <w:tr w:rsidR="00846F58" w14:paraId="2110269C" w14:textId="77777777" w:rsidTr="006A6B58">
        <w:tc>
          <w:tcPr>
            <w:tcW w:w="1377" w:type="dxa"/>
            <w:vMerge/>
          </w:tcPr>
          <w:p w14:paraId="4A1E3606" w14:textId="77777777" w:rsidR="00846F58" w:rsidRDefault="00846F58" w:rsidP="0077166E">
            <w:pPr>
              <w:jc w:val="both"/>
              <w:rPr>
                <w:lang w:val="en-GB"/>
              </w:rPr>
            </w:pPr>
          </w:p>
        </w:tc>
        <w:tc>
          <w:tcPr>
            <w:tcW w:w="1838" w:type="dxa"/>
            <w:vAlign w:val="center"/>
          </w:tcPr>
          <w:p w14:paraId="040B4E70" w14:textId="3CB7F47A" w:rsidR="00846F58" w:rsidRDefault="00846F58" w:rsidP="006A6B58">
            <w:pPr>
              <w:jc w:val="center"/>
              <w:rPr>
                <w:lang w:val="en-GB"/>
              </w:rPr>
            </w:pPr>
            <w:r w:rsidRPr="00DC769B">
              <w:rPr>
                <w:sz w:val="18"/>
                <w:szCs w:val="18"/>
                <w:lang w:val="en-GB"/>
              </w:rPr>
              <w:t>90% - 100% Equity</w:t>
            </w:r>
          </w:p>
        </w:tc>
        <w:tc>
          <w:tcPr>
            <w:tcW w:w="988" w:type="dxa"/>
            <w:vAlign w:val="center"/>
          </w:tcPr>
          <w:p w14:paraId="40CCD263" w14:textId="33055782" w:rsidR="00846F58" w:rsidRDefault="00E3532B" w:rsidP="006A6B58">
            <w:pPr>
              <w:jc w:val="center"/>
              <w:rPr>
                <w:lang w:val="en-GB"/>
              </w:rPr>
            </w:pPr>
            <w:r>
              <w:rPr>
                <w:lang w:val="en-GB"/>
              </w:rPr>
              <w:t>5014</w:t>
            </w:r>
          </w:p>
        </w:tc>
        <w:tc>
          <w:tcPr>
            <w:tcW w:w="990" w:type="dxa"/>
            <w:vAlign w:val="center"/>
          </w:tcPr>
          <w:p w14:paraId="0CB0068C" w14:textId="6EFD9D5B" w:rsidR="00846F58" w:rsidRDefault="00E3532B" w:rsidP="006A6B58">
            <w:pPr>
              <w:jc w:val="center"/>
              <w:rPr>
                <w:lang w:val="en-GB"/>
              </w:rPr>
            </w:pPr>
            <w:r>
              <w:rPr>
                <w:lang w:val="en-GB"/>
              </w:rPr>
              <w:t>0,04</w:t>
            </w:r>
          </w:p>
        </w:tc>
        <w:tc>
          <w:tcPr>
            <w:tcW w:w="1410" w:type="dxa"/>
            <w:vAlign w:val="center"/>
          </w:tcPr>
          <w:p w14:paraId="57F7CF85" w14:textId="44666A7D" w:rsidR="00846F58" w:rsidRDefault="00E3532B" w:rsidP="006A6B58">
            <w:pPr>
              <w:jc w:val="center"/>
              <w:rPr>
                <w:lang w:val="en-GB"/>
              </w:rPr>
            </w:pPr>
            <w:r>
              <w:rPr>
                <w:lang w:val="en-GB"/>
              </w:rPr>
              <w:t>0,216</w:t>
            </w:r>
          </w:p>
        </w:tc>
        <w:tc>
          <w:tcPr>
            <w:tcW w:w="1273" w:type="dxa"/>
            <w:vMerge/>
          </w:tcPr>
          <w:p w14:paraId="58E11707" w14:textId="77777777" w:rsidR="00846F58" w:rsidRDefault="00846F58" w:rsidP="0077166E">
            <w:pPr>
              <w:jc w:val="both"/>
              <w:rPr>
                <w:lang w:val="en-GB"/>
              </w:rPr>
            </w:pPr>
          </w:p>
        </w:tc>
        <w:tc>
          <w:tcPr>
            <w:tcW w:w="1412" w:type="dxa"/>
            <w:vMerge/>
          </w:tcPr>
          <w:p w14:paraId="4E3D4F18" w14:textId="77777777" w:rsidR="00846F58" w:rsidRDefault="00846F58" w:rsidP="0077166E">
            <w:pPr>
              <w:jc w:val="both"/>
              <w:rPr>
                <w:lang w:val="en-GB"/>
              </w:rPr>
            </w:pPr>
          </w:p>
        </w:tc>
      </w:tr>
    </w:tbl>
    <w:p w14:paraId="709E842A" w14:textId="77777777" w:rsidR="00A16D93" w:rsidRDefault="00A16D93" w:rsidP="00070F72">
      <w:pPr>
        <w:spacing w:line="360" w:lineRule="auto"/>
        <w:jc w:val="both"/>
        <w:rPr>
          <w:lang w:val="en-GB"/>
        </w:rPr>
      </w:pPr>
    </w:p>
    <w:p w14:paraId="130A4249" w14:textId="61AA0821" w:rsidR="00626957" w:rsidRDefault="005147FA" w:rsidP="00070F72">
      <w:pPr>
        <w:spacing w:line="360" w:lineRule="auto"/>
        <w:jc w:val="both"/>
        <w:rPr>
          <w:lang w:val="en-GB"/>
        </w:rPr>
      </w:pPr>
      <w:r>
        <w:rPr>
          <w:noProof/>
          <w:lang w:val="en-GB" w:eastAsia="en-GB"/>
        </w:rPr>
        <w:lastRenderedPageBreak/>
        <mc:AlternateContent>
          <mc:Choice Requires="wps">
            <w:drawing>
              <wp:anchor distT="0" distB="0" distL="114300" distR="114300" simplePos="0" relativeHeight="251794432" behindDoc="0" locked="0" layoutInCell="1" allowOverlap="1" wp14:anchorId="45A88749" wp14:editId="4760AD52">
                <wp:simplePos x="0" y="0"/>
                <wp:positionH relativeFrom="column">
                  <wp:posOffset>15240</wp:posOffset>
                </wp:positionH>
                <wp:positionV relativeFrom="paragraph">
                  <wp:posOffset>2938145</wp:posOffset>
                </wp:positionV>
                <wp:extent cx="6092190" cy="191135"/>
                <wp:effectExtent l="0" t="0" r="3810" b="0"/>
                <wp:wrapNone/>
                <wp:docPr id="118" name="Tekstvak 118"/>
                <wp:cNvGraphicFramePr/>
                <a:graphic xmlns:a="http://schemas.openxmlformats.org/drawingml/2006/main">
                  <a:graphicData uri="http://schemas.microsoft.com/office/word/2010/wordprocessingShape">
                    <wps:wsp>
                      <wps:cNvSpPr txBox="1"/>
                      <wps:spPr>
                        <a:xfrm>
                          <a:off x="0" y="0"/>
                          <a:ext cx="6092190" cy="191135"/>
                        </a:xfrm>
                        <a:prstGeom prst="rect">
                          <a:avLst/>
                        </a:prstGeom>
                        <a:solidFill>
                          <a:prstClr val="white"/>
                        </a:solidFill>
                        <a:ln>
                          <a:noFill/>
                        </a:ln>
                        <a:effectLst/>
                      </wps:spPr>
                      <wps:txbx>
                        <w:txbxContent>
                          <w:p w14:paraId="54892D1F" w14:textId="2F49BA4C" w:rsidR="00A726AB" w:rsidRPr="0017526D" w:rsidRDefault="00A726AB" w:rsidP="005147FA">
                            <w:pPr>
                              <w:pStyle w:val="Kop5"/>
                              <w:rPr>
                                <w:noProof/>
                              </w:rPr>
                            </w:pPr>
                            <w:r>
                              <w:t>Figure 7</w:t>
                            </w:r>
                            <w:r w:rsidRPr="0017526D">
                              <w:t>:</w:t>
                            </w:r>
                            <w:r>
                              <w:t xml:space="preserve"> </w:t>
                            </w:r>
                            <w:r w:rsidRPr="0017526D">
                              <w:t>the effect of equity compensation on fiduciary performance measured by ICMW disclosure.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8" o:spid="_x0000_s1127" type="#_x0000_t202" style="position:absolute;left:0;text-align:left;margin-left:1.2pt;margin-top:231.35pt;width:479.7pt;height:15.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" stroked="f">
                <v:textbox inset="0,0,0,0">
                  <w:txbxContent>
                    <w:p w14:paraId="54892D1F" w14:textId="2F49BA4C" w:rsidR="00A726AB" w:rsidRPr="0017526D" w:rsidRDefault="00A726AB" w:rsidP="005147FA">
                      <w:pPr>
                        <w:pStyle w:val="Kop5"/>
                        <w:rPr>
                          <w:noProof/>
                        </w:rPr>
                      </w:pPr>
                      <w:r>
                        <w:t>Figure 7</w:t>
                      </w:r>
                      <w:r w:rsidRPr="0017526D">
                        <w:t>:</w:t>
                      </w:r>
                      <w:r>
                        <w:t xml:space="preserve"> </w:t>
                      </w:r>
                      <w:r w:rsidRPr="0017526D">
                        <w:t>the effect of equity compensation on fiduciary performance measured by ICMW disclosure.</w:t>
                      </w:r>
                    </w:p>
                  </w:txbxContent>
                </v:textbox>
              </v:shape>
            </w:pict>
          </mc:Fallback>
        </mc:AlternateContent>
      </w:r>
      <w:r>
        <w:rPr>
          <w:noProof/>
          <w:lang w:val="en-GB" w:eastAsia="en-GB"/>
        </w:rPr>
        <mc:AlternateContent>
          <mc:Choice Requires="wps">
            <w:drawing>
              <wp:anchor distT="0" distB="0" distL="114300" distR="114300" simplePos="0" relativeHeight="251779072" behindDoc="0" locked="0" layoutInCell="1" allowOverlap="1" wp14:anchorId="1779AE70" wp14:editId="5306CFDA">
                <wp:simplePos x="0" y="0"/>
                <wp:positionH relativeFrom="column">
                  <wp:posOffset>15240</wp:posOffset>
                </wp:positionH>
                <wp:positionV relativeFrom="paragraph">
                  <wp:posOffset>-240665</wp:posOffset>
                </wp:positionV>
                <wp:extent cx="5974715" cy="215265"/>
                <wp:effectExtent l="0" t="0" r="6985" b="0"/>
                <wp:wrapNone/>
                <wp:docPr id="81" name="Tekstvak 81"/>
                <wp:cNvGraphicFramePr/>
                <a:graphic xmlns:a="http://schemas.openxmlformats.org/drawingml/2006/main">
                  <a:graphicData uri="http://schemas.microsoft.com/office/word/2010/wordprocessingShape">
                    <wps:wsp>
                      <wps:cNvSpPr txBox="1"/>
                      <wps:spPr>
                        <a:xfrm>
                          <a:off x="0" y="0"/>
                          <a:ext cx="5974715" cy="215265"/>
                        </a:xfrm>
                        <a:prstGeom prst="rect">
                          <a:avLst/>
                        </a:prstGeom>
                        <a:solidFill>
                          <a:prstClr val="white"/>
                        </a:solidFill>
                        <a:ln>
                          <a:noFill/>
                        </a:ln>
                        <a:effectLst/>
                      </wps:spPr>
                      <wps:txbx>
                        <w:txbxContent>
                          <w:p w14:paraId="270F4BD8" w14:textId="439881D8" w:rsidR="00A726AB" w:rsidRPr="008A37D9" w:rsidRDefault="00A726AB" w:rsidP="005147FA">
                            <w:pPr>
                              <w:pStyle w:val="Kop5"/>
                              <w:rPr>
                                <w:noProof/>
                              </w:rPr>
                            </w:pPr>
                            <w:r w:rsidRPr="008A37D9">
                              <w:t xml:space="preserve">Figure </w:t>
                            </w:r>
                            <w:r>
                              <w:t>6</w:t>
                            </w:r>
                            <w:r w:rsidRPr="008A37D9">
                              <w:t xml:space="preserve">: the effect of equity compensation on firm's </w:t>
                            </w:r>
                            <w:r>
                              <w:t>managerial performance measured by firm’s financial performance.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1" o:spid="_x0000_s1128" type="#_x0000_t202" style="position:absolute;left:0;text-align:left;margin-left:1.2pt;margin-top:-18.95pt;width:470.45pt;height:16.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" stroked="f">
                <v:textbox inset="0,0,0,0">
                  <w:txbxContent>
                    <w:p w14:paraId="270F4BD8" w14:textId="439881D8" w:rsidR="00A726AB" w:rsidRPr="008A37D9" w:rsidRDefault="00A726AB" w:rsidP="005147FA">
                      <w:pPr>
                        <w:pStyle w:val="Kop5"/>
                        <w:rPr>
                          <w:noProof/>
                        </w:rPr>
                      </w:pPr>
                      <w:r w:rsidRPr="008A37D9">
                        <w:t xml:space="preserve">Figure </w:t>
                      </w:r>
                      <w:r>
                        <w:t>6</w:t>
                      </w:r>
                      <w:r w:rsidRPr="008A37D9">
                        <w:t xml:space="preserve">: the effect of equity compensation on firm's </w:t>
                      </w:r>
                      <w:r>
                        <w:t>managerial performance measured by firm’s financial performance.</w:t>
                      </w:r>
                    </w:p>
                  </w:txbxContent>
                </v:textbox>
              </v:shape>
            </w:pict>
          </mc:Fallback>
        </mc:AlternateContent>
      </w:r>
      <w:r w:rsidR="00D57D4D">
        <w:rPr>
          <w:noProof/>
          <w:lang w:val="en-GB" w:eastAsia="en-GB"/>
        </w:rPr>
        <w:drawing>
          <wp:anchor distT="0" distB="0" distL="114300" distR="114300" simplePos="0" relativeHeight="251780096" behindDoc="0" locked="0" layoutInCell="1" allowOverlap="1" wp14:anchorId="464AB450" wp14:editId="2C8E03FC">
            <wp:simplePos x="0" y="0"/>
            <wp:positionH relativeFrom="column">
              <wp:posOffset>-558800</wp:posOffset>
            </wp:positionH>
            <wp:positionV relativeFrom="paragraph">
              <wp:posOffset>3180715</wp:posOffset>
            </wp:positionV>
            <wp:extent cx="6840220" cy="2639060"/>
            <wp:effectExtent l="0" t="0" r="17780" b="27940"/>
            <wp:wrapTopAndBottom/>
            <wp:docPr id="82" name="Grafiek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57D4D">
        <w:rPr>
          <w:noProof/>
          <w:lang w:val="en-GB" w:eastAsia="en-GB"/>
        </w:rPr>
        <w:drawing>
          <wp:anchor distT="0" distB="0" distL="114300" distR="114300" simplePos="0" relativeHeight="251777024" behindDoc="0" locked="0" layoutInCell="1" allowOverlap="1" wp14:anchorId="4A67AFEC" wp14:editId="365404E1">
            <wp:simplePos x="0" y="0"/>
            <wp:positionH relativeFrom="column">
              <wp:posOffset>-554990</wp:posOffset>
            </wp:positionH>
            <wp:positionV relativeFrom="paragraph">
              <wp:posOffset>29210</wp:posOffset>
            </wp:positionV>
            <wp:extent cx="6840220" cy="2621915"/>
            <wp:effectExtent l="0" t="0" r="17780" b="26035"/>
            <wp:wrapTopAndBottom/>
            <wp:docPr id="80" name="Grafiek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1082A3C" w14:textId="6BD7FF09" w:rsidR="00A43300" w:rsidRDefault="00DF7A1A" w:rsidP="00070F72">
      <w:pPr>
        <w:spacing w:line="360" w:lineRule="auto"/>
        <w:jc w:val="both"/>
        <w:rPr>
          <w:lang w:val="en-GB"/>
        </w:rPr>
      </w:pPr>
      <w:r>
        <w:rPr>
          <w:noProof/>
          <w:lang w:val="en-GB" w:eastAsia="en-GB"/>
        </w:rPr>
        <mc:AlternateContent>
          <mc:Choice Requires="wps">
            <w:drawing>
              <wp:anchor distT="0" distB="0" distL="114300" distR="114300" simplePos="0" relativeHeight="251788288" behindDoc="0" locked="0" layoutInCell="1" allowOverlap="1" wp14:anchorId="76557685" wp14:editId="2B058A94">
                <wp:simplePos x="0" y="0"/>
                <wp:positionH relativeFrom="column">
                  <wp:posOffset>14723</wp:posOffset>
                </wp:positionH>
                <wp:positionV relativeFrom="paragraph">
                  <wp:posOffset>3089112</wp:posOffset>
                </wp:positionV>
                <wp:extent cx="5570855" cy="169545"/>
                <wp:effectExtent l="0" t="0" r="0" b="1905"/>
                <wp:wrapNone/>
                <wp:docPr id="114" name="Tekstvak 114"/>
                <wp:cNvGraphicFramePr/>
                <a:graphic xmlns:a="http://schemas.openxmlformats.org/drawingml/2006/main">
                  <a:graphicData uri="http://schemas.microsoft.com/office/word/2010/wordprocessingShape">
                    <wps:wsp>
                      <wps:cNvSpPr txBox="1"/>
                      <wps:spPr>
                        <a:xfrm>
                          <a:off x="0" y="0"/>
                          <a:ext cx="5570855" cy="169545"/>
                        </a:xfrm>
                        <a:prstGeom prst="rect">
                          <a:avLst/>
                        </a:prstGeom>
                        <a:solidFill>
                          <a:prstClr val="white"/>
                        </a:solidFill>
                        <a:ln>
                          <a:noFill/>
                        </a:ln>
                        <a:effectLst/>
                      </wps:spPr>
                      <wps:txbx>
                        <w:txbxContent>
                          <w:p w14:paraId="7BAFC843" w14:textId="5F2417FC" w:rsidR="00A726AB" w:rsidRPr="003C0C79" w:rsidRDefault="00A726AB" w:rsidP="005147FA">
                            <w:pPr>
                              <w:pStyle w:val="Kop5"/>
                              <w:rPr>
                                <w:noProof/>
                              </w:rPr>
                            </w:pPr>
                            <w:r w:rsidRPr="003C0C79">
                              <w:t xml:space="preserve">Figure </w:t>
                            </w:r>
                            <w:r>
                              <w:t>8</w:t>
                            </w:r>
                            <w:r w:rsidRPr="003C0C79">
                              <w:t>: the e</w:t>
                            </w:r>
                            <w:r>
                              <w:t>ffect of equity compensation on</w:t>
                            </w:r>
                            <w:r w:rsidRPr="003C0C79">
                              <w:t xml:space="preserve"> </w:t>
                            </w:r>
                            <w:r>
                              <w:t>fiduciary performance measured by financial restatements.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4" o:spid="_x0000_s1129" type="#_x0000_t202" style="position:absolute;left:0;text-align:left;margin-left:1.15pt;margin-top:243.25pt;width:438.65pt;height:13.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" stroked="f">
                <v:textbox inset="0,0,0,0">
                  <w:txbxContent>
                    <w:p w14:paraId="7BAFC843" w14:textId="5F2417FC" w:rsidR="00A726AB" w:rsidRPr="003C0C79" w:rsidRDefault="00A726AB" w:rsidP="005147FA">
                      <w:pPr>
                        <w:pStyle w:val="Kop5"/>
                        <w:rPr>
                          <w:noProof/>
                        </w:rPr>
                      </w:pPr>
                      <w:r w:rsidRPr="003C0C79">
                        <w:t xml:space="preserve">Figure </w:t>
                      </w:r>
                      <w:r>
                        <w:t>8</w:t>
                      </w:r>
                      <w:r w:rsidRPr="003C0C79">
                        <w:t>: the e</w:t>
                      </w:r>
                      <w:r>
                        <w:t>ffect of equity compensation on</w:t>
                      </w:r>
                      <w:r w:rsidRPr="003C0C79">
                        <w:t xml:space="preserve"> </w:t>
                      </w:r>
                      <w:r>
                        <w:t>fiduciary performance measured by financial restatements.</w:t>
                      </w:r>
                    </w:p>
                  </w:txbxContent>
                </v:textbox>
              </v:shape>
            </w:pict>
          </mc:Fallback>
        </mc:AlternateContent>
      </w:r>
      <w:r w:rsidR="00D25F27">
        <w:rPr>
          <w:noProof/>
          <w:lang w:val="en-GB" w:eastAsia="en-GB"/>
        </w:rPr>
        <w:drawing>
          <wp:anchor distT="0" distB="0" distL="114300" distR="114300" simplePos="0" relativeHeight="251786240" behindDoc="0" locked="0" layoutInCell="1" allowOverlap="1" wp14:anchorId="255887F0" wp14:editId="585FFB32">
            <wp:simplePos x="0" y="0"/>
            <wp:positionH relativeFrom="column">
              <wp:posOffset>-549275</wp:posOffset>
            </wp:positionH>
            <wp:positionV relativeFrom="paragraph">
              <wp:posOffset>3336925</wp:posOffset>
            </wp:positionV>
            <wp:extent cx="6840220" cy="2639060"/>
            <wp:effectExtent l="0" t="0" r="17780" b="27940"/>
            <wp:wrapTopAndBottom/>
            <wp:docPr id="113" name="Grafiek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54D6722" w14:textId="110D96FC" w:rsidR="00CE107B" w:rsidRDefault="00CE107B" w:rsidP="00CE107B">
      <w:pPr>
        <w:spacing w:line="360" w:lineRule="auto"/>
        <w:jc w:val="both"/>
        <w:rPr>
          <w:lang w:val="en-GB"/>
        </w:rPr>
      </w:pPr>
      <w:r>
        <w:rPr>
          <w:lang w:val="en-GB"/>
        </w:rPr>
        <w:lastRenderedPageBreak/>
        <w:t xml:space="preserve">To test hypothesis 3, a regression is performed. The results are </w:t>
      </w:r>
      <w:r w:rsidR="00817E36">
        <w:rPr>
          <w:lang w:val="en-GB"/>
        </w:rPr>
        <w:t xml:space="preserve">presented </w:t>
      </w:r>
      <w:r>
        <w:rPr>
          <w:lang w:val="en-GB"/>
        </w:rPr>
        <w:t xml:space="preserve">in table </w:t>
      </w:r>
      <w:r w:rsidR="00817E36">
        <w:rPr>
          <w:lang w:val="en-GB"/>
        </w:rPr>
        <w:t>9</w:t>
      </w:r>
      <w:r>
        <w:rPr>
          <w:lang w:val="en-GB"/>
        </w:rPr>
        <w:t>. None of the p-values is significant, except for the control variable for firm size. This implicates that managerial performance and fiduciary performance are not associated with total CFO performance.</w:t>
      </w:r>
    </w:p>
    <w:p w14:paraId="420A896B" w14:textId="5BA32F5D" w:rsidR="003C0C79" w:rsidRPr="00DF7A1A" w:rsidRDefault="003C0C79" w:rsidP="005147FA">
      <w:pPr>
        <w:pStyle w:val="Kop5"/>
      </w:pPr>
      <w:r w:rsidRPr="00DF7A1A">
        <w:t xml:space="preserve">Table </w:t>
      </w:r>
      <w:r w:rsidR="00DF7A1A">
        <w:fldChar w:fldCharType="begin"/>
      </w:r>
      <w:r w:rsidR="00DF7A1A">
        <w:instrText xml:space="preserve"> SEQ Table \* ARABIC </w:instrText>
      </w:r>
      <w:r w:rsidR="00DF7A1A">
        <w:fldChar w:fldCharType="separate"/>
      </w:r>
      <w:r w:rsidR="004043A1">
        <w:rPr>
          <w:noProof/>
        </w:rPr>
        <w:t>9</w:t>
      </w:r>
      <w:r w:rsidR="00DF7A1A">
        <w:fldChar w:fldCharType="end"/>
      </w:r>
      <w:r w:rsidR="00541F67" w:rsidRPr="00DF7A1A">
        <w:t>:</w:t>
      </w:r>
      <w:r w:rsidR="00DF7A1A" w:rsidRPr="00DF7A1A">
        <w:t xml:space="preserve"> </w:t>
      </w:r>
      <w:r w:rsidR="005147FA">
        <w:t>Association between CFO’s managerial, fiduciary and total performance</w:t>
      </w:r>
    </w:p>
    <w:tbl>
      <w:tblPr>
        <w:tblStyle w:val="Tabelraster"/>
        <w:tblW w:w="9747" w:type="dxa"/>
        <w:tblLook w:val="04A0" w:firstRow="1" w:lastRow="0" w:firstColumn="1" w:lastColumn="0" w:noHBand="0" w:noVBand="1"/>
      </w:tblPr>
      <w:tblGrid>
        <w:gridCol w:w="2518"/>
        <w:gridCol w:w="2410"/>
        <w:gridCol w:w="2551"/>
        <w:gridCol w:w="2268"/>
      </w:tblGrid>
      <w:tr w:rsidR="004F5A76" w:rsidRPr="00014636" w14:paraId="0E28AE7F" w14:textId="77777777" w:rsidTr="006F38EF">
        <w:tc>
          <w:tcPr>
            <w:tcW w:w="9747" w:type="dxa"/>
            <w:gridSpan w:val="4"/>
          </w:tcPr>
          <w:p w14:paraId="4A00722B" w14:textId="328A2456" w:rsidR="004F5A76" w:rsidRDefault="004F5A76" w:rsidP="004F5A76">
            <w:pPr>
              <w:jc w:val="center"/>
              <w:rPr>
                <w:lang w:val="en-GB"/>
              </w:rPr>
            </w:pPr>
            <w:r>
              <w:rPr>
                <w:lang w:val="en-GB"/>
              </w:rPr>
              <w:t>Dependent variable: stock performance</w:t>
            </w:r>
          </w:p>
        </w:tc>
      </w:tr>
      <w:tr w:rsidR="004F5A76" w:rsidRPr="00014636" w14:paraId="172C7C56" w14:textId="77777777" w:rsidTr="00732E7D">
        <w:tc>
          <w:tcPr>
            <w:tcW w:w="2518" w:type="dxa"/>
            <w:vMerge w:val="restart"/>
          </w:tcPr>
          <w:p w14:paraId="4CF73D12" w14:textId="7C00060F" w:rsidR="004F5A76" w:rsidRDefault="004F5A76" w:rsidP="00C914C9">
            <w:pPr>
              <w:rPr>
                <w:lang w:val="en-GB"/>
              </w:rPr>
            </w:pPr>
          </w:p>
        </w:tc>
        <w:tc>
          <w:tcPr>
            <w:tcW w:w="4961" w:type="dxa"/>
            <w:gridSpan w:val="2"/>
            <w:tcBorders>
              <w:bottom w:val="single" w:sz="4" w:space="0" w:color="auto"/>
            </w:tcBorders>
          </w:tcPr>
          <w:p w14:paraId="36582B6E" w14:textId="4E13C18D" w:rsidR="004F5A76" w:rsidRPr="0038674F" w:rsidRDefault="004F5A76" w:rsidP="00732E7D">
            <w:pPr>
              <w:jc w:val="center"/>
            </w:pPr>
            <w:r>
              <w:rPr>
                <w:lang w:val="en-GB"/>
              </w:rPr>
              <w:t>Unstandardized coefficients</w:t>
            </w:r>
          </w:p>
        </w:tc>
        <w:tc>
          <w:tcPr>
            <w:tcW w:w="2268" w:type="dxa"/>
            <w:tcBorders>
              <w:bottom w:val="single" w:sz="4" w:space="0" w:color="auto"/>
            </w:tcBorders>
          </w:tcPr>
          <w:p w14:paraId="6F86F027" w14:textId="05C3D955" w:rsidR="004F5A76" w:rsidRDefault="004F5A76" w:rsidP="00732E7D">
            <w:pPr>
              <w:jc w:val="center"/>
              <w:rPr>
                <w:lang w:val="en-GB"/>
              </w:rPr>
            </w:pPr>
          </w:p>
        </w:tc>
      </w:tr>
      <w:tr w:rsidR="004F5A76" w:rsidRPr="00732E7D" w14:paraId="785016CB" w14:textId="77777777" w:rsidTr="00732E7D">
        <w:tc>
          <w:tcPr>
            <w:tcW w:w="2518" w:type="dxa"/>
            <w:vMerge/>
          </w:tcPr>
          <w:p w14:paraId="4DD4E8A8" w14:textId="77777777" w:rsidR="004F5A76" w:rsidRDefault="004F5A76" w:rsidP="006F38EF">
            <w:pPr>
              <w:jc w:val="both"/>
              <w:rPr>
                <w:lang w:val="en-GB"/>
              </w:rPr>
            </w:pPr>
          </w:p>
        </w:tc>
        <w:tc>
          <w:tcPr>
            <w:tcW w:w="2410" w:type="dxa"/>
            <w:tcBorders>
              <w:bottom w:val="single" w:sz="4" w:space="0" w:color="auto"/>
            </w:tcBorders>
          </w:tcPr>
          <w:p w14:paraId="7BEE51DD" w14:textId="5045D40C" w:rsidR="004F5A76" w:rsidRDefault="004F5A76" w:rsidP="002958DC">
            <w:pPr>
              <w:jc w:val="center"/>
              <w:rPr>
                <w:lang w:val="en-GB"/>
              </w:rPr>
            </w:pPr>
            <w:r>
              <w:rPr>
                <w:lang w:val="en-GB"/>
              </w:rPr>
              <w:t>Coefficient</w:t>
            </w:r>
          </w:p>
        </w:tc>
        <w:tc>
          <w:tcPr>
            <w:tcW w:w="2551" w:type="dxa"/>
            <w:tcBorders>
              <w:bottom w:val="single" w:sz="4" w:space="0" w:color="auto"/>
            </w:tcBorders>
          </w:tcPr>
          <w:p w14:paraId="00C78D84" w14:textId="21141969" w:rsidR="004F5A76" w:rsidRPr="00732E7D" w:rsidRDefault="004F5A76" w:rsidP="002958DC">
            <w:pPr>
              <w:jc w:val="center"/>
              <w:rPr>
                <w:lang w:val="en-GB"/>
              </w:rPr>
            </w:pPr>
            <w:r w:rsidRPr="00732E7D">
              <w:rPr>
                <w:lang w:val="en-GB"/>
              </w:rPr>
              <w:t>Std. Error</w:t>
            </w:r>
          </w:p>
        </w:tc>
        <w:tc>
          <w:tcPr>
            <w:tcW w:w="2268" w:type="dxa"/>
            <w:tcBorders>
              <w:bottom w:val="single" w:sz="4" w:space="0" w:color="auto"/>
            </w:tcBorders>
          </w:tcPr>
          <w:p w14:paraId="028CA8BE" w14:textId="45754BF3" w:rsidR="004F5A76" w:rsidRDefault="004F5A76" w:rsidP="002958DC">
            <w:pPr>
              <w:jc w:val="center"/>
              <w:rPr>
                <w:lang w:val="en-GB"/>
              </w:rPr>
            </w:pPr>
            <w:r>
              <w:rPr>
                <w:lang w:val="en-GB"/>
              </w:rPr>
              <w:t>p-value</w:t>
            </w:r>
          </w:p>
        </w:tc>
      </w:tr>
      <w:tr w:rsidR="00732E7D" w14:paraId="2809D65C" w14:textId="77777777" w:rsidTr="00817E36">
        <w:trPr>
          <w:trHeight w:val="547"/>
        </w:trPr>
        <w:tc>
          <w:tcPr>
            <w:tcW w:w="2518" w:type="dxa"/>
            <w:tcBorders>
              <w:right w:val="single" w:sz="4" w:space="0" w:color="auto"/>
            </w:tcBorders>
            <w:vAlign w:val="center"/>
          </w:tcPr>
          <w:p w14:paraId="20AAAE56" w14:textId="0E2B0E4F" w:rsidR="00732E7D" w:rsidRDefault="00732E7D" w:rsidP="00817E36">
            <w:pPr>
              <w:jc w:val="center"/>
              <w:rPr>
                <w:lang w:val="en-GB"/>
              </w:rPr>
            </w:pPr>
            <w:r>
              <w:rPr>
                <w:lang w:val="en-GB"/>
              </w:rPr>
              <w:t>Constant</w:t>
            </w:r>
          </w:p>
        </w:tc>
        <w:tc>
          <w:tcPr>
            <w:tcW w:w="2410" w:type="dxa"/>
            <w:tcBorders>
              <w:top w:val="single" w:sz="4" w:space="0" w:color="auto"/>
              <w:left w:val="single" w:sz="4" w:space="0" w:color="auto"/>
              <w:right w:val="single" w:sz="4" w:space="0" w:color="auto"/>
            </w:tcBorders>
            <w:vAlign w:val="center"/>
          </w:tcPr>
          <w:p w14:paraId="4EEECA78" w14:textId="73EB0AB6" w:rsidR="00732E7D" w:rsidRDefault="00732E7D" w:rsidP="00817E36">
            <w:pPr>
              <w:jc w:val="center"/>
              <w:rPr>
                <w:lang w:val="en-GB"/>
              </w:rPr>
            </w:pPr>
            <w:r>
              <w:rPr>
                <w:lang w:val="en-GB"/>
              </w:rPr>
              <w:t>-0,210</w:t>
            </w:r>
          </w:p>
        </w:tc>
        <w:tc>
          <w:tcPr>
            <w:tcW w:w="2551" w:type="dxa"/>
            <w:tcBorders>
              <w:top w:val="single" w:sz="4" w:space="0" w:color="auto"/>
              <w:left w:val="single" w:sz="4" w:space="0" w:color="auto"/>
              <w:right w:val="single" w:sz="4" w:space="0" w:color="auto"/>
            </w:tcBorders>
            <w:vAlign w:val="center"/>
          </w:tcPr>
          <w:p w14:paraId="39DA4465" w14:textId="4FD17130" w:rsidR="00732E7D" w:rsidRDefault="00732E7D" w:rsidP="00817E36">
            <w:pPr>
              <w:jc w:val="center"/>
              <w:rPr>
                <w:lang w:val="en-GB"/>
              </w:rPr>
            </w:pPr>
            <w:r>
              <w:rPr>
                <w:lang w:val="en-GB"/>
              </w:rPr>
              <w:t>0,164</w:t>
            </w:r>
          </w:p>
        </w:tc>
        <w:tc>
          <w:tcPr>
            <w:tcW w:w="2268" w:type="dxa"/>
            <w:tcBorders>
              <w:top w:val="single" w:sz="4" w:space="0" w:color="auto"/>
              <w:left w:val="single" w:sz="4" w:space="0" w:color="auto"/>
              <w:right w:val="single" w:sz="4" w:space="0" w:color="auto"/>
            </w:tcBorders>
          </w:tcPr>
          <w:p w14:paraId="1B1F836D" w14:textId="77777777" w:rsidR="00732E7D" w:rsidRDefault="00732E7D" w:rsidP="00732E7D">
            <w:pPr>
              <w:jc w:val="center"/>
              <w:rPr>
                <w:lang w:val="en-GB"/>
              </w:rPr>
            </w:pPr>
            <w:r>
              <w:rPr>
                <w:lang w:val="en-GB"/>
              </w:rPr>
              <w:t>0,200</w:t>
            </w:r>
          </w:p>
          <w:p w14:paraId="057EB8A0" w14:textId="23019B81" w:rsidR="00732E7D" w:rsidRDefault="00732E7D" w:rsidP="00732E7D">
            <w:pPr>
              <w:jc w:val="center"/>
              <w:rPr>
                <w:lang w:val="en-GB"/>
              </w:rPr>
            </w:pPr>
            <w:r>
              <w:rPr>
                <w:lang w:val="en-GB"/>
              </w:rPr>
              <w:t>(-1,281)</w:t>
            </w:r>
          </w:p>
        </w:tc>
      </w:tr>
      <w:tr w:rsidR="00732E7D" w14:paraId="7311E08B" w14:textId="77777777" w:rsidTr="00817E36">
        <w:trPr>
          <w:trHeight w:val="547"/>
        </w:trPr>
        <w:tc>
          <w:tcPr>
            <w:tcW w:w="2518" w:type="dxa"/>
            <w:tcBorders>
              <w:right w:val="single" w:sz="4" w:space="0" w:color="auto"/>
            </w:tcBorders>
            <w:vAlign w:val="center"/>
          </w:tcPr>
          <w:p w14:paraId="7AA83E75" w14:textId="36219F0E" w:rsidR="00732E7D" w:rsidRDefault="00732E7D" w:rsidP="00817E36">
            <w:pPr>
              <w:jc w:val="center"/>
              <w:rPr>
                <w:lang w:val="en-GB"/>
              </w:rPr>
            </w:pPr>
            <w:r>
              <w:rPr>
                <w:lang w:val="en-GB"/>
              </w:rPr>
              <w:t>Financial performance</w:t>
            </w:r>
          </w:p>
        </w:tc>
        <w:tc>
          <w:tcPr>
            <w:tcW w:w="2410" w:type="dxa"/>
            <w:tcBorders>
              <w:top w:val="single" w:sz="4" w:space="0" w:color="auto"/>
              <w:left w:val="single" w:sz="4" w:space="0" w:color="auto"/>
              <w:right w:val="single" w:sz="4" w:space="0" w:color="auto"/>
            </w:tcBorders>
            <w:vAlign w:val="center"/>
          </w:tcPr>
          <w:p w14:paraId="23711959" w14:textId="017BB3CF" w:rsidR="00732E7D" w:rsidRDefault="00732E7D" w:rsidP="00817E36">
            <w:pPr>
              <w:jc w:val="center"/>
              <w:rPr>
                <w:lang w:val="en-GB"/>
              </w:rPr>
            </w:pPr>
            <w:r>
              <w:rPr>
                <w:lang w:val="en-GB"/>
              </w:rPr>
              <w:t>-0,002</w:t>
            </w:r>
          </w:p>
        </w:tc>
        <w:tc>
          <w:tcPr>
            <w:tcW w:w="2551" w:type="dxa"/>
            <w:tcBorders>
              <w:top w:val="single" w:sz="4" w:space="0" w:color="auto"/>
              <w:left w:val="single" w:sz="4" w:space="0" w:color="auto"/>
              <w:right w:val="single" w:sz="4" w:space="0" w:color="auto"/>
            </w:tcBorders>
            <w:vAlign w:val="center"/>
          </w:tcPr>
          <w:p w14:paraId="44E63523" w14:textId="40F1E038" w:rsidR="00732E7D" w:rsidRDefault="00732E7D" w:rsidP="00817E36">
            <w:pPr>
              <w:jc w:val="center"/>
              <w:rPr>
                <w:lang w:val="en-GB"/>
              </w:rPr>
            </w:pPr>
            <w:r>
              <w:rPr>
                <w:lang w:val="en-GB"/>
              </w:rPr>
              <w:t>0,002</w:t>
            </w:r>
          </w:p>
        </w:tc>
        <w:tc>
          <w:tcPr>
            <w:tcW w:w="2268" w:type="dxa"/>
            <w:tcBorders>
              <w:top w:val="single" w:sz="4" w:space="0" w:color="auto"/>
              <w:left w:val="single" w:sz="4" w:space="0" w:color="auto"/>
              <w:right w:val="single" w:sz="4" w:space="0" w:color="auto"/>
            </w:tcBorders>
          </w:tcPr>
          <w:p w14:paraId="0BAF0777" w14:textId="6D3C035F" w:rsidR="00732E7D" w:rsidRDefault="00732E7D" w:rsidP="00732E7D">
            <w:pPr>
              <w:jc w:val="center"/>
              <w:rPr>
                <w:lang w:val="en-GB"/>
              </w:rPr>
            </w:pPr>
            <w:r>
              <w:rPr>
                <w:lang w:val="en-GB"/>
              </w:rPr>
              <w:t>0,503</w:t>
            </w:r>
          </w:p>
          <w:p w14:paraId="4E915655" w14:textId="0FB77277" w:rsidR="00732E7D" w:rsidRDefault="00732E7D" w:rsidP="00732E7D">
            <w:pPr>
              <w:jc w:val="center"/>
              <w:rPr>
                <w:lang w:val="en-GB"/>
              </w:rPr>
            </w:pPr>
            <w:r>
              <w:rPr>
                <w:lang w:val="en-GB"/>
              </w:rPr>
              <w:t>(-0,670)</w:t>
            </w:r>
          </w:p>
        </w:tc>
      </w:tr>
      <w:tr w:rsidR="00732E7D" w14:paraId="1C1BD619" w14:textId="77777777" w:rsidTr="00817E36">
        <w:tc>
          <w:tcPr>
            <w:tcW w:w="2518" w:type="dxa"/>
            <w:tcBorders>
              <w:right w:val="single" w:sz="4" w:space="0" w:color="auto"/>
            </w:tcBorders>
            <w:vAlign w:val="center"/>
          </w:tcPr>
          <w:p w14:paraId="717CB30E" w14:textId="19F029FB" w:rsidR="00732E7D" w:rsidRDefault="00732E7D" w:rsidP="00817E36">
            <w:pPr>
              <w:jc w:val="center"/>
              <w:rPr>
                <w:lang w:val="en-GB"/>
              </w:rPr>
            </w:pPr>
            <w:r>
              <w:rPr>
                <w:lang w:val="en-GB"/>
              </w:rPr>
              <w:t>ICMW</w:t>
            </w:r>
          </w:p>
        </w:tc>
        <w:tc>
          <w:tcPr>
            <w:tcW w:w="2410" w:type="dxa"/>
            <w:tcBorders>
              <w:top w:val="single" w:sz="4" w:space="0" w:color="auto"/>
              <w:left w:val="single" w:sz="4" w:space="0" w:color="auto"/>
              <w:bottom w:val="single" w:sz="4" w:space="0" w:color="auto"/>
              <w:right w:val="single" w:sz="4" w:space="0" w:color="auto"/>
            </w:tcBorders>
            <w:vAlign w:val="center"/>
          </w:tcPr>
          <w:p w14:paraId="57EE24DC" w14:textId="01ADB736" w:rsidR="00732E7D" w:rsidRDefault="00732E7D" w:rsidP="00817E36">
            <w:pPr>
              <w:jc w:val="center"/>
              <w:rPr>
                <w:lang w:val="en-GB"/>
              </w:rPr>
            </w:pPr>
            <w:r>
              <w:rPr>
                <w:lang w:val="en-GB"/>
              </w:rPr>
              <w:t>-0,042</w:t>
            </w:r>
          </w:p>
        </w:tc>
        <w:tc>
          <w:tcPr>
            <w:tcW w:w="2551" w:type="dxa"/>
            <w:tcBorders>
              <w:top w:val="single" w:sz="4" w:space="0" w:color="auto"/>
              <w:left w:val="single" w:sz="4" w:space="0" w:color="auto"/>
              <w:bottom w:val="single" w:sz="4" w:space="0" w:color="auto"/>
              <w:right w:val="single" w:sz="4" w:space="0" w:color="auto"/>
            </w:tcBorders>
            <w:vAlign w:val="center"/>
          </w:tcPr>
          <w:p w14:paraId="6608E0AA" w14:textId="1A33AE85" w:rsidR="00732E7D" w:rsidRDefault="00732E7D" w:rsidP="00817E36">
            <w:pPr>
              <w:jc w:val="center"/>
              <w:rPr>
                <w:lang w:val="en-GB"/>
              </w:rPr>
            </w:pPr>
            <w:r>
              <w:rPr>
                <w:lang w:val="en-GB"/>
              </w:rPr>
              <w:t>0,053</w:t>
            </w:r>
          </w:p>
        </w:tc>
        <w:tc>
          <w:tcPr>
            <w:tcW w:w="2268" w:type="dxa"/>
            <w:tcBorders>
              <w:top w:val="single" w:sz="4" w:space="0" w:color="auto"/>
              <w:left w:val="single" w:sz="4" w:space="0" w:color="auto"/>
              <w:bottom w:val="single" w:sz="4" w:space="0" w:color="auto"/>
              <w:right w:val="single" w:sz="4" w:space="0" w:color="auto"/>
            </w:tcBorders>
          </w:tcPr>
          <w:p w14:paraId="325A33CC" w14:textId="77777777" w:rsidR="00732E7D" w:rsidRDefault="00732E7D" w:rsidP="00732E7D">
            <w:pPr>
              <w:jc w:val="center"/>
              <w:rPr>
                <w:lang w:val="en-GB"/>
              </w:rPr>
            </w:pPr>
            <w:r>
              <w:rPr>
                <w:lang w:val="en-GB"/>
              </w:rPr>
              <w:t>0,431</w:t>
            </w:r>
          </w:p>
          <w:p w14:paraId="7D9FC44D" w14:textId="09C7351D" w:rsidR="00732E7D" w:rsidRDefault="00732E7D" w:rsidP="00732E7D">
            <w:pPr>
              <w:jc w:val="center"/>
              <w:rPr>
                <w:lang w:val="en-GB"/>
              </w:rPr>
            </w:pPr>
            <w:r>
              <w:rPr>
                <w:lang w:val="en-GB"/>
              </w:rPr>
              <w:t>(-0,788)</w:t>
            </w:r>
          </w:p>
        </w:tc>
      </w:tr>
      <w:tr w:rsidR="00732E7D" w14:paraId="6D09FCBF" w14:textId="77777777" w:rsidTr="00817E36">
        <w:tc>
          <w:tcPr>
            <w:tcW w:w="2518" w:type="dxa"/>
            <w:tcBorders>
              <w:right w:val="single" w:sz="4" w:space="0" w:color="auto"/>
            </w:tcBorders>
            <w:vAlign w:val="center"/>
          </w:tcPr>
          <w:p w14:paraId="29D55622" w14:textId="6875C9AF" w:rsidR="00732E7D" w:rsidRDefault="00732E7D" w:rsidP="00817E36">
            <w:pPr>
              <w:jc w:val="center"/>
              <w:rPr>
                <w:lang w:val="en-GB"/>
              </w:rPr>
            </w:pPr>
            <w:r>
              <w:rPr>
                <w:lang w:val="en-GB"/>
              </w:rPr>
              <w:t>Restatement</w:t>
            </w:r>
          </w:p>
        </w:tc>
        <w:tc>
          <w:tcPr>
            <w:tcW w:w="2410" w:type="dxa"/>
            <w:tcBorders>
              <w:top w:val="single" w:sz="4" w:space="0" w:color="auto"/>
              <w:left w:val="single" w:sz="4" w:space="0" w:color="auto"/>
              <w:bottom w:val="single" w:sz="4" w:space="0" w:color="auto"/>
              <w:right w:val="single" w:sz="4" w:space="0" w:color="auto"/>
            </w:tcBorders>
            <w:vAlign w:val="center"/>
          </w:tcPr>
          <w:p w14:paraId="7856119E" w14:textId="005A5024" w:rsidR="00732E7D" w:rsidRDefault="00732E7D" w:rsidP="00817E36">
            <w:pPr>
              <w:jc w:val="center"/>
              <w:rPr>
                <w:lang w:val="en-GB"/>
              </w:rPr>
            </w:pPr>
            <w:r>
              <w:rPr>
                <w:lang w:val="en-GB"/>
              </w:rPr>
              <w:t>0,074</w:t>
            </w:r>
          </w:p>
        </w:tc>
        <w:tc>
          <w:tcPr>
            <w:tcW w:w="2551" w:type="dxa"/>
            <w:tcBorders>
              <w:top w:val="single" w:sz="4" w:space="0" w:color="auto"/>
              <w:left w:val="single" w:sz="4" w:space="0" w:color="auto"/>
              <w:bottom w:val="single" w:sz="4" w:space="0" w:color="auto"/>
              <w:right w:val="single" w:sz="4" w:space="0" w:color="auto"/>
            </w:tcBorders>
            <w:vAlign w:val="center"/>
          </w:tcPr>
          <w:p w14:paraId="18EECE3E" w14:textId="4BBAE68D" w:rsidR="00732E7D" w:rsidRDefault="00732E7D" w:rsidP="00817E36">
            <w:pPr>
              <w:jc w:val="center"/>
              <w:rPr>
                <w:lang w:val="en-GB"/>
              </w:rPr>
            </w:pPr>
            <w:r>
              <w:rPr>
                <w:lang w:val="en-GB"/>
              </w:rPr>
              <w:t>0,048</w:t>
            </w:r>
          </w:p>
        </w:tc>
        <w:tc>
          <w:tcPr>
            <w:tcW w:w="2268" w:type="dxa"/>
            <w:tcBorders>
              <w:top w:val="single" w:sz="4" w:space="0" w:color="auto"/>
              <w:left w:val="single" w:sz="4" w:space="0" w:color="auto"/>
              <w:bottom w:val="single" w:sz="4" w:space="0" w:color="auto"/>
              <w:right w:val="single" w:sz="4" w:space="0" w:color="auto"/>
            </w:tcBorders>
          </w:tcPr>
          <w:p w14:paraId="03900BA3" w14:textId="77777777" w:rsidR="00732E7D" w:rsidRDefault="00732E7D" w:rsidP="00732E7D">
            <w:pPr>
              <w:jc w:val="center"/>
              <w:rPr>
                <w:lang w:val="en-GB"/>
              </w:rPr>
            </w:pPr>
            <w:r>
              <w:rPr>
                <w:lang w:val="en-GB"/>
              </w:rPr>
              <w:t>0,122</w:t>
            </w:r>
          </w:p>
          <w:p w14:paraId="1C6ACD1C" w14:textId="558CE499" w:rsidR="00732E7D" w:rsidRDefault="00732E7D" w:rsidP="00732E7D">
            <w:pPr>
              <w:jc w:val="center"/>
              <w:rPr>
                <w:lang w:val="en-GB"/>
              </w:rPr>
            </w:pPr>
            <w:r>
              <w:rPr>
                <w:lang w:val="en-GB"/>
              </w:rPr>
              <w:t>(1,546)</w:t>
            </w:r>
          </w:p>
        </w:tc>
      </w:tr>
      <w:tr w:rsidR="00732E7D" w14:paraId="2D67607F" w14:textId="77777777" w:rsidTr="00817E36">
        <w:tc>
          <w:tcPr>
            <w:tcW w:w="2518" w:type="dxa"/>
            <w:tcBorders>
              <w:right w:val="single" w:sz="4" w:space="0" w:color="auto"/>
            </w:tcBorders>
            <w:vAlign w:val="center"/>
          </w:tcPr>
          <w:p w14:paraId="63D21706" w14:textId="481B2CA7" w:rsidR="00732E7D" w:rsidRDefault="00732E7D" w:rsidP="00817E36">
            <w:pPr>
              <w:jc w:val="center"/>
              <w:rPr>
                <w:lang w:val="en-GB"/>
              </w:rPr>
            </w:pPr>
            <w:r>
              <w:rPr>
                <w:lang w:val="en-GB"/>
              </w:rPr>
              <w:t>Revenue</w:t>
            </w:r>
          </w:p>
        </w:tc>
        <w:tc>
          <w:tcPr>
            <w:tcW w:w="2410" w:type="dxa"/>
            <w:tcBorders>
              <w:top w:val="single" w:sz="4" w:space="0" w:color="auto"/>
              <w:left w:val="single" w:sz="4" w:space="0" w:color="auto"/>
              <w:bottom w:val="single" w:sz="4" w:space="0" w:color="auto"/>
              <w:right w:val="single" w:sz="4" w:space="0" w:color="auto"/>
            </w:tcBorders>
            <w:vAlign w:val="center"/>
          </w:tcPr>
          <w:p w14:paraId="0DCA2CDB" w14:textId="23C11290" w:rsidR="00732E7D" w:rsidRDefault="00732E7D" w:rsidP="00817E36">
            <w:pPr>
              <w:jc w:val="center"/>
              <w:rPr>
                <w:lang w:val="en-GB"/>
              </w:rPr>
            </w:pPr>
            <w:r>
              <w:rPr>
                <w:lang w:val="en-GB"/>
              </w:rPr>
              <w:t>0,040</w:t>
            </w:r>
          </w:p>
        </w:tc>
        <w:tc>
          <w:tcPr>
            <w:tcW w:w="2551" w:type="dxa"/>
            <w:tcBorders>
              <w:top w:val="single" w:sz="4" w:space="0" w:color="auto"/>
              <w:left w:val="single" w:sz="4" w:space="0" w:color="auto"/>
              <w:bottom w:val="single" w:sz="4" w:space="0" w:color="auto"/>
              <w:right w:val="single" w:sz="4" w:space="0" w:color="auto"/>
            </w:tcBorders>
            <w:vAlign w:val="center"/>
          </w:tcPr>
          <w:p w14:paraId="202781B6" w14:textId="5C2B9EF0" w:rsidR="00732E7D" w:rsidRDefault="00732E7D" w:rsidP="00817E36">
            <w:pPr>
              <w:jc w:val="center"/>
              <w:rPr>
                <w:lang w:val="en-GB"/>
              </w:rPr>
            </w:pPr>
            <w:r>
              <w:rPr>
                <w:lang w:val="en-GB"/>
              </w:rPr>
              <w:t>0,018</w:t>
            </w:r>
          </w:p>
        </w:tc>
        <w:tc>
          <w:tcPr>
            <w:tcW w:w="2268" w:type="dxa"/>
            <w:tcBorders>
              <w:top w:val="single" w:sz="4" w:space="0" w:color="auto"/>
              <w:left w:val="single" w:sz="4" w:space="0" w:color="auto"/>
              <w:bottom w:val="single" w:sz="4" w:space="0" w:color="auto"/>
              <w:right w:val="single" w:sz="4" w:space="0" w:color="auto"/>
            </w:tcBorders>
          </w:tcPr>
          <w:p w14:paraId="192AAAEF" w14:textId="77777777" w:rsidR="00732E7D" w:rsidRDefault="00732E7D" w:rsidP="00732E7D">
            <w:pPr>
              <w:jc w:val="center"/>
              <w:rPr>
                <w:lang w:val="en-GB"/>
              </w:rPr>
            </w:pPr>
            <w:r>
              <w:rPr>
                <w:lang w:val="en-GB"/>
              </w:rPr>
              <w:t>0,026</w:t>
            </w:r>
          </w:p>
          <w:p w14:paraId="26A7E6C8" w14:textId="498AF00A" w:rsidR="00732E7D" w:rsidRDefault="00732E7D" w:rsidP="00732E7D">
            <w:pPr>
              <w:jc w:val="center"/>
              <w:rPr>
                <w:lang w:val="en-GB"/>
              </w:rPr>
            </w:pPr>
            <w:r>
              <w:rPr>
                <w:lang w:val="en-GB"/>
              </w:rPr>
              <w:t>(2,222)</w:t>
            </w:r>
          </w:p>
        </w:tc>
      </w:tr>
      <w:tr w:rsidR="004F5A76" w14:paraId="41A5900E" w14:textId="77777777" w:rsidTr="006F38EF">
        <w:tc>
          <w:tcPr>
            <w:tcW w:w="9747" w:type="dxa"/>
            <w:gridSpan w:val="4"/>
            <w:tcBorders>
              <w:right w:val="single" w:sz="4" w:space="0" w:color="auto"/>
            </w:tcBorders>
          </w:tcPr>
          <w:p w14:paraId="09A608A0" w14:textId="1A2003DB" w:rsidR="004F5A76" w:rsidRDefault="004F5A76" w:rsidP="004F5A76">
            <w:pPr>
              <w:jc w:val="center"/>
              <w:rPr>
                <w:lang w:val="en-GB"/>
              </w:rPr>
            </w:pPr>
            <w:r>
              <w:rPr>
                <w:lang w:val="en-GB"/>
              </w:rPr>
              <w:t>R ²= 0,002</w:t>
            </w:r>
          </w:p>
        </w:tc>
      </w:tr>
      <w:tr w:rsidR="004F5A76" w14:paraId="0DEE6E81" w14:textId="77777777" w:rsidTr="006F38EF">
        <w:tc>
          <w:tcPr>
            <w:tcW w:w="9747" w:type="dxa"/>
            <w:gridSpan w:val="4"/>
            <w:tcBorders>
              <w:right w:val="single" w:sz="4" w:space="0" w:color="auto"/>
            </w:tcBorders>
          </w:tcPr>
          <w:p w14:paraId="7CCADF88" w14:textId="7D127C11" w:rsidR="004F5A76" w:rsidRDefault="004F5A76" w:rsidP="004F5A76">
            <w:pPr>
              <w:jc w:val="center"/>
              <w:rPr>
                <w:lang w:val="en-GB"/>
              </w:rPr>
            </w:pPr>
            <w:r>
              <w:rPr>
                <w:lang w:val="en-GB"/>
              </w:rPr>
              <w:t>Adjusted R² = 0,001</w:t>
            </w:r>
          </w:p>
        </w:tc>
      </w:tr>
    </w:tbl>
    <w:p w14:paraId="215BA720" w14:textId="77777777" w:rsidR="00E43035" w:rsidRDefault="00E43035" w:rsidP="00070F72">
      <w:pPr>
        <w:spacing w:line="360" w:lineRule="auto"/>
        <w:jc w:val="both"/>
        <w:rPr>
          <w:rStyle w:val="Kop1Char"/>
          <w:rFonts w:asciiTheme="minorHAnsi" w:eastAsiaTheme="minorHAnsi" w:hAnsiTheme="minorHAnsi" w:cstheme="minorBidi"/>
          <w:b w:val="0"/>
          <w:bCs w:val="0"/>
          <w:sz w:val="16"/>
          <w:szCs w:val="16"/>
        </w:rPr>
      </w:pPr>
    </w:p>
    <w:p w14:paraId="4A4A23F1" w14:textId="3EF546CD" w:rsidR="00CE107B" w:rsidRDefault="00CE107B" w:rsidP="00CE107B">
      <w:pPr>
        <w:spacing w:line="360" w:lineRule="auto"/>
        <w:jc w:val="both"/>
        <w:rPr>
          <w:lang w:val="en-GB"/>
        </w:rPr>
      </w:pPr>
      <w:r>
        <w:rPr>
          <w:lang w:val="en-GB"/>
        </w:rPr>
        <w:t>The final hypothesis tests whether different proportions of equity compensation have different influences on CFO’s total performance. As is stated in table 10, the ANOVA is not significant, therefore the different deciles do not have different influences on CFO’s total performance. In the Appendix, a more specific table is provided to explain the mutual differences between the deciles. Figure 4 shows the insignificant association between the equity proportion and stock performance.</w:t>
      </w:r>
    </w:p>
    <w:p w14:paraId="0384311E" w14:textId="26167E73" w:rsidR="0017526D" w:rsidRPr="005147FA" w:rsidRDefault="0017526D" w:rsidP="005147FA">
      <w:pPr>
        <w:pStyle w:val="Kop5"/>
      </w:pPr>
      <w:r w:rsidRPr="005147FA">
        <w:t xml:space="preserve">Table </w:t>
      </w:r>
      <w:r w:rsidR="00DF7A1A">
        <w:fldChar w:fldCharType="begin"/>
      </w:r>
      <w:r w:rsidR="00DF7A1A" w:rsidRPr="005147FA">
        <w:instrText xml:space="preserve"> SEQ Table \* ARABIC </w:instrText>
      </w:r>
      <w:r w:rsidR="00DF7A1A">
        <w:fldChar w:fldCharType="separate"/>
      </w:r>
      <w:r w:rsidR="004043A1">
        <w:rPr>
          <w:noProof/>
        </w:rPr>
        <w:t>10</w:t>
      </w:r>
      <w:r w:rsidR="00DF7A1A">
        <w:fldChar w:fldCharType="end"/>
      </w:r>
      <w:r w:rsidR="00DF7A1A" w:rsidRPr="005147FA">
        <w:rPr>
          <w:noProof/>
        </w:rPr>
        <w:t xml:space="preserve">: </w:t>
      </w:r>
      <w:r w:rsidR="005147FA" w:rsidRPr="005147FA">
        <w:rPr>
          <w:noProof/>
        </w:rPr>
        <w:t>Association between proportion of equity based compensation and CFO</w:t>
      </w:r>
      <w:r w:rsidR="005147FA">
        <w:rPr>
          <w:noProof/>
        </w:rPr>
        <w:t>’s total performance</w:t>
      </w:r>
    </w:p>
    <w:tbl>
      <w:tblPr>
        <w:tblStyle w:val="Tabelraster"/>
        <w:tblW w:w="0" w:type="auto"/>
        <w:tblLook w:val="04A0" w:firstRow="1" w:lastRow="0" w:firstColumn="1" w:lastColumn="0" w:noHBand="0" w:noVBand="1"/>
      </w:tblPr>
      <w:tblGrid>
        <w:gridCol w:w="1377"/>
        <w:gridCol w:w="1838"/>
        <w:gridCol w:w="988"/>
        <w:gridCol w:w="990"/>
        <w:gridCol w:w="1410"/>
        <w:gridCol w:w="1273"/>
        <w:gridCol w:w="1412"/>
      </w:tblGrid>
      <w:tr w:rsidR="00E43035" w14:paraId="4D47FAF5" w14:textId="77777777" w:rsidTr="006A6B58">
        <w:tc>
          <w:tcPr>
            <w:tcW w:w="1377" w:type="dxa"/>
          </w:tcPr>
          <w:p w14:paraId="2C68055A" w14:textId="77777777" w:rsidR="00E43035" w:rsidRDefault="00E43035" w:rsidP="006F38EF">
            <w:pPr>
              <w:jc w:val="both"/>
              <w:rPr>
                <w:lang w:val="en-GB"/>
              </w:rPr>
            </w:pPr>
          </w:p>
        </w:tc>
        <w:tc>
          <w:tcPr>
            <w:tcW w:w="1838" w:type="dxa"/>
            <w:vAlign w:val="center"/>
          </w:tcPr>
          <w:p w14:paraId="2DA22A9C" w14:textId="25D55A2E" w:rsidR="00E43035" w:rsidRDefault="00E43035" w:rsidP="006A6B58">
            <w:pPr>
              <w:jc w:val="center"/>
              <w:rPr>
                <w:lang w:val="en-GB"/>
              </w:rPr>
            </w:pPr>
            <w:r>
              <w:rPr>
                <w:lang w:val="en-GB"/>
              </w:rPr>
              <w:t>Equity Proportion</w:t>
            </w:r>
          </w:p>
        </w:tc>
        <w:tc>
          <w:tcPr>
            <w:tcW w:w="988" w:type="dxa"/>
            <w:vAlign w:val="center"/>
          </w:tcPr>
          <w:p w14:paraId="41495F24" w14:textId="77777777" w:rsidR="00E43035" w:rsidRPr="0038674F" w:rsidRDefault="00E43035" w:rsidP="006A6B58">
            <w:pPr>
              <w:jc w:val="center"/>
            </w:pPr>
            <w:r>
              <w:t>N</w:t>
            </w:r>
          </w:p>
        </w:tc>
        <w:tc>
          <w:tcPr>
            <w:tcW w:w="990" w:type="dxa"/>
            <w:vAlign w:val="center"/>
          </w:tcPr>
          <w:p w14:paraId="36D3B1F5" w14:textId="77777777" w:rsidR="00E43035" w:rsidRDefault="00E43035" w:rsidP="006A6B58">
            <w:pPr>
              <w:jc w:val="center"/>
              <w:rPr>
                <w:lang w:val="en-GB"/>
              </w:rPr>
            </w:pPr>
            <w:r>
              <w:rPr>
                <w:lang w:val="en-GB"/>
              </w:rPr>
              <w:t>Mean</w:t>
            </w:r>
          </w:p>
        </w:tc>
        <w:tc>
          <w:tcPr>
            <w:tcW w:w="1410" w:type="dxa"/>
            <w:vAlign w:val="center"/>
          </w:tcPr>
          <w:p w14:paraId="725EE196" w14:textId="77777777" w:rsidR="00E43035" w:rsidRDefault="00E43035" w:rsidP="006A6B58">
            <w:pPr>
              <w:jc w:val="center"/>
              <w:rPr>
                <w:lang w:val="en-GB"/>
              </w:rPr>
            </w:pPr>
            <w:r>
              <w:rPr>
                <w:lang w:val="en-GB"/>
              </w:rPr>
              <w:t>Std. Dev.</w:t>
            </w:r>
          </w:p>
        </w:tc>
        <w:tc>
          <w:tcPr>
            <w:tcW w:w="1273" w:type="dxa"/>
            <w:vAlign w:val="center"/>
          </w:tcPr>
          <w:p w14:paraId="3D0132AD" w14:textId="77777777" w:rsidR="00E43035" w:rsidRDefault="00E43035" w:rsidP="006A6B58">
            <w:pPr>
              <w:jc w:val="center"/>
              <w:rPr>
                <w:lang w:val="en-GB"/>
              </w:rPr>
            </w:pPr>
            <w:r>
              <w:rPr>
                <w:lang w:val="en-GB"/>
              </w:rPr>
              <w:t>Levene´s</w:t>
            </w:r>
          </w:p>
        </w:tc>
        <w:tc>
          <w:tcPr>
            <w:tcW w:w="1412" w:type="dxa"/>
            <w:vAlign w:val="center"/>
          </w:tcPr>
          <w:p w14:paraId="7201E1FF" w14:textId="77777777" w:rsidR="00E43035" w:rsidRPr="00014636" w:rsidRDefault="00E43035" w:rsidP="006A6B58">
            <w:pPr>
              <w:jc w:val="center"/>
            </w:pPr>
            <w:r>
              <w:rPr>
                <w:lang w:val="en-GB"/>
              </w:rPr>
              <w:t>p-value</w:t>
            </w:r>
          </w:p>
        </w:tc>
      </w:tr>
      <w:tr w:rsidR="0039406E" w14:paraId="0D683486" w14:textId="77777777" w:rsidTr="006A6B58">
        <w:tc>
          <w:tcPr>
            <w:tcW w:w="1377" w:type="dxa"/>
            <w:vMerge w:val="restart"/>
            <w:vAlign w:val="center"/>
          </w:tcPr>
          <w:p w14:paraId="5D7364A4" w14:textId="51307A6B" w:rsidR="0039406E" w:rsidRDefault="00C536DF" w:rsidP="00817E36">
            <w:pPr>
              <w:jc w:val="center"/>
              <w:rPr>
                <w:lang w:val="en-GB"/>
              </w:rPr>
            </w:pPr>
            <w:r>
              <w:rPr>
                <w:lang w:val="en-GB"/>
              </w:rPr>
              <w:t>Total performance</w:t>
            </w:r>
          </w:p>
        </w:tc>
        <w:tc>
          <w:tcPr>
            <w:tcW w:w="1838" w:type="dxa"/>
            <w:vAlign w:val="center"/>
          </w:tcPr>
          <w:p w14:paraId="2EE8C70A" w14:textId="52693A94" w:rsidR="0039406E" w:rsidRDefault="0039406E" w:rsidP="006A6B58">
            <w:pPr>
              <w:jc w:val="center"/>
              <w:rPr>
                <w:lang w:val="en-GB"/>
              </w:rPr>
            </w:pPr>
            <w:r w:rsidRPr="00DC769B">
              <w:rPr>
                <w:sz w:val="18"/>
                <w:szCs w:val="18"/>
                <w:lang w:val="en-GB"/>
              </w:rPr>
              <w:t>0% - 10% Equity</w:t>
            </w:r>
          </w:p>
        </w:tc>
        <w:tc>
          <w:tcPr>
            <w:tcW w:w="988" w:type="dxa"/>
            <w:vAlign w:val="center"/>
          </w:tcPr>
          <w:p w14:paraId="33288DD8" w14:textId="58377AC5" w:rsidR="0039406E" w:rsidRDefault="0039406E" w:rsidP="006A6B58">
            <w:pPr>
              <w:jc w:val="center"/>
              <w:rPr>
                <w:lang w:val="en-GB"/>
              </w:rPr>
            </w:pPr>
            <w:r>
              <w:rPr>
                <w:lang w:val="en-GB"/>
              </w:rPr>
              <w:t>452</w:t>
            </w:r>
          </w:p>
        </w:tc>
        <w:tc>
          <w:tcPr>
            <w:tcW w:w="990" w:type="dxa"/>
            <w:vAlign w:val="center"/>
          </w:tcPr>
          <w:p w14:paraId="35D66EB0" w14:textId="29D6FDAD" w:rsidR="0039406E" w:rsidRDefault="0039406E" w:rsidP="006A6B58">
            <w:pPr>
              <w:jc w:val="center"/>
              <w:rPr>
                <w:lang w:val="en-GB"/>
              </w:rPr>
            </w:pPr>
            <w:r>
              <w:rPr>
                <w:lang w:val="en-GB"/>
              </w:rPr>
              <w:t>0,186</w:t>
            </w:r>
          </w:p>
        </w:tc>
        <w:tc>
          <w:tcPr>
            <w:tcW w:w="1410" w:type="dxa"/>
            <w:vAlign w:val="center"/>
          </w:tcPr>
          <w:p w14:paraId="7E6119E5" w14:textId="38710AAE" w:rsidR="0039406E" w:rsidRDefault="0039406E" w:rsidP="006A6B58">
            <w:pPr>
              <w:jc w:val="center"/>
              <w:rPr>
                <w:lang w:val="en-GB"/>
              </w:rPr>
            </w:pPr>
            <w:r>
              <w:rPr>
                <w:lang w:val="en-GB"/>
              </w:rPr>
              <w:t>1,236</w:t>
            </w:r>
          </w:p>
        </w:tc>
        <w:tc>
          <w:tcPr>
            <w:tcW w:w="1273" w:type="dxa"/>
            <w:vMerge w:val="restart"/>
            <w:vAlign w:val="center"/>
          </w:tcPr>
          <w:p w14:paraId="3B8B53D1" w14:textId="77777777" w:rsidR="0039406E" w:rsidRDefault="0039406E" w:rsidP="006F38EF">
            <w:pPr>
              <w:jc w:val="center"/>
              <w:rPr>
                <w:lang w:val="en-GB"/>
              </w:rPr>
            </w:pPr>
            <w:r>
              <w:rPr>
                <w:lang w:val="en-GB"/>
              </w:rPr>
              <w:t>0,015</w:t>
            </w:r>
          </w:p>
          <w:p w14:paraId="2D65E719" w14:textId="13990B7D" w:rsidR="0039406E" w:rsidRDefault="0039406E" w:rsidP="006F38EF">
            <w:pPr>
              <w:jc w:val="center"/>
              <w:rPr>
                <w:lang w:val="en-GB"/>
              </w:rPr>
            </w:pPr>
            <w:r>
              <w:rPr>
                <w:lang w:val="en-GB"/>
              </w:rPr>
              <w:t>(2,287)</w:t>
            </w:r>
          </w:p>
        </w:tc>
        <w:tc>
          <w:tcPr>
            <w:tcW w:w="1412" w:type="dxa"/>
            <w:vMerge w:val="restart"/>
            <w:vAlign w:val="center"/>
          </w:tcPr>
          <w:p w14:paraId="715A75D3" w14:textId="77777777" w:rsidR="0039406E" w:rsidRDefault="0039406E" w:rsidP="006F38EF">
            <w:pPr>
              <w:jc w:val="center"/>
              <w:rPr>
                <w:lang w:val="en-GB"/>
              </w:rPr>
            </w:pPr>
            <w:r>
              <w:rPr>
                <w:lang w:val="en-GB"/>
              </w:rPr>
              <w:t>0,271</w:t>
            </w:r>
          </w:p>
          <w:p w14:paraId="1CE80DDA" w14:textId="2D7A4384" w:rsidR="0039406E" w:rsidRDefault="0039406E" w:rsidP="006F38EF">
            <w:pPr>
              <w:jc w:val="center"/>
              <w:rPr>
                <w:lang w:val="en-GB"/>
              </w:rPr>
            </w:pPr>
            <w:r>
              <w:rPr>
                <w:lang w:val="en-GB"/>
              </w:rPr>
              <w:t>(1,230)</w:t>
            </w:r>
          </w:p>
        </w:tc>
      </w:tr>
      <w:tr w:rsidR="0039406E" w14:paraId="7A6185FA" w14:textId="77777777" w:rsidTr="006A6B58">
        <w:tc>
          <w:tcPr>
            <w:tcW w:w="1377" w:type="dxa"/>
            <w:vMerge/>
          </w:tcPr>
          <w:p w14:paraId="71B3A15D" w14:textId="3667216E" w:rsidR="0039406E" w:rsidRDefault="0039406E" w:rsidP="006F38EF">
            <w:pPr>
              <w:jc w:val="both"/>
              <w:rPr>
                <w:lang w:val="en-GB"/>
              </w:rPr>
            </w:pPr>
          </w:p>
        </w:tc>
        <w:tc>
          <w:tcPr>
            <w:tcW w:w="1838" w:type="dxa"/>
            <w:vAlign w:val="center"/>
          </w:tcPr>
          <w:p w14:paraId="13425ED4" w14:textId="29F9248C" w:rsidR="0039406E" w:rsidRDefault="0039406E" w:rsidP="006A6B58">
            <w:pPr>
              <w:jc w:val="center"/>
              <w:rPr>
                <w:lang w:val="en-GB"/>
              </w:rPr>
            </w:pPr>
            <w:r w:rsidRPr="00DC769B">
              <w:rPr>
                <w:sz w:val="18"/>
                <w:szCs w:val="18"/>
                <w:lang w:val="en-GB"/>
              </w:rPr>
              <w:t>10% - 20% Equity</w:t>
            </w:r>
          </w:p>
        </w:tc>
        <w:tc>
          <w:tcPr>
            <w:tcW w:w="988" w:type="dxa"/>
            <w:vAlign w:val="center"/>
          </w:tcPr>
          <w:p w14:paraId="743CB02C" w14:textId="636DAF4E" w:rsidR="0039406E" w:rsidRDefault="0039406E" w:rsidP="006A6B58">
            <w:pPr>
              <w:jc w:val="center"/>
              <w:rPr>
                <w:lang w:val="en-GB"/>
              </w:rPr>
            </w:pPr>
            <w:r>
              <w:rPr>
                <w:lang w:val="en-GB"/>
              </w:rPr>
              <w:t>191</w:t>
            </w:r>
          </w:p>
        </w:tc>
        <w:tc>
          <w:tcPr>
            <w:tcW w:w="990" w:type="dxa"/>
            <w:vAlign w:val="center"/>
          </w:tcPr>
          <w:p w14:paraId="573F7AEC" w14:textId="37CE8F18" w:rsidR="0039406E" w:rsidRDefault="0039406E" w:rsidP="006A6B58">
            <w:pPr>
              <w:jc w:val="center"/>
              <w:rPr>
                <w:lang w:val="en-GB"/>
              </w:rPr>
            </w:pPr>
            <w:r>
              <w:rPr>
                <w:lang w:val="en-GB"/>
              </w:rPr>
              <w:t>0,109</w:t>
            </w:r>
          </w:p>
        </w:tc>
        <w:tc>
          <w:tcPr>
            <w:tcW w:w="1410" w:type="dxa"/>
            <w:vAlign w:val="center"/>
          </w:tcPr>
          <w:p w14:paraId="395BA227" w14:textId="63B3963E" w:rsidR="0039406E" w:rsidRDefault="0039406E" w:rsidP="006A6B58">
            <w:pPr>
              <w:jc w:val="center"/>
              <w:rPr>
                <w:lang w:val="en-GB"/>
              </w:rPr>
            </w:pPr>
            <w:r>
              <w:rPr>
                <w:lang w:val="en-GB"/>
              </w:rPr>
              <w:t>0,758</w:t>
            </w:r>
          </w:p>
        </w:tc>
        <w:tc>
          <w:tcPr>
            <w:tcW w:w="1273" w:type="dxa"/>
            <w:vMerge/>
            <w:vAlign w:val="center"/>
          </w:tcPr>
          <w:p w14:paraId="0B6873A9" w14:textId="77777777" w:rsidR="0039406E" w:rsidRDefault="0039406E" w:rsidP="006F38EF">
            <w:pPr>
              <w:jc w:val="center"/>
              <w:rPr>
                <w:lang w:val="en-GB"/>
              </w:rPr>
            </w:pPr>
          </w:p>
        </w:tc>
        <w:tc>
          <w:tcPr>
            <w:tcW w:w="1412" w:type="dxa"/>
            <w:vMerge/>
            <w:vAlign w:val="center"/>
          </w:tcPr>
          <w:p w14:paraId="4129C46E" w14:textId="77777777" w:rsidR="0039406E" w:rsidRDefault="0039406E" w:rsidP="006F38EF">
            <w:pPr>
              <w:jc w:val="center"/>
              <w:rPr>
                <w:lang w:val="en-GB"/>
              </w:rPr>
            </w:pPr>
          </w:p>
        </w:tc>
      </w:tr>
      <w:tr w:rsidR="0039406E" w14:paraId="10CBAF05" w14:textId="77777777" w:rsidTr="006A6B58">
        <w:tc>
          <w:tcPr>
            <w:tcW w:w="1377" w:type="dxa"/>
            <w:vMerge/>
          </w:tcPr>
          <w:p w14:paraId="0A5DB5BE" w14:textId="77777777" w:rsidR="0039406E" w:rsidRDefault="0039406E" w:rsidP="006F38EF">
            <w:pPr>
              <w:jc w:val="both"/>
              <w:rPr>
                <w:lang w:val="en-GB"/>
              </w:rPr>
            </w:pPr>
          </w:p>
        </w:tc>
        <w:tc>
          <w:tcPr>
            <w:tcW w:w="1838" w:type="dxa"/>
            <w:vAlign w:val="center"/>
          </w:tcPr>
          <w:p w14:paraId="4811FF7B" w14:textId="55FBCE19" w:rsidR="0039406E" w:rsidRDefault="0039406E" w:rsidP="006A6B58">
            <w:pPr>
              <w:jc w:val="center"/>
              <w:rPr>
                <w:lang w:val="en-GB"/>
              </w:rPr>
            </w:pPr>
            <w:r w:rsidRPr="00DC769B">
              <w:rPr>
                <w:sz w:val="18"/>
                <w:szCs w:val="18"/>
                <w:lang w:val="en-GB"/>
              </w:rPr>
              <w:t>20% - 30% Equity</w:t>
            </w:r>
          </w:p>
        </w:tc>
        <w:tc>
          <w:tcPr>
            <w:tcW w:w="988" w:type="dxa"/>
            <w:vAlign w:val="center"/>
          </w:tcPr>
          <w:p w14:paraId="7582FA21" w14:textId="01EB3814" w:rsidR="0039406E" w:rsidRDefault="0039406E" w:rsidP="006A6B58">
            <w:pPr>
              <w:jc w:val="center"/>
              <w:rPr>
                <w:lang w:val="en-GB"/>
              </w:rPr>
            </w:pPr>
            <w:r>
              <w:rPr>
                <w:lang w:val="en-GB"/>
              </w:rPr>
              <w:t>222</w:t>
            </w:r>
          </w:p>
        </w:tc>
        <w:tc>
          <w:tcPr>
            <w:tcW w:w="990" w:type="dxa"/>
            <w:vAlign w:val="center"/>
          </w:tcPr>
          <w:p w14:paraId="3CC2CC22" w14:textId="0A545CDF" w:rsidR="0039406E" w:rsidRDefault="0039406E" w:rsidP="006A6B58">
            <w:pPr>
              <w:jc w:val="center"/>
              <w:rPr>
                <w:lang w:val="en-GB"/>
              </w:rPr>
            </w:pPr>
            <w:r>
              <w:rPr>
                <w:lang w:val="en-GB"/>
              </w:rPr>
              <w:t>0,197</w:t>
            </w:r>
          </w:p>
        </w:tc>
        <w:tc>
          <w:tcPr>
            <w:tcW w:w="1410" w:type="dxa"/>
            <w:vAlign w:val="center"/>
          </w:tcPr>
          <w:p w14:paraId="181E0FD7" w14:textId="7B97AAFA" w:rsidR="0039406E" w:rsidRDefault="0039406E" w:rsidP="006A6B58">
            <w:pPr>
              <w:jc w:val="center"/>
              <w:rPr>
                <w:lang w:val="en-GB"/>
              </w:rPr>
            </w:pPr>
            <w:r>
              <w:rPr>
                <w:lang w:val="en-GB"/>
              </w:rPr>
              <w:t>1,194</w:t>
            </w:r>
          </w:p>
        </w:tc>
        <w:tc>
          <w:tcPr>
            <w:tcW w:w="1273" w:type="dxa"/>
            <w:vMerge/>
            <w:vAlign w:val="center"/>
          </w:tcPr>
          <w:p w14:paraId="54527CA0" w14:textId="77777777" w:rsidR="0039406E" w:rsidRDefault="0039406E" w:rsidP="006F38EF">
            <w:pPr>
              <w:jc w:val="center"/>
              <w:rPr>
                <w:lang w:val="en-GB"/>
              </w:rPr>
            </w:pPr>
          </w:p>
        </w:tc>
        <w:tc>
          <w:tcPr>
            <w:tcW w:w="1412" w:type="dxa"/>
            <w:vMerge/>
            <w:vAlign w:val="center"/>
          </w:tcPr>
          <w:p w14:paraId="7B83F7F0" w14:textId="77777777" w:rsidR="0039406E" w:rsidRDefault="0039406E" w:rsidP="006F38EF">
            <w:pPr>
              <w:jc w:val="center"/>
              <w:rPr>
                <w:lang w:val="en-GB"/>
              </w:rPr>
            </w:pPr>
          </w:p>
        </w:tc>
      </w:tr>
      <w:tr w:rsidR="0039406E" w14:paraId="5C05D012" w14:textId="77777777" w:rsidTr="006A6B58">
        <w:tc>
          <w:tcPr>
            <w:tcW w:w="1377" w:type="dxa"/>
            <w:vMerge/>
          </w:tcPr>
          <w:p w14:paraId="71061DF8" w14:textId="77777777" w:rsidR="0039406E" w:rsidRDefault="0039406E" w:rsidP="006F38EF">
            <w:pPr>
              <w:jc w:val="both"/>
              <w:rPr>
                <w:lang w:val="en-GB"/>
              </w:rPr>
            </w:pPr>
          </w:p>
        </w:tc>
        <w:tc>
          <w:tcPr>
            <w:tcW w:w="1838" w:type="dxa"/>
            <w:vAlign w:val="center"/>
          </w:tcPr>
          <w:p w14:paraId="12B8940E" w14:textId="381E7A9C" w:rsidR="0039406E" w:rsidRDefault="0039406E" w:rsidP="006A6B58">
            <w:pPr>
              <w:jc w:val="center"/>
              <w:rPr>
                <w:lang w:val="en-GB"/>
              </w:rPr>
            </w:pPr>
            <w:r w:rsidRPr="00DC769B">
              <w:rPr>
                <w:sz w:val="18"/>
                <w:szCs w:val="18"/>
                <w:lang w:val="en-GB"/>
              </w:rPr>
              <w:t>30% - 40% Equity</w:t>
            </w:r>
          </w:p>
        </w:tc>
        <w:tc>
          <w:tcPr>
            <w:tcW w:w="988" w:type="dxa"/>
            <w:vAlign w:val="center"/>
          </w:tcPr>
          <w:p w14:paraId="4E14925C" w14:textId="37D30A98" w:rsidR="0039406E" w:rsidRDefault="0039406E" w:rsidP="006A6B58">
            <w:pPr>
              <w:jc w:val="center"/>
              <w:rPr>
                <w:lang w:val="en-GB"/>
              </w:rPr>
            </w:pPr>
            <w:r>
              <w:rPr>
                <w:lang w:val="en-GB"/>
              </w:rPr>
              <w:t>296</w:t>
            </w:r>
          </w:p>
        </w:tc>
        <w:tc>
          <w:tcPr>
            <w:tcW w:w="990" w:type="dxa"/>
            <w:vAlign w:val="center"/>
          </w:tcPr>
          <w:p w14:paraId="063FB2E2" w14:textId="617B7F9F" w:rsidR="0039406E" w:rsidRDefault="0039406E" w:rsidP="006A6B58">
            <w:pPr>
              <w:jc w:val="center"/>
              <w:rPr>
                <w:lang w:val="en-GB"/>
              </w:rPr>
            </w:pPr>
            <w:r>
              <w:rPr>
                <w:lang w:val="en-GB"/>
              </w:rPr>
              <w:t>0,104</w:t>
            </w:r>
          </w:p>
        </w:tc>
        <w:tc>
          <w:tcPr>
            <w:tcW w:w="1410" w:type="dxa"/>
            <w:vAlign w:val="center"/>
          </w:tcPr>
          <w:p w14:paraId="54BE4B50" w14:textId="04872C97" w:rsidR="0039406E" w:rsidRDefault="0039406E" w:rsidP="006A6B58">
            <w:pPr>
              <w:jc w:val="center"/>
              <w:rPr>
                <w:lang w:val="en-GB"/>
              </w:rPr>
            </w:pPr>
            <w:r>
              <w:rPr>
                <w:lang w:val="en-GB"/>
              </w:rPr>
              <w:t>0,639</w:t>
            </w:r>
          </w:p>
        </w:tc>
        <w:tc>
          <w:tcPr>
            <w:tcW w:w="1273" w:type="dxa"/>
            <w:vMerge/>
            <w:vAlign w:val="center"/>
          </w:tcPr>
          <w:p w14:paraId="235C1348" w14:textId="77777777" w:rsidR="0039406E" w:rsidRDefault="0039406E" w:rsidP="006F38EF">
            <w:pPr>
              <w:jc w:val="center"/>
              <w:rPr>
                <w:lang w:val="en-GB"/>
              </w:rPr>
            </w:pPr>
          </w:p>
        </w:tc>
        <w:tc>
          <w:tcPr>
            <w:tcW w:w="1412" w:type="dxa"/>
            <w:vMerge/>
            <w:vAlign w:val="center"/>
          </w:tcPr>
          <w:p w14:paraId="1E5C751E" w14:textId="77777777" w:rsidR="0039406E" w:rsidRDefault="0039406E" w:rsidP="006F38EF">
            <w:pPr>
              <w:jc w:val="center"/>
              <w:rPr>
                <w:lang w:val="en-GB"/>
              </w:rPr>
            </w:pPr>
          </w:p>
        </w:tc>
      </w:tr>
      <w:tr w:rsidR="0039406E" w14:paraId="12F637BD" w14:textId="77777777" w:rsidTr="006A6B58">
        <w:tc>
          <w:tcPr>
            <w:tcW w:w="1377" w:type="dxa"/>
            <w:vMerge/>
          </w:tcPr>
          <w:p w14:paraId="660C2A03" w14:textId="77777777" w:rsidR="0039406E" w:rsidRDefault="0039406E" w:rsidP="006F38EF">
            <w:pPr>
              <w:jc w:val="both"/>
              <w:rPr>
                <w:lang w:val="en-GB"/>
              </w:rPr>
            </w:pPr>
          </w:p>
        </w:tc>
        <w:tc>
          <w:tcPr>
            <w:tcW w:w="1838" w:type="dxa"/>
            <w:vAlign w:val="center"/>
          </w:tcPr>
          <w:p w14:paraId="7BB4AF5F" w14:textId="0452913C" w:rsidR="0039406E" w:rsidRDefault="0039406E" w:rsidP="006A6B58">
            <w:pPr>
              <w:jc w:val="center"/>
              <w:rPr>
                <w:lang w:val="en-GB"/>
              </w:rPr>
            </w:pPr>
            <w:r w:rsidRPr="00DC769B">
              <w:rPr>
                <w:sz w:val="18"/>
                <w:szCs w:val="18"/>
                <w:lang w:val="en-GB"/>
              </w:rPr>
              <w:t>40% - 50% Equity</w:t>
            </w:r>
          </w:p>
        </w:tc>
        <w:tc>
          <w:tcPr>
            <w:tcW w:w="988" w:type="dxa"/>
            <w:vAlign w:val="center"/>
          </w:tcPr>
          <w:p w14:paraId="5DB8BA22" w14:textId="364A2CF5" w:rsidR="0039406E" w:rsidRDefault="0039406E" w:rsidP="006A6B58">
            <w:pPr>
              <w:jc w:val="center"/>
              <w:rPr>
                <w:lang w:val="en-GB"/>
              </w:rPr>
            </w:pPr>
            <w:r>
              <w:rPr>
                <w:lang w:val="en-GB"/>
              </w:rPr>
              <w:t>373</w:t>
            </w:r>
          </w:p>
        </w:tc>
        <w:tc>
          <w:tcPr>
            <w:tcW w:w="990" w:type="dxa"/>
            <w:vAlign w:val="center"/>
          </w:tcPr>
          <w:p w14:paraId="12C9967A" w14:textId="59DBE1D5" w:rsidR="0039406E" w:rsidRDefault="0039406E" w:rsidP="006A6B58">
            <w:pPr>
              <w:jc w:val="center"/>
              <w:rPr>
                <w:lang w:val="en-GB"/>
              </w:rPr>
            </w:pPr>
            <w:r>
              <w:rPr>
                <w:lang w:val="en-GB"/>
              </w:rPr>
              <w:t>0,101</w:t>
            </w:r>
          </w:p>
        </w:tc>
        <w:tc>
          <w:tcPr>
            <w:tcW w:w="1410" w:type="dxa"/>
            <w:vAlign w:val="center"/>
          </w:tcPr>
          <w:p w14:paraId="5A9E7DEA" w14:textId="50C64265" w:rsidR="0039406E" w:rsidRDefault="0039406E" w:rsidP="006A6B58">
            <w:pPr>
              <w:jc w:val="center"/>
              <w:rPr>
                <w:lang w:val="en-GB"/>
              </w:rPr>
            </w:pPr>
            <w:r>
              <w:rPr>
                <w:lang w:val="en-GB"/>
              </w:rPr>
              <w:t>0,611</w:t>
            </w:r>
          </w:p>
        </w:tc>
        <w:tc>
          <w:tcPr>
            <w:tcW w:w="1273" w:type="dxa"/>
            <w:vMerge/>
            <w:vAlign w:val="center"/>
          </w:tcPr>
          <w:p w14:paraId="0D5171AC" w14:textId="77777777" w:rsidR="0039406E" w:rsidRDefault="0039406E" w:rsidP="006F38EF">
            <w:pPr>
              <w:jc w:val="center"/>
              <w:rPr>
                <w:lang w:val="en-GB"/>
              </w:rPr>
            </w:pPr>
          </w:p>
        </w:tc>
        <w:tc>
          <w:tcPr>
            <w:tcW w:w="1412" w:type="dxa"/>
            <w:vMerge/>
            <w:vAlign w:val="center"/>
          </w:tcPr>
          <w:p w14:paraId="08828A09" w14:textId="77777777" w:rsidR="0039406E" w:rsidRDefault="0039406E" w:rsidP="006F38EF">
            <w:pPr>
              <w:jc w:val="center"/>
              <w:rPr>
                <w:lang w:val="en-GB"/>
              </w:rPr>
            </w:pPr>
          </w:p>
        </w:tc>
      </w:tr>
      <w:tr w:rsidR="0039406E" w14:paraId="5F420A49" w14:textId="77777777" w:rsidTr="006A6B58">
        <w:tc>
          <w:tcPr>
            <w:tcW w:w="1377" w:type="dxa"/>
            <w:vMerge/>
          </w:tcPr>
          <w:p w14:paraId="0AC5178B" w14:textId="77777777" w:rsidR="0039406E" w:rsidRDefault="0039406E" w:rsidP="006F38EF">
            <w:pPr>
              <w:jc w:val="both"/>
              <w:rPr>
                <w:lang w:val="en-GB"/>
              </w:rPr>
            </w:pPr>
          </w:p>
        </w:tc>
        <w:tc>
          <w:tcPr>
            <w:tcW w:w="1838" w:type="dxa"/>
            <w:vAlign w:val="center"/>
          </w:tcPr>
          <w:p w14:paraId="4624E6B8" w14:textId="6E9A671D" w:rsidR="0039406E" w:rsidRDefault="0039406E" w:rsidP="006A6B58">
            <w:pPr>
              <w:jc w:val="center"/>
              <w:rPr>
                <w:lang w:val="en-GB"/>
              </w:rPr>
            </w:pPr>
            <w:r w:rsidRPr="00DC769B">
              <w:rPr>
                <w:sz w:val="18"/>
                <w:szCs w:val="18"/>
                <w:lang w:val="en-GB"/>
              </w:rPr>
              <w:t>50% - 60% Equity</w:t>
            </w:r>
          </w:p>
        </w:tc>
        <w:tc>
          <w:tcPr>
            <w:tcW w:w="988" w:type="dxa"/>
            <w:vAlign w:val="center"/>
          </w:tcPr>
          <w:p w14:paraId="10B3F5AA" w14:textId="56AB8546" w:rsidR="0039406E" w:rsidRDefault="0039406E" w:rsidP="006A6B58">
            <w:pPr>
              <w:jc w:val="center"/>
              <w:rPr>
                <w:lang w:val="en-GB"/>
              </w:rPr>
            </w:pPr>
            <w:r>
              <w:rPr>
                <w:lang w:val="en-GB"/>
              </w:rPr>
              <w:t>402</w:t>
            </w:r>
          </w:p>
        </w:tc>
        <w:tc>
          <w:tcPr>
            <w:tcW w:w="990" w:type="dxa"/>
            <w:vAlign w:val="center"/>
          </w:tcPr>
          <w:p w14:paraId="62E445E9" w14:textId="637397DF" w:rsidR="0039406E" w:rsidRDefault="0039406E" w:rsidP="006A6B58">
            <w:pPr>
              <w:jc w:val="center"/>
              <w:rPr>
                <w:lang w:val="en-GB"/>
              </w:rPr>
            </w:pPr>
            <w:r>
              <w:rPr>
                <w:lang w:val="en-GB"/>
              </w:rPr>
              <w:t>0,185</w:t>
            </w:r>
          </w:p>
        </w:tc>
        <w:tc>
          <w:tcPr>
            <w:tcW w:w="1410" w:type="dxa"/>
            <w:vAlign w:val="center"/>
          </w:tcPr>
          <w:p w14:paraId="6A5ADC99" w14:textId="60EDF69B" w:rsidR="0039406E" w:rsidRDefault="0039406E" w:rsidP="006A6B58">
            <w:pPr>
              <w:jc w:val="center"/>
              <w:rPr>
                <w:lang w:val="en-GB"/>
              </w:rPr>
            </w:pPr>
            <w:r>
              <w:rPr>
                <w:lang w:val="en-GB"/>
              </w:rPr>
              <w:t>0,800</w:t>
            </w:r>
          </w:p>
        </w:tc>
        <w:tc>
          <w:tcPr>
            <w:tcW w:w="1273" w:type="dxa"/>
            <w:vMerge/>
            <w:vAlign w:val="center"/>
          </w:tcPr>
          <w:p w14:paraId="3ACDDB6F" w14:textId="77777777" w:rsidR="0039406E" w:rsidRDefault="0039406E" w:rsidP="006F38EF">
            <w:pPr>
              <w:jc w:val="center"/>
              <w:rPr>
                <w:lang w:val="en-GB"/>
              </w:rPr>
            </w:pPr>
          </w:p>
        </w:tc>
        <w:tc>
          <w:tcPr>
            <w:tcW w:w="1412" w:type="dxa"/>
            <w:vMerge/>
            <w:vAlign w:val="center"/>
          </w:tcPr>
          <w:p w14:paraId="066802DA" w14:textId="77777777" w:rsidR="0039406E" w:rsidRDefault="0039406E" w:rsidP="006F38EF">
            <w:pPr>
              <w:jc w:val="center"/>
              <w:rPr>
                <w:lang w:val="en-GB"/>
              </w:rPr>
            </w:pPr>
          </w:p>
        </w:tc>
      </w:tr>
      <w:tr w:rsidR="0039406E" w14:paraId="3D8D0F6A" w14:textId="77777777" w:rsidTr="006A6B58">
        <w:tc>
          <w:tcPr>
            <w:tcW w:w="1377" w:type="dxa"/>
            <w:vMerge/>
          </w:tcPr>
          <w:p w14:paraId="039168FE" w14:textId="77777777" w:rsidR="0039406E" w:rsidRDefault="0039406E" w:rsidP="006F38EF">
            <w:pPr>
              <w:jc w:val="both"/>
              <w:rPr>
                <w:lang w:val="en-GB"/>
              </w:rPr>
            </w:pPr>
          </w:p>
        </w:tc>
        <w:tc>
          <w:tcPr>
            <w:tcW w:w="1838" w:type="dxa"/>
            <w:vAlign w:val="center"/>
          </w:tcPr>
          <w:p w14:paraId="7C757CE9" w14:textId="3472A5D8" w:rsidR="0039406E" w:rsidRDefault="0039406E" w:rsidP="006A6B58">
            <w:pPr>
              <w:jc w:val="center"/>
              <w:rPr>
                <w:lang w:val="en-GB"/>
              </w:rPr>
            </w:pPr>
            <w:r w:rsidRPr="00DC769B">
              <w:rPr>
                <w:sz w:val="18"/>
                <w:szCs w:val="18"/>
                <w:lang w:val="en-GB"/>
              </w:rPr>
              <w:t>60% - 70% Equity</w:t>
            </w:r>
          </w:p>
        </w:tc>
        <w:tc>
          <w:tcPr>
            <w:tcW w:w="988" w:type="dxa"/>
            <w:vAlign w:val="center"/>
          </w:tcPr>
          <w:p w14:paraId="4245F007" w14:textId="0D24B935" w:rsidR="0039406E" w:rsidRDefault="0039406E" w:rsidP="006A6B58">
            <w:pPr>
              <w:jc w:val="center"/>
              <w:rPr>
                <w:lang w:val="en-GB"/>
              </w:rPr>
            </w:pPr>
            <w:r>
              <w:rPr>
                <w:lang w:val="en-GB"/>
              </w:rPr>
              <w:t>438</w:t>
            </w:r>
          </w:p>
        </w:tc>
        <w:tc>
          <w:tcPr>
            <w:tcW w:w="990" w:type="dxa"/>
            <w:vAlign w:val="center"/>
          </w:tcPr>
          <w:p w14:paraId="10162047" w14:textId="64962AA3" w:rsidR="0039406E" w:rsidRDefault="0039406E" w:rsidP="006A6B58">
            <w:pPr>
              <w:jc w:val="center"/>
              <w:rPr>
                <w:lang w:val="en-GB"/>
              </w:rPr>
            </w:pPr>
            <w:r>
              <w:rPr>
                <w:lang w:val="en-GB"/>
              </w:rPr>
              <w:t>0,101</w:t>
            </w:r>
          </w:p>
        </w:tc>
        <w:tc>
          <w:tcPr>
            <w:tcW w:w="1410" w:type="dxa"/>
            <w:vAlign w:val="center"/>
          </w:tcPr>
          <w:p w14:paraId="3BE0EE34" w14:textId="241A70F3" w:rsidR="0039406E" w:rsidRDefault="0039406E" w:rsidP="006A6B58">
            <w:pPr>
              <w:jc w:val="center"/>
              <w:rPr>
                <w:lang w:val="en-GB"/>
              </w:rPr>
            </w:pPr>
            <w:r>
              <w:rPr>
                <w:lang w:val="en-GB"/>
              </w:rPr>
              <w:t>0,619</w:t>
            </w:r>
          </w:p>
        </w:tc>
        <w:tc>
          <w:tcPr>
            <w:tcW w:w="1273" w:type="dxa"/>
            <w:vMerge/>
            <w:vAlign w:val="center"/>
          </w:tcPr>
          <w:p w14:paraId="3F1F1363" w14:textId="77777777" w:rsidR="0039406E" w:rsidRDefault="0039406E" w:rsidP="006F38EF">
            <w:pPr>
              <w:jc w:val="center"/>
              <w:rPr>
                <w:lang w:val="en-GB"/>
              </w:rPr>
            </w:pPr>
          </w:p>
        </w:tc>
        <w:tc>
          <w:tcPr>
            <w:tcW w:w="1412" w:type="dxa"/>
            <w:vMerge/>
            <w:vAlign w:val="center"/>
          </w:tcPr>
          <w:p w14:paraId="26379648" w14:textId="77777777" w:rsidR="0039406E" w:rsidRDefault="0039406E" w:rsidP="006F38EF">
            <w:pPr>
              <w:jc w:val="center"/>
              <w:rPr>
                <w:lang w:val="en-GB"/>
              </w:rPr>
            </w:pPr>
          </w:p>
        </w:tc>
      </w:tr>
      <w:tr w:rsidR="0039406E" w14:paraId="5124AFEF" w14:textId="77777777" w:rsidTr="006A6B58">
        <w:tc>
          <w:tcPr>
            <w:tcW w:w="1377" w:type="dxa"/>
            <w:vMerge/>
          </w:tcPr>
          <w:p w14:paraId="67952561" w14:textId="77777777" w:rsidR="0039406E" w:rsidRDefault="0039406E" w:rsidP="006F38EF">
            <w:pPr>
              <w:jc w:val="both"/>
              <w:rPr>
                <w:lang w:val="en-GB"/>
              </w:rPr>
            </w:pPr>
          </w:p>
        </w:tc>
        <w:tc>
          <w:tcPr>
            <w:tcW w:w="1838" w:type="dxa"/>
            <w:vAlign w:val="center"/>
          </w:tcPr>
          <w:p w14:paraId="5FC7EC34" w14:textId="2D510EEF" w:rsidR="0039406E" w:rsidRDefault="0039406E" w:rsidP="006A6B58">
            <w:pPr>
              <w:jc w:val="center"/>
              <w:rPr>
                <w:lang w:val="en-GB"/>
              </w:rPr>
            </w:pPr>
            <w:r w:rsidRPr="00DC769B">
              <w:rPr>
                <w:sz w:val="18"/>
                <w:szCs w:val="18"/>
                <w:lang w:val="en-GB"/>
              </w:rPr>
              <w:t>70% - 80% Equity</w:t>
            </w:r>
          </w:p>
        </w:tc>
        <w:tc>
          <w:tcPr>
            <w:tcW w:w="988" w:type="dxa"/>
            <w:vAlign w:val="center"/>
          </w:tcPr>
          <w:p w14:paraId="13BD6B4C" w14:textId="54E1D382" w:rsidR="0039406E" w:rsidRDefault="0039406E" w:rsidP="006A6B58">
            <w:pPr>
              <w:jc w:val="center"/>
              <w:rPr>
                <w:lang w:val="en-GB"/>
              </w:rPr>
            </w:pPr>
            <w:r>
              <w:rPr>
                <w:lang w:val="en-GB"/>
              </w:rPr>
              <w:t>507</w:t>
            </w:r>
          </w:p>
        </w:tc>
        <w:tc>
          <w:tcPr>
            <w:tcW w:w="990" w:type="dxa"/>
            <w:vAlign w:val="center"/>
          </w:tcPr>
          <w:p w14:paraId="64CA055E" w14:textId="6FEEAD3E" w:rsidR="0039406E" w:rsidRDefault="0039406E" w:rsidP="006A6B58">
            <w:pPr>
              <w:jc w:val="center"/>
              <w:rPr>
                <w:lang w:val="en-GB"/>
              </w:rPr>
            </w:pPr>
            <w:r>
              <w:rPr>
                <w:lang w:val="en-GB"/>
              </w:rPr>
              <w:t>0,154</w:t>
            </w:r>
          </w:p>
        </w:tc>
        <w:tc>
          <w:tcPr>
            <w:tcW w:w="1410" w:type="dxa"/>
            <w:vAlign w:val="center"/>
          </w:tcPr>
          <w:p w14:paraId="353CE148" w14:textId="256BEF8C" w:rsidR="0039406E" w:rsidRDefault="0039406E" w:rsidP="006A6B58">
            <w:pPr>
              <w:jc w:val="center"/>
              <w:rPr>
                <w:lang w:val="en-GB"/>
              </w:rPr>
            </w:pPr>
            <w:r>
              <w:rPr>
                <w:lang w:val="en-GB"/>
              </w:rPr>
              <w:t>0,903</w:t>
            </w:r>
          </w:p>
        </w:tc>
        <w:tc>
          <w:tcPr>
            <w:tcW w:w="1273" w:type="dxa"/>
            <w:vMerge/>
            <w:vAlign w:val="center"/>
          </w:tcPr>
          <w:p w14:paraId="7B9B63D7" w14:textId="77777777" w:rsidR="0039406E" w:rsidRDefault="0039406E" w:rsidP="006F38EF">
            <w:pPr>
              <w:jc w:val="center"/>
              <w:rPr>
                <w:lang w:val="en-GB"/>
              </w:rPr>
            </w:pPr>
          </w:p>
        </w:tc>
        <w:tc>
          <w:tcPr>
            <w:tcW w:w="1412" w:type="dxa"/>
            <w:vMerge/>
            <w:vAlign w:val="center"/>
          </w:tcPr>
          <w:p w14:paraId="13522366" w14:textId="77777777" w:rsidR="0039406E" w:rsidRDefault="0039406E" w:rsidP="006F38EF">
            <w:pPr>
              <w:jc w:val="center"/>
              <w:rPr>
                <w:lang w:val="en-GB"/>
              </w:rPr>
            </w:pPr>
          </w:p>
        </w:tc>
      </w:tr>
      <w:tr w:rsidR="0039406E" w14:paraId="3E7A369B" w14:textId="77777777" w:rsidTr="006A6B58">
        <w:tc>
          <w:tcPr>
            <w:tcW w:w="1377" w:type="dxa"/>
            <w:vMerge/>
          </w:tcPr>
          <w:p w14:paraId="077E404A" w14:textId="77777777" w:rsidR="0039406E" w:rsidRDefault="0039406E" w:rsidP="006F38EF">
            <w:pPr>
              <w:jc w:val="both"/>
              <w:rPr>
                <w:lang w:val="en-GB"/>
              </w:rPr>
            </w:pPr>
          </w:p>
        </w:tc>
        <w:tc>
          <w:tcPr>
            <w:tcW w:w="1838" w:type="dxa"/>
            <w:vAlign w:val="center"/>
          </w:tcPr>
          <w:p w14:paraId="11750FE8" w14:textId="19B6BAE5" w:rsidR="0039406E" w:rsidRDefault="0039406E" w:rsidP="006A6B58">
            <w:pPr>
              <w:jc w:val="center"/>
              <w:rPr>
                <w:lang w:val="en-GB"/>
              </w:rPr>
            </w:pPr>
            <w:r w:rsidRPr="00DC769B">
              <w:rPr>
                <w:sz w:val="18"/>
                <w:szCs w:val="18"/>
                <w:lang w:val="en-GB"/>
              </w:rPr>
              <w:t>80% - 90% Equity</w:t>
            </w:r>
          </w:p>
        </w:tc>
        <w:tc>
          <w:tcPr>
            <w:tcW w:w="988" w:type="dxa"/>
            <w:vAlign w:val="center"/>
          </w:tcPr>
          <w:p w14:paraId="52EFF386" w14:textId="767C1756" w:rsidR="0039406E" w:rsidRDefault="0039406E" w:rsidP="006A6B58">
            <w:pPr>
              <w:jc w:val="center"/>
              <w:rPr>
                <w:lang w:val="en-GB"/>
              </w:rPr>
            </w:pPr>
            <w:r>
              <w:rPr>
                <w:lang w:val="en-GB"/>
              </w:rPr>
              <w:t>480</w:t>
            </w:r>
          </w:p>
        </w:tc>
        <w:tc>
          <w:tcPr>
            <w:tcW w:w="990" w:type="dxa"/>
            <w:vAlign w:val="center"/>
          </w:tcPr>
          <w:p w14:paraId="5A5E3704" w14:textId="3279114B" w:rsidR="0039406E" w:rsidRDefault="0039406E" w:rsidP="006A6B58">
            <w:pPr>
              <w:jc w:val="center"/>
              <w:rPr>
                <w:lang w:val="en-GB"/>
              </w:rPr>
            </w:pPr>
            <w:r>
              <w:rPr>
                <w:lang w:val="en-GB"/>
              </w:rPr>
              <w:t>0,204</w:t>
            </w:r>
          </w:p>
        </w:tc>
        <w:tc>
          <w:tcPr>
            <w:tcW w:w="1410" w:type="dxa"/>
            <w:vAlign w:val="center"/>
          </w:tcPr>
          <w:p w14:paraId="6B717E66" w14:textId="38D19C76" w:rsidR="0039406E" w:rsidRDefault="0039406E" w:rsidP="006A6B58">
            <w:pPr>
              <w:jc w:val="center"/>
              <w:rPr>
                <w:lang w:val="en-GB"/>
              </w:rPr>
            </w:pPr>
            <w:r>
              <w:rPr>
                <w:lang w:val="en-GB"/>
              </w:rPr>
              <w:t>0,730</w:t>
            </w:r>
          </w:p>
        </w:tc>
        <w:tc>
          <w:tcPr>
            <w:tcW w:w="1273" w:type="dxa"/>
            <w:vMerge/>
            <w:vAlign w:val="center"/>
          </w:tcPr>
          <w:p w14:paraId="7C0B091C" w14:textId="77777777" w:rsidR="0039406E" w:rsidRDefault="0039406E" w:rsidP="006F38EF">
            <w:pPr>
              <w:jc w:val="center"/>
              <w:rPr>
                <w:lang w:val="en-GB"/>
              </w:rPr>
            </w:pPr>
          </w:p>
        </w:tc>
        <w:tc>
          <w:tcPr>
            <w:tcW w:w="1412" w:type="dxa"/>
            <w:vMerge/>
            <w:vAlign w:val="center"/>
          </w:tcPr>
          <w:p w14:paraId="4E697354" w14:textId="77777777" w:rsidR="0039406E" w:rsidRDefault="0039406E" w:rsidP="006F38EF">
            <w:pPr>
              <w:jc w:val="center"/>
              <w:rPr>
                <w:lang w:val="en-GB"/>
              </w:rPr>
            </w:pPr>
          </w:p>
        </w:tc>
      </w:tr>
      <w:tr w:rsidR="0039406E" w14:paraId="7004A595" w14:textId="77777777" w:rsidTr="006A6B58">
        <w:tc>
          <w:tcPr>
            <w:tcW w:w="1377" w:type="dxa"/>
            <w:vMerge/>
          </w:tcPr>
          <w:p w14:paraId="718DB105" w14:textId="77777777" w:rsidR="0039406E" w:rsidRDefault="0039406E" w:rsidP="006F38EF">
            <w:pPr>
              <w:jc w:val="both"/>
              <w:rPr>
                <w:lang w:val="en-GB"/>
              </w:rPr>
            </w:pPr>
          </w:p>
        </w:tc>
        <w:tc>
          <w:tcPr>
            <w:tcW w:w="1838" w:type="dxa"/>
            <w:vAlign w:val="center"/>
          </w:tcPr>
          <w:p w14:paraId="63CD0F6A" w14:textId="122CB564" w:rsidR="0039406E" w:rsidRDefault="0039406E" w:rsidP="006A6B58">
            <w:pPr>
              <w:jc w:val="center"/>
              <w:rPr>
                <w:lang w:val="en-GB"/>
              </w:rPr>
            </w:pPr>
            <w:r w:rsidRPr="00DC769B">
              <w:rPr>
                <w:sz w:val="18"/>
                <w:szCs w:val="18"/>
                <w:lang w:val="en-GB"/>
              </w:rPr>
              <w:t>90% - 100% Equity</w:t>
            </w:r>
          </w:p>
        </w:tc>
        <w:tc>
          <w:tcPr>
            <w:tcW w:w="988" w:type="dxa"/>
            <w:vAlign w:val="center"/>
          </w:tcPr>
          <w:p w14:paraId="4CD5466D" w14:textId="11983AC7" w:rsidR="0039406E" w:rsidRDefault="0039406E" w:rsidP="006A6B58">
            <w:pPr>
              <w:jc w:val="center"/>
              <w:rPr>
                <w:lang w:val="en-GB"/>
              </w:rPr>
            </w:pPr>
            <w:r>
              <w:rPr>
                <w:lang w:val="en-GB"/>
              </w:rPr>
              <w:t>1589</w:t>
            </w:r>
          </w:p>
        </w:tc>
        <w:tc>
          <w:tcPr>
            <w:tcW w:w="990" w:type="dxa"/>
            <w:vAlign w:val="center"/>
          </w:tcPr>
          <w:p w14:paraId="2CFB932C" w14:textId="69994821" w:rsidR="0039406E" w:rsidRDefault="0039406E" w:rsidP="006A6B58">
            <w:pPr>
              <w:jc w:val="center"/>
              <w:rPr>
                <w:lang w:val="en-GB"/>
              </w:rPr>
            </w:pPr>
            <w:r>
              <w:rPr>
                <w:lang w:val="en-GB"/>
              </w:rPr>
              <w:t>0,158</w:t>
            </w:r>
          </w:p>
        </w:tc>
        <w:tc>
          <w:tcPr>
            <w:tcW w:w="1410" w:type="dxa"/>
            <w:vAlign w:val="center"/>
          </w:tcPr>
          <w:p w14:paraId="4A49D514" w14:textId="5C6C2319" w:rsidR="0039406E" w:rsidRDefault="0039406E" w:rsidP="006A6B58">
            <w:pPr>
              <w:jc w:val="center"/>
              <w:rPr>
                <w:lang w:val="en-GB"/>
              </w:rPr>
            </w:pPr>
            <w:r>
              <w:rPr>
                <w:lang w:val="en-GB"/>
              </w:rPr>
              <w:t>1,211</w:t>
            </w:r>
          </w:p>
        </w:tc>
        <w:tc>
          <w:tcPr>
            <w:tcW w:w="1273" w:type="dxa"/>
            <w:vMerge/>
            <w:vAlign w:val="center"/>
          </w:tcPr>
          <w:p w14:paraId="0D802ECB" w14:textId="77777777" w:rsidR="0039406E" w:rsidRDefault="0039406E" w:rsidP="006F38EF">
            <w:pPr>
              <w:jc w:val="center"/>
              <w:rPr>
                <w:lang w:val="en-GB"/>
              </w:rPr>
            </w:pPr>
          </w:p>
        </w:tc>
        <w:tc>
          <w:tcPr>
            <w:tcW w:w="1412" w:type="dxa"/>
            <w:vMerge/>
            <w:vAlign w:val="center"/>
          </w:tcPr>
          <w:p w14:paraId="098FE303" w14:textId="77777777" w:rsidR="0039406E" w:rsidRDefault="0039406E" w:rsidP="006F38EF">
            <w:pPr>
              <w:jc w:val="center"/>
              <w:rPr>
                <w:lang w:val="en-GB"/>
              </w:rPr>
            </w:pPr>
          </w:p>
        </w:tc>
      </w:tr>
    </w:tbl>
    <w:p w14:paraId="7DC35666" w14:textId="77777777" w:rsidR="00E43035" w:rsidRDefault="00E43035" w:rsidP="00070F72">
      <w:pPr>
        <w:spacing w:line="360" w:lineRule="auto"/>
        <w:jc w:val="both"/>
        <w:rPr>
          <w:rStyle w:val="Kop1Char"/>
          <w:rFonts w:asciiTheme="minorHAnsi" w:eastAsiaTheme="minorHAnsi" w:hAnsiTheme="minorHAnsi" w:cstheme="minorBidi"/>
          <w:b w:val="0"/>
          <w:bCs w:val="0"/>
          <w:sz w:val="22"/>
          <w:szCs w:val="22"/>
        </w:rPr>
      </w:pPr>
    </w:p>
    <w:p w14:paraId="49D67CFE" w14:textId="62E54194" w:rsidR="00E43035" w:rsidRDefault="00E43035" w:rsidP="00070F72">
      <w:pPr>
        <w:spacing w:line="360" w:lineRule="auto"/>
        <w:jc w:val="both"/>
        <w:rPr>
          <w:rStyle w:val="Kop1Char"/>
          <w:rFonts w:asciiTheme="minorHAnsi" w:eastAsiaTheme="minorHAnsi" w:hAnsiTheme="minorHAnsi" w:cstheme="minorBidi"/>
          <w:b w:val="0"/>
          <w:bCs w:val="0"/>
          <w:sz w:val="22"/>
          <w:szCs w:val="22"/>
        </w:rPr>
      </w:pPr>
    </w:p>
    <w:p w14:paraId="21C5C703" w14:textId="77777777" w:rsidR="002050AA" w:rsidRDefault="002050AA" w:rsidP="00E73763">
      <w:pPr>
        <w:spacing w:line="360" w:lineRule="auto"/>
        <w:jc w:val="both"/>
        <w:rPr>
          <w:lang w:val="en-GB"/>
        </w:rPr>
      </w:pPr>
    </w:p>
    <w:p w14:paraId="3B708A4B" w14:textId="2C5DB95D" w:rsidR="002050AA" w:rsidRDefault="005147FA" w:rsidP="00E73763">
      <w:pPr>
        <w:spacing w:line="360" w:lineRule="auto"/>
        <w:jc w:val="both"/>
        <w:rPr>
          <w:lang w:val="en-GB"/>
        </w:rPr>
      </w:pPr>
      <w:r>
        <w:rPr>
          <w:noProof/>
          <w:lang w:val="en-GB" w:eastAsia="en-GB"/>
        </w:rPr>
        <w:lastRenderedPageBreak/>
        <mc:AlternateContent>
          <mc:Choice Requires="wps">
            <w:drawing>
              <wp:anchor distT="0" distB="0" distL="114300" distR="114300" simplePos="0" relativeHeight="251792384" behindDoc="0" locked="0" layoutInCell="1" allowOverlap="1" wp14:anchorId="232DD8D9" wp14:editId="7DBA26D1">
                <wp:simplePos x="0" y="0"/>
                <wp:positionH relativeFrom="column">
                  <wp:posOffset>13999</wp:posOffset>
                </wp:positionH>
                <wp:positionV relativeFrom="paragraph">
                  <wp:posOffset>-9923</wp:posOffset>
                </wp:positionV>
                <wp:extent cx="5666740" cy="241300"/>
                <wp:effectExtent l="0" t="0" r="0" b="6350"/>
                <wp:wrapNone/>
                <wp:docPr id="117" name="Tekstvak 117"/>
                <wp:cNvGraphicFramePr/>
                <a:graphic xmlns:a="http://schemas.openxmlformats.org/drawingml/2006/main">
                  <a:graphicData uri="http://schemas.microsoft.com/office/word/2010/wordprocessingShape">
                    <wps:wsp>
                      <wps:cNvSpPr txBox="1"/>
                      <wps:spPr>
                        <a:xfrm>
                          <a:off x="0" y="0"/>
                          <a:ext cx="5666740" cy="241300"/>
                        </a:xfrm>
                        <a:prstGeom prst="rect">
                          <a:avLst/>
                        </a:prstGeom>
                        <a:solidFill>
                          <a:prstClr val="white"/>
                        </a:solidFill>
                        <a:ln>
                          <a:noFill/>
                        </a:ln>
                        <a:effectLst/>
                      </wps:spPr>
                      <wps:txbx>
                        <w:txbxContent>
                          <w:p w14:paraId="03B2D8A6" w14:textId="3F81E48B" w:rsidR="00A726AB" w:rsidRPr="00F0132D" w:rsidRDefault="00A726AB" w:rsidP="005147FA">
                            <w:pPr>
                              <w:pStyle w:val="Kop5"/>
                              <w:rPr>
                                <w:noProof/>
                              </w:rPr>
                            </w:pPr>
                            <w:r w:rsidRPr="00F0132D">
                              <w:t xml:space="preserve">Figure </w:t>
                            </w:r>
                            <w:r>
                              <w:t>9</w:t>
                            </w:r>
                            <w:r w:rsidRPr="00F0132D">
                              <w:t>:</w:t>
                            </w:r>
                            <w:r>
                              <w:t xml:space="preserve"> </w:t>
                            </w:r>
                            <w:r w:rsidRPr="00F0132D">
                              <w:t>the effect of equity compensation on CFO's total performance measured by stock performance.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7" o:spid="_x0000_s1130" type="#_x0000_t202" style="position:absolute;left:0;text-align:left;margin-left:1.1pt;margin-top:-.8pt;width:446.2pt;height:1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" stroked="f">
                <v:textbox inset="0,0,0,0">
                  <w:txbxContent>
                    <w:p w14:paraId="03B2D8A6" w14:textId="3F81E48B" w:rsidR="00A726AB" w:rsidRPr="00F0132D" w:rsidRDefault="00A726AB" w:rsidP="005147FA">
                      <w:pPr>
                        <w:pStyle w:val="Kop5"/>
                        <w:rPr>
                          <w:noProof/>
                        </w:rPr>
                      </w:pPr>
                      <w:r w:rsidRPr="00F0132D">
                        <w:t xml:space="preserve">Figure </w:t>
                      </w:r>
                      <w:r>
                        <w:t>9</w:t>
                      </w:r>
                      <w:r w:rsidRPr="00F0132D">
                        <w:t>:</w:t>
                      </w:r>
                      <w:r>
                        <w:t xml:space="preserve"> </w:t>
                      </w:r>
                      <w:r w:rsidRPr="00F0132D">
                        <w:t>the effect of equity compensation on CFO's total performance measured by stock performance.</w:t>
                      </w:r>
                    </w:p>
                  </w:txbxContent>
                </v:textbox>
              </v:shape>
            </w:pict>
          </mc:Fallback>
        </mc:AlternateContent>
      </w:r>
      <w:r w:rsidR="00DF7A1A">
        <w:rPr>
          <w:noProof/>
          <w:lang w:val="en-GB" w:eastAsia="en-GB"/>
        </w:rPr>
        <w:drawing>
          <wp:anchor distT="0" distB="0" distL="114300" distR="114300" simplePos="0" relativeHeight="251790336" behindDoc="0" locked="0" layoutInCell="1" allowOverlap="1" wp14:anchorId="7ED56118" wp14:editId="229CF2DD">
            <wp:simplePos x="0" y="0"/>
            <wp:positionH relativeFrom="column">
              <wp:posOffset>-400050</wp:posOffset>
            </wp:positionH>
            <wp:positionV relativeFrom="paragraph">
              <wp:posOffset>295910</wp:posOffset>
            </wp:positionV>
            <wp:extent cx="6840220" cy="2639060"/>
            <wp:effectExtent l="0" t="0" r="17780" b="27940"/>
            <wp:wrapTopAndBottom/>
            <wp:docPr id="115" name="Grafiek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4865717E" w14:textId="7A647464" w:rsidR="002A1F3C" w:rsidRDefault="002320D2" w:rsidP="00E73763">
      <w:pPr>
        <w:spacing w:line="360" w:lineRule="auto"/>
        <w:jc w:val="both"/>
        <w:rPr>
          <w:lang w:val="en-GB"/>
        </w:rPr>
      </w:pPr>
      <w:r>
        <w:rPr>
          <w:lang w:val="en-GB"/>
        </w:rPr>
        <w:t xml:space="preserve">In </w:t>
      </w:r>
      <w:r w:rsidR="00FF106F">
        <w:rPr>
          <w:lang w:val="en-GB"/>
        </w:rPr>
        <w:t xml:space="preserve">table 11, the predicted </w:t>
      </w:r>
      <w:r>
        <w:rPr>
          <w:lang w:val="en-GB"/>
        </w:rPr>
        <w:t xml:space="preserve"> and actual outcomes of t</w:t>
      </w:r>
      <w:r w:rsidR="00FF106F">
        <w:rPr>
          <w:lang w:val="en-GB"/>
        </w:rPr>
        <w:t xml:space="preserve">he hypotheses are presented. Only the hypotheses regarding the managerial performance turn out to be highly significant with the predicted sign. All the other hypothesis </w:t>
      </w:r>
      <w:r w:rsidR="00E73763">
        <w:rPr>
          <w:lang w:val="en-GB"/>
        </w:rPr>
        <w:t xml:space="preserve">are not highly significant or not significant at all. </w:t>
      </w:r>
      <w:r w:rsidR="00FF106F">
        <w:rPr>
          <w:lang w:val="en-GB"/>
        </w:rPr>
        <w:t xml:space="preserve"> </w:t>
      </w:r>
    </w:p>
    <w:p w14:paraId="580F8C61" w14:textId="081AD47E" w:rsidR="00DF7A1A" w:rsidRPr="00DF7A1A" w:rsidRDefault="00DF7A1A" w:rsidP="005147FA">
      <w:pPr>
        <w:pStyle w:val="Kop5"/>
      </w:pPr>
      <w:r w:rsidRPr="00DF7A1A">
        <w:t xml:space="preserve">Table </w:t>
      </w:r>
      <w:r w:rsidRPr="00DF7A1A">
        <w:fldChar w:fldCharType="begin"/>
      </w:r>
      <w:r w:rsidRPr="00DF7A1A">
        <w:instrText xml:space="preserve"> SEQ Table \* ARABIC </w:instrText>
      </w:r>
      <w:r w:rsidRPr="00DF7A1A">
        <w:fldChar w:fldCharType="separate"/>
      </w:r>
      <w:r w:rsidR="004043A1">
        <w:rPr>
          <w:noProof/>
        </w:rPr>
        <w:t>11</w:t>
      </w:r>
      <w:r w:rsidRPr="00DF7A1A">
        <w:fldChar w:fldCharType="end"/>
      </w:r>
      <w:r w:rsidRPr="00DF7A1A">
        <w:t>: Overview of predicted and actual outcomes</w:t>
      </w:r>
    </w:p>
    <w:tbl>
      <w:tblPr>
        <w:tblStyle w:val="Tabelraster"/>
        <w:tblW w:w="10065" w:type="dxa"/>
        <w:tblInd w:w="-459" w:type="dxa"/>
        <w:tblLook w:val="04A0" w:firstRow="1" w:lastRow="0" w:firstColumn="1" w:lastColumn="0" w:noHBand="0" w:noVBand="1"/>
      </w:tblPr>
      <w:tblGrid>
        <w:gridCol w:w="1276"/>
        <w:gridCol w:w="2552"/>
        <w:gridCol w:w="2268"/>
        <w:gridCol w:w="1793"/>
        <w:gridCol w:w="2176"/>
      </w:tblGrid>
      <w:tr w:rsidR="00631CBF" w14:paraId="38554A9D" w14:textId="77777777" w:rsidTr="006A6B58">
        <w:tc>
          <w:tcPr>
            <w:tcW w:w="1276" w:type="dxa"/>
            <w:vAlign w:val="center"/>
          </w:tcPr>
          <w:p w14:paraId="45525A42" w14:textId="27354BF3" w:rsidR="00631CBF" w:rsidRDefault="00631CBF" w:rsidP="006A6B58">
            <w:pPr>
              <w:spacing w:line="360" w:lineRule="auto"/>
              <w:jc w:val="center"/>
              <w:rPr>
                <w:lang w:val="en-GB"/>
              </w:rPr>
            </w:pPr>
            <w:r>
              <w:rPr>
                <w:lang w:val="en-GB"/>
              </w:rPr>
              <w:t>Hypothesis</w:t>
            </w:r>
          </w:p>
        </w:tc>
        <w:tc>
          <w:tcPr>
            <w:tcW w:w="2552" w:type="dxa"/>
            <w:vAlign w:val="center"/>
          </w:tcPr>
          <w:p w14:paraId="035D8087" w14:textId="42AF770E" w:rsidR="00631CBF" w:rsidRDefault="00631CBF" w:rsidP="006A6B58">
            <w:pPr>
              <w:spacing w:line="360" w:lineRule="auto"/>
              <w:jc w:val="center"/>
              <w:rPr>
                <w:lang w:val="en-GB"/>
              </w:rPr>
            </w:pPr>
            <w:r>
              <w:rPr>
                <w:lang w:val="en-GB"/>
              </w:rPr>
              <w:t>Independent variable</w:t>
            </w:r>
          </w:p>
        </w:tc>
        <w:tc>
          <w:tcPr>
            <w:tcW w:w="2268" w:type="dxa"/>
            <w:vAlign w:val="center"/>
          </w:tcPr>
          <w:p w14:paraId="351879C2" w14:textId="60771C64" w:rsidR="00631CBF" w:rsidRDefault="00631CBF" w:rsidP="006A6B58">
            <w:pPr>
              <w:spacing w:line="360" w:lineRule="auto"/>
              <w:jc w:val="center"/>
              <w:rPr>
                <w:lang w:val="en-GB"/>
              </w:rPr>
            </w:pPr>
            <w:r>
              <w:rPr>
                <w:lang w:val="en-GB"/>
              </w:rPr>
              <w:t>Dependent variable</w:t>
            </w:r>
          </w:p>
        </w:tc>
        <w:tc>
          <w:tcPr>
            <w:tcW w:w="1793" w:type="dxa"/>
            <w:vAlign w:val="center"/>
          </w:tcPr>
          <w:p w14:paraId="0703E298" w14:textId="54890D08" w:rsidR="00631CBF" w:rsidRDefault="00631CBF" w:rsidP="006A6B58">
            <w:pPr>
              <w:spacing w:line="360" w:lineRule="auto"/>
              <w:jc w:val="center"/>
              <w:rPr>
                <w:lang w:val="en-GB"/>
              </w:rPr>
            </w:pPr>
            <w:r>
              <w:rPr>
                <w:lang w:val="en-GB"/>
              </w:rPr>
              <w:t>Predicted sign</w:t>
            </w:r>
          </w:p>
        </w:tc>
        <w:tc>
          <w:tcPr>
            <w:tcW w:w="2176" w:type="dxa"/>
            <w:vAlign w:val="center"/>
          </w:tcPr>
          <w:p w14:paraId="3B188FE6" w14:textId="28C5CA8B" w:rsidR="00631CBF" w:rsidRDefault="00631CBF" w:rsidP="006A6B58">
            <w:pPr>
              <w:spacing w:line="360" w:lineRule="auto"/>
              <w:jc w:val="center"/>
              <w:rPr>
                <w:lang w:val="en-GB"/>
              </w:rPr>
            </w:pPr>
            <w:r>
              <w:rPr>
                <w:lang w:val="en-GB"/>
              </w:rPr>
              <w:t>Coefficient</w:t>
            </w:r>
          </w:p>
        </w:tc>
      </w:tr>
      <w:tr w:rsidR="00631CBF" w14:paraId="5FEC12ED" w14:textId="77777777" w:rsidTr="006A6B58">
        <w:tc>
          <w:tcPr>
            <w:tcW w:w="1276" w:type="dxa"/>
            <w:vAlign w:val="center"/>
          </w:tcPr>
          <w:p w14:paraId="3B1C3DA1" w14:textId="46F7F9C8" w:rsidR="00631CBF" w:rsidRDefault="00631CBF" w:rsidP="006A6B58">
            <w:pPr>
              <w:spacing w:line="360" w:lineRule="auto"/>
              <w:jc w:val="center"/>
              <w:rPr>
                <w:lang w:val="en-GB"/>
              </w:rPr>
            </w:pPr>
            <w:r>
              <w:rPr>
                <w:lang w:val="en-GB"/>
              </w:rPr>
              <w:t>1a</w:t>
            </w:r>
          </w:p>
        </w:tc>
        <w:tc>
          <w:tcPr>
            <w:tcW w:w="2552" w:type="dxa"/>
          </w:tcPr>
          <w:p w14:paraId="4575261A" w14:textId="3A7B523E" w:rsidR="00631CBF" w:rsidRDefault="00631CBF" w:rsidP="00E73763">
            <w:pPr>
              <w:spacing w:line="360" w:lineRule="auto"/>
              <w:jc w:val="both"/>
              <w:rPr>
                <w:lang w:val="en-GB"/>
              </w:rPr>
            </w:pPr>
            <w:r>
              <w:rPr>
                <w:lang w:val="en-GB"/>
              </w:rPr>
              <w:t>Equity compensation</w:t>
            </w:r>
          </w:p>
        </w:tc>
        <w:tc>
          <w:tcPr>
            <w:tcW w:w="2268" w:type="dxa"/>
          </w:tcPr>
          <w:p w14:paraId="3A437A67" w14:textId="0E3C1B49" w:rsidR="00631CBF" w:rsidRDefault="00143D12" w:rsidP="00E73763">
            <w:pPr>
              <w:spacing w:line="360" w:lineRule="auto"/>
              <w:jc w:val="both"/>
              <w:rPr>
                <w:lang w:val="en-GB"/>
              </w:rPr>
            </w:pPr>
            <w:r>
              <w:rPr>
                <w:lang w:val="en-GB"/>
              </w:rPr>
              <w:t>Managerial performance</w:t>
            </w:r>
          </w:p>
        </w:tc>
        <w:tc>
          <w:tcPr>
            <w:tcW w:w="1793" w:type="dxa"/>
            <w:vAlign w:val="center"/>
          </w:tcPr>
          <w:p w14:paraId="49BB9BC8" w14:textId="6C8ACCF9" w:rsidR="00631CBF" w:rsidRDefault="00143D12" w:rsidP="006A6B58">
            <w:pPr>
              <w:spacing w:line="360" w:lineRule="auto"/>
              <w:jc w:val="center"/>
              <w:rPr>
                <w:lang w:val="en-GB"/>
              </w:rPr>
            </w:pPr>
            <w:r>
              <w:rPr>
                <w:lang w:val="en-GB"/>
              </w:rPr>
              <w:t>+</w:t>
            </w:r>
          </w:p>
        </w:tc>
        <w:tc>
          <w:tcPr>
            <w:tcW w:w="2176" w:type="dxa"/>
            <w:vAlign w:val="center"/>
          </w:tcPr>
          <w:p w14:paraId="3D5423BE" w14:textId="19B9D01B" w:rsidR="00631CBF" w:rsidRDefault="00143D12" w:rsidP="006A6B58">
            <w:pPr>
              <w:spacing w:line="360" w:lineRule="auto"/>
              <w:jc w:val="center"/>
              <w:rPr>
                <w:lang w:val="en-GB"/>
              </w:rPr>
            </w:pPr>
            <w:r>
              <w:rPr>
                <w:lang w:val="en-GB"/>
              </w:rPr>
              <w:t>+***</w:t>
            </w:r>
          </w:p>
        </w:tc>
      </w:tr>
      <w:tr w:rsidR="00631CBF" w14:paraId="411C01FF" w14:textId="77777777" w:rsidTr="006A6B58">
        <w:tc>
          <w:tcPr>
            <w:tcW w:w="1276" w:type="dxa"/>
            <w:vAlign w:val="center"/>
          </w:tcPr>
          <w:p w14:paraId="7E9F054E" w14:textId="32364BD8" w:rsidR="00631CBF" w:rsidRDefault="00631CBF" w:rsidP="006A6B58">
            <w:pPr>
              <w:spacing w:line="360" w:lineRule="auto"/>
              <w:jc w:val="center"/>
              <w:rPr>
                <w:lang w:val="en-GB"/>
              </w:rPr>
            </w:pPr>
            <w:r>
              <w:rPr>
                <w:lang w:val="en-GB"/>
              </w:rPr>
              <w:t>1b1</w:t>
            </w:r>
          </w:p>
        </w:tc>
        <w:tc>
          <w:tcPr>
            <w:tcW w:w="2552" w:type="dxa"/>
          </w:tcPr>
          <w:p w14:paraId="359B812A" w14:textId="1A5B2251" w:rsidR="00631CBF" w:rsidRDefault="00143D12" w:rsidP="00E73763">
            <w:pPr>
              <w:spacing w:line="360" w:lineRule="auto"/>
              <w:jc w:val="both"/>
              <w:rPr>
                <w:lang w:val="en-GB"/>
              </w:rPr>
            </w:pPr>
            <w:r>
              <w:rPr>
                <w:lang w:val="en-GB"/>
              </w:rPr>
              <w:t>Equity compensation</w:t>
            </w:r>
          </w:p>
        </w:tc>
        <w:tc>
          <w:tcPr>
            <w:tcW w:w="2268" w:type="dxa"/>
          </w:tcPr>
          <w:p w14:paraId="29B6FD9A" w14:textId="32EF8461" w:rsidR="00631CBF" w:rsidRDefault="00143D12" w:rsidP="00E73763">
            <w:pPr>
              <w:spacing w:line="360" w:lineRule="auto"/>
              <w:jc w:val="both"/>
              <w:rPr>
                <w:lang w:val="en-GB"/>
              </w:rPr>
            </w:pPr>
            <w:r>
              <w:rPr>
                <w:lang w:val="en-GB"/>
              </w:rPr>
              <w:t>Fiduciary performance</w:t>
            </w:r>
          </w:p>
        </w:tc>
        <w:tc>
          <w:tcPr>
            <w:tcW w:w="1793" w:type="dxa"/>
            <w:vAlign w:val="center"/>
          </w:tcPr>
          <w:p w14:paraId="6C2BD283" w14:textId="23E64CAB" w:rsidR="00631CBF" w:rsidRDefault="00143D12" w:rsidP="006A6B58">
            <w:pPr>
              <w:spacing w:line="360" w:lineRule="auto"/>
              <w:jc w:val="center"/>
              <w:rPr>
                <w:lang w:val="en-GB"/>
              </w:rPr>
            </w:pPr>
            <w:r>
              <w:rPr>
                <w:lang w:val="en-GB"/>
              </w:rPr>
              <w:t>+</w:t>
            </w:r>
          </w:p>
        </w:tc>
        <w:tc>
          <w:tcPr>
            <w:tcW w:w="2176" w:type="dxa"/>
            <w:vAlign w:val="center"/>
          </w:tcPr>
          <w:p w14:paraId="6837D610" w14:textId="0871670A" w:rsidR="00631CBF" w:rsidRDefault="00143D12" w:rsidP="006A6B58">
            <w:pPr>
              <w:spacing w:line="360" w:lineRule="auto"/>
              <w:jc w:val="center"/>
              <w:rPr>
                <w:lang w:val="en-GB"/>
              </w:rPr>
            </w:pPr>
            <w:r>
              <w:rPr>
                <w:lang w:val="en-GB"/>
              </w:rPr>
              <w:t>+</w:t>
            </w:r>
          </w:p>
        </w:tc>
      </w:tr>
      <w:tr w:rsidR="00631CBF" w14:paraId="041D0684" w14:textId="77777777" w:rsidTr="006A6B58">
        <w:tc>
          <w:tcPr>
            <w:tcW w:w="1276" w:type="dxa"/>
            <w:vAlign w:val="center"/>
          </w:tcPr>
          <w:p w14:paraId="6A8579D6" w14:textId="68085D4E" w:rsidR="00631CBF" w:rsidRDefault="00631CBF" w:rsidP="006A6B58">
            <w:pPr>
              <w:spacing w:line="360" w:lineRule="auto"/>
              <w:jc w:val="center"/>
              <w:rPr>
                <w:lang w:val="en-GB"/>
              </w:rPr>
            </w:pPr>
            <w:r>
              <w:rPr>
                <w:lang w:val="en-GB"/>
              </w:rPr>
              <w:t>1b2</w:t>
            </w:r>
          </w:p>
        </w:tc>
        <w:tc>
          <w:tcPr>
            <w:tcW w:w="2552" w:type="dxa"/>
          </w:tcPr>
          <w:p w14:paraId="1D9FFDA8" w14:textId="35402B22" w:rsidR="00631CBF" w:rsidRDefault="00143D12" w:rsidP="00E73763">
            <w:pPr>
              <w:spacing w:line="360" w:lineRule="auto"/>
              <w:jc w:val="both"/>
              <w:rPr>
                <w:lang w:val="en-GB"/>
              </w:rPr>
            </w:pPr>
            <w:r>
              <w:rPr>
                <w:lang w:val="en-GB"/>
              </w:rPr>
              <w:t>Equity compensation</w:t>
            </w:r>
          </w:p>
        </w:tc>
        <w:tc>
          <w:tcPr>
            <w:tcW w:w="2268" w:type="dxa"/>
          </w:tcPr>
          <w:p w14:paraId="1DD2D3A0" w14:textId="29B6544F" w:rsidR="00631CBF" w:rsidRDefault="00143D12" w:rsidP="00E73763">
            <w:pPr>
              <w:spacing w:line="360" w:lineRule="auto"/>
              <w:jc w:val="both"/>
              <w:rPr>
                <w:lang w:val="en-GB"/>
              </w:rPr>
            </w:pPr>
            <w:r>
              <w:rPr>
                <w:lang w:val="en-GB"/>
              </w:rPr>
              <w:t>Fiduciary performance</w:t>
            </w:r>
          </w:p>
        </w:tc>
        <w:tc>
          <w:tcPr>
            <w:tcW w:w="1793" w:type="dxa"/>
            <w:vAlign w:val="center"/>
          </w:tcPr>
          <w:p w14:paraId="3C0D6071" w14:textId="5517F84A" w:rsidR="00631CBF" w:rsidRDefault="00143D12" w:rsidP="006A6B58">
            <w:pPr>
              <w:spacing w:line="360" w:lineRule="auto"/>
              <w:jc w:val="center"/>
              <w:rPr>
                <w:lang w:val="en-GB"/>
              </w:rPr>
            </w:pPr>
            <w:r>
              <w:rPr>
                <w:lang w:val="en-GB"/>
              </w:rPr>
              <w:t>+</w:t>
            </w:r>
          </w:p>
        </w:tc>
        <w:tc>
          <w:tcPr>
            <w:tcW w:w="2176" w:type="dxa"/>
            <w:vAlign w:val="center"/>
          </w:tcPr>
          <w:p w14:paraId="6839952E" w14:textId="018AAC33" w:rsidR="00631CBF" w:rsidRDefault="00143D12" w:rsidP="006A6B58">
            <w:pPr>
              <w:spacing w:line="360" w:lineRule="auto"/>
              <w:jc w:val="center"/>
              <w:rPr>
                <w:lang w:val="en-GB"/>
              </w:rPr>
            </w:pPr>
            <w:r>
              <w:rPr>
                <w:lang w:val="en-GB"/>
              </w:rPr>
              <w:t>+/-</w:t>
            </w:r>
          </w:p>
        </w:tc>
      </w:tr>
      <w:tr w:rsidR="00631CBF" w14:paraId="0AAEBD56" w14:textId="77777777" w:rsidTr="006A6B58">
        <w:tc>
          <w:tcPr>
            <w:tcW w:w="1276" w:type="dxa"/>
            <w:vAlign w:val="center"/>
          </w:tcPr>
          <w:p w14:paraId="688FB2A5" w14:textId="5A0F04D7" w:rsidR="00631CBF" w:rsidRDefault="00631CBF" w:rsidP="006A6B58">
            <w:pPr>
              <w:spacing w:line="360" w:lineRule="auto"/>
              <w:jc w:val="center"/>
              <w:rPr>
                <w:lang w:val="en-GB"/>
              </w:rPr>
            </w:pPr>
            <w:r>
              <w:rPr>
                <w:lang w:val="en-GB"/>
              </w:rPr>
              <w:t>2a</w:t>
            </w:r>
          </w:p>
        </w:tc>
        <w:tc>
          <w:tcPr>
            <w:tcW w:w="2552" w:type="dxa"/>
          </w:tcPr>
          <w:p w14:paraId="6BC542B9" w14:textId="79C3898B" w:rsidR="00631CBF" w:rsidRDefault="00143D12" w:rsidP="00E73763">
            <w:pPr>
              <w:spacing w:line="360" w:lineRule="auto"/>
              <w:jc w:val="both"/>
              <w:rPr>
                <w:lang w:val="en-GB"/>
              </w:rPr>
            </w:pPr>
            <w:r>
              <w:rPr>
                <w:lang w:val="en-GB"/>
              </w:rPr>
              <w:t>Equity proportion</w:t>
            </w:r>
          </w:p>
        </w:tc>
        <w:tc>
          <w:tcPr>
            <w:tcW w:w="2268" w:type="dxa"/>
          </w:tcPr>
          <w:p w14:paraId="099DAACC" w14:textId="1132B1FF" w:rsidR="00631CBF" w:rsidRDefault="00143D12" w:rsidP="00E73763">
            <w:pPr>
              <w:spacing w:line="360" w:lineRule="auto"/>
              <w:jc w:val="both"/>
              <w:rPr>
                <w:lang w:val="en-GB"/>
              </w:rPr>
            </w:pPr>
            <w:r>
              <w:rPr>
                <w:lang w:val="en-GB"/>
              </w:rPr>
              <w:t>Managerial performance</w:t>
            </w:r>
          </w:p>
        </w:tc>
        <w:tc>
          <w:tcPr>
            <w:tcW w:w="1793" w:type="dxa"/>
            <w:vAlign w:val="center"/>
          </w:tcPr>
          <w:p w14:paraId="00AE03B1" w14:textId="139D0341" w:rsidR="00631CBF" w:rsidRDefault="00143D12" w:rsidP="006A6B58">
            <w:pPr>
              <w:spacing w:line="360" w:lineRule="auto"/>
              <w:jc w:val="center"/>
              <w:rPr>
                <w:lang w:val="en-GB"/>
              </w:rPr>
            </w:pPr>
            <w:r>
              <w:rPr>
                <w:lang w:val="en-GB"/>
              </w:rPr>
              <w:t>+</w:t>
            </w:r>
          </w:p>
        </w:tc>
        <w:tc>
          <w:tcPr>
            <w:tcW w:w="2176" w:type="dxa"/>
            <w:vAlign w:val="center"/>
          </w:tcPr>
          <w:p w14:paraId="2ED05DE4" w14:textId="3FFCD188" w:rsidR="00631CBF" w:rsidRDefault="00143D12" w:rsidP="006A6B58">
            <w:pPr>
              <w:spacing w:line="360" w:lineRule="auto"/>
              <w:jc w:val="center"/>
              <w:rPr>
                <w:lang w:val="en-GB"/>
              </w:rPr>
            </w:pPr>
            <w:r>
              <w:rPr>
                <w:lang w:val="en-GB"/>
              </w:rPr>
              <w:t>+***</w:t>
            </w:r>
          </w:p>
        </w:tc>
      </w:tr>
      <w:tr w:rsidR="00631CBF" w14:paraId="3A6F02B7" w14:textId="77777777" w:rsidTr="006A6B58">
        <w:tc>
          <w:tcPr>
            <w:tcW w:w="1276" w:type="dxa"/>
            <w:vAlign w:val="center"/>
          </w:tcPr>
          <w:p w14:paraId="6CA2527C" w14:textId="749A9226" w:rsidR="00631CBF" w:rsidRDefault="00631CBF" w:rsidP="006A6B58">
            <w:pPr>
              <w:spacing w:line="360" w:lineRule="auto"/>
              <w:jc w:val="center"/>
              <w:rPr>
                <w:lang w:val="en-GB"/>
              </w:rPr>
            </w:pPr>
            <w:r>
              <w:rPr>
                <w:lang w:val="en-GB"/>
              </w:rPr>
              <w:t>2b1</w:t>
            </w:r>
          </w:p>
        </w:tc>
        <w:tc>
          <w:tcPr>
            <w:tcW w:w="2552" w:type="dxa"/>
          </w:tcPr>
          <w:p w14:paraId="2A43571F" w14:textId="2B138880" w:rsidR="00631CBF" w:rsidRDefault="00143D12" w:rsidP="00E73763">
            <w:pPr>
              <w:spacing w:line="360" w:lineRule="auto"/>
              <w:jc w:val="both"/>
              <w:rPr>
                <w:lang w:val="en-GB"/>
              </w:rPr>
            </w:pPr>
            <w:r>
              <w:rPr>
                <w:lang w:val="en-GB"/>
              </w:rPr>
              <w:t>Equity proportion</w:t>
            </w:r>
          </w:p>
        </w:tc>
        <w:tc>
          <w:tcPr>
            <w:tcW w:w="2268" w:type="dxa"/>
          </w:tcPr>
          <w:p w14:paraId="74720A10" w14:textId="60E330AB" w:rsidR="00631CBF" w:rsidRDefault="00143D12" w:rsidP="00E73763">
            <w:pPr>
              <w:spacing w:line="360" w:lineRule="auto"/>
              <w:jc w:val="both"/>
              <w:rPr>
                <w:lang w:val="en-GB"/>
              </w:rPr>
            </w:pPr>
            <w:r>
              <w:rPr>
                <w:lang w:val="en-GB"/>
              </w:rPr>
              <w:t>Fiduciary performance</w:t>
            </w:r>
          </w:p>
        </w:tc>
        <w:tc>
          <w:tcPr>
            <w:tcW w:w="1793" w:type="dxa"/>
            <w:vAlign w:val="center"/>
          </w:tcPr>
          <w:p w14:paraId="55F904CB" w14:textId="09929C53" w:rsidR="00631CBF" w:rsidRDefault="00143D12" w:rsidP="006A6B58">
            <w:pPr>
              <w:spacing w:line="360" w:lineRule="auto"/>
              <w:jc w:val="center"/>
              <w:rPr>
                <w:lang w:val="en-GB"/>
              </w:rPr>
            </w:pPr>
            <w:r>
              <w:rPr>
                <w:lang w:val="en-GB"/>
              </w:rPr>
              <w:t>+</w:t>
            </w:r>
          </w:p>
        </w:tc>
        <w:tc>
          <w:tcPr>
            <w:tcW w:w="2176" w:type="dxa"/>
            <w:vAlign w:val="center"/>
          </w:tcPr>
          <w:p w14:paraId="4D39B8AF" w14:textId="60FF204D" w:rsidR="00631CBF" w:rsidRDefault="00143D12" w:rsidP="006A6B58">
            <w:pPr>
              <w:spacing w:line="360" w:lineRule="auto"/>
              <w:jc w:val="center"/>
              <w:rPr>
                <w:lang w:val="en-GB"/>
              </w:rPr>
            </w:pPr>
            <w:r>
              <w:rPr>
                <w:lang w:val="en-GB"/>
              </w:rPr>
              <w:t>+*</w:t>
            </w:r>
          </w:p>
        </w:tc>
      </w:tr>
      <w:tr w:rsidR="00631CBF" w14:paraId="4C3595A2" w14:textId="77777777" w:rsidTr="006A6B58">
        <w:tc>
          <w:tcPr>
            <w:tcW w:w="1276" w:type="dxa"/>
            <w:vAlign w:val="center"/>
          </w:tcPr>
          <w:p w14:paraId="4FC80AF5" w14:textId="68E5BC9B" w:rsidR="00631CBF" w:rsidRDefault="00631CBF" w:rsidP="006A6B58">
            <w:pPr>
              <w:spacing w:line="360" w:lineRule="auto"/>
              <w:jc w:val="center"/>
              <w:rPr>
                <w:lang w:val="en-GB"/>
              </w:rPr>
            </w:pPr>
            <w:r>
              <w:rPr>
                <w:lang w:val="en-GB"/>
              </w:rPr>
              <w:t>2b2</w:t>
            </w:r>
          </w:p>
        </w:tc>
        <w:tc>
          <w:tcPr>
            <w:tcW w:w="2552" w:type="dxa"/>
          </w:tcPr>
          <w:p w14:paraId="48594919" w14:textId="276864E0" w:rsidR="00631CBF" w:rsidRDefault="00143D12" w:rsidP="00E73763">
            <w:pPr>
              <w:spacing w:line="360" w:lineRule="auto"/>
              <w:jc w:val="both"/>
              <w:rPr>
                <w:lang w:val="en-GB"/>
              </w:rPr>
            </w:pPr>
            <w:r>
              <w:rPr>
                <w:lang w:val="en-GB"/>
              </w:rPr>
              <w:t>Equity proportion</w:t>
            </w:r>
          </w:p>
        </w:tc>
        <w:tc>
          <w:tcPr>
            <w:tcW w:w="2268" w:type="dxa"/>
          </w:tcPr>
          <w:p w14:paraId="245613BC" w14:textId="06CEF055" w:rsidR="00631CBF" w:rsidRDefault="00143D12" w:rsidP="00E73763">
            <w:pPr>
              <w:spacing w:line="360" w:lineRule="auto"/>
              <w:jc w:val="both"/>
              <w:rPr>
                <w:lang w:val="en-GB"/>
              </w:rPr>
            </w:pPr>
            <w:r>
              <w:rPr>
                <w:lang w:val="en-GB"/>
              </w:rPr>
              <w:t>Fiduciary performance</w:t>
            </w:r>
          </w:p>
        </w:tc>
        <w:tc>
          <w:tcPr>
            <w:tcW w:w="1793" w:type="dxa"/>
            <w:vAlign w:val="center"/>
          </w:tcPr>
          <w:p w14:paraId="153FC9FF" w14:textId="5883C91C" w:rsidR="00631CBF" w:rsidRDefault="00143D12" w:rsidP="006A6B58">
            <w:pPr>
              <w:spacing w:line="360" w:lineRule="auto"/>
              <w:jc w:val="center"/>
              <w:rPr>
                <w:lang w:val="en-GB"/>
              </w:rPr>
            </w:pPr>
            <w:r>
              <w:rPr>
                <w:lang w:val="en-GB"/>
              </w:rPr>
              <w:t>+</w:t>
            </w:r>
          </w:p>
        </w:tc>
        <w:tc>
          <w:tcPr>
            <w:tcW w:w="2176" w:type="dxa"/>
            <w:vAlign w:val="center"/>
          </w:tcPr>
          <w:p w14:paraId="4B35060A" w14:textId="368723BB" w:rsidR="00631CBF" w:rsidRDefault="00143D12" w:rsidP="006A6B58">
            <w:pPr>
              <w:spacing w:line="360" w:lineRule="auto"/>
              <w:jc w:val="center"/>
              <w:rPr>
                <w:lang w:val="en-GB"/>
              </w:rPr>
            </w:pPr>
            <w:r>
              <w:rPr>
                <w:lang w:val="en-GB"/>
              </w:rPr>
              <w:t>+/-</w:t>
            </w:r>
          </w:p>
        </w:tc>
      </w:tr>
      <w:tr w:rsidR="00631CBF" w14:paraId="474E7041" w14:textId="77777777" w:rsidTr="006A6B58">
        <w:tc>
          <w:tcPr>
            <w:tcW w:w="1276" w:type="dxa"/>
            <w:vAlign w:val="center"/>
          </w:tcPr>
          <w:p w14:paraId="3EBA4630" w14:textId="50816970" w:rsidR="00631CBF" w:rsidRDefault="00631CBF" w:rsidP="006A6B58">
            <w:pPr>
              <w:spacing w:line="360" w:lineRule="auto"/>
              <w:jc w:val="center"/>
              <w:rPr>
                <w:lang w:val="en-GB"/>
              </w:rPr>
            </w:pPr>
            <w:r>
              <w:rPr>
                <w:lang w:val="en-GB"/>
              </w:rPr>
              <w:t>3</w:t>
            </w:r>
          </w:p>
        </w:tc>
        <w:tc>
          <w:tcPr>
            <w:tcW w:w="2552" w:type="dxa"/>
          </w:tcPr>
          <w:p w14:paraId="6AF2BF10" w14:textId="77777777" w:rsidR="00631CBF" w:rsidRDefault="00143D12" w:rsidP="00E73763">
            <w:pPr>
              <w:spacing w:line="360" w:lineRule="auto"/>
              <w:jc w:val="both"/>
              <w:rPr>
                <w:lang w:val="en-GB"/>
              </w:rPr>
            </w:pPr>
            <w:r>
              <w:rPr>
                <w:lang w:val="en-GB"/>
              </w:rPr>
              <w:t>Managerial performance</w:t>
            </w:r>
          </w:p>
          <w:p w14:paraId="09ADDE78" w14:textId="77777777" w:rsidR="00143D12" w:rsidRDefault="00143D12" w:rsidP="00E73763">
            <w:pPr>
              <w:spacing w:line="360" w:lineRule="auto"/>
              <w:jc w:val="both"/>
              <w:rPr>
                <w:lang w:val="en-GB"/>
              </w:rPr>
            </w:pPr>
            <w:r>
              <w:rPr>
                <w:lang w:val="en-GB"/>
              </w:rPr>
              <w:t>Fiduciary performance (ICMWs)</w:t>
            </w:r>
          </w:p>
          <w:p w14:paraId="0B236D37" w14:textId="05E71C7A" w:rsidR="00143D12" w:rsidRDefault="00143D12" w:rsidP="00E73763">
            <w:pPr>
              <w:spacing w:line="360" w:lineRule="auto"/>
              <w:jc w:val="both"/>
              <w:rPr>
                <w:lang w:val="en-GB"/>
              </w:rPr>
            </w:pPr>
            <w:r>
              <w:rPr>
                <w:lang w:val="en-GB"/>
              </w:rPr>
              <w:t>Fiduciary performance (Restatements)</w:t>
            </w:r>
          </w:p>
        </w:tc>
        <w:tc>
          <w:tcPr>
            <w:tcW w:w="2268" w:type="dxa"/>
          </w:tcPr>
          <w:p w14:paraId="69219F49" w14:textId="4BE6A90C" w:rsidR="00631CBF" w:rsidRDefault="00143D12" w:rsidP="00E73763">
            <w:pPr>
              <w:spacing w:line="360" w:lineRule="auto"/>
              <w:jc w:val="both"/>
              <w:rPr>
                <w:lang w:val="en-GB"/>
              </w:rPr>
            </w:pPr>
            <w:r>
              <w:rPr>
                <w:lang w:val="en-GB"/>
              </w:rPr>
              <w:t>Total performance</w:t>
            </w:r>
          </w:p>
        </w:tc>
        <w:tc>
          <w:tcPr>
            <w:tcW w:w="1793" w:type="dxa"/>
            <w:vAlign w:val="center"/>
          </w:tcPr>
          <w:p w14:paraId="7515B3EA" w14:textId="77777777" w:rsidR="00631CBF" w:rsidRDefault="00143D12" w:rsidP="006A6B58">
            <w:pPr>
              <w:spacing w:line="360" w:lineRule="auto"/>
              <w:jc w:val="center"/>
              <w:rPr>
                <w:lang w:val="en-GB"/>
              </w:rPr>
            </w:pPr>
            <w:r>
              <w:rPr>
                <w:lang w:val="en-GB"/>
              </w:rPr>
              <w:t>+</w:t>
            </w:r>
          </w:p>
          <w:p w14:paraId="5CA414C3" w14:textId="77777777" w:rsidR="00143D12" w:rsidRDefault="00143D12" w:rsidP="006A6B58">
            <w:pPr>
              <w:spacing w:line="360" w:lineRule="auto"/>
              <w:jc w:val="center"/>
              <w:rPr>
                <w:lang w:val="en-GB"/>
              </w:rPr>
            </w:pPr>
          </w:p>
          <w:p w14:paraId="1DBD6751" w14:textId="77777777" w:rsidR="00143D12" w:rsidRDefault="00143D12" w:rsidP="006A6B58">
            <w:pPr>
              <w:spacing w:line="360" w:lineRule="auto"/>
              <w:jc w:val="center"/>
              <w:rPr>
                <w:lang w:val="en-GB"/>
              </w:rPr>
            </w:pPr>
            <w:r>
              <w:rPr>
                <w:lang w:val="en-GB"/>
              </w:rPr>
              <w:t>-</w:t>
            </w:r>
          </w:p>
          <w:p w14:paraId="2B5DE538" w14:textId="77777777" w:rsidR="00143D12" w:rsidRDefault="00143D12" w:rsidP="006A6B58">
            <w:pPr>
              <w:spacing w:line="360" w:lineRule="auto"/>
              <w:jc w:val="center"/>
              <w:rPr>
                <w:lang w:val="en-GB"/>
              </w:rPr>
            </w:pPr>
          </w:p>
          <w:p w14:paraId="49E89839" w14:textId="4C2F6A03" w:rsidR="00143D12" w:rsidRDefault="00143D12" w:rsidP="006A6B58">
            <w:pPr>
              <w:spacing w:line="360" w:lineRule="auto"/>
              <w:jc w:val="center"/>
              <w:rPr>
                <w:lang w:val="en-GB"/>
              </w:rPr>
            </w:pPr>
            <w:r>
              <w:rPr>
                <w:lang w:val="en-GB"/>
              </w:rPr>
              <w:t>-</w:t>
            </w:r>
          </w:p>
        </w:tc>
        <w:tc>
          <w:tcPr>
            <w:tcW w:w="2176" w:type="dxa"/>
            <w:vAlign w:val="center"/>
          </w:tcPr>
          <w:p w14:paraId="79729D23" w14:textId="77777777" w:rsidR="00631CBF" w:rsidRDefault="00143D12" w:rsidP="006A6B58">
            <w:pPr>
              <w:spacing w:line="360" w:lineRule="auto"/>
              <w:jc w:val="center"/>
              <w:rPr>
                <w:lang w:val="en-GB"/>
              </w:rPr>
            </w:pPr>
            <w:r>
              <w:rPr>
                <w:lang w:val="en-GB"/>
              </w:rPr>
              <w:t>-</w:t>
            </w:r>
          </w:p>
          <w:p w14:paraId="40FF798F" w14:textId="77777777" w:rsidR="00143D12" w:rsidRDefault="00143D12" w:rsidP="006A6B58">
            <w:pPr>
              <w:spacing w:line="360" w:lineRule="auto"/>
              <w:jc w:val="center"/>
              <w:rPr>
                <w:lang w:val="en-GB"/>
              </w:rPr>
            </w:pPr>
          </w:p>
          <w:p w14:paraId="4338451E" w14:textId="77777777" w:rsidR="00143D12" w:rsidRDefault="00143D12" w:rsidP="006A6B58">
            <w:pPr>
              <w:spacing w:line="360" w:lineRule="auto"/>
              <w:jc w:val="center"/>
              <w:rPr>
                <w:lang w:val="en-GB"/>
              </w:rPr>
            </w:pPr>
            <w:r>
              <w:rPr>
                <w:lang w:val="en-GB"/>
              </w:rPr>
              <w:t>-</w:t>
            </w:r>
          </w:p>
          <w:p w14:paraId="4EF8FC9A" w14:textId="77777777" w:rsidR="00143D12" w:rsidRDefault="00143D12" w:rsidP="006A6B58">
            <w:pPr>
              <w:spacing w:line="360" w:lineRule="auto"/>
              <w:jc w:val="center"/>
              <w:rPr>
                <w:lang w:val="en-GB"/>
              </w:rPr>
            </w:pPr>
          </w:p>
          <w:p w14:paraId="7B24A157" w14:textId="23E74615" w:rsidR="00143D12" w:rsidRDefault="00143D12" w:rsidP="006A6B58">
            <w:pPr>
              <w:spacing w:line="360" w:lineRule="auto"/>
              <w:jc w:val="center"/>
              <w:rPr>
                <w:lang w:val="en-GB"/>
              </w:rPr>
            </w:pPr>
            <w:r>
              <w:rPr>
                <w:lang w:val="en-GB"/>
              </w:rPr>
              <w:t>+</w:t>
            </w:r>
          </w:p>
        </w:tc>
      </w:tr>
      <w:tr w:rsidR="00631CBF" w14:paraId="5B7CD08F" w14:textId="77777777" w:rsidTr="006A6B58">
        <w:tc>
          <w:tcPr>
            <w:tcW w:w="1276" w:type="dxa"/>
            <w:vAlign w:val="center"/>
          </w:tcPr>
          <w:p w14:paraId="005F5F1D" w14:textId="0631462D" w:rsidR="00631CBF" w:rsidRDefault="00631CBF" w:rsidP="006A6B58">
            <w:pPr>
              <w:spacing w:line="360" w:lineRule="auto"/>
              <w:jc w:val="center"/>
              <w:rPr>
                <w:lang w:val="en-GB"/>
              </w:rPr>
            </w:pPr>
            <w:r>
              <w:rPr>
                <w:lang w:val="en-GB"/>
              </w:rPr>
              <w:t>4</w:t>
            </w:r>
          </w:p>
        </w:tc>
        <w:tc>
          <w:tcPr>
            <w:tcW w:w="2552" w:type="dxa"/>
          </w:tcPr>
          <w:p w14:paraId="65D08D10" w14:textId="15189EA5" w:rsidR="00631CBF" w:rsidRDefault="00143D12" w:rsidP="00E73763">
            <w:pPr>
              <w:spacing w:line="360" w:lineRule="auto"/>
              <w:jc w:val="both"/>
              <w:rPr>
                <w:lang w:val="en-GB"/>
              </w:rPr>
            </w:pPr>
            <w:r>
              <w:rPr>
                <w:lang w:val="en-GB"/>
              </w:rPr>
              <w:t>Equity proportion</w:t>
            </w:r>
          </w:p>
        </w:tc>
        <w:tc>
          <w:tcPr>
            <w:tcW w:w="2268" w:type="dxa"/>
          </w:tcPr>
          <w:p w14:paraId="0CC07B21" w14:textId="6AF005BA" w:rsidR="00631CBF" w:rsidRDefault="00143D12" w:rsidP="00E73763">
            <w:pPr>
              <w:spacing w:line="360" w:lineRule="auto"/>
              <w:jc w:val="both"/>
              <w:rPr>
                <w:lang w:val="en-GB"/>
              </w:rPr>
            </w:pPr>
            <w:r>
              <w:rPr>
                <w:lang w:val="en-GB"/>
              </w:rPr>
              <w:t>Total performance</w:t>
            </w:r>
          </w:p>
        </w:tc>
        <w:tc>
          <w:tcPr>
            <w:tcW w:w="1793" w:type="dxa"/>
            <w:vAlign w:val="center"/>
          </w:tcPr>
          <w:p w14:paraId="4F405A75" w14:textId="39CD72CC" w:rsidR="00631CBF" w:rsidRDefault="00143D12" w:rsidP="006A6B58">
            <w:pPr>
              <w:spacing w:line="360" w:lineRule="auto"/>
              <w:jc w:val="center"/>
              <w:rPr>
                <w:lang w:val="en-GB"/>
              </w:rPr>
            </w:pPr>
            <w:r>
              <w:rPr>
                <w:lang w:val="en-GB"/>
              </w:rPr>
              <w:t>+</w:t>
            </w:r>
          </w:p>
        </w:tc>
        <w:tc>
          <w:tcPr>
            <w:tcW w:w="2176" w:type="dxa"/>
            <w:vAlign w:val="center"/>
          </w:tcPr>
          <w:p w14:paraId="72DB208E" w14:textId="7A785304" w:rsidR="00631CBF" w:rsidRDefault="00143D12" w:rsidP="006A6B58">
            <w:pPr>
              <w:spacing w:line="360" w:lineRule="auto"/>
              <w:jc w:val="center"/>
              <w:rPr>
                <w:lang w:val="en-GB"/>
              </w:rPr>
            </w:pPr>
            <w:r>
              <w:rPr>
                <w:lang w:val="en-GB"/>
              </w:rPr>
              <w:t>+/-</w:t>
            </w:r>
          </w:p>
        </w:tc>
      </w:tr>
    </w:tbl>
    <w:p w14:paraId="4DC49369" w14:textId="76033983" w:rsidR="00DA03C4" w:rsidRPr="00875AC0" w:rsidRDefault="00DA03C4" w:rsidP="00DA03C4">
      <w:pPr>
        <w:pStyle w:val="Kop1"/>
        <w:rPr>
          <w:rStyle w:val="Kop1Char"/>
          <w:b/>
          <w:bCs/>
        </w:rPr>
      </w:pPr>
      <w:bookmarkStart w:id="49" w:name="_Toc439346655"/>
      <w:r>
        <w:rPr>
          <w:rStyle w:val="Kop1Char"/>
          <w:b/>
          <w:bCs/>
        </w:rPr>
        <w:lastRenderedPageBreak/>
        <w:t>6</w:t>
      </w:r>
      <w:r w:rsidRPr="00875AC0">
        <w:rPr>
          <w:rStyle w:val="Kop1Char"/>
          <w:b/>
          <w:bCs/>
        </w:rPr>
        <w:t xml:space="preserve"> </w:t>
      </w:r>
      <w:r w:rsidR="009A6B5C">
        <w:rPr>
          <w:rStyle w:val="Kop1Char"/>
          <w:b/>
          <w:bCs/>
        </w:rPr>
        <w:t>Conclusion</w:t>
      </w:r>
      <w:bookmarkEnd w:id="49"/>
    </w:p>
    <w:p w14:paraId="4748D038" w14:textId="50DF65E5" w:rsidR="002050AA" w:rsidRDefault="002050AA" w:rsidP="005846C0">
      <w:pPr>
        <w:spacing w:line="360" w:lineRule="auto"/>
        <w:jc w:val="both"/>
        <w:rPr>
          <w:lang w:val="en-GB"/>
        </w:rPr>
      </w:pPr>
      <w:r>
        <w:rPr>
          <w:lang w:val="en-GB"/>
        </w:rPr>
        <w:t>This chapter draws a conclusion on the basis of the rejection or acceptance of the hypotheses and discusses these outcomes in combination with the practical implications. Subsequently, the limitations and the directions for future research are considered.</w:t>
      </w:r>
    </w:p>
    <w:p w14:paraId="523E3D76" w14:textId="4548778D" w:rsidR="005846C0" w:rsidRPr="00A726AB" w:rsidRDefault="00F41B98" w:rsidP="00A726AB">
      <w:pPr>
        <w:pStyle w:val="Kop2"/>
        <w:rPr>
          <w:rStyle w:val="Kop1Char"/>
          <w:b/>
          <w:bCs/>
          <w:sz w:val="26"/>
          <w:szCs w:val="26"/>
        </w:rPr>
      </w:pPr>
      <w:bookmarkStart w:id="50" w:name="_Toc439346656"/>
      <w:r w:rsidRPr="00A726AB">
        <w:rPr>
          <w:rStyle w:val="Kop1Char"/>
          <w:b/>
          <w:bCs/>
          <w:sz w:val="26"/>
          <w:szCs w:val="26"/>
        </w:rPr>
        <w:t xml:space="preserve">6.1 </w:t>
      </w:r>
      <w:r w:rsidR="009A6B5C" w:rsidRPr="00A726AB">
        <w:rPr>
          <w:rStyle w:val="Kop1Char"/>
          <w:b/>
          <w:bCs/>
          <w:sz w:val="26"/>
          <w:szCs w:val="26"/>
        </w:rPr>
        <w:t>Discussion</w:t>
      </w:r>
      <w:bookmarkEnd w:id="50"/>
      <w:r w:rsidRPr="00A726AB">
        <w:rPr>
          <w:rStyle w:val="Kop1Char"/>
          <w:b/>
          <w:bCs/>
          <w:sz w:val="26"/>
          <w:szCs w:val="26"/>
        </w:rPr>
        <w:t xml:space="preserve"> </w:t>
      </w:r>
    </w:p>
    <w:p w14:paraId="74891312" w14:textId="3EB4E8BF" w:rsidR="00BB4E6C" w:rsidRDefault="00F41B98" w:rsidP="008A1164">
      <w:pPr>
        <w:spacing w:line="360" w:lineRule="auto"/>
        <w:jc w:val="both"/>
        <w:rPr>
          <w:lang w:val="en-GB"/>
        </w:rPr>
      </w:pPr>
      <w:r w:rsidRPr="00F41B98">
        <w:rPr>
          <w:lang w:val="en-GB"/>
        </w:rPr>
        <w:t xml:space="preserve">The </w:t>
      </w:r>
      <w:r>
        <w:rPr>
          <w:lang w:val="en-GB"/>
        </w:rPr>
        <w:t xml:space="preserve">outcomes of the </w:t>
      </w:r>
      <w:r w:rsidR="008A1164">
        <w:rPr>
          <w:lang w:val="en-GB"/>
        </w:rPr>
        <w:t xml:space="preserve">statistical tests prove that CFOs perform better on their managerial duty when there is any form of equity in their compensation package. </w:t>
      </w:r>
      <w:r w:rsidR="00DC357C">
        <w:rPr>
          <w:lang w:val="en-GB"/>
        </w:rPr>
        <w:t xml:space="preserve">This </w:t>
      </w:r>
      <w:r w:rsidR="00344F2A">
        <w:rPr>
          <w:lang w:val="en-GB"/>
        </w:rPr>
        <w:t xml:space="preserve">is in line with the theoretical and mathematical models </w:t>
      </w:r>
      <w:r w:rsidR="00344F2A">
        <w:rPr>
          <w:lang w:val="en-GB"/>
        </w:rPr>
        <w:fldChar w:fldCharType="begin"/>
      </w:r>
      <w:r w:rsidR="00344F2A">
        <w:rPr>
          <w:lang w:val="en-GB"/>
        </w:rPr>
        <w:instrText>ADDIN RW.CITE{{56 Grossman,SanfordJ 1986 /pe.g. ; 54 Hölmstrom,Bengt 1979; 57 Jensen,MichaelC 1990}}</w:instrText>
      </w:r>
      <w:r w:rsidR="00344F2A">
        <w:rPr>
          <w:lang w:val="en-GB"/>
        </w:rPr>
        <w:fldChar w:fldCharType="separate"/>
      </w:r>
      <w:r w:rsidR="00254F5A" w:rsidRPr="00254F5A">
        <w:rPr>
          <w:rFonts w:ascii="Calibri" w:hAnsi="Calibri"/>
          <w:lang w:val="en-GB"/>
        </w:rPr>
        <w:t>(e.g. Grossman &amp; Hart, 1986; Hölmstrom, 1979; Jensen &amp; Murphy, 1990)</w:t>
      </w:r>
      <w:r w:rsidR="00344F2A">
        <w:rPr>
          <w:lang w:val="en-GB"/>
        </w:rPr>
        <w:fldChar w:fldCharType="end"/>
      </w:r>
      <w:r w:rsidR="00344F2A">
        <w:rPr>
          <w:lang w:val="en-GB"/>
        </w:rPr>
        <w:t xml:space="preserve"> as well as empirical evidence </w:t>
      </w:r>
      <w:r w:rsidR="00344F2A">
        <w:rPr>
          <w:lang w:val="en-GB"/>
        </w:rPr>
        <w:fldChar w:fldCharType="begin"/>
      </w:r>
      <w:r w:rsidR="00344F2A">
        <w:rPr>
          <w:lang w:val="en-GB"/>
        </w:rPr>
        <w:instrText>ADDIN RW.CITE{{53 Mehran,Hamid 1995}}</w:instrText>
      </w:r>
      <w:r w:rsidR="00344F2A">
        <w:rPr>
          <w:lang w:val="en-GB"/>
        </w:rPr>
        <w:fldChar w:fldCharType="separate"/>
      </w:r>
      <w:r w:rsidR="00344F2A" w:rsidRPr="00344F2A">
        <w:rPr>
          <w:rFonts w:ascii="Calibri" w:hAnsi="Calibri"/>
          <w:lang w:val="en-GB"/>
        </w:rPr>
        <w:t>(Mehran, 1995)</w:t>
      </w:r>
      <w:r w:rsidR="00344F2A">
        <w:rPr>
          <w:lang w:val="en-GB"/>
        </w:rPr>
        <w:fldChar w:fldCharType="end"/>
      </w:r>
      <w:r w:rsidR="00A6444D">
        <w:rPr>
          <w:lang w:val="en-GB"/>
        </w:rPr>
        <w:t>,</w:t>
      </w:r>
      <w:r w:rsidR="00344F2A">
        <w:rPr>
          <w:lang w:val="en-GB"/>
        </w:rPr>
        <w:t xml:space="preserve"> which </w:t>
      </w:r>
      <w:r w:rsidR="00A6444D">
        <w:rPr>
          <w:lang w:val="en-GB"/>
        </w:rPr>
        <w:t>indicates</w:t>
      </w:r>
      <w:r w:rsidR="00344F2A">
        <w:rPr>
          <w:lang w:val="en-GB"/>
        </w:rPr>
        <w:t xml:space="preserve"> that equity-based compensation increases goal alignment of the executive and the firm. </w:t>
      </w:r>
      <w:r w:rsidR="005129CC">
        <w:rPr>
          <w:lang w:val="en-GB"/>
        </w:rPr>
        <w:t>Moreover, the results of this thesis show a positive relation between the proportion of equity compensation and the managerial performance. These</w:t>
      </w:r>
      <w:r w:rsidR="00344F2A">
        <w:rPr>
          <w:lang w:val="en-GB"/>
        </w:rPr>
        <w:t xml:space="preserve"> finding</w:t>
      </w:r>
      <w:r w:rsidR="005129CC">
        <w:rPr>
          <w:lang w:val="en-GB"/>
        </w:rPr>
        <w:t>s</w:t>
      </w:r>
      <w:r w:rsidR="00344F2A">
        <w:rPr>
          <w:lang w:val="en-GB"/>
        </w:rPr>
        <w:t xml:space="preserve"> </w:t>
      </w:r>
      <w:r w:rsidR="005129CC">
        <w:rPr>
          <w:lang w:val="en-GB"/>
        </w:rPr>
        <w:t>indicate</w:t>
      </w:r>
      <w:r w:rsidR="00344F2A">
        <w:rPr>
          <w:lang w:val="en-GB"/>
        </w:rPr>
        <w:t xml:space="preserve"> that equity compensation</w:t>
      </w:r>
      <w:r w:rsidR="00803794">
        <w:rPr>
          <w:lang w:val="en-GB"/>
        </w:rPr>
        <w:t xml:space="preserve"> is effective. </w:t>
      </w:r>
      <w:r w:rsidR="00344F2A">
        <w:rPr>
          <w:lang w:val="en-GB"/>
        </w:rPr>
        <w:t xml:space="preserve">However, in </w:t>
      </w:r>
      <w:r w:rsidR="00EA20D9">
        <w:rPr>
          <w:lang w:val="en-GB"/>
        </w:rPr>
        <w:t>contrast</w:t>
      </w:r>
      <w:r w:rsidR="00344F2A">
        <w:rPr>
          <w:lang w:val="en-GB"/>
        </w:rPr>
        <w:t xml:space="preserve"> to the managerial </w:t>
      </w:r>
      <w:r w:rsidR="005129CC">
        <w:rPr>
          <w:lang w:val="en-GB"/>
        </w:rPr>
        <w:t>performance</w:t>
      </w:r>
      <w:r w:rsidR="00344F2A">
        <w:rPr>
          <w:lang w:val="en-GB"/>
        </w:rPr>
        <w:t xml:space="preserve">, there is no difference in fiduciary performance for CFOs that are equity compensated. This undermines the effectivity of equity compensation and refutes the studies of </w:t>
      </w:r>
      <w:r w:rsidR="00E50FDC">
        <w:rPr>
          <w:lang w:val="en-GB"/>
        </w:rPr>
        <w:t>Grossman &amp; Hart (1986), Hölmstrom (1979) and Jensen &amp; Murphy (1990</w:t>
      </w:r>
      <w:r w:rsidR="00DB0A13">
        <w:rPr>
          <w:lang w:val="en-GB"/>
        </w:rPr>
        <w:t xml:space="preserve">). </w:t>
      </w:r>
      <w:r w:rsidR="00FD10E5">
        <w:rPr>
          <w:lang w:val="en-GB"/>
        </w:rPr>
        <w:t xml:space="preserve">Although the </w:t>
      </w:r>
      <w:r w:rsidR="00C05087">
        <w:rPr>
          <w:lang w:val="en-GB"/>
        </w:rPr>
        <w:t xml:space="preserve">findings </w:t>
      </w:r>
      <w:r w:rsidR="00FD10E5">
        <w:rPr>
          <w:lang w:val="en-GB"/>
        </w:rPr>
        <w:t xml:space="preserve">do not support these </w:t>
      </w:r>
      <w:r w:rsidR="00C05087">
        <w:rPr>
          <w:lang w:val="en-GB"/>
        </w:rPr>
        <w:t xml:space="preserve">pro-equity studies with respect to the fiduciary duty, the </w:t>
      </w:r>
      <w:r w:rsidR="008F47AC">
        <w:rPr>
          <w:lang w:val="en-GB"/>
        </w:rPr>
        <w:t>opponents of equity</w:t>
      </w:r>
      <w:r w:rsidR="00C05087">
        <w:rPr>
          <w:lang w:val="en-GB"/>
        </w:rPr>
        <w:t xml:space="preserve"> compensation </w:t>
      </w:r>
      <w:r w:rsidR="00C11681">
        <w:rPr>
          <w:lang w:val="en-GB"/>
        </w:rPr>
        <w:fldChar w:fldCharType="begin"/>
      </w:r>
      <w:r w:rsidR="00C11681">
        <w:rPr>
          <w:lang w:val="en-GB"/>
        </w:rPr>
        <w:instrText>ADDIN RW.CITE{{60 Armstrong,ChristopherS. 2013 /pe.g. ; 65 Bergstresser,Daniel 2006; 64 Cheng,Qiang 2005; 68 Cheng,Qiang 2008}}</w:instrText>
      </w:r>
      <w:r w:rsidR="00C11681">
        <w:rPr>
          <w:lang w:val="en-GB"/>
        </w:rPr>
        <w:fldChar w:fldCharType="separate"/>
      </w:r>
      <w:r w:rsidR="00254F5A" w:rsidRPr="00254F5A">
        <w:rPr>
          <w:rFonts w:ascii="Calibri" w:hAnsi="Calibri"/>
          <w:lang w:val="en-GB"/>
        </w:rPr>
        <w:t>(e.g. Armstrong et al., 2013; Bergstresser &amp; Philippon, 2006; Cheng &amp; Warfield, 2005; Cheng &amp; Farber, 2008)</w:t>
      </w:r>
      <w:r w:rsidR="00C11681">
        <w:rPr>
          <w:lang w:val="en-GB"/>
        </w:rPr>
        <w:fldChar w:fldCharType="end"/>
      </w:r>
      <w:r w:rsidR="00C05087">
        <w:rPr>
          <w:lang w:val="en-GB"/>
        </w:rPr>
        <w:t xml:space="preserve"> are not supported either. Fiduciary performance is not inf</w:t>
      </w:r>
      <w:r w:rsidR="0085434A">
        <w:rPr>
          <w:lang w:val="en-GB"/>
        </w:rPr>
        <w:t>luenced by equity compensation at all,</w:t>
      </w:r>
      <w:r w:rsidR="003F41D4">
        <w:rPr>
          <w:lang w:val="en-GB"/>
        </w:rPr>
        <w:t xml:space="preserve"> which matches with</w:t>
      </w:r>
      <w:r w:rsidR="0085434A">
        <w:rPr>
          <w:lang w:val="en-GB"/>
        </w:rPr>
        <w:t xml:space="preserve"> </w:t>
      </w:r>
      <w:r w:rsidR="003F41D4">
        <w:rPr>
          <w:lang w:val="en-GB"/>
        </w:rPr>
        <w:t xml:space="preserve">only </w:t>
      </w:r>
      <w:r w:rsidR="0085434A">
        <w:rPr>
          <w:lang w:val="en-GB"/>
        </w:rPr>
        <w:t xml:space="preserve">the findings of Amstrong et al. </w:t>
      </w:r>
      <w:r w:rsidR="00BB4E6C">
        <w:rPr>
          <w:lang w:val="en-GB"/>
        </w:rPr>
        <w:t>(2010)</w:t>
      </w:r>
      <w:r w:rsidR="009E12E5">
        <w:rPr>
          <w:lang w:val="en-GB"/>
        </w:rPr>
        <w:t xml:space="preserve"> who found no relation between equity-based compensation and accounting irregularities.</w:t>
      </w:r>
    </w:p>
    <w:p w14:paraId="52FB9AE0" w14:textId="04FE5948" w:rsidR="00076938" w:rsidRDefault="00E57137" w:rsidP="008A1164">
      <w:pPr>
        <w:spacing w:line="360" w:lineRule="auto"/>
        <w:jc w:val="both"/>
        <w:rPr>
          <w:lang w:val="en-GB"/>
        </w:rPr>
      </w:pPr>
      <w:r>
        <w:rPr>
          <w:lang w:val="en-GB"/>
        </w:rPr>
        <w:t xml:space="preserve">In prior research </w:t>
      </w:r>
      <w:r>
        <w:rPr>
          <w:lang w:val="en-GB"/>
        </w:rPr>
        <w:fldChar w:fldCharType="begin"/>
      </w:r>
      <w:r>
        <w:rPr>
          <w:lang w:val="en-GB"/>
        </w:rPr>
        <w:instrText>ADDIN RW.CITE{{6 Hoitash,Rani 2012; 7 Indjejikian,Raffi 2009}}</w:instrText>
      </w:r>
      <w:r>
        <w:rPr>
          <w:lang w:val="en-GB"/>
        </w:rPr>
        <w:fldChar w:fldCharType="separate"/>
      </w:r>
      <w:r w:rsidR="00254F5A" w:rsidRPr="00254F5A">
        <w:rPr>
          <w:rFonts w:ascii="Calibri" w:hAnsi="Calibri"/>
          <w:lang w:val="en-GB"/>
        </w:rPr>
        <w:t>(Hoitash et al., 2012; Indjejikian &amp; Matêjka, 2009)</w:t>
      </w:r>
      <w:r>
        <w:rPr>
          <w:lang w:val="en-GB"/>
        </w:rPr>
        <w:fldChar w:fldCharType="end"/>
      </w:r>
      <w:r>
        <w:rPr>
          <w:lang w:val="en-GB"/>
        </w:rPr>
        <w:t>,</w:t>
      </w:r>
      <w:r w:rsidR="004E3F62">
        <w:rPr>
          <w:lang w:val="en-GB"/>
        </w:rPr>
        <w:t xml:space="preserve"> the CFO total </w:t>
      </w:r>
      <w:r w:rsidR="009A6B5C">
        <w:rPr>
          <w:lang w:val="en-GB"/>
        </w:rPr>
        <w:t>duty</w:t>
      </w:r>
      <w:r w:rsidR="004E3F62">
        <w:rPr>
          <w:lang w:val="en-GB"/>
        </w:rPr>
        <w:t xml:space="preserve"> was considered as the sum of CFO’s managerial </w:t>
      </w:r>
      <w:r w:rsidR="009A6B5C">
        <w:rPr>
          <w:lang w:val="en-GB"/>
        </w:rPr>
        <w:t>duty</w:t>
      </w:r>
      <w:r w:rsidR="004E3F62">
        <w:rPr>
          <w:lang w:val="en-GB"/>
        </w:rPr>
        <w:t xml:space="preserve"> and his fiduciary </w:t>
      </w:r>
      <w:r w:rsidR="009A6B5C">
        <w:rPr>
          <w:lang w:val="en-GB"/>
        </w:rPr>
        <w:t>duty</w:t>
      </w:r>
      <w:r w:rsidR="004E3F62">
        <w:rPr>
          <w:lang w:val="en-GB"/>
        </w:rPr>
        <w:t xml:space="preserve">. </w:t>
      </w:r>
      <w:r w:rsidR="00A32CCE">
        <w:rPr>
          <w:lang w:val="en-GB"/>
        </w:rPr>
        <w:t>Indjejikian &amp; Matêjka (2009) interpreted the decreased weight on financial performance since the introduction of SO</w:t>
      </w:r>
      <w:r w:rsidR="00F51C55">
        <w:rPr>
          <w:lang w:val="en-GB"/>
        </w:rPr>
        <w:t>x</w:t>
      </w:r>
      <w:r w:rsidR="00A32CCE">
        <w:rPr>
          <w:lang w:val="en-GB"/>
        </w:rPr>
        <w:t xml:space="preserve"> as way to increase attention on quality of financial reporting. The results of this thesis show that the interpretation of Indjejiki</w:t>
      </w:r>
      <w:r w:rsidR="00F034A9">
        <w:rPr>
          <w:lang w:val="en-GB"/>
        </w:rPr>
        <w:t xml:space="preserve">an and Matêjka might be </w:t>
      </w:r>
      <w:r w:rsidR="00A32CCE">
        <w:rPr>
          <w:lang w:val="en-GB"/>
        </w:rPr>
        <w:t xml:space="preserve">invalid. </w:t>
      </w:r>
      <w:r w:rsidR="009A6B5C">
        <w:rPr>
          <w:lang w:val="en-GB"/>
        </w:rPr>
        <w:t>By performing</w:t>
      </w:r>
      <w:r w:rsidR="00621306">
        <w:rPr>
          <w:lang w:val="en-GB"/>
        </w:rPr>
        <w:t xml:space="preserve"> a regression, this thesis indicates that CFO’s total performance is not associated with either his managerial performance or his fiduciary performance. This </w:t>
      </w:r>
      <w:r w:rsidR="00816AC1">
        <w:rPr>
          <w:lang w:val="en-GB"/>
        </w:rPr>
        <w:t xml:space="preserve">result </w:t>
      </w:r>
      <w:r w:rsidR="00A70458">
        <w:rPr>
          <w:lang w:val="en-GB"/>
        </w:rPr>
        <w:t xml:space="preserve">contravenes </w:t>
      </w:r>
      <w:r w:rsidR="00816AC1">
        <w:rPr>
          <w:lang w:val="en-GB"/>
        </w:rPr>
        <w:t xml:space="preserve">the underlying assumption that the CFO’s performance is based on </w:t>
      </w:r>
      <w:r w:rsidR="00152C98">
        <w:rPr>
          <w:lang w:val="en-GB"/>
        </w:rPr>
        <w:t>these two dut</w:t>
      </w:r>
      <w:r w:rsidR="00E16AE0">
        <w:rPr>
          <w:lang w:val="en-GB"/>
        </w:rPr>
        <w:t xml:space="preserve">ies. The reason for this unexpected outcome may have a methodological cause, since </w:t>
      </w:r>
      <w:r w:rsidR="007B529F">
        <w:rPr>
          <w:lang w:val="en-GB"/>
        </w:rPr>
        <w:t xml:space="preserve">the total CFO performance is considered as an equivalent of total CEO performance, which is considered as the stock performance. </w:t>
      </w:r>
      <w:r w:rsidR="00076938">
        <w:rPr>
          <w:lang w:val="en-GB"/>
        </w:rPr>
        <w:t xml:space="preserve">While there are reasonable arguments to assume that this theoretical link is valid in practice, several studies disagree </w:t>
      </w:r>
      <w:r w:rsidR="00076938">
        <w:rPr>
          <w:lang w:val="en-GB"/>
        </w:rPr>
        <w:fldChar w:fldCharType="begin"/>
      </w:r>
      <w:r w:rsidR="00076938">
        <w:rPr>
          <w:lang w:val="en-GB"/>
        </w:rPr>
        <w:instrText>ADDIN RW.CITE{{58 Paul,JonathanM 1992; 59 Sloan,RichardG 1993}}</w:instrText>
      </w:r>
      <w:r w:rsidR="00076938">
        <w:rPr>
          <w:lang w:val="en-GB"/>
        </w:rPr>
        <w:fldChar w:fldCharType="separate"/>
      </w:r>
      <w:r w:rsidR="00076938" w:rsidRPr="00A471E5">
        <w:rPr>
          <w:rFonts w:ascii="Calibri" w:hAnsi="Calibri"/>
          <w:lang w:val="en-GB"/>
        </w:rPr>
        <w:t>(Paul, 1992; Sloan, 1993)</w:t>
      </w:r>
      <w:r w:rsidR="00076938">
        <w:rPr>
          <w:lang w:val="en-GB"/>
        </w:rPr>
        <w:fldChar w:fldCharType="end"/>
      </w:r>
      <w:r w:rsidR="00076938">
        <w:rPr>
          <w:lang w:val="en-GB"/>
        </w:rPr>
        <w:t xml:space="preserve">. </w:t>
      </w:r>
      <w:r w:rsidR="008F47AC">
        <w:rPr>
          <w:lang w:val="en-GB"/>
        </w:rPr>
        <w:t>Where I</w:t>
      </w:r>
      <w:r w:rsidR="00076938">
        <w:rPr>
          <w:lang w:val="en-GB"/>
        </w:rPr>
        <w:t>ndjejikian &amp; Matêjka (2009) use</w:t>
      </w:r>
      <w:r w:rsidR="008F47AC">
        <w:rPr>
          <w:lang w:val="en-GB"/>
        </w:rPr>
        <w:t xml:space="preserve"> a survey and Hoitash et al. (2012) a regression, they </w:t>
      </w:r>
      <w:r w:rsidR="001C1896">
        <w:rPr>
          <w:lang w:val="en-GB"/>
        </w:rPr>
        <w:lastRenderedPageBreak/>
        <w:t>do not construct a variable for measuring the CFO total performance as a whole</w:t>
      </w:r>
      <w:r w:rsidR="00076938">
        <w:rPr>
          <w:lang w:val="en-GB"/>
        </w:rPr>
        <w:t xml:space="preserve">, but </w:t>
      </w:r>
      <w:r w:rsidR="002873FF">
        <w:rPr>
          <w:lang w:val="en-GB"/>
        </w:rPr>
        <w:t xml:space="preserve">only measure sub-performance and then </w:t>
      </w:r>
      <w:r w:rsidR="00076938">
        <w:rPr>
          <w:lang w:val="en-GB"/>
        </w:rPr>
        <w:t>interpret</w:t>
      </w:r>
      <w:r w:rsidR="002873FF">
        <w:rPr>
          <w:lang w:val="en-GB"/>
        </w:rPr>
        <w:t xml:space="preserve"> the total performance</w:t>
      </w:r>
      <w:r w:rsidR="00076938">
        <w:rPr>
          <w:lang w:val="en-GB"/>
        </w:rPr>
        <w:t xml:space="preserve"> based on a theoretical assumption. </w:t>
      </w:r>
    </w:p>
    <w:p w14:paraId="00C22242" w14:textId="0BD23621" w:rsidR="00CF6BAE" w:rsidRDefault="00CF6BAE" w:rsidP="00CF6BAE">
      <w:pPr>
        <w:pStyle w:val="Kop2"/>
      </w:pPr>
      <w:bookmarkStart w:id="51" w:name="_Toc439346657"/>
      <w:r>
        <w:t>6.2 Practical implications</w:t>
      </w:r>
      <w:bookmarkEnd w:id="51"/>
    </w:p>
    <w:p w14:paraId="1A7344D1" w14:textId="20B146B2" w:rsidR="00CF6BAE" w:rsidRDefault="00FA4BCF" w:rsidP="00A327F6">
      <w:pPr>
        <w:spacing w:line="360" w:lineRule="auto"/>
        <w:jc w:val="both"/>
        <w:rPr>
          <w:lang w:val="en-GB"/>
        </w:rPr>
      </w:pPr>
      <w:r>
        <w:rPr>
          <w:lang w:val="en-GB"/>
        </w:rPr>
        <w:t xml:space="preserve">The practical implications of this study are divided in three parts. The results of this study provide new insights in the </w:t>
      </w:r>
      <w:r w:rsidR="007C0E8F">
        <w:rPr>
          <w:lang w:val="en-GB"/>
        </w:rPr>
        <w:t>trend</w:t>
      </w:r>
      <w:r>
        <w:rPr>
          <w:lang w:val="en-GB"/>
        </w:rPr>
        <w:t xml:space="preserve"> to strengthen financial reporting and governance practic</w:t>
      </w:r>
      <w:r w:rsidR="001C4EA0">
        <w:rPr>
          <w:lang w:val="en-GB"/>
        </w:rPr>
        <w:t>es.</w:t>
      </w:r>
      <w:r w:rsidR="00A327F6">
        <w:rPr>
          <w:lang w:val="en-GB"/>
        </w:rPr>
        <w:t xml:space="preserve"> </w:t>
      </w:r>
      <w:r w:rsidR="00D467CF">
        <w:rPr>
          <w:lang w:val="en-GB"/>
        </w:rPr>
        <w:t>Secondly, this thesis improves the translation to the practice of the theoretical construct of CFO performance, in the form of managerial and fiduciary performance. Thirdly</w:t>
      </w:r>
      <w:r w:rsidR="00E621CA">
        <w:rPr>
          <w:lang w:val="en-GB"/>
        </w:rPr>
        <w:t>, the results of this thesis</w:t>
      </w:r>
      <w:r w:rsidR="00324723">
        <w:rPr>
          <w:lang w:val="en-GB"/>
        </w:rPr>
        <w:t xml:space="preserve"> contribute to the discussion with regard to equity compensation as a form of incentive in a principal-agent setting. </w:t>
      </w:r>
    </w:p>
    <w:p w14:paraId="61CDC196" w14:textId="0770FBE0" w:rsidR="008046F6" w:rsidRDefault="00A327F6" w:rsidP="00A327F6">
      <w:pPr>
        <w:spacing w:line="360" w:lineRule="auto"/>
        <w:jc w:val="both"/>
        <w:rPr>
          <w:lang w:val="en-GB"/>
        </w:rPr>
      </w:pPr>
      <w:r>
        <w:rPr>
          <w:lang w:val="en-GB"/>
        </w:rPr>
        <w:t>Recent regulations have been aimed at strengthening financial reporting and governance practices such as executive compensation</w:t>
      </w:r>
      <w:r w:rsidR="006D5212" w:rsidRPr="006D5212">
        <w:rPr>
          <w:lang w:val="en-GB"/>
        </w:rPr>
        <w:t xml:space="preserve"> </w:t>
      </w:r>
      <w:r w:rsidR="006D5212">
        <w:rPr>
          <w:lang w:val="en-GB"/>
        </w:rPr>
        <w:t>by, for instance, the introduction of SOx</w:t>
      </w:r>
      <w:r>
        <w:rPr>
          <w:lang w:val="en-GB"/>
        </w:rPr>
        <w:t xml:space="preserve">. This thesis provides useful practical implications for optimal incentive tuning in order to </w:t>
      </w:r>
      <w:r w:rsidR="00AB6A00">
        <w:rPr>
          <w:lang w:val="en-GB"/>
        </w:rPr>
        <w:t xml:space="preserve">increase the attention on firm’s reporting quality and reduce the weight on solely financial performance </w:t>
      </w:r>
      <w:r w:rsidR="00AB6A00">
        <w:rPr>
          <w:lang w:val="en-GB"/>
        </w:rPr>
        <w:fldChar w:fldCharType="begin"/>
      </w:r>
      <w:r w:rsidR="00AB6A00">
        <w:rPr>
          <w:lang w:val="en-GB"/>
        </w:rPr>
        <w:instrText>ADDIN RW.CITE{{7 Indjejikian,Raffi 2009}}</w:instrText>
      </w:r>
      <w:r w:rsidR="00AB6A00">
        <w:rPr>
          <w:lang w:val="en-GB"/>
        </w:rPr>
        <w:fldChar w:fldCharType="separate"/>
      </w:r>
      <w:r w:rsidR="00254F5A" w:rsidRPr="00254F5A">
        <w:rPr>
          <w:rFonts w:ascii="Calibri" w:hAnsi="Calibri"/>
          <w:lang w:val="en-GB"/>
        </w:rPr>
        <w:t>(Indjejikian &amp; Matêjka, 2009)</w:t>
      </w:r>
      <w:r w:rsidR="00AB6A00">
        <w:rPr>
          <w:lang w:val="en-GB"/>
        </w:rPr>
        <w:fldChar w:fldCharType="end"/>
      </w:r>
      <w:r w:rsidR="00AB6A00">
        <w:rPr>
          <w:lang w:val="en-GB"/>
        </w:rPr>
        <w:t xml:space="preserve">. </w:t>
      </w:r>
      <w:r w:rsidR="00BA3394">
        <w:rPr>
          <w:lang w:val="en-GB"/>
        </w:rPr>
        <w:t>This thesis shows an</w:t>
      </w:r>
      <w:r w:rsidR="00AB6A00">
        <w:rPr>
          <w:lang w:val="en-GB"/>
        </w:rPr>
        <w:t xml:space="preserve"> association between </w:t>
      </w:r>
      <w:r w:rsidR="00BA3394">
        <w:rPr>
          <w:lang w:val="en-GB"/>
        </w:rPr>
        <w:t xml:space="preserve">CFO’s </w:t>
      </w:r>
      <w:r w:rsidR="00AB6A00">
        <w:rPr>
          <w:lang w:val="en-GB"/>
        </w:rPr>
        <w:t>equity-based ince</w:t>
      </w:r>
      <w:r w:rsidR="00BA3394">
        <w:rPr>
          <w:lang w:val="en-GB"/>
        </w:rPr>
        <w:t xml:space="preserve">ntives and firm’s financial performance, but no relation between CFO’s equity-based incentives and firm’s fiduciary performance. This means that all the equity-based compensation that is used to stimulate </w:t>
      </w:r>
      <w:r w:rsidR="002873FF">
        <w:rPr>
          <w:lang w:val="en-GB"/>
        </w:rPr>
        <w:t xml:space="preserve">managerial performance of the CFO is effective. However,  compensation used to stimulate the </w:t>
      </w:r>
      <w:r w:rsidR="00BA3394">
        <w:rPr>
          <w:lang w:val="en-GB"/>
        </w:rPr>
        <w:t>fiduciary performanc</w:t>
      </w:r>
      <w:r w:rsidR="002873FF">
        <w:rPr>
          <w:lang w:val="en-GB"/>
        </w:rPr>
        <w:t>e of the CFO</w:t>
      </w:r>
      <w:r w:rsidR="00BA3394">
        <w:rPr>
          <w:lang w:val="en-GB"/>
        </w:rPr>
        <w:t xml:space="preserve">, is highly ineffective. </w:t>
      </w:r>
      <w:r w:rsidR="00752E90">
        <w:rPr>
          <w:lang w:val="en-GB"/>
        </w:rPr>
        <w:t>Apparently, i</w:t>
      </w:r>
      <w:r w:rsidR="00BA3394">
        <w:rPr>
          <w:lang w:val="en-GB"/>
        </w:rPr>
        <w:t>n contrast to the intention of SO</w:t>
      </w:r>
      <w:r w:rsidR="00F51C55">
        <w:rPr>
          <w:lang w:val="en-GB"/>
        </w:rPr>
        <w:t>x</w:t>
      </w:r>
      <w:r w:rsidR="003B1E71">
        <w:rPr>
          <w:lang w:val="en-GB"/>
        </w:rPr>
        <w:t>, firms still weigh financial performance more heavily than stronger financial reporting.</w:t>
      </w:r>
      <w:r w:rsidR="001C4772">
        <w:rPr>
          <w:lang w:val="en-GB"/>
        </w:rPr>
        <w:t xml:space="preserve"> </w:t>
      </w:r>
      <w:r w:rsidR="001147D1">
        <w:rPr>
          <w:lang w:val="en-GB"/>
        </w:rPr>
        <w:t>In order to achieve financial reporting of a higher quality, firms should come up with other incentives schemes than equity</w:t>
      </w:r>
      <w:r w:rsidR="008046F6">
        <w:rPr>
          <w:lang w:val="en-GB"/>
        </w:rPr>
        <w:t>-based</w:t>
      </w:r>
      <w:r w:rsidR="001147D1">
        <w:rPr>
          <w:lang w:val="en-GB"/>
        </w:rPr>
        <w:t xml:space="preserve"> compensation, because </w:t>
      </w:r>
      <w:r w:rsidR="008046F6">
        <w:rPr>
          <w:lang w:val="en-GB"/>
        </w:rPr>
        <w:t xml:space="preserve">that has no effect on the </w:t>
      </w:r>
      <w:r w:rsidR="00A83FBA">
        <w:rPr>
          <w:lang w:val="en-GB"/>
        </w:rPr>
        <w:t>reporting quality</w:t>
      </w:r>
      <w:r w:rsidR="008046F6">
        <w:rPr>
          <w:lang w:val="en-GB"/>
        </w:rPr>
        <w:t xml:space="preserve"> of the firm.</w:t>
      </w:r>
    </w:p>
    <w:p w14:paraId="58B63F09" w14:textId="5F578105" w:rsidR="00D467CF" w:rsidRDefault="00D467CF" w:rsidP="00A327F6">
      <w:pPr>
        <w:spacing w:line="360" w:lineRule="auto"/>
        <w:jc w:val="both"/>
        <w:rPr>
          <w:lang w:val="en-GB"/>
        </w:rPr>
      </w:pPr>
      <w:r>
        <w:rPr>
          <w:lang w:val="en-GB"/>
        </w:rPr>
        <w:t xml:space="preserve">This thesis provides practical insight in the approach, construct, specification and measurement of CFO performance. Very little studies </w:t>
      </w:r>
      <w:r>
        <w:rPr>
          <w:lang w:val="en-GB"/>
        </w:rPr>
        <w:fldChar w:fldCharType="begin"/>
      </w:r>
      <w:r>
        <w:rPr>
          <w:lang w:val="en-GB"/>
        </w:rPr>
        <w:instrText>ADDIN RW.CITE{{6 Hoitash,Rani 2012; 7 Indjejikian,Raffi 2009}}</w:instrText>
      </w:r>
      <w:r>
        <w:rPr>
          <w:lang w:val="en-GB"/>
        </w:rPr>
        <w:fldChar w:fldCharType="separate"/>
      </w:r>
      <w:r w:rsidR="00254F5A" w:rsidRPr="00254F5A">
        <w:rPr>
          <w:rFonts w:ascii="Calibri" w:hAnsi="Calibri"/>
          <w:lang w:val="en-GB"/>
        </w:rPr>
        <w:t>(Hoitash et al., 2012; Indjejikian &amp; Matêjka, 2009)</w:t>
      </w:r>
      <w:r>
        <w:rPr>
          <w:lang w:val="en-GB"/>
        </w:rPr>
        <w:fldChar w:fldCharType="end"/>
      </w:r>
      <w:r>
        <w:rPr>
          <w:lang w:val="en-GB"/>
        </w:rPr>
        <w:t xml:space="preserve"> tried to divide the performance of a CFO into his managerial duties and fiduciary duties. The comprehensive tasks of a CFO are intertwined and complex to capture in variables. This thesis demonstrates that the CFO’s managerial and fiduciary performance are not associated with the firm’s stock price, which is a development in the </w:t>
      </w:r>
      <w:r w:rsidR="00752E90">
        <w:rPr>
          <w:lang w:val="en-GB"/>
        </w:rPr>
        <w:t>construction of measures for</w:t>
      </w:r>
      <w:r>
        <w:rPr>
          <w:lang w:val="en-GB"/>
        </w:rPr>
        <w:t xml:space="preserve"> CFO performance. </w:t>
      </w:r>
    </w:p>
    <w:p w14:paraId="5AB86E1A" w14:textId="2C55B352" w:rsidR="00A83FBA" w:rsidRDefault="00A83FBA" w:rsidP="00A327F6">
      <w:pPr>
        <w:spacing w:line="360" w:lineRule="auto"/>
        <w:jc w:val="both"/>
        <w:rPr>
          <w:lang w:val="en-GB"/>
        </w:rPr>
      </w:pPr>
      <w:r>
        <w:rPr>
          <w:lang w:val="en-GB"/>
        </w:rPr>
        <w:t>Another outcome of this thesis is the contribution to the discussion regarding equity compensation as a form of incentive</w:t>
      </w:r>
      <w:r w:rsidR="00D467CF">
        <w:rPr>
          <w:lang w:val="en-GB"/>
        </w:rPr>
        <w:t xml:space="preserve"> for top executives such as the CFO</w:t>
      </w:r>
      <w:r>
        <w:rPr>
          <w:lang w:val="en-GB"/>
        </w:rPr>
        <w:t xml:space="preserve">. </w:t>
      </w:r>
      <w:r w:rsidR="0020233A">
        <w:rPr>
          <w:lang w:val="en-GB"/>
        </w:rPr>
        <w:t xml:space="preserve">While the literature review showed mixed results </w:t>
      </w:r>
      <w:r w:rsidR="0020233A">
        <w:rPr>
          <w:lang w:val="en-GB"/>
        </w:rPr>
        <w:fldChar w:fldCharType="begin"/>
      </w:r>
      <w:r w:rsidR="00D467CF">
        <w:rPr>
          <w:lang w:val="en-GB"/>
        </w:rPr>
        <w:instrText>ADDIN RW.CITE{{56 Grossman,SanfordJ 1986; 54 Hölmstrom,Bengt 1979; 58 Paul,JonathanM 1992; 59 Sloan,RichardG 1993; 53 Mehran,Hamid 1995; 66 Burns,Natasha 2006 /pe.g. }}</w:instrText>
      </w:r>
      <w:r w:rsidR="0020233A">
        <w:rPr>
          <w:lang w:val="en-GB"/>
        </w:rPr>
        <w:fldChar w:fldCharType="separate"/>
      </w:r>
      <w:r w:rsidR="00254F5A" w:rsidRPr="00254F5A">
        <w:rPr>
          <w:rFonts w:ascii="Calibri" w:hAnsi="Calibri"/>
          <w:lang w:val="en-GB"/>
        </w:rPr>
        <w:t>(e.g. Burns &amp; Kedia, 2006; Grossman &amp; Hart, 1986; Hölmstrom, 1979; Mehran, 1995; Paul, 1992; Sloan, 1993)</w:t>
      </w:r>
      <w:r w:rsidR="0020233A">
        <w:rPr>
          <w:lang w:val="en-GB"/>
        </w:rPr>
        <w:fldChar w:fldCharType="end"/>
      </w:r>
      <w:r w:rsidR="0020233A">
        <w:rPr>
          <w:lang w:val="en-GB"/>
        </w:rPr>
        <w:t xml:space="preserve">, this thesis indicated a clear positive relation between the proportion of equity in the compensation package and the financial performance of a firm. The board of directors, who </w:t>
      </w:r>
      <w:r w:rsidR="00D467CF">
        <w:rPr>
          <w:lang w:val="en-GB"/>
        </w:rPr>
        <w:lastRenderedPageBreak/>
        <w:t>normally construct the incentive system for top executives on behalf of the shareholders, can learn from this. In this typical principal-agent setting, tying the agent’s compensation to the performance of the principal seems to be effective.</w:t>
      </w:r>
    </w:p>
    <w:p w14:paraId="1233CB8A" w14:textId="25ADA03B" w:rsidR="00D467CF" w:rsidRDefault="00D467CF" w:rsidP="00D467CF">
      <w:pPr>
        <w:pStyle w:val="Kop2"/>
      </w:pPr>
      <w:bookmarkStart w:id="52" w:name="_Toc439346658"/>
      <w:r>
        <w:t>6.3 Limitations</w:t>
      </w:r>
      <w:bookmarkEnd w:id="52"/>
    </w:p>
    <w:p w14:paraId="4D9A486F" w14:textId="490DBEAC" w:rsidR="00A26FC9" w:rsidRDefault="00C554AB" w:rsidP="00A327F6">
      <w:pPr>
        <w:spacing w:line="360" w:lineRule="auto"/>
        <w:jc w:val="both"/>
        <w:rPr>
          <w:lang w:val="en-GB"/>
        </w:rPr>
      </w:pPr>
      <w:r>
        <w:rPr>
          <w:lang w:val="en-GB"/>
        </w:rPr>
        <w:t xml:space="preserve">This thesis examines the association between equity compensation and the CFO’s managerial and fiduciary performance. It aims to provide more insight in performance measurement of the CFO in relation to compensation incentives. </w:t>
      </w:r>
      <w:r w:rsidR="00907BE7">
        <w:rPr>
          <w:lang w:val="en-GB"/>
        </w:rPr>
        <w:t>The interpretation of the results i</w:t>
      </w:r>
      <w:r>
        <w:rPr>
          <w:lang w:val="en-GB"/>
        </w:rPr>
        <w:t xml:space="preserve">s subject to several limitations. </w:t>
      </w:r>
    </w:p>
    <w:p w14:paraId="2FE2768C" w14:textId="6E00C4CE" w:rsidR="00A26FC9" w:rsidRDefault="00D467CF" w:rsidP="00A327F6">
      <w:pPr>
        <w:spacing w:line="360" w:lineRule="auto"/>
        <w:jc w:val="both"/>
        <w:rPr>
          <w:lang w:val="en-GB"/>
        </w:rPr>
      </w:pPr>
      <w:r>
        <w:rPr>
          <w:lang w:val="en-GB"/>
        </w:rPr>
        <w:t xml:space="preserve">This study uses several variables regarding CFO managerial, fiduciary and total performance. </w:t>
      </w:r>
      <w:r w:rsidR="00CF3F55">
        <w:rPr>
          <w:lang w:val="en-GB"/>
        </w:rPr>
        <w:t xml:space="preserve">These performances are all matched to the compensation of the CFO in that particular year. </w:t>
      </w:r>
      <w:r w:rsidR="00A26FC9">
        <w:rPr>
          <w:lang w:val="en-GB"/>
        </w:rPr>
        <w:t>Firstly, t</w:t>
      </w:r>
      <w:r w:rsidR="00CF3F55">
        <w:rPr>
          <w:lang w:val="en-GB"/>
        </w:rPr>
        <w:t xml:space="preserve">his assumes that the compensation in a certain year is directly linked to the performance of that exact same year. However, performance can be influenced by incentives in the previous or next years. This creates mismatching problems with regard to timeliness. </w:t>
      </w:r>
      <w:r w:rsidR="00A26FC9">
        <w:rPr>
          <w:lang w:val="en-GB"/>
        </w:rPr>
        <w:t>Secondly, linking performance to compensation results in the assemble of two databases</w:t>
      </w:r>
      <w:r w:rsidR="006A79F7">
        <w:rPr>
          <w:lang w:val="en-GB"/>
        </w:rPr>
        <w:t>,</w:t>
      </w:r>
      <w:r w:rsidR="000E1345">
        <w:rPr>
          <w:lang w:val="en-GB"/>
        </w:rPr>
        <w:t xml:space="preserve"> lead</w:t>
      </w:r>
      <w:r w:rsidR="006A79F7">
        <w:rPr>
          <w:lang w:val="en-GB"/>
        </w:rPr>
        <w:t>s</w:t>
      </w:r>
      <w:r w:rsidR="000E1345">
        <w:rPr>
          <w:lang w:val="en-GB"/>
        </w:rPr>
        <w:t xml:space="preserve"> to a considerable amount of incomplete and unusable data</w:t>
      </w:r>
      <w:r w:rsidR="006A79F7">
        <w:rPr>
          <w:lang w:val="en-GB"/>
        </w:rPr>
        <w:t>, which causes</w:t>
      </w:r>
      <w:r w:rsidR="000E1345">
        <w:rPr>
          <w:lang w:val="en-GB"/>
        </w:rPr>
        <w:t xml:space="preserve"> </w:t>
      </w:r>
      <w:r w:rsidR="006A79F7">
        <w:rPr>
          <w:lang w:val="en-GB"/>
        </w:rPr>
        <w:t>convenience sampling.</w:t>
      </w:r>
    </w:p>
    <w:p w14:paraId="1DA2952E" w14:textId="393F0E64" w:rsidR="00CF3F55" w:rsidRDefault="00A26FC9" w:rsidP="00A327F6">
      <w:pPr>
        <w:spacing w:line="360" w:lineRule="auto"/>
        <w:jc w:val="both"/>
        <w:rPr>
          <w:lang w:val="en-GB"/>
        </w:rPr>
      </w:pPr>
      <w:r>
        <w:rPr>
          <w:lang w:val="en-GB"/>
        </w:rPr>
        <w:t>Because of its high complexity, the performance of a CFO is difficult to capture in variables</w:t>
      </w:r>
      <w:r w:rsidR="00F034A9">
        <w:rPr>
          <w:lang w:val="en-GB"/>
        </w:rPr>
        <w:t xml:space="preserve"> and roles and task may vary.</w:t>
      </w:r>
      <w:r w:rsidR="00D179FC">
        <w:rPr>
          <w:lang w:val="en-GB"/>
        </w:rPr>
        <w:t xml:space="preserve"> </w:t>
      </w:r>
      <w:r>
        <w:rPr>
          <w:lang w:val="en-GB"/>
        </w:rPr>
        <w:t xml:space="preserve">The variables used in this study </w:t>
      </w:r>
      <w:r w:rsidR="006A79F7">
        <w:rPr>
          <w:lang w:val="en-GB"/>
        </w:rPr>
        <w:t xml:space="preserve">are considered to be comprehensive and measure the total performance, managerial performance or fiduciary performance. </w:t>
      </w:r>
      <w:r w:rsidR="009C5CB4">
        <w:rPr>
          <w:lang w:val="en-GB"/>
        </w:rPr>
        <w:t>However, these variables are only an attempt to capture the concepts</w:t>
      </w:r>
      <w:r w:rsidR="007C120F">
        <w:rPr>
          <w:lang w:val="en-GB"/>
        </w:rPr>
        <w:t xml:space="preserve"> and </w:t>
      </w:r>
      <w:r w:rsidR="009C5CB4">
        <w:rPr>
          <w:lang w:val="en-GB"/>
        </w:rPr>
        <w:t>are just an approximation in practice.</w:t>
      </w:r>
      <w:r w:rsidR="007C120F">
        <w:rPr>
          <w:lang w:val="en-GB"/>
        </w:rPr>
        <w:t xml:space="preserve"> In addition, </w:t>
      </w:r>
      <w:r w:rsidR="00026320">
        <w:rPr>
          <w:lang w:val="en-GB"/>
        </w:rPr>
        <w:t>there are potentially correlated omitted variables that are not mentioned in the analyses.</w:t>
      </w:r>
      <w:r w:rsidR="000A171B">
        <w:rPr>
          <w:lang w:val="en-GB"/>
        </w:rPr>
        <w:t xml:space="preserve"> The only way this thesis addresses this issue is by </w:t>
      </w:r>
      <w:r w:rsidR="00907BE7">
        <w:rPr>
          <w:lang w:val="en-GB"/>
        </w:rPr>
        <w:t xml:space="preserve">constructing a control variable for firm size. Because of the use of databases, other potential control variables were not provided. </w:t>
      </w:r>
    </w:p>
    <w:p w14:paraId="5985053E" w14:textId="4DB00DC4" w:rsidR="00CF3F55" w:rsidRDefault="00CF3F55" w:rsidP="00A327F6">
      <w:pPr>
        <w:spacing w:line="360" w:lineRule="auto"/>
        <w:jc w:val="both"/>
        <w:rPr>
          <w:lang w:val="en-GB"/>
        </w:rPr>
      </w:pPr>
      <w:r>
        <w:rPr>
          <w:lang w:val="en-GB"/>
        </w:rPr>
        <w:t xml:space="preserve">The link between </w:t>
      </w:r>
      <w:r w:rsidR="00757994">
        <w:rPr>
          <w:lang w:val="en-GB"/>
        </w:rPr>
        <w:t>incentives</w:t>
      </w:r>
      <w:r>
        <w:rPr>
          <w:lang w:val="en-GB"/>
        </w:rPr>
        <w:t xml:space="preserve"> and performance implicitly means that this thesis views this relation as compensation influencing performance, but not vice versa. This possible reversed relation would mean that performance influences compensation, which is not unimaginable. Moreover, the current approach only takes into account the monetary compensation as a form of rew</w:t>
      </w:r>
      <w:r w:rsidR="00F034A9">
        <w:rPr>
          <w:lang w:val="en-GB"/>
        </w:rPr>
        <w:t>arding. However, there are</w:t>
      </w:r>
      <w:r>
        <w:rPr>
          <w:lang w:val="en-GB"/>
        </w:rPr>
        <w:t xml:space="preserve"> many other ways to express a reward such as titles, job security, autonomy, power, opportunities and promotions. Besides, negative rewards are only briefly mentioned, but not actually taken into account. Negative rewards, or punishments, mostly do not have a financial consequence, but are present in the form of resignation, zero salary increase, demotion or public humiliation </w:t>
      </w:r>
      <w:r>
        <w:rPr>
          <w:lang w:val="en-GB"/>
        </w:rPr>
        <w:fldChar w:fldCharType="begin"/>
      </w:r>
      <w:r>
        <w:rPr>
          <w:lang w:val="en-GB"/>
        </w:rPr>
        <w:instrText>ADDIN RW.CITE{{32 Merchant,KennethA. 2007}}</w:instrText>
      </w:r>
      <w:r>
        <w:rPr>
          <w:lang w:val="en-GB"/>
        </w:rPr>
        <w:fldChar w:fldCharType="separate"/>
      </w:r>
      <w:r w:rsidR="00254F5A" w:rsidRPr="00254F5A">
        <w:rPr>
          <w:rFonts w:ascii="Calibri" w:hAnsi="Calibri"/>
          <w:lang w:val="en-GB"/>
        </w:rPr>
        <w:t>(Merchant &amp; Van der Stede, 2007)</w:t>
      </w:r>
      <w:r>
        <w:rPr>
          <w:lang w:val="en-GB"/>
        </w:rPr>
        <w:fldChar w:fldCharType="end"/>
      </w:r>
      <w:r>
        <w:rPr>
          <w:lang w:val="en-GB"/>
        </w:rPr>
        <w:t>.</w:t>
      </w:r>
      <w:r w:rsidR="008D08F6">
        <w:rPr>
          <w:lang w:val="en-GB"/>
        </w:rPr>
        <w:t xml:space="preserve"> As the conceptual framework in figure 1 mentions, the link between compensation and performance is affected by effort and performance measurement. This thesis does not account for these intermediate steps and thus </w:t>
      </w:r>
      <w:r w:rsidR="00AC5ACA">
        <w:rPr>
          <w:lang w:val="en-GB"/>
        </w:rPr>
        <w:t xml:space="preserve">assumes that these steps cause no </w:t>
      </w:r>
      <w:r w:rsidR="00AC5ACA">
        <w:rPr>
          <w:lang w:val="en-GB"/>
        </w:rPr>
        <w:lastRenderedPageBreak/>
        <w:t>noise on the link between compensation and performance. In fact, this assumption is questionable, since effort and performance measurement are two highly complex variables that in all probability cause noise on the clear theoretical link.</w:t>
      </w:r>
    </w:p>
    <w:p w14:paraId="484A26FD" w14:textId="6ECB3227" w:rsidR="00203BBC" w:rsidRDefault="00203BBC" w:rsidP="00A327F6">
      <w:pPr>
        <w:spacing w:line="360" w:lineRule="auto"/>
        <w:jc w:val="both"/>
        <w:rPr>
          <w:lang w:val="en-GB"/>
        </w:rPr>
      </w:pPr>
      <w:r>
        <w:rPr>
          <w:lang w:val="en-GB"/>
        </w:rPr>
        <w:t xml:space="preserve">An assumption </w:t>
      </w:r>
      <w:r w:rsidR="007C4646">
        <w:rPr>
          <w:lang w:val="en-GB"/>
        </w:rPr>
        <w:t>within</w:t>
      </w:r>
      <w:r>
        <w:rPr>
          <w:lang w:val="en-GB"/>
        </w:rPr>
        <w:t xml:space="preserve"> the theoretical framework is the implicit choice of maximisation</w:t>
      </w:r>
      <w:r w:rsidR="007C4646">
        <w:rPr>
          <w:lang w:val="en-GB"/>
        </w:rPr>
        <w:t xml:space="preserve"> </w:t>
      </w:r>
      <w:r>
        <w:rPr>
          <w:lang w:val="en-GB"/>
        </w:rPr>
        <w:t xml:space="preserve">of </w:t>
      </w:r>
      <w:r w:rsidR="007C4646">
        <w:rPr>
          <w:lang w:val="en-GB"/>
        </w:rPr>
        <w:t xml:space="preserve">shareholder value as a firm’s goal. </w:t>
      </w:r>
      <w:r w:rsidR="005640D8">
        <w:rPr>
          <w:lang w:val="en-GB"/>
        </w:rPr>
        <w:t xml:space="preserve">This typical Anglo-Saxon approach </w:t>
      </w:r>
      <w:r w:rsidR="00620ED5">
        <w:rPr>
          <w:lang w:val="en-GB"/>
        </w:rPr>
        <w:t>is increasingly being replaced by a more Rhineland oriented view, where the vision of an organisation has to take into account other stakeholders.</w:t>
      </w:r>
    </w:p>
    <w:p w14:paraId="6F8773C0" w14:textId="4ADF740D" w:rsidR="00CF3F55" w:rsidRDefault="00CF3F55" w:rsidP="00A327F6">
      <w:pPr>
        <w:spacing w:line="360" w:lineRule="auto"/>
        <w:jc w:val="both"/>
        <w:rPr>
          <w:lang w:val="en-GB"/>
        </w:rPr>
      </w:pPr>
      <w:r>
        <w:rPr>
          <w:lang w:val="en-GB"/>
        </w:rPr>
        <w:t>Concerning the principal-agent setting and optimisation of the incentives for the agent, this thesis might be short-sighted when it assumes that performance is a hundred percent function of motivation. For an agent</w:t>
      </w:r>
      <w:r w:rsidR="002E51FA">
        <w:rPr>
          <w:lang w:val="en-GB"/>
        </w:rPr>
        <w:t>’s performance</w:t>
      </w:r>
      <w:r>
        <w:rPr>
          <w:lang w:val="en-GB"/>
        </w:rPr>
        <w:t xml:space="preserve">, other factors are important too, such as his the direction of his motivation and his abilities. A maximum motivation does not solve a lack of direction or a lack of abilities. This thesis supposes that all the principals pick their agent and after that, they only should motivate him. Although one does not become a CFO out of nowhere, the question remains whether the CFO meets the qualitative requirements to pursue </w:t>
      </w:r>
      <w:r w:rsidR="00FF44ED">
        <w:rPr>
          <w:lang w:val="en-GB"/>
        </w:rPr>
        <w:t>firm goals</w:t>
      </w:r>
      <w:r>
        <w:rPr>
          <w:lang w:val="en-GB"/>
        </w:rPr>
        <w:t xml:space="preserve">. </w:t>
      </w:r>
    </w:p>
    <w:p w14:paraId="5A7312C7" w14:textId="580D556D" w:rsidR="00CF3F55" w:rsidRDefault="00CF3F55" w:rsidP="00A327F6">
      <w:pPr>
        <w:spacing w:line="360" w:lineRule="auto"/>
        <w:jc w:val="both"/>
        <w:rPr>
          <w:lang w:val="en-GB"/>
        </w:rPr>
      </w:pPr>
      <w:r>
        <w:rPr>
          <w:lang w:val="en-GB"/>
        </w:rPr>
        <w:t>This thesis tries to provide clarity in the discussion regarding equity compensation as compensation method. The positive relation between equity compensation and CFO managerial performance is evident, but the insignificant association between equity compensation and CFO fiduciary performance is inexplicable. While this thesis proves the influence of equity compensation on the one hand, it makes the discussion regarding equity compensation even more complicated on the other hand.</w:t>
      </w:r>
    </w:p>
    <w:p w14:paraId="31215A76" w14:textId="453A7AD7" w:rsidR="00CF3F55" w:rsidRDefault="00CF3F55" w:rsidP="00CF3F55">
      <w:pPr>
        <w:pStyle w:val="Kop2"/>
      </w:pPr>
      <w:bookmarkStart w:id="53" w:name="_Toc439346659"/>
      <w:r>
        <w:t>6.4 Future research</w:t>
      </w:r>
      <w:bookmarkEnd w:id="53"/>
    </w:p>
    <w:p w14:paraId="1931553A" w14:textId="081C0A20" w:rsidR="00F54109" w:rsidRDefault="00450653" w:rsidP="00A327F6">
      <w:pPr>
        <w:spacing w:line="360" w:lineRule="auto"/>
        <w:jc w:val="both"/>
        <w:rPr>
          <w:lang w:val="en-GB"/>
        </w:rPr>
      </w:pPr>
      <w:r>
        <w:rPr>
          <w:lang w:val="en-GB"/>
        </w:rPr>
        <w:t>The new insights and shortcoming</w:t>
      </w:r>
      <w:r w:rsidR="00CD3AD4">
        <w:rPr>
          <w:lang w:val="en-GB"/>
        </w:rPr>
        <w:t>s</w:t>
      </w:r>
      <w:r>
        <w:rPr>
          <w:lang w:val="en-GB"/>
        </w:rPr>
        <w:t xml:space="preserve"> of this study</w:t>
      </w:r>
      <w:r w:rsidR="00C554AB">
        <w:rPr>
          <w:lang w:val="en-GB"/>
        </w:rPr>
        <w:t xml:space="preserve"> </w:t>
      </w:r>
      <w:r>
        <w:rPr>
          <w:lang w:val="en-GB"/>
        </w:rPr>
        <w:t>raise</w:t>
      </w:r>
      <w:r w:rsidR="00C554AB">
        <w:rPr>
          <w:lang w:val="en-GB"/>
        </w:rPr>
        <w:t xml:space="preserve"> some interesting questions for future research</w:t>
      </w:r>
      <w:r>
        <w:rPr>
          <w:lang w:val="en-GB"/>
        </w:rPr>
        <w:t xml:space="preserve">. </w:t>
      </w:r>
    </w:p>
    <w:p w14:paraId="7E2193CD" w14:textId="32CAD113" w:rsidR="003B1E71" w:rsidRDefault="00752E90" w:rsidP="00A327F6">
      <w:pPr>
        <w:spacing w:line="360" w:lineRule="auto"/>
        <w:jc w:val="both"/>
        <w:rPr>
          <w:lang w:val="en-GB"/>
        </w:rPr>
      </w:pPr>
      <w:r>
        <w:rPr>
          <w:lang w:val="en-GB"/>
        </w:rPr>
        <w:t xml:space="preserve">First of all, </w:t>
      </w:r>
      <w:r w:rsidR="002E51FA">
        <w:rPr>
          <w:lang w:val="en-GB"/>
        </w:rPr>
        <w:t xml:space="preserve">it would be interesting to repeat this study with more </w:t>
      </w:r>
      <w:r w:rsidR="00450653">
        <w:rPr>
          <w:lang w:val="en-GB"/>
        </w:rPr>
        <w:t>data or more complete data.</w:t>
      </w:r>
      <w:r w:rsidR="00CD3AD4">
        <w:rPr>
          <w:lang w:val="en-GB"/>
        </w:rPr>
        <w:t xml:space="preserve"> </w:t>
      </w:r>
      <w:r w:rsidR="00DF224C">
        <w:rPr>
          <w:lang w:val="en-GB"/>
        </w:rPr>
        <w:t>The two databases that are used, are not perfectly compatible</w:t>
      </w:r>
      <w:r w:rsidR="008D4E74">
        <w:rPr>
          <w:lang w:val="en-GB"/>
        </w:rPr>
        <w:t>, which results</w:t>
      </w:r>
      <w:r w:rsidR="00DF224C">
        <w:rPr>
          <w:lang w:val="en-GB"/>
        </w:rPr>
        <w:t xml:space="preserve"> in a large amount of incomplete and unusable data.</w:t>
      </w:r>
      <w:r w:rsidR="008D4E74">
        <w:rPr>
          <w:lang w:val="en-GB"/>
        </w:rPr>
        <w:t xml:space="preserve"> By using more data, a higher external validity could be achieved.</w:t>
      </w:r>
      <w:r w:rsidR="00AE4BD7">
        <w:rPr>
          <w:lang w:val="en-GB"/>
        </w:rPr>
        <w:t xml:space="preserve"> Moreover, the databases did not offer the possibility to use any control variables, except for the </w:t>
      </w:r>
      <w:r w:rsidR="009022AE">
        <w:rPr>
          <w:lang w:val="en-GB"/>
        </w:rPr>
        <w:t>size</w:t>
      </w:r>
      <w:r w:rsidR="00AE4BD7">
        <w:rPr>
          <w:lang w:val="en-GB"/>
        </w:rPr>
        <w:t xml:space="preserve"> </w:t>
      </w:r>
      <w:r w:rsidR="009022AE">
        <w:rPr>
          <w:lang w:val="en-GB"/>
        </w:rPr>
        <w:t xml:space="preserve">control </w:t>
      </w:r>
      <w:r w:rsidR="00AE4BD7">
        <w:rPr>
          <w:lang w:val="en-GB"/>
        </w:rPr>
        <w:t xml:space="preserve">variable. </w:t>
      </w:r>
      <w:r w:rsidR="00401F84">
        <w:rPr>
          <w:lang w:val="en-GB"/>
        </w:rPr>
        <w:t>When more control variables are used, it would reduce the chance on a omitted correlating variable and increases the internal validity.</w:t>
      </w:r>
    </w:p>
    <w:p w14:paraId="5D59CD73" w14:textId="025D9081" w:rsidR="00592A48" w:rsidRDefault="00123754" w:rsidP="00A327F6">
      <w:pPr>
        <w:spacing w:line="360" w:lineRule="auto"/>
        <w:jc w:val="both"/>
        <w:rPr>
          <w:lang w:val="en-GB"/>
        </w:rPr>
      </w:pPr>
      <w:r>
        <w:rPr>
          <w:lang w:val="en-GB"/>
        </w:rPr>
        <w:t>An interesting focus</w:t>
      </w:r>
      <w:r w:rsidR="00B671D5">
        <w:rPr>
          <w:lang w:val="en-GB"/>
        </w:rPr>
        <w:t xml:space="preserve"> for future research could be to address t</w:t>
      </w:r>
      <w:r w:rsidR="008D4E74">
        <w:rPr>
          <w:lang w:val="en-GB"/>
        </w:rPr>
        <w:t>he pos</w:t>
      </w:r>
      <w:r w:rsidR="00B671D5">
        <w:rPr>
          <w:lang w:val="en-GB"/>
        </w:rPr>
        <w:t>sible reversed relation problem, but this would require more information with regard to the compensation contract.</w:t>
      </w:r>
      <w:r w:rsidR="00CE286E">
        <w:rPr>
          <w:lang w:val="en-GB"/>
        </w:rPr>
        <w:t xml:space="preserve"> </w:t>
      </w:r>
      <w:r w:rsidR="00841A67">
        <w:rPr>
          <w:lang w:val="en-GB"/>
        </w:rPr>
        <w:t xml:space="preserve">This also touches the timing problem of tying the right performance to the right incentive. </w:t>
      </w:r>
      <w:r w:rsidR="008D4E74">
        <w:rPr>
          <w:lang w:val="en-GB"/>
        </w:rPr>
        <w:t xml:space="preserve"> </w:t>
      </w:r>
    </w:p>
    <w:p w14:paraId="3747E4CF" w14:textId="11EA5D85" w:rsidR="002E51FA" w:rsidRDefault="002E51FA" w:rsidP="00A327F6">
      <w:pPr>
        <w:spacing w:line="360" w:lineRule="auto"/>
        <w:jc w:val="both"/>
        <w:rPr>
          <w:lang w:val="en-GB"/>
        </w:rPr>
      </w:pPr>
      <w:r>
        <w:rPr>
          <w:lang w:val="en-GB"/>
        </w:rPr>
        <w:lastRenderedPageBreak/>
        <w:t>While this study finds no evidence</w:t>
      </w:r>
      <w:r w:rsidR="00CE286E">
        <w:rPr>
          <w:lang w:val="en-GB"/>
        </w:rPr>
        <w:t xml:space="preserve"> that the managerial performance and fiduciary performance are related to the CFO’s total performance, this relation can be investigated more intensively. </w:t>
      </w:r>
      <w:r w:rsidR="00D82639">
        <w:rPr>
          <w:lang w:val="en-GB"/>
        </w:rPr>
        <w:t>A</w:t>
      </w:r>
      <w:r w:rsidR="00CE286E">
        <w:rPr>
          <w:lang w:val="en-GB"/>
        </w:rPr>
        <w:t xml:space="preserve"> </w:t>
      </w:r>
      <w:r w:rsidR="00D82639">
        <w:rPr>
          <w:lang w:val="en-GB"/>
        </w:rPr>
        <w:t>revision</w:t>
      </w:r>
      <w:r w:rsidR="00CE286E">
        <w:rPr>
          <w:lang w:val="en-GB"/>
        </w:rPr>
        <w:t xml:space="preserve"> of the </w:t>
      </w:r>
      <w:r w:rsidR="00D82639">
        <w:rPr>
          <w:lang w:val="en-GB"/>
        </w:rPr>
        <w:t>methodological construct</w:t>
      </w:r>
      <w:r w:rsidR="00CE286E">
        <w:rPr>
          <w:lang w:val="en-GB"/>
        </w:rPr>
        <w:t xml:space="preserve">, </w:t>
      </w:r>
      <w:r w:rsidR="00D82639">
        <w:rPr>
          <w:lang w:val="en-GB"/>
        </w:rPr>
        <w:t>with the proxies in particular</w:t>
      </w:r>
      <w:r w:rsidR="00CE286E">
        <w:rPr>
          <w:lang w:val="en-GB"/>
        </w:rPr>
        <w:t>, should lead to an expansion of the theoretical framework.</w:t>
      </w:r>
      <w:r w:rsidR="00D82639">
        <w:rPr>
          <w:lang w:val="en-GB"/>
        </w:rPr>
        <w:t xml:space="preserve"> Reviewing the CFO performance with other variables would provide more </w:t>
      </w:r>
      <w:r w:rsidR="00841A67">
        <w:rPr>
          <w:lang w:val="en-GB"/>
        </w:rPr>
        <w:t>practical insights for</w:t>
      </w:r>
      <w:r w:rsidR="00D67001">
        <w:rPr>
          <w:lang w:val="en-GB"/>
        </w:rPr>
        <w:t xml:space="preserve"> CFO performance measurement. </w:t>
      </w:r>
    </w:p>
    <w:p w14:paraId="2B22F549" w14:textId="6B29D098" w:rsidR="0025157D" w:rsidRDefault="00D67001" w:rsidP="008A1164">
      <w:pPr>
        <w:spacing w:line="360" w:lineRule="auto"/>
        <w:jc w:val="both"/>
        <w:rPr>
          <w:rStyle w:val="Kop1Char"/>
        </w:rPr>
      </w:pPr>
      <w:r>
        <w:rPr>
          <w:lang w:val="en-GB"/>
        </w:rPr>
        <w:t xml:space="preserve">In </w:t>
      </w:r>
      <w:r w:rsidR="006E184C">
        <w:rPr>
          <w:lang w:val="en-GB"/>
        </w:rPr>
        <w:t>line with</w:t>
      </w:r>
      <w:r>
        <w:rPr>
          <w:lang w:val="en-GB"/>
        </w:rPr>
        <w:t xml:space="preserve"> of several prior studies </w:t>
      </w:r>
      <w:r w:rsidR="00841A67">
        <w:rPr>
          <w:lang w:val="en-GB"/>
        </w:rPr>
        <w:fldChar w:fldCharType="begin"/>
      </w:r>
      <w:r w:rsidR="00BB24B9">
        <w:rPr>
          <w:lang w:val="en-GB"/>
        </w:rPr>
        <w:instrText>ADDIN RW.CITE{{56 Grossman,SanfordJ 1986; 55 Harris,Milton 1979 /pe.g. ; 54 Hölmstrom,Bengt 1979; 60 Armstrong,ChristopherS. 2013}}</w:instrText>
      </w:r>
      <w:r w:rsidR="00841A67">
        <w:rPr>
          <w:lang w:val="en-GB"/>
        </w:rPr>
        <w:fldChar w:fldCharType="separate"/>
      </w:r>
      <w:r w:rsidR="00254F5A" w:rsidRPr="00254F5A">
        <w:rPr>
          <w:rFonts w:ascii="Calibri" w:hAnsi="Calibri"/>
          <w:lang w:val="en-GB"/>
        </w:rPr>
        <w:t>(Armstrong et al., 2013; Grossman &amp; Hart, 1986; e.g. Harris &amp; Raviv, 1979; Hölmstrom, 1979)</w:t>
      </w:r>
      <w:r w:rsidR="00841A67">
        <w:rPr>
          <w:lang w:val="en-GB"/>
        </w:rPr>
        <w:fldChar w:fldCharType="end"/>
      </w:r>
      <w:r>
        <w:rPr>
          <w:lang w:val="en-GB"/>
        </w:rPr>
        <w:t xml:space="preserve">, this study did not come up with consistent findings concerning the effectivity of equity based compensation. </w:t>
      </w:r>
      <w:r w:rsidR="00841A67">
        <w:rPr>
          <w:lang w:val="en-GB"/>
        </w:rPr>
        <w:t xml:space="preserve">While there are clear indications that equity based compensation is </w:t>
      </w:r>
      <w:r w:rsidR="00FF44ED">
        <w:rPr>
          <w:lang w:val="en-GB"/>
        </w:rPr>
        <w:t xml:space="preserve">an </w:t>
      </w:r>
      <w:r w:rsidR="00841A67">
        <w:rPr>
          <w:lang w:val="en-GB"/>
        </w:rPr>
        <w:t>effective</w:t>
      </w:r>
      <w:r w:rsidR="00FF44ED">
        <w:rPr>
          <w:lang w:val="en-GB"/>
        </w:rPr>
        <w:t xml:space="preserve"> </w:t>
      </w:r>
      <w:r w:rsidR="006E184C">
        <w:rPr>
          <w:lang w:val="en-GB"/>
        </w:rPr>
        <w:t>method for board of directors to motivate executives</w:t>
      </w:r>
      <w:r w:rsidR="00841A67">
        <w:rPr>
          <w:lang w:val="en-GB"/>
        </w:rPr>
        <w:t>, this study cannot formulate th</w:t>
      </w:r>
      <w:r w:rsidR="009022AE">
        <w:rPr>
          <w:lang w:val="en-GB"/>
        </w:rPr>
        <w:t>e construct of the association, which means that t</w:t>
      </w:r>
      <w:r w:rsidR="00203BBC" w:rsidRPr="009022AE">
        <w:rPr>
          <w:lang w:val="en-GB"/>
        </w:rPr>
        <w:t>his subject definitely needs more attention.</w:t>
      </w:r>
      <w:r w:rsidR="0025157D">
        <w:rPr>
          <w:rStyle w:val="Kop1Char"/>
        </w:rPr>
        <w:br w:type="page"/>
      </w:r>
    </w:p>
    <w:p w14:paraId="4C8D33E3" w14:textId="0EE8170E" w:rsidR="00254F5A" w:rsidRPr="00254F5A" w:rsidRDefault="0025157D" w:rsidP="00254F5A">
      <w:pPr>
        <w:pStyle w:val="Normaalweb"/>
        <w:jc w:val="center"/>
        <w:rPr>
          <w:rFonts w:ascii="Calibri" w:hAnsi="Calibri"/>
          <w:sz w:val="22"/>
          <w:lang w:val="en-GB"/>
        </w:rPr>
      </w:pPr>
      <w:bookmarkStart w:id="54" w:name="_Toc439346660"/>
      <w:r>
        <w:rPr>
          <w:rStyle w:val="Kop1Char"/>
        </w:rPr>
        <w:lastRenderedPageBreak/>
        <w:t>7</w:t>
      </w:r>
      <w:bookmarkEnd w:id="54"/>
      <w:r w:rsidR="003952D0" w:rsidRPr="007338F7">
        <w:rPr>
          <w:rStyle w:val="Kop1Char"/>
        </w:rPr>
        <w:t xml:space="preserve"> </w:t>
      </w:r>
      <w:r w:rsidR="00DA341A">
        <w:rPr>
          <w:lang w:val="en-GB"/>
        </w:rPr>
        <w:fldChar w:fldCharType="begin"/>
      </w:r>
      <w:r w:rsidR="00254F5A">
        <w:rPr>
          <w:lang w:val="en-GB"/>
        </w:rPr>
        <w:instrText>ADDIN RW.BIB{{&lt;?xml version="1.0"?&gt;&lt;RWBibSettings&gt;&lt;Option name="LINE_SPACING" value="1" /&gt;&lt;Option name="NUMBERING" value="NONE" /&gt;&lt;Option name="INDENT" value="HANGING_INDENT" /&gt;&lt;Option name="MARGIN_UNIT" value="Centimeters" /&gt;&lt;/RWBibSettings&gt;}}</w:instrText>
      </w:r>
      <w:r w:rsidR="00DA341A">
        <w:rPr>
          <w:lang w:val="en-GB"/>
        </w:rPr>
        <w:fldChar w:fldCharType="separate"/>
      </w:r>
      <w:r w:rsidR="00254F5A" w:rsidRPr="002C71AA">
        <w:rPr>
          <w:rStyle w:val="Kop1Char"/>
        </w:rPr>
        <w:t>References</w:t>
      </w:r>
    </w:p>
    <w:p w14:paraId="600C587D" w14:textId="77777777" w:rsidR="00254F5A" w:rsidRPr="00254F5A" w:rsidRDefault="00254F5A" w:rsidP="00254F5A">
      <w:pPr>
        <w:pStyle w:val="Normaalweb"/>
        <w:ind w:left="450" w:hanging="450"/>
        <w:rPr>
          <w:rFonts w:ascii="Calibri" w:hAnsi="Calibri"/>
          <w:sz w:val="22"/>
        </w:rPr>
      </w:pPr>
      <w:r w:rsidRPr="00254F5A">
        <w:rPr>
          <w:rFonts w:ascii="Calibri" w:hAnsi="Calibri"/>
          <w:sz w:val="22"/>
          <w:lang w:val="en-GB"/>
        </w:rPr>
        <w:t xml:space="preserve">107th congress public law 204, 107-204, 107th CongressCong. </w:t>
      </w:r>
      <w:r w:rsidRPr="00254F5A">
        <w:rPr>
          <w:rFonts w:ascii="Calibri" w:hAnsi="Calibri"/>
          <w:sz w:val="22"/>
        </w:rPr>
        <w:t xml:space="preserve">(2002). </w:t>
      </w:r>
    </w:p>
    <w:p w14:paraId="54ABA91F"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rPr>
        <w:t xml:space="preserve">Abernethy, M. A., Bouwens, J., &amp; van Lent, L. (2004). </w:t>
      </w:r>
      <w:r w:rsidRPr="00254F5A">
        <w:rPr>
          <w:rFonts w:ascii="Calibri" w:hAnsi="Calibri"/>
          <w:sz w:val="22"/>
          <w:lang w:val="en-GB"/>
        </w:rPr>
        <w:t>Determinants of control system design in divisionalized firms.</w:t>
      </w:r>
      <w:r w:rsidRPr="00254F5A">
        <w:rPr>
          <w:rFonts w:ascii="Calibri" w:hAnsi="Calibri"/>
          <w:i/>
          <w:iCs/>
          <w:sz w:val="22"/>
          <w:lang w:val="en-GB"/>
        </w:rPr>
        <w:t xml:space="preserve"> The Accounting Review, 79</w:t>
      </w:r>
      <w:r w:rsidRPr="00254F5A">
        <w:rPr>
          <w:rFonts w:ascii="Calibri" w:hAnsi="Calibri"/>
          <w:sz w:val="22"/>
          <w:lang w:val="en-GB"/>
        </w:rPr>
        <w:t>(3), 545-570. doi:10.2308/accr.2004.79.3.545</w:t>
      </w:r>
    </w:p>
    <w:p w14:paraId="5883F1D0"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Armstrong, C. S., Jagolinzer, A. D., &amp; Larcker, D. F. (2010). Chief executive officer equity incentives and accounting irregularities.</w:t>
      </w:r>
      <w:r w:rsidRPr="00254F5A">
        <w:rPr>
          <w:rFonts w:ascii="Calibri" w:hAnsi="Calibri"/>
          <w:i/>
          <w:iCs/>
          <w:sz w:val="22"/>
          <w:lang w:val="en-GB"/>
        </w:rPr>
        <w:t xml:space="preserve"> Journal of Accounting Research, 48</w:t>
      </w:r>
      <w:r w:rsidRPr="00254F5A">
        <w:rPr>
          <w:rFonts w:ascii="Calibri" w:hAnsi="Calibri"/>
          <w:sz w:val="22"/>
          <w:lang w:val="en-GB"/>
        </w:rPr>
        <w:t xml:space="preserve">(2), 225-271. </w:t>
      </w:r>
    </w:p>
    <w:p w14:paraId="58E09373"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Armstrong, C. S., Larcker, D. F., Ormazabal, G., &amp; Taylor, D. J. (2013). The relation between equity incentives and misreporting: The role of risk-taking incentives.</w:t>
      </w:r>
      <w:r w:rsidRPr="00254F5A">
        <w:rPr>
          <w:rFonts w:ascii="Calibri" w:hAnsi="Calibri"/>
          <w:i/>
          <w:iCs/>
          <w:sz w:val="22"/>
          <w:lang w:val="en-GB"/>
        </w:rPr>
        <w:t xml:space="preserve"> Journal of Financial Economics, 109</w:t>
      </w:r>
      <w:r w:rsidRPr="00254F5A">
        <w:rPr>
          <w:rFonts w:ascii="Calibri" w:hAnsi="Calibri"/>
          <w:sz w:val="22"/>
          <w:lang w:val="en-GB"/>
        </w:rPr>
        <w:t xml:space="preserve">(2), 327-350. </w:t>
      </w:r>
    </w:p>
    <w:p w14:paraId="3A858948"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Arthaud-Day, M. L., Dalton, C. M., &amp; Dalton, D. R. (2006). A changing of the guard: Executive and director turnover following corporate financial restatements. [10.5465/AMJ.2006.23478165] </w:t>
      </w:r>
      <w:r w:rsidRPr="00254F5A">
        <w:rPr>
          <w:rFonts w:ascii="Calibri" w:hAnsi="Calibri"/>
          <w:i/>
          <w:iCs/>
          <w:sz w:val="22"/>
          <w:lang w:val="en-GB"/>
        </w:rPr>
        <w:t>Academy of Management Journal, 49</w:t>
      </w:r>
      <w:r w:rsidRPr="00254F5A">
        <w:rPr>
          <w:rFonts w:ascii="Calibri" w:hAnsi="Calibri"/>
          <w:sz w:val="22"/>
          <w:lang w:val="en-GB"/>
        </w:rPr>
        <w:t xml:space="preserve">(6), 1119-1136. </w:t>
      </w:r>
    </w:p>
    <w:p w14:paraId="2FF05537"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Ashbaugh</w:t>
      </w:r>
      <w:r w:rsidRPr="00254F5A">
        <w:rPr>
          <w:rFonts w:ascii="Calibri" w:hAnsi="Calibri" w:cs="Cambria Math"/>
          <w:sz w:val="22"/>
          <w:lang w:val="en-GB"/>
        </w:rPr>
        <w:t>‐</w:t>
      </w:r>
      <w:r w:rsidRPr="00254F5A">
        <w:rPr>
          <w:rFonts w:ascii="Calibri" w:hAnsi="Calibri"/>
          <w:sz w:val="22"/>
          <w:lang w:val="en-GB"/>
        </w:rPr>
        <w:t>Skaife, H., Collins, D. W., &amp; LaFond, R. (2009). The effect of SOX internal control deficiencies on firm risk and cost of equity.</w:t>
      </w:r>
      <w:r w:rsidRPr="00254F5A">
        <w:rPr>
          <w:rFonts w:ascii="Calibri" w:hAnsi="Calibri"/>
          <w:i/>
          <w:iCs/>
          <w:sz w:val="22"/>
          <w:lang w:val="en-GB"/>
        </w:rPr>
        <w:t xml:space="preserve"> Journal of Accounting Research, 47</w:t>
      </w:r>
      <w:r w:rsidRPr="00254F5A">
        <w:rPr>
          <w:rFonts w:ascii="Calibri" w:hAnsi="Calibri"/>
          <w:sz w:val="22"/>
          <w:lang w:val="en-GB"/>
        </w:rPr>
        <w:t xml:space="preserve">(1), 1-43. </w:t>
      </w:r>
    </w:p>
    <w:p w14:paraId="3201F274"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Ashbaugh-Skaife, H., Collins, D. W., Kinney Jr, W. R., &amp; LaFond, R. (2008). The effect of SOX internal control deficiencies and their remediation on accrual quality.</w:t>
      </w:r>
      <w:r w:rsidRPr="00254F5A">
        <w:rPr>
          <w:rFonts w:ascii="Calibri" w:hAnsi="Calibri"/>
          <w:i/>
          <w:iCs/>
          <w:sz w:val="22"/>
          <w:lang w:val="en-GB"/>
        </w:rPr>
        <w:t xml:space="preserve"> The Accounting Review, 83</w:t>
      </w:r>
      <w:r w:rsidRPr="00254F5A">
        <w:rPr>
          <w:rFonts w:ascii="Calibri" w:hAnsi="Calibri"/>
          <w:sz w:val="22"/>
          <w:lang w:val="en-GB"/>
        </w:rPr>
        <w:t xml:space="preserve">(1), 217-250. </w:t>
      </w:r>
    </w:p>
    <w:p w14:paraId="0FBF0CF5"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Atkinson, A. A., Banker, R., Kaplan, R. S., &amp; Young, S. M. (2001). </w:t>
      </w:r>
      <w:r w:rsidRPr="00254F5A">
        <w:rPr>
          <w:rFonts w:ascii="Calibri" w:hAnsi="Calibri"/>
          <w:i/>
          <w:iCs/>
          <w:sz w:val="22"/>
          <w:lang w:val="en-GB"/>
        </w:rPr>
        <w:t>Management accounting</w:t>
      </w:r>
      <w:r w:rsidRPr="00254F5A">
        <w:rPr>
          <w:rFonts w:ascii="Calibri" w:hAnsi="Calibri"/>
          <w:sz w:val="22"/>
          <w:lang w:val="en-GB"/>
        </w:rPr>
        <w:t xml:space="preserve"> (3rd ed.). Upper Saddle River, New Jersey: Prentice-Hall.</w:t>
      </w:r>
    </w:p>
    <w:p w14:paraId="2F60CB0D"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Banker, R. D., Potter, G., &amp; Srinivasan, D. (2000). An empirical investigation of an incentive plan that includes nonfinancial performance measures.</w:t>
      </w:r>
      <w:r w:rsidRPr="00254F5A">
        <w:rPr>
          <w:rFonts w:ascii="Calibri" w:hAnsi="Calibri"/>
          <w:i/>
          <w:iCs/>
          <w:sz w:val="22"/>
          <w:lang w:val="en-GB"/>
        </w:rPr>
        <w:t xml:space="preserve"> The Accounting Review, 75</w:t>
      </w:r>
      <w:r w:rsidRPr="00254F5A">
        <w:rPr>
          <w:rFonts w:ascii="Calibri" w:hAnsi="Calibri"/>
          <w:sz w:val="22"/>
          <w:lang w:val="en-GB"/>
        </w:rPr>
        <w:t>(1), 65-92. doi:10.2308/accr.2000.75.1.65</w:t>
      </w:r>
    </w:p>
    <w:p w14:paraId="2F5A8678"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Bergstresser, D., &amp; Philippon, T. (2006). CEO incentives and earnings management.</w:t>
      </w:r>
      <w:r w:rsidRPr="00254F5A">
        <w:rPr>
          <w:rFonts w:ascii="Calibri" w:hAnsi="Calibri"/>
          <w:i/>
          <w:iCs/>
          <w:sz w:val="22"/>
          <w:lang w:val="en-GB"/>
        </w:rPr>
        <w:t xml:space="preserve"> Journal of Financial Economics, 80</w:t>
      </w:r>
      <w:r w:rsidRPr="00254F5A">
        <w:rPr>
          <w:rFonts w:ascii="Calibri" w:hAnsi="Calibri"/>
          <w:sz w:val="22"/>
          <w:lang w:val="en-GB"/>
        </w:rPr>
        <w:t xml:space="preserve">(3), 511-529. </w:t>
      </w:r>
    </w:p>
    <w:p w14:paraId="02B15060"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Bonner, S. E., Hastie, R., Sprinkle, G. B., &amp; Young, S. M. (2000). A review of the effects of financial incentives on performance in laboratory tasks: Implications for management accounting.</w:t>
      </w:r>
      <w:r w:rsidRPr="00254F5A">
        <w:rPr>
          <w:rFonts w:ascii="Calibri" w:hAnsi="Calibri"/>
          <w:i/>
          <w:iCs/>
          <w:sz w:val="22"/>
          <w:lang w:val="en-GB"/>
        </w:rPr>
        <w:t xml:space="preserve"> Journal of Management Accounting Research, 12</w:t>
      </w:r>
      <w:r w:rsidRPr="00254F5A">
        <w:rPr>
          <w:rFonts w:ascii="Calibri" w:hAnsi="Calibri"/>
          <w:sz w:val="22"/>
          <w:lang w:val="en-GB"/>
        </w:rPr>
        <w:t xml:space="preserve">(1), 19-64. </w:t>
      </w:r>
    </w:p>
    <w:p w14:paraId="6765279F"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Bonner, S. E., &amp; Sprinkle, G. B. (2002). The effects of monetary incentives on effort and task performance: Theories, evidence, and a framework for research.</w:t>
      </w:r>
      <w:r w:rsidRPr="00254F5A">
        <w:rPr>
          <w:rFonts w:ascii="Calibri" w:hAnsi="Calibri"/>
          <w:i/>
          <w:iCs/>
          <w:sz w:val="22"/>
          <w:lang w:val="en-GB"/>
        </w:rPr>
        <w:t xml:space="preserve"> Accounting, Organizations and Society, 27</w:t>
      </w:r>
      <w:r w:rsidRPr="00254F5A">
        <w:rPr>
          <w:rFonts w:ascii="Calibri" w:hAnsi="Calibri"/>
          <w:sz w:val="22"/>
          <w:lang w:val="en-GB"/>
        </w:rPr>
        <w:t xml:space="preserve">(4–5), 303-345. </w:t>
      </w:r>
    </w:p>
    <w:p w14:paraId="2EADFA2C"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Burks, J. J. (2010). Disciplinary measures in response to restatements after Sarbanes–Oxley.</w:t>
      </w:r>
      <w:r w:rsidRPr="00254F5A">
        <w:rPr>
          <w:rFonts w:ascii="Calibri" w:hAnsi="Calibri"/>
          <w:i/>
          <w:iCs/>
          <w:sz w:val="22"/>
          <w:lang w:val="en-GB"/>
        </w:rPr>
        <w:t xml:space="preserve"> Journal of Accounting and Public Policy, 29</w:t>
      </w:r>
      <w:r w:rsidRPr="00254F5A">
        <w:rPr>
          <w:rFonts w:ascii="Calibri" w:hAnsi="Calibri"/>
          <w:sz w:val="22"/>
          <w:lang w:val="en-GB"/>
        </w:rPr>
        <w:t xml:space="preserve">(3), 195-225. </w:t>
      </w:r>
    </w:p>
    <w:p w14:paraId="63633AAE"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Burns, N., &amp; Kedia, S. (2006). The impact of performance-based compensation on misreporting.</w:t>
      </w:r>
      <w:r w:rsidRPr="00254F5A">
        <w:rPr>
          <w:rFonts w:ascii="Calibri" w:hAnsi="Calibri"/>
          <w:i/>
          <w:iCs/>
          <w:sz w:val="22"/>
          <w:lang w:val="en-GB"/>
        </w:rPr>
        <w:t xml:space="preserve"> Journal of Financial Economics, 79</w:t>
      </w:r>
      <w:r w:rsidRPr="00254F5A">
        <w:rPr>
          <w:rFonts w:ascii="Calibri" w:hAnsi="Calibri"/>
          <w:sz w:val="22"/>
          <w:lang w:val="en-GB"/>
        </w:rPr>
        <w:t xml:space="preserve">(1), 35-67. </w:t>
      </w:r>
    </w:p>
    <w:p w14:paraId="70CF1719"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lastRenderedPageBreak/>
        <w:t>Busco, C. (2005). Beyond compliance: Why integrated governance matters today.</w:t>
      </w:r>
      <w:r w:rsidRPr="00254F5A">
        <w:rPr>
          <w:rFonts w:ascii="Calibri" w:hAnsi="Calibri"/>
          <w:i/>
          <w:iCs/>
          <w:sz w:val="22"/>
          <w:lang w:val="en-GB"/>
        </w:rPr>
        <w:t xml:space="preserve"> Strategic Finance, </w:t>
      </w:r>
      <w:r w:rsidRPr="00254F5A">
        <w:rPr>
          <w:rFonts w:ascii="Calibri" w:hAnsi="Calibri"/>
          <w:sz w:val="22"/>
          <w:lang w:val="en-GB"/>
        </w:rPr>
        <w:t xml:space="preserve">(8), 35-43. </w:t>
      </w:r>
    </w:p>
    <w:p w14:paraId="53B61DE1"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Bushman, R. M., Indjejikian, R. J., &amp; Smith, A. (1996). CEO compensation: The role of individual performance evaluation.</w:t>
      </w:r>
      <w:r w:rsidRPr="00254F5A">
        <w:rPr>
          <w:rFonts w:ascii="Calibri" w:hAnsi="Calibri"/>
          <w:i/>
          <w:iCs/>
          <w:sz w:val="22"/>
          <w:lang w:val="en-GB"/>
        </w:rPr>
        <w:t xml:space="preserve"> Journal of Accounting and Economics, 21</w:t>
      </w:r>
      <w:r w:rsidRPr="00254F5A">
        <w:rPr>
          <w:rFonts w:ascii="Calibri" w:hAnsi="Calibri"/>
          <w:sz w:val="22"/>
          <w:lang w:val="en-GB"/>
        </w:rPr>
        <w:t xml:space="preserve">(2), 161-193. </w:t>
      </w:r>
    </w:p>
    <w:p w14:paraId="0CA52E10"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Carter, M. E., Lynch, L. J., &amp; Zechman, S. L. (2009). Changes in bonus contracts in the post-Sarbanes–Oxley era.</w:t>
      </w:r>
      <w:r w:rsidRPr="00254F5A">
        <w:rPr>
          <w:rFonts w:ascii="Calibri" w:hAnsi="Calibri"/>
          <w:i/>
          <w:iCs/>
          <w:sz w:val="22"/>
          <w:lang w:val="en-GB"/>
        </w:rPr>
        <w:t xml:space="preserve"> Review of Accounting Studies, 14</w:t>
      </w:r>
      <w:r w:rsidRPr="00254F5A">
        <w:rPr>
          <w:rFonts w:ascii="Calibri" w:hAnsi="Calibri"/>
          <w:sz w:val="22"/>
          <w:lang w:val="en-GB"/>
        </w:rPr>
        <w:t xml:space="preserve">(4), 480-506. </w:t>
      </w:r>
    </w:p>
    <w:p w14:paraId="37E4CFD0"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Cheng, Q., &amp; Farber, D. B. (2008). Earnings restatements, changes in CEO compensation, and firm performance.</w:t>
      </w:r>
      <w:r w:rsidRPr="00254F5A">
        <w:rPr>
          <w:rFonts w:ascii="Calibri" w:hAnsi="Calibri"/>
          <w:i/>
          <w:iCs/>
          <w:sz w:val="22"/>
          <w:lang w:val="en-GB"/>
        </w:rPr>
        <w:t xml:space="preserve"> The Accounting Review, 83</w:t>
      </w:r>
      <w:r w:rsidRPr="00254F5A">
        <w:rPr>
          <w:rFonts w:ascii="Calibri" w:hAnsi="Calibri"/>
          <w:sz w:val="22"/>
          <w:lang w:val="en-GB"/>
        </w:rPr>
        <w:t xml:space="preserve">(5), 1217-1250. </w:t>
      </w:r>
    </w:p>
    <w:p w14:paraId="60053AA6"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Cheng, Q., &amp; Warfield, T. D. (2005). Equity incentives and earnings management.</w:t>
      </w:r>
      <w:r w:rsidRPr="00254F5A">
        <w:rPr>
          <w:rFonts w:ascii="Calibri" w:hAnsi="Calibri"/>
          <w:i/>
          <w:iCs/>
          <w:sz w:val="22"/>
          <w:lang w:val="en-GB"/>
        </w:rPr>
        <w:t xml:space="preserve"> The Accounting Review, 80</w:t>
      </w:r>
      <w:r w:rsidRPr="00254F5A">
        <w:rPr>
          <w:rFonts w:ascii="Calibri" w:hAnsi="Calibri"/>
          <w:sz w:val="22"/>
          <w:lang w:val="en-GB"/>
        </w:rPr>
        <w:t xml:space="preserve">(2), 441-476. </w:t>
      </w:r>
    </w:p>
    <w:p w14:paraId="43A7D536"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Core, J. E., Guay, W. R., &amp; Larcker, D. F. (2003). Executive equity compensation and incentives: A survey.</w:t>
      </w:r>
      <w:r w:rsidRPr="00254F5A">
        <w:rPr>
          <w:rFonts w:ascii="Calibri" w:hAnsi="Calibri"/>
          <w:i/>
          <w:iCs/>
          <w:sz w:val="22"/>
          <w:lang w:val="en-GB"/>
        </w:rPr>
        <w:t xml:space="preserve"> Economic Policy Review, 9</w:t>
      </w:r>
      <w:r w:rsidRPr="00254F5A">
        <w:rPr>
          <w:rFonts w:ascii="Calibri" w:hAnsi="Calibri"/>
          <w:sz w:val="22"/>
          <w:lang w:val="en-GB"/>
        </w:rPr>
        <w:t>(1)</w:t>
      </w:r>
    </w:p>
    <w:p w14:paraId="18AB4978"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Core, J. E., Holthausen, R. W., &amp; Larcker, D. F. (1999). Corporate governance, chief executive officer compensation, and firm performance1.</w:t>
      </w:r>
      <w:r w:rsidRPr="00254F5A">
        <w:rPr>
          <w:rFonts w:ascii="Calibri" w:hAnsi="Calibri"/>
          <w:i/>
          <w:iCs/>
          <w:sz w:val="22"/>
          <w:lang w:val="en-GB"/>
        </w:rPr>
        <w:t xml:space="preserve"> Journal of Financial Economics, 51</w:t>
      </w:r>
      <w:r w:rsidRPr="00254F5A">
        <w:rPr>
          <w:rFonts w:ascii="Calibri" w:hAnsi="Calibri"/>
          <w:sz w:val="22"/>
          <w:lang w:val="en-GB"/>
        </w:rPr>
        <w:t xml:space="preserve">(3), 371-406. </w:t>
      </w:r>
    </w:p>
    <w:p w14:paraId="7E2E33B1"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Cornett, M. M., Marcus, A. J., &amp; Tehranian, H. (2008). Corporate governance and pay-for-performance: The impact of earnings management.</w:t>
      </w:r>
      <w:r w:rsidRPr="00254F5A">
        <w:rPr>
          <w:rFonts w:ascii="Calibri" w:hAnsi="Calibri"/>
          <w:i/>
          <w:iCs/>
          <w:sz w:val="22"/>
          <w:lang w:val="en-GB"/>
        </w:rPr>
        <w:t xml:space="preserve"> Journal of Financial Economics, 87</w:t>
      </w:r>
      <w:r w:rsidRPr="00254F5A">
        <w:rPr>
          <w:rFonts w:ascii="Calibri" w:hAnsi="Calibri"/>
          <w:sz w:val="22"/>
          <w:lang w:val="en-GB"/>
        </w:rPr>
        <w:t xml:space="preserve">(2), 357-373. </w:t>
      </w:r>
    </w:p>
    <w:p w14:paraId="4D8208DB"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Dechow, P. M. (1994). Accounting earnings and cash flows as measures of firm performance: The role of accounting accruals.</w:t>
      </w:r>
      <w:r w:rsidRPr="00254F5A">
        <w:rPr>
          <w:rFonts w:ascii="Calibri" w:hAnsi="Calibri"/>
          <w:i/>
          <w:iCs/>
          <w:sz w:val="22"/>
          <w:lang w:val="en-GB"/>
        </w:rPr>
        <w:t xml:space="preserve"> Journal of Accounting and Economics, 18</w:t>
      </w:r>
      <w:r w:rsidRPr="00254F5A">
        <w:rPr>
          <w:rFonts w:ascii="Calibri" w:hAnsi="Calibri"/>
          <w:sz w:val="22"/>
          <w:lang w:val="en-GB"/>
        </w:rPr>
        <w:t xml:space="preserve">(1), 3-42. </w:t>
      </w:r>
    </w:p>
    <w:p w14:paraId="109AA7A2"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Deci, E. L., &amp; Ryan, R. M. (1985). </w:t>
      </w:r>
      <w:r w:rsidRPr="00254F5A">
        <w:rPr>
          <w:rFonts w:ascii="Calibri" w:hAnsi="Calibri"/>
          <w:i/>
          <w:iCs/>
          <w:sz w:val="22"/>
          <w:lang w:val="en-GB"/>
        </w:rPr>
        <w:t>Intrinsic motivation and self-determination in human behavior</w:t>
      </w:r>
      <w:r w:rsidRPr="00254F5A">
        <w:rPr>
          <w:rFonts w:ascii="Calibri" w:hAnsi="Calibri"/>
          <w:sz w:val="22"/>
          <w:lang w:val="en-GB"/>
        </w:rPr>
        <w:t xml:space="preserve"> Springer Science &amp; Business Media.</w:t>
      </w:r>
    </w:p>
    <w:p w14:paraId="181D9ED0"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Doyle, J. T., Ge, W., &amp; McVay, S. (2007). Accruals quality and internal control over financial reporting.</w:t>
      </w:r>
      <w:r w:rsidRPr="00254F5A">
        <w:rPr>
          <w:rFonts w:ascii="Calibri" w:hAnsi="Calibri"/>
          <w:i/>
          <w:iCs/>
          <w:sz w:val="22"/>
          <w:lang w:val="en-GB"/>
        </w:rPr>
        <w:t xml:space="preserve"> The Accounting Review, 82</w:t>
      </w:r>
      <w:r w:rsidRPr="00254F5A">
        <w:rPr>
          <w:rFonts w:ascii="Calibri" w:hAnsi="Calibri"/>
          <w:sz w:val="22"/>
          <w:lang w:val="en-GB"/>
        </w:rPr>
        <w:t xml:space="preserve">(5), 1141-1170. </w:t>
      </w:r>
    </w:p>
    <w:p w14:paraId="43624470"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Efendi, J., Srivastava, A., &amp; Swanson, E. P. (2007). Why do corporate managers misstate financial statements? the role of option compensation and other factors.</w:t>
      </w:r>
      <w:r w:rsidRPr="00254F5A">
        <w:rPr>
          <w:rFonts w:ascii="Calibri" w:hAnsi="Calibri"/>
          <w:i/>
          <w:iCs/>
          <w:sz w:val="22"/>
          <w:lang w:val="en-GB"/>
        </w:rPr>
        <w:t xml:space="preserve"> Journal of Financial Economics, 85</w:t>
      </w:r>
      <w:r w:rsidRPr="00254F5A">
        <w:rPr>
          <w:rFonts w:ascii="Calibri" w:hAnsi="Calibri"/>
          <w:sz w:val="22"/>
          <w:lang w:val="en-GB"/>
        </w:rPr>
        <w:t xml:space="preserve">(3), 667-708. </w:t>
      </w:r>
    </w:p>
    <w:p w14:paraId="2BE86357"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Elder, R., Zhang, Y., Zhou, J., &amp; Zhou, N. (2009). Internal control weaknesses and client risk management.</w:t>
      </w:r>
      <w:r w:rsidRPr="00254F5A">
        <w:rPr>
          <w:rFonts w:ascii="Calibri" w:hAnsi="Calibri"/>
          <w:i/>
          <w:iCs/>
          <w:sz w:val="22"/>
          <w:lang w:val="en-GB"/>
        </w:rPr>
        <w:t xml:space="preserve"> Journal of Accounting, Auditing &amp; Finance, 24</w:t>
      </w:r>
      <w:r w:rsidRPr="00254F5A">
        <w:rPr>
          <w:rFonts w:ascii="Calibri" w:hAnsi="Calibri"/>
          <w:sz w:val="22"/>
          <w:lang w:val="en-GB"/>
        </w:rPr>
        <w:t xml:space="preserve">(4), 543-579. </w:t>
      </w:r>
    </w:p>
    <w:p w14:paraId="0D37D49A"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Erickson, M., Hanlon, M., &amp; Maydew, E. L. (2006). Is there a link between executive equity incentives and accounting fraud?</w:t>
      </w:r>
      <w:r w:rsidRPr="00254F5A">
        <w:rPr>
          <w:rFonts w:ascii="Calibri" w:hAnsi="Calibri"/>
          <w:i/>
          <w:iCs/>
          <w:sz w:val="22"/>
          <w:lang w:val="en-GB"/>
        </w:rPr>
        <w:t xml:space="preserve"> Journal of Accounting Research, 44</w:t>
      </w:r>
      <w:r w:rsidRPr="00254F5A">
        <w:rPr>
          <w:rFonts w:ascii="Calibri" w:hAnsi="Calibri"/>
          <w:sz w:val="22"/>
          <w:lang w:val="en-GB"/>
        </w:rPr>
        <w:t>(1), 113-143. doi:10.1111/j.1475-679X.2006.00194.x</w:t>
      </w:r>
    </w:p>
    <w:p w14:paraId="31E3E32D"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Feng, M., Ge, W., Luo, S., &amp; Shevlin, T. (2011). Why do CFOs become involved in material accounting manipulations?</w:t>
      </w:r>
      <w:r w:rsidRPr="00254F5A">
        <w:rPr>
          <w:rFonts w:ascii="Calibri" w:hAnsi="Calibri"/>
          <w:i/>
          <w:iCs/>
          <w:sz w:val="22"/>
          <w:lang w:val="en-GB"/>
        </w:rPr>
        <w:t xml:space="preserve"> Journal of Accounting and Economics, 51</w:t>
      </w:r>
      <w:r w:rsidRPr="00254F5A">
        <w:rPr>
          <w:rFonts w:ascii="Calibri" w:hAnsi="Calibri"/>
          <w:sz w:val="22"/>
          <w:lang w:val="en-GB"/>
        </w:rPr>
        <w:t xml:space="preserve">(1), 21-36. </w:t>
      </w:r>
    </w:p>
    <w:p w14:paraId="0E8EF6EA"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Frank, M. Z., &amp; Goyal, V. K. (2007). Corporate leverage: How much do managers really matter?</w:t>
      </w:r>
      <w:r w:rsidRPr="00254F5A">
        <w:rPr>
          <w:rFonts w:ascii="Calibri" w:hAnsi="Calibri"/>
          <w:i/>
          <w:iCs/>
          <w:sz w:val="22"/>
          <w:lang w:val="en-GB"/>
        </w:rPr>
        <w:t xml:space="preserve"> Available at SSRN 971082, </w:t>
      </w:r>
    </w:p>
    <w:p w14:paraId="1DA32003"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lastRenderedPageBreak/>
        <w:t xml:space="preserve">Frank, R. H. (1991). </w:t>
      </w:r>
      <w:r w:rsidRPr="00254F5A">
        <w:rPr>
          <w:rFonts w:ascii="Calibri" w:hAnsi="Calibri"/>
          <w:i/>
          <w:iCs/>
          <w:sz w:val="22"/>
          <w:lang w:val="en-GB"/>
        </w:rPr>
        <w:t>Microeconomics and behavior</w:t>
      </w:r>
      <w:r w:rsidRPr="00254F5A">
        <w:rPr>
          <w:rFonts w:ascii="Calibri" w:hAnsi="Calibri"/>
          <w:sz w:val="22"/>
          <w:lang w:val="en-GB"/>
        </w:rPr>
        <w:t xml:space="preserve"> (7th ed.). New York: McGraw-Hill.</w:t>
      </w:r>
    </w:p>
    <w:p w14:paraId="160FE4FD"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Frey, B. S., &amp; Jegen, R. (2001). Motivation crowding theory.</w:t>
      </w:r>
      <w:r w:rsidRPr="00254F5A">
        <w:rPr>
          <w:rFonts w:ascii="Calibri" w:hAnsi="Calibri"/>
          <w:i/>
          <w:iCs/>
          <w:sz w:val="22"/>
          <w:lang w:val="en-GB"/>
        </w:rPr>
        <w:t xml:space="preserve"> Journal of Economic Surveys, 15</w:t>
      </w:r>
      <w:r w:rsidRPr="00254F5A">
        <w:rPr>
          <w:rFonts w:ascii="Calibri" w:hAnsi="Calibri"/>
          <w:sz w:val="22"/>
          <w:lang w:val="en-GB"/>
        </w:rPr>
        <w:t>(5), 589-611. doi:10.1111/1467-6419.00150</w:t>
      </w:r>
    </w:p>
    <w:p w14:paraId="2CAB7155"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Geiger, M. A., &amp; North, D. S. (2006). Does hiring a new CFO change things? an investigation of changes in discretionary accruals.</w:t>
      </w:r>
      <w:r w:rsidRPr="00254F5A">
        <w:rPr>
          <w:rFonts w:ascii="Calibri" w:hAnsi="Calibri"/>
          <w:i/>
          <w:iCs/>
          <w:sz w:val="22"/>
          <w:lang w:val="en-GB"/>
        </w:rPr>
        <w:t xml:space="preserve"> The Accounting Review, 81</w:t>
      </w:r>
      <w:r w:rsidRPr="00254F5A">
        <w:rPr>
          <w:rFonts w:ascii="Calibri" w:hAnsi="Calibri"/>
          <w:sz w:val="22"/>
          <w:lang w:val="en-GB"/>
        </w:rPr>
        <w:t>(4), 781-809. doi:10.2308/accr.2006.81.4.781</w:t>
      </w:r>
    </w:p>
    <w:p w14:paraId="482796D5"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Gore, A. K., Matsunaga, S., &amp; Yeung, E. P. (2011). The role of technical expertise in firm governance structure: Evidence from chief financial officer contractual incentives.</w:t>
      </w:r>
      <w:r w:rsidRPr="00254F5A">
        <w:rPr>
          <w:rFonts w:ascii="Calibri" w:hAnsi="Calibri"/>
          <w:i/>
          <w:iCs/>
          <w:sz w:val="22"/>
          <w:lang w:val="en-GB"/>
        </w:rPr>
        <w:t xml:space="preserve"> Strategic Management Journal, 32</w:t>
      </w:r>
      <w:r w:rsidRPr="00254F5A">
        <w:rPr>
          <w:rFonts w:ascii="Calibri" w:hAnsi="Calibri"/>
          <w:sz w:val="22"/>
          <w:lang w:val="en-GB"/>
        </w:rPr>
        <w:t>(7), 771-786. doi:10.1002/smj.907</w:t>
      </w:r>
    </w:p>
    <w:p w14:paraId="31D231C3"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Grinstein, Y., &amp; Hribar, P. (2004). CEO compensation and incentives: Evidence from M&amp;A bonuses.</w:t>
      </w:r>
      <w:r w:rsidRPr="00254F5A">
        <w:rPr>
          <w:rFonts w:ascii="Calibri" w:hAnsi="Calibri"/>
          <w:i/>
          <w:iCs/>
          <w:sz w:val="22"/>
          <w:lang w:val="en-GB"/>
        </w:rPr>
        <w:t xml:space="preserve"> Journal of Financial Economics, 73</w:t>
      </w:r>
      <w:r w:rsidRPr="00254F5A">
        <w:rPr>
          <w:rFonts w:ascii="Calibri" w:hAnsi="Calibri"/>
          <w:sz w:val="22"/>
          <w:lang w:val="en-GB"/>
        </w:rPr>
        <w:t xml:space="preserve">(1), 119-143. </w:t>
      </w:r>
    </w:p>
    <w:p w14:paraId="67CBCB25"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Grossman, S. J., &amp; Hart, O. D. (1986). The costs and benefits of ownership: A theory of vertical and lateral integration.</w:t>
      </w:r>
      <w:r w:rsidRPr="00254F5A">
        <w:rPr>
          <w:rFonts w:ascii="Calibri" w:hAnsi="Calibri"/>
          <w:i/>
          <w:iCs/>
          <w:sz w:val="22"/>
          <w:lang w:val="en-GB"/>
        </w:rPr>
        <w:t xml:space="preserve"> The Journal of Political Economy, </w:t>
      </w:r>
      <w:r w:rsidRPr="00254F5A">
        <w:rPr>
          <w:rFonts w:ascii="Calibri" w:hAnsi="Calibri"/>
          <w:sz w:val="22"/>
          <w:lang w:val="en-GB"/>
        </w:rPr>
        <w:t xml:space="preserve">, 691-719. </w:t>
      </w:r>
    </w:p>
    <w:p w14:paraId="103D4B52"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Hammersley, J. S., Myers, L. A., &amp; Zhou, J. (2012). The failure to remediate previously disclosed material weaknesses in internal controls.</w:t>
      </w:r>
      <w:r w:rsidRPr="00254F5A">
        <w:rPr>
          <w:rFonts w:ascii="Calibri" w:hAnsi="Calibri"/>
          <w:i/>
          <w:iCs/>
          <w:sz w:val="22"/>
          <w:lang w:val="en-GB"/>
        </w:rPr>
        <w:t xml:space="preserve"> Auditing, 31</w:t>
      </w:r>
      <w:r w:rsidRPr="00254F5A">
        <w:rPr>
          <w:rFonts w:ascii="Calibri" w:hAnsi="Calibri"/>
          <w:sz w:val="22"/>
          <w:lang w:val="en-GB"/>
        </w:rPr>
        <w:t xml:space="preserve">(2), 73-111. </w:t>
      </w:r>
    </w:p>
    <w:p w14:paraId="1A7F4C74"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Harris, M., &amp; Raviv, A. (1979). Optimal incentive contracts with imperfect information.</w:t>
      </w:r>
      <w:r w:rsidRPr="00254F5A">
        <w:rPr>
          <w:rFonts w:ascii="Calibri" w:hAnsi="Calibri"/>
          <w:i/>
          <w:iCs/>
          <w:sz w:val="22"/>
          <w:lang w:val="en-GB"/>
        </w:rPr>
        <w:t xml:space="preserve"> Journal of Economic Theory, 20</w:t>
      </w:r>
      <w:r w:rsidRPr="00254F5A">
        <w:rPr>
          <w:rFonts w:ascii="Calibri" w:hAnsi="Calibri"/>
          <w:sz w:val="22"/>
          <w:lang w:val="en-GB"/>
        </w:rPr>
        <w:t xml:space="preserve">(2), 231-259. </w:t>
      </w:r>
    </w:p>
    <w:p w14:paraId="20A4B271"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Hoitash, R., Hoitash, U., &amp; Bedard, J. C. (2008). Internal control quality and audit pricing under the sarbanes-oxley act.</w:t>
      </w:r>
      <w:r w:rsidRPr="00254F5A">
        <w:rPr>
          <w:rFonts w:ascii="Calibri" w:hAnsi="Calibri"/>
          <w:i/>
          <w:iCs/>
          <w:sz w:val="22"/>
          <w:lang w:val="en-GB"/>
        </w:rPr>
        <w:t xml:space="preserve"> Auditing, 27</w:t>
      </w:r>
      <w:r w:rsidRPr="00254F5A">
        <w:rPr>
          <w:rFonts w:ascii="Calibri" w:hAnsi="Calibri"/>
          <w:sz w:val="22"/>
          <w:lang w:val="en-GB"/>
        </w:rPr>
        <w:t xml:space="preserve">(1), 105-126. </w:t>
      </w:r>
    </w:p>
    <w:p w14:paraId="695E6AA5"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Hoitash, R., Hoitash, U., &amp; Johnstone, K. M. (2012). Internal control material weaknesses and CFO compensation*.</w:t>
      </w:r>
      <w:r w:rsidRPr="00254F5A">
        <w:rPr>
          <w:rFonts w:ascii="Calibri" w:hAnsi="Calibri"/>
          <w:i/>
          <w:iCs/>
          <w:sz w:val="22"/>
          <w:lang w:val="en-GB"/>
        </w:rPr>
        <w:t xml:space="preserve"> Contemporary Accounting Research, 29</w:t>
      </w:r>
      <w:r w:rsidRPr="00254F5A">
        <w:rPr>
          <w:rFonts w:ascii="Calibri" w:hAnsi="Calibri"/>
          <w:sz w:val="22"/>
          <w:lang w:val="en-GB"/>
        </w:rPr>
        <w:t>(3), 768-803. doi:10.1111/j.1911-3846.2011.01122.x</w:t>
      </w:r>
    </w:p>
    <w:p w14:paraId="662E34B9"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Hölmstrom, B. (1979). Moral hazard and observability.</w:t>
      </w:r>
      <w:r w:rsidRPr="00254F5A">
        <w:rPr>
          <w:rFonts w:ascii="Calibri" w:hAnsi="Calibri"/>
          <w:i/>
          <w:iCs/>
          <w:sz w:val="22"/>
          <w:lang w:val="en-GB"/>
        </w:rPr>
        <w:t xml:space="preserve"> The Bell Journal of Economics, </w:t>
      </w:r>
      <w:r w:rsidRPr="00254F5A">
        <w:rPr>
          <w:rFonts w:ascii="Calibri" w:hAnsi="Calibri"/>
          <w:sz w:val="22"/>
          <w:lang w:val="en-GB"/>
        </w:rPr>
        <w:t xml:space="preserve">, 74-91. </w:t>
      </w:r>
    </w:p>
    <w:p w14:paraId="15A995EB"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Horngren, C. T., Foster, G., &amp; Datar, S. M. (2000). </w:t>
      </w:r>
      <w:r w:rsidRPr="00254F5A">
        <w:rPr>
          <w:rFonts w:ascii="Calibri" w:hAnsi="Calibri"/>
          <w:i/>
          <w:iCs/>
          <w:sz w:val="22"/>
          <w:lang w:val="en-GB"/>
        </w:rPr>
        <w:t>Cost accounting: A managerial emphasis</w:t>
      </w:r>
      <w:r w:rsidRPr="00254F5A">
        <w:rPr>
          <w:rFonts w:ascii="Calibri" w:hAnsi="Calibri"/>
          <w:sz w:val="22"/>
          <w:lang w:val="en-GB"/>
        </w:rPr>
        <w:t xml:space="preserve"> (10th ed.). Upper Saddle River, New Jersey: Prentice-Hall.</w:t>
      </w:r>
    </w:p>
    <w:p w14:paraId="25E923C0"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Indjejikian, R., &amp; Matêjka, M. (2009). CFO fiduciary responsibilities and annual bonus incentives.</w:t>
      </w:r>
      <w:r w:rsidRPr="00254F5A">
        <w:rPr>
          <w:rFonts w:ascii="Calibri" w:hAnsi="Calibri"/>
          <w:i/>
          <w:iCs/>
          <w:sz w:val="22"/>
          <w:lang w:val="en-GB"/>
        </w:rPr>
        <w:t xml:space="preserve"> Journal of Accounting Research, 47</w:t>
      </w:r>
      <w:r w:rsidRPr="00254F5A">
        <w:rPr>
          <w:rFonts w:ascii="Calibri" w:hAnsi="Calibri"/>
          <w:sz w:val="22"/>
          <w:lang w:val="en-GB"/>
        </w:rPr>
        <w:t>(4), 1061-1093. doi:10.1111/j.1475-679X.2009.00343.x</w:t>
      </w:r>
    </w:p>
    <w:p w14:paraId="7C0D4C3F"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Ittner, C. D., Larcker, D. F., &amp; Rajan, M. V. (1997). The choice of performance measures in annual bonus contracts.</w:t>
      </w:r>
      <w:r w:rsidRPr="00254F5A">
        <w:rPr>
          <w:rFonts w:ascii="Calibri" w:hAnsi="Calibri"/>
          <w:i/>
          <w:iCs/>
          <w:sz w:val="22"/>
          <w:lang w:val="en-GB"/>
        </w:rPr>
        <w:t xml:space="preserve"> The Accounting Review, 72</w:t>
      </w:r>
      <w:r w:rsidRPr="00254F5A">
        <w:rPr>
          <w:rFonts w:ascii="Calibri" w:hAnsi="Calibri"/>
          <w:sz w:val="22"/>
          <w:lang w:val="en-GB"/>
        </w:rPr>
        <w:t xml:space="preserve">(2), 231-255. </w:t>
      </w:r>
    </w:p>
    <w:p w14:paraId="25330260"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Jenkins Jr, G. D. (1986). Financial incentives.</w:t>
      </w:r>
      <w:r w:rsidRPr="00254F5A">
        <w:rPr>
          <w:rFonts w:ascii="Calibri" w:hAnsi="Calibri"/>
          <w:i/>
          <w:iCs/>
          <w:sz w:val="22"/>
          <w:lang w:val="en-GB"/>
        </w:rPr>
        <w:t xml:space="preserve"> Generalizing from Laboratory to Field Settings, </w:t>
      </w:r>
      <w:r w:rsidRPr="00254F5A">
        <w:rPr>
          <w:rFonts w:ascii="Calibri" w:hAnsi="Calibri"/>
          <w:sz w:val="22"/>
          <w:lang w:val="en-GB"/>
        </w:rPr>
        <w:t xml:space="preserve">, 167-180. </w:t>
      </w:r>
    </w:p>
    <w:p w14:paraId="30EEEF86"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Jenkins Jr, G. D., Mitra, A., Gupta, N., &amp; Shaw, J. D. (1998). Are financial incentives related to performance? A meta-analytic review of empirical research.</w:t>
      </w:r>
      <w:r w:rsidRPr="00254F5A">
        <w:rPr>
          <w:rFonts w:ascii="Calibri" w:hAnsi="Calibri"/>
          <w:i/>
          <w:iCs/>
          <w:sz w:val="22"/>
          <w:lang w:val="en-GB"/>
        </w:rPr>
        <w:t xml:space="preserve"> Journal of Applied Psychology, 83</w:t>
      </w:r>
      <w:r w:rsidRPr="00254F5A">
        <w:rPr>
          <w:rFonts w:ascii="Calibri" w:hAnsi="Calibri"/>
          <w:sz w:val="22"/>
          <w:lang w:val="en-GB"/>
        </w:rPr>
        <w:t xml:space="preserve">(5), 777. </w:t>
      </w:r>
    </w:p>
    <w:p w14:paraId="5967A891"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rPr>
        <w:lastRenderedPageBreak/>
        <w:t xml:space="preserve">Jensen, M. C., &amp; Murphy, K. J. (1990). </w:t>
      </w:r>
      <w:r w:rsidRPr="00254F5A">
        <w:rPr>
          <w:rFonts w:ascii="Calibri" w:hAnsi="Calibri"/>
          <w:sz w:val="22"/>
          <w:lang w:val="en-GB"/>
        </w:rPr>
        <w:t>Performance pay and top-management incentives.</w:t>
      </w:r>
      <w:r w:rsidRPr="00254F5A">
        <w:rPr>
          <w:rFonts w:ascii="Calibri" w:hAnsi="Calibri"/>
          <w:i/>
          <w:iCs/>
          <w:sz w:val="22"/>
          <w:lang w:val="en-GB"/>
        </w:rPr>
        <w:t xml:space="preserve"> Journal of Political Economy, </w:t>
      </w:r>
      <w:r w:rsidRPr="00254F5A">
        <w:rPr>
          <w:rFonts w:ascii="Calibri" w:hAnsi="Calibri"/>
          <w:sz w:val="22"/>
          <w:lang w:val="en-GB"/>
        </w:rPr>
        <w:t xml:space="preserve">, 225-264. </w:t>
      </w:r>
    </w:p>
    <w:p w14:paraId="78BAA80D"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Jensen, M. C., &amp; Meckling, W. H. (1976). [Theory of the Firm: Managerial Behaviour, Agency Costs and Ownership Structure] </w:t>
      </w:r>
      <w:r w:rsidRPr="00254F5A">
        <w:rPr>
          <w:rFonts w:ascii="Calibri" w:hAnsi="Calibri"/>
          <w:i/>
          <w:iCs/>
          <w:sz w:val="22"/>
          <w:lang w:val="en-GB"/>
        </w:rPr>
        <w:t>Journal of Financial Economics, 3</w:t>
      </w:r>
      <w:r w:rsidRPr="00254F5A">
        <w:rPr>
          <w:rFonts w:ascii="Calibri" w:hAnsi="Calibri"/>
          <w:sz w:val="22"/>
          <w:lang w:val="en-GB"/>
        </w:rPr>
        <w:t xml:space="preserve">(4), 305-360. </w:t>
      </w:r>
    </w:p>
    <w:p w14:paraId="2BCDF1B6"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rPr>
        <w:t xml:space="preserve">Jiang, J. X., Petroni, K. R., &amp; Wang, I. Y. (2010). </w:t>
      </w:r>
      <w:r w:rsidRPr="00254F5A">
        <w:rPr>
          <w:rFonts w:ascii="Calibri" w:hAnsi="Calibri"/>
          <w:sz w:val="22"/>
          <w:lang w:val="en-GB"/>
        </w:rPr>
        <w:t>CFOs and CEOs: Who have the most influence on earnings management?</w:t>
      </w:r>
      <w:r w:rsidRPr="00254F5A">
        <w:rPr>
          <w:rFonts w:ascii="Calibri" w:hAnsi="Calibri"/>
          <w:i/>
          <w:iCs/>
          <w:sz w:val="22"/>
          <w:lang w:val="en-GB"/>
        </w:rPr>
        <w:t xml:space="preserve"> Journal of Financial Economics, 96</w:t>
      </w:r>
      <w:r w:rsidRPr="00254F5A">
        <w:rPr>
          <w:rFonts w:ascii="Calibri" w:hAnsi="Calibri"/>
          <w:sz w:val="22"/>
          <w:lang w:val="en-GB"/>
        </w:rPr>
        <w:t xml:space="preserve">(3), 513-526. </w:t>
      </w:r>
    </w:p>
    <w:p w14:paraId="16BE97AE"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Kerr, S., &amp; Landauer, S. (2004). Using stretch goals to promote organizational effectiveness and personal growth: General electric and goldman sachs.</w:t>
      </w:r>
      <w:r w:rsidRPr="00254F5A">
        <w:rPr>
          <w:rFonts w:ascii="Calibri" w:hAnsi="Calibri"/>
          <w:i/>
          <w:iCs/>
          <w:sz w:val="22"/>
          <w:lang w:val="en-GB"/>
        </w:rPr>
        <w:t xml:space="preserve"> The Academy of Management Executive, 18</w:t>
      </w:r>
      <w:r w:rsidRPr="00254F5A">
        <w:rPr>
          <w:rFonts w:ascii="Calibri" w:hAnsi="Calibri"/>
          <w:sz w:val="22"/>
          <w:lang w:val="en-GB"/>
        </w:rPr>
        <w:t xml:space="preserve">(4), 122-123. </w:t>
      </w:r>
    </w:p>
    <w:p w14:paraId="28CDA968"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Kohn, A. (1993). </w:t>
      </w:r>
      <w:r w:rsidRPr="00254F5A">
        <w:rPr>
          <w:rFonts w:ascii="Calibri" w:hAnsi="Calibri"/>
          <w:i/>
          <w:iCs/>
          <w:sz w:val="22"/>
          <w:lang w:val="en-GB"/>
        </w:rPr>
        <w:t xml:space="preserve">Why Incentive Plans Cannot Work, </w:t>
      </w:r>
    </w:p>
    <w:p w14:paraId="74E8C149"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Lambert, R., Leuz, C., &amp; Verrecchia, R. E. (2007). Accounting information, disclosure, and the cost of capital.</w:t>
      </w:r>
      <w:r w:rsidRPr="00254F5A">
        <w:rPr>
          <w:rFonts w:ascii="Calibri" w:hAnsi="Calibri"/>
          <w:i/>
          <w:iCs/>
          <w:sz w:val="22"/>
          <w:lang w:val="en-GB"/>
        </w:rPr>
        <w:t xml:space="preserve"> Journal of Accounting Research, 45</w:t>
      </w:r>
      <w:r w:rsidRPr="00254F5A">
        <w:rPr>
          <w:rFonts w:ascii="Calibri" w:hAnsi="Calibri"/>
          <w:sz w:val="22"/>
          <w:lang w:val="en-GB"/>
        </w:rPr>
        <w:t xml:space="preserve">(2), 385-420. </w:t>
      </w:r>
    </w:p>
    <w:p w14:paraId="204C0ACD"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Larcker, D. F., Richardson, S. A., &amp; Tuna, I. (2007). Corporate governance, accounting outcomes, and organizational performance.</w:t>
      </w:r>
      <w:r w:rsidRPr="00254F5A">
        <w:rPr>
          <w:rFonts w:ascii="Calibri" w:hAnsi="Calibri"/>
          <w:i/>
          <w:iCs/>
          <w:sz w:val="22"/>
          <w:lang w:val="en-GB"/>
        </w:rPr>
        <w:t xml:space="preserve"> The Accounting Review, 82</w:t>
      </w:r>
      <w:r w:rsidRPr="00254F5A">
        <w:rPr>
          <w:rFonts w:ascii="Calibri" w:hAnsi="Calibri"/>
          <w:sz w:val="22"/>
          <w:lang w:val="en-GB"/>
        </w:rPr>
        <w:t xml:space="preserve">(4), 963-1008. </w:t>
      </w:r>
    </w:p>
    <w:p w14:paraId="204728ED"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Li, C., Sun, L., &amp; Ettredge, M. (2010). Financial executive qualifications, financial executive turnover, and adverse SOX 404 opinions.</w:t>
      </w:r>
      <w:r w:rsidRPr="00254F5A">
        <w:rPr>
          <w:rFonts w:ascii="Calibri" w:hAnsi="Calibri"/>
          <w:i/>
          <w:iCs/>
          <w:sz w:val="22"/>
          <w:lang w:val="en-GB"/>
        </w:rPr>
        <w:t xml:space="preserve"> Journal of Accounting and Economics, 50</w:t>
      </w:r>
      <w:r w:rsidRPr="00254F5A">
        <w:rPr>
          <w:rFonts w:ascii="Calibri" w:hAnsi="Calibri"/>
          <w:sz w:val="22"/>
          <w:lang w:val="en-GB"/>
        </w:rPr>
        <w:t xml:space="preserve">(1), 93-110. </w:t>
      </w:r>
    </w:p>
    <w:p w14:paraId="64F9C664"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Libby, R. (1981). </w:t>
      </w:r>
      <w:r w:rsidRPr="00254F5A">
        <w:rPr>
          <w:rFonts w:ascii="Calibri" w:hAnsi="Calibri"/>
          <w:i/>
          <w:iCs/>
          <w:sz w:val="22"/>
          <w:lang w:val="en-GB"/>
        </w:rPr>
        <w:t>Accounting and human information processing: Theory and applications</w:t>
      </w:r>
      <w:r w:rsidRPr="00254F5A">
        <w:rPr>
          <w:rFonts w:ascii="Calibri" w:hAnsi="Calibri"/>
          <w:sz w:val="22"/>
          <w:lang w:val="en-GB"/>
        </w:rPr>
        <w:t xml:space="preserve"> Prentice Hall.</w:t>
      </w:r>
    </w:p>
    <w:p w14:paraId="5D3CD04E"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Mehran, H. (1995). Executive compensation structure, ownership, and firm performance.</w:t>
      </w:r>
      <w:r w:rsidRPr="00254F5A">
        <w:rPr>
          <w:rFonts w:ascii="Calibri" w:hAnsi="Calibri"/>
          <w:i/>
          <w:iCs/>
          <w:sz w:val="22"/>
          <w:lang w:val="en-GB"/>
        </w:rPr>
        <w:t xml:space="preserve"> Journal of Financial Economics, 38</w:t>
      </w:r>
      <w:r w:rsidRPr="00254F5A">
        <w:rPr>
          <w:rFonts w:ascii="Calibri" w:hAnsi="Calibri"/>
          <w:sz w:val="22"/>
          <w:lang w:val="en-GB"/>
        </w:rPr>
        <w:t xml:space="preserve">(2), 163-184. </w:t>
      </w:r>
    </w:p>
    <w:p w14:paraId="01102259"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Merchant, K. A. (1982). The control function of management.</w:t>
      </w:r>
      <w:r w:rsidRPr="00254F5A">
        <w:rPr>
          <w:rFonts w:ascii="Calibri" w:hAnsi="Calibri"/>
          <w:i/>
          <w:iCs/>
          <w:sz w:val="22"/>
          <w:lang w:val="en-GB"/>
        </w:rPr>
        <w:t xml:space="preserve"> Sloan Management Review, 23</w:t>
      </w:r>
      <w:r w:rsidRPr="00254F5A">
        <w:rPr>
          <w:rFonts w:ascii="Calibri" w:hAnsi="Calibri"/>
          <w:sz w:val="22"/>
          <w:lang w:val="en-GB"/>
        </w:rPr>
        <w:t xml:space="preserve">(4), 43-55. </w:t>
      </w:r>
    </w:p>
    <w:p w14:paraId="630253EC"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Merchant, K. A., &amp; Van der Stede, W. A. (2007). </w:t>
      </w:r>
      <w:r w:rsidRPr="00254F5A">
        <w:rPr>
          <w:rFonts w:ascii="Calibri" w:hAnsi="Calibri"/>
          <w:i/>
          <w:iCs/>
          <w:sz w:val="22"/>
          <w:lang w:val="en-GB"/>
        </w:rPr>
        <w:t>Management control systems: Performance measurement, evaluation and incentives</w:t>
      </w:r>
      <w:r w:rsidRPr="00254F5A">
        <w:rPr>
          <w:rFonts w:ascii="Calibri" w:hAnsi="Calibri"/>
          <w:sz w:val="22"/>
          <w:lang w:val="en-GB"/>
        </w:rPr>
        <w:t xml:space="preserve"> Pearson Education.</w:t>
      </w:r>
    </w:p>
    <w:p w14:paraId="6B5A6949"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Mergenthaler, R. D., Rajgopal, S., &amp; Srinivasan, S. (2012). </w:t>
      </w:r>
      <w:r w:rsidRPr="00254F5A">
        <w:rPr>
          <w:rFonts w:ascii="Calibri" w:hAnsi="Calibri"/>
          <w:i/>
          <w:iCs/>
          <w:sz w:val="22"/>
          <w:lang w:val="en-GB"/>
        </w:rPr>
        <w:t xml:space="preserve">CEO and CFO career penalties to missing quarterly analysts forecasts. </w:t>
      </w:r>
      <w:r w:rsidRPr="00254F5A">
        <w:rPr>
          <w:rFonts w:ascii="Calibri" w:hAnsi="Calibri"/>
          <w:sz w:val="22"/>
          <w:lang w:val="en-GB"/>
        </w:rPr>
        <w:t>Unpublished manuscript.</w:t>
      </w:r>
    </w:p>
    <w:p w14:paraId="0686180C"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Mian, S. (2001). On the choice and replacement of chief financial officers.</w:t>
      </w:r>
      <w:r w:rsidRPr="00254F5A">
        <w:rPr>
          <w:rFonts w:ascii="Calibri" w:hAnsi="Calibri"/>
          <w:i/>
          <w:iCs/>
          <w:sz w:val="22"/>
          <w:lang w:val="en-GB"/>
        </w:rPr>
        <w:t xml:space="preserve"> Journal of Financial Economics, 60</w:t>
      </w:r>
      <w:r w:rsidRPr="00254F5A">
        <w:rPr>
          <w:rFonts w:ascii="Calibri" w:hAnsi="Calibri"/>
          <w:sz w:val="22"/>
          <w:lang w:val="en-GB"/>
        </w:rPr>
        <w:t xml:space="preserve">(1), 143-175. </w:t>
      </w:r>
    </w:p>
    <w:p w14:paraId="61554805"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Palepu, K. G., Healy, P. M., &amp; Peek, E. (2007). </w:t>
      </w:r>
      <w:r w:rsidRPr="00254F5A">
        <w:rPr>
          <w:rFonts w:ascii="Calibri" w:hAnsi="Calibri"/>
          <w:i/>
          <w:iCs/>
          <w:sz w:val="22"/>
          <w:lang w:val="en-GB"/>
        </w:rPr>
        <w:t>Business analysis and valuation: Text and cases</w:t>
      </w:r>
      <w:r w:rsidRPr="00254F5A">
        <w:rPr>
          <w:rFonts w:ascii="Calibri" w:hAnsi="Calibri"/>
          <w:sz w:val="22"/>
          <w:lang w:val="en-GB"/>
        </w:rPr>
        <w:t xml:space="preserve"> Thomson.</w:t>
      </w:r>
    </w:p>
    <w:p w14:paraId="1FB8C27B"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Paul, J. M. (1992). On the efficiency of stock-based compensation.</w:t>
      </w:r>
      <w:r w:rsidRPr="00254F5A">
        <w:rPr>
          <w:rFonts w:ascii="Calibri" w:hAnsi="Calibri"/>
          <w:i/>
          <w:iCs/>
          <w:sz w:val="22"/>
          <w:lang w:val="en-GB"/>
        </w:rPr>
        <w:t xml:space="preserve"> Review of Financial Studies, 5</w:t>
      </w:r>
      <w:r w:rsidRPr="00254F5A">
        <w:rPr>
          <w:rFonts w:ascii="Calibri" w:hAnsi="Calibri"/>
          <w:sz w:val="22"/>
          <w:lang w:val="en-GB"/>
        </w:rPr>
        <w:t xml:space="preserve">(3), 471-502. </w:t>
      </w:r>
    </w:p>
    <w:p w14:paraId="0E09BA49"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Rajgopal, S., &amp; Shevlin, T. (2002). Empirical evidence on the relation between stock option compensation and risk taking.</w:t>
      </w:r>
      <w:r w:rsidRPr="00254F5A">
        <w:rPr>
          <w:rFonts w:ascii="Calibri" w:hAnsi="Calibri"/>
          <w:i/>
          <w:iCs/>
          <w:sz w:val="22"/>
          <w:lang w:val="en-GB"/>
        </w:rPr>
        <w:t xml:space="preserve"> Journal of Accounting and Economics, 33</w:t>
      </w:r>
      <w:r w:rsidRPr="00254F5A">
        <w:rPr>
          <w:rFonts w:ascii="Calibri" w:hAnsi="Calibri"/>
          <w:sz w:val="22"/>
          <w:lang w:val="en-GB"/>
        </w:rPr>
        <w:t xml:space="preserve">(2), 145-171. </w:t>
      </w:r>
    </w:p>
    <w:p w14:paraId="263C2E94"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lastRenderedPageBreak/>
        <w:t>Ramos, M. (2004, Oct 1). Section 404 compliance in the annual report.</w:t>
      </w:r>
      <w:r w:rsidRPr="00254F5A">
        <w:rPr>
          <w:rFonts w:ascii="Calibri" w:hAnsi="Calibri"/>
          <w:i/>
          <w:iCs/>
          <w:sz w:val="22"/>
          <w:lang w:val="en-GB"/>
        </w:rPr>
        <w:t xml:space="preserve"> Journal of Accountancy</w:t>
      </w:r>
    </w:p>
    <w:p w14:paraId="6DD3B61C"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Rappaport, A. (2005). The economics of short-term performance obsession.</w:t>
      </w:r>
      <w:r w:rsidRPr="00254F5A">
        <w:rPr>
          <w:rFonts w:ascii="Calibri" w:hAnsi="Calibri"/>
          <w:i/>
          <w:iCs/>
          <w:sz w:val="22"/>
          <w:lang w:val="en-GB"/>
        </w:rPr>
        <w:t xml:space="preserve"> Financial Analysts Journal, 61</w:t>
      </w:r>
      <w:r w:rsidRPr="00254F5A">
        <w:rPr>
          <w:rFonts w:ascii="Calibri" w:hAnsi="Calibri"/>
          <w:sz w:val="22"/>
          <w:lang w:val="en-GB"/>
        </w:rPr>
        <w:t xml:space="preserve">(3), 65-79. </w:t>
      </w:r>
    </w:p>
    <w:p w14:paraId="6DFE41E9"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Schiehll, E., &amp; Bellavance, F. (2009). Boards of directors, CEO ownership, and the use of non-financial performance measures in the CEO bonus plan.</w:t>
      </w:r>
      <w:r w:rsidRPr="00254F5A">
        <w:rPr>
          <w:rFonts w:ascii="Calibri" w:hAnsi="Calibri"/>
          <w:i/>
          <w:iCs/>
          <w:sz w:val="22"/>
          <w:lang w:val="en-GB"/>
        </w:rPr>
        <w:t xml:space="preserve"> Corporate Governance: An International Review, 17</w:t>
      </w:r>
      <w:r w:rsidRPr="00254F5A">
        <w:rPr>
          <w:rFonts w:ascii="Calibri" w:hAnsi="Calibri"/>
          <w:sz w:val="22"/>
          <w:lang w:val="en-GB"/>
        </w:rPr>
        <w:t>(1), 90-106. doi:10.1111/j.1467-8683.2008.00723.x</w:t>
      </w:r>
    </w:p>
    <w:p w14:paraId="4E337DA8"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Sloan, R. G. (1993). Accounting earnings and top executive compensation.</w:t>
      </w:r>
      <w:r w:rsidRPr="00254F5A">
        <w:rPr>
          <w:rFonts w:ascii="Calibri" w:hAnsi="Calibri"/>
          <w:i/>
          <w:iCs/>
          <w:sz w:val="22"/>
          <w:lang w:val="en-GB"/>
        </w:rPr>
        <w:t xml:space="preserve"> Journal of Accounting and Economics, 16</w:t>
      </w:r>
      <w:r w:rsidRPr="00254F5A">
        <w:rPr>
          <w:rFonts w:ascii="Calibri" w:hAnsi="Calibri"/>
          <w:sz w:val="22"/>
          <w:lang w:val="en-GB"/>
        </w:rPr>
        <w:t xml:space="preserve">(1), 55-100. </w:t>
      </w:r>
    </w:p>
    <w:p w14:paraId="2868732B"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Smith, M. (2014). </w:t>
      </w:r>
      <w:r w:rsidRPr="00254F5A">
        <w:rPr>
          <w:rFonts w:ascii="Calibri" w:hAnsi="Calibri"/>
          <w:i/>
          <w:iCs/>
          <w:sz w:val="22"/>
          <w:lang w:val="en-GB"/>
        </w:rPr>
        <w:t>Research methods in accounting</w:t>
      </w:r>
      <w:r w:rsidRPr="00254F5A">
        <w:rPr>
          <w:rFonts w:ascii="Calibri" w:hAnsi="Calibri"/>
          <w:sz w:val="22"/>
          <w:lang w:val="en-GB"/>
        </w:rPr>
        <w:t xml:space="preserve"> Sage.</w:t>
      </w:r>
    </w:p>
    <w:p w14:paraId="4A1709FE" w14:textId="2B20E148"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Trochim, W. M. K. (2006). Research methods knowledge base. Retrieved from </w:t>
      </w:r>
      <w:r w:rsidRPr="002C71AA">
        <w:rPr>
          <w:rFonts w:ascii="Calibri" w:hAnsi="Calibri"/>
          <w:sz w:val="22"/>
          <w:lang w:val="en-GB"/>
        </w:rPr>
        <w:t>http://www.socialresearchmethods.net/kb/constval.php</w:t>
      </w:r>
    </w:p>
    <w:p w14:paraId="70E73926"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US House of Representatives. (2002). The sarbanes-oxley act of 2002. public law 107-204 [HR 3763].</w:t>
      </w:r>
    </w:p>
    <w:p w14:paraId="71886BE0" w14:textId="57D6C9C0"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US Legal. (2015). Breach of fiduciary duty law &amp; legal definition. Retrieved from </w:t>
      </w:r>
      <w:r w:rsidRPr="002C71AA">
        <w:rPr>
          <w:rFonts w:ascii="Calibri" w:hAnsi="Calibri"/>
          <w:sz w:val="22"/>
          <w:lang w:val="en-GB"/>
        </w:rPr>
        <w:t>http://definitions.uslegal.com/b/breach-of-fiduciary-duty</w:t>
      </w:r>
    </w:p>
    <w:p w14:paraId="199F60FF" w14:textId="77777777" w:rsidR="00254F5A" w:rsidRPr="00254F5A" w:rsidRDefault="00254F5A" w:rsidP="00254F5A">
      <w:pPr>
        <w:pStyle w:val="Normaalweb"/>
        <w:ind w:left="450" w:hanging="450"/>
        <w:rPr>
          <w:rFonts w:ascii="Calibri" w:hAnsi="Calibri"/>
          <w:sz w:val="22"/>
          <w:lang w:val="en-GB"/>
        </w:rPr>
      </w:pPr>
      <w:r w:rsidRPr="00254F5A">
        <w:rPr>
          <w:rFonts w:ascii="Calibri" w:hAnsi="Calibri"/>
          <w:sz w:val="22"/>
          <w:lang w:val="en-GB"/>
        </w:rPr>
        <w:t>Wunsche, A. (2007). The CFO as strategist and catalyst in building a high-performance culture.</w:t>
      </w:r>
      <w:r w:rsidRPr="00254F5A">
        <w:rPr>
          <w:rFonts w:ascii="Calibri" w:hAnsi="Calibri"/>
          <w:i/>
          <w:iCs/>
          <w:sz w:val="22"/>
          <w:lang w:val="en-GB"/>
        </w:rPr>
        <w:t xml:space="preserve"> Ivey Business Journal, </w:t>
      </w:r>
    </w:p>
    <w:p w14:paraId="1258CA6A" w14:textId="77777777" w:rsidR="00254F5A" w:rsidRPr="00DD495C" w:rsidRDefault="00254F5A" w:rsidP="00254F5A">
      <w:pPr>
        <w:pStyle w:val="Normaalweb"/>
        <w:ind w:left="450" w:hanging="450"/>
        <w:rPr>
          <w:rFonts w:ascii="Calibri" w:hAnsi="Calibri"/>
          <w:sz w:val="22"/>
          <w:lang w:val="en-GB"/>
        </w:rPr>
      </w:pPr>
      <w:r w:rsidRPr="00254F5A">
        <w:rPr>
          <w:rFonts w:ascii="Calibri" w:hAnsi="Calibri"/>
          <w:sz w:val="22"/>
          <w:lang w:val="en-GB"/>
        </w:rPr>
        <w:t xml:space="preserve">Zimmerman, J. L. (2000). </w:t>
      </w:r>
      <w:r w:rsidRPr="00254F5A">
        <w:rPr>
          <w:rFonts w:ascii="Calibri" w:hAnsi="Calibri"/>
          <w:i/>
          <w:iCs/>
          <w:sz w:val="22"/>
          <w:lang w:val="en-GB"/>
        </w:rPr>
        <w:t>Accounting for decision making and control</w:t>
      </w:r>
      <w:r w:rsidRPr="00254F5A">
        <w:rPr>
          <w:rFonts w:ascii="Calibri" w:hAnsi="Calibri"/>
          <w:sz w:val="22"/>
          <w:lang w:val="en-GB"/>
        </w:rPr>
        <w:t xml:space="preserve"> (3rd ed.). </w:t>
      </w:r>
      <w:r w:rsidRPr="00DD495C">
        <w:rPr>
          <w:rFonts w:ascii="Calibri" w:hAnsi="Calibri"/>
          <w:sz w:val="22"/>
          <w:lang w:val="en-GB"/>
        </w:rPr>
        <w:t>Boston: Irwin/McGraw-Hill.</w:t>
      </w:r>
    </w:p>
    <w:p w14:paraId="02B2D6B5" w14:textId="78C938B8" w:rsidR="003B25CA" w:rsidRDefault="00254F5A" w:rsidP="00254F5A">
      <w:pPr>
        <w:rPr>
          <w:rFonts w:asciiTheme="majorHAnsi" w:eastAsiaTheme="majorEastAsia" w:hAnsiTheme="majorHAnsi" w:cstheme="majorBidi"/>
          <w:b/>
          <w:bCs/>
          <w:color w:val="365F91" w:themeColor="accent1" w:themeShade="BF"/>
          <w:sz w:val="28"/>
          <w:szCs w:val="28"/>
          <w:lang w:val="en-GB"/>
        </w:rPr>
      </w:pPr>
      <w:r w:rsidRPr="00DD495C">
        <w:rPr>
          <w:rFonts w:ascii="Calibri" w:eastAsia="Times New Roman" w:hAnsi="Calibri"/>
          <w:lang w:val="en-GB"/>
        </w:rPr>
        <w:t> </w:t>
      </w:r>
      <w:r w:rsidR="00DA341A">
        <w:rPr>
          <w:lang w:val="en-GB"/>
        </w:rPr>
        <w:fldChar w:fldCharType="end"/>
      </w:r>
      <w:r w:rsidR="003B25CA">
        <w:rPr>
          <w:lang w:val="en-GB"/>
        </w:rPr>
        <w:br w:type="page"/>
      </w:r>
    </w:p>
    <w:p w14:paraId="21E3889D" w14:textId="7467F1BC" w:rsidR="006E33E6" w:rsidRPr="006E33E6" w:rsidRDefault="007C2C67" w:rsidP="009776BE">
      <w:pPr>
        <w:pStyle w:val="Kop1"/>
      </w:pPr>
      <w:bookmarkStart w:id="55" w:name="_Toc439346661"/>
      <w:r>
        <w:lastRenderedPageBreak/>
        <w:t>8</w:t>
      </w:r>
      <w:r w:rsidR="001041A0">
        <w:t xml:space="preserve"> Appendix</w:t>
      </w:r>
      <w:bookmarkEnd w:id="55"/>
    </w:p>
    <w:p w14:paraId="597FD0D8" w14:textId="77777777" w:rsidR="00D329E6" w:rsidRPr="00D329E6" w:rsidRDefault="00D329E6">
      <w:pPr>
        <w:rPr>
          <w:lang w:val="en-GB"/>
        </w:rPr>
      </w:pPr>
    </w:p>
    <w:p w14:paraId="56C2BCC2" w14:textId="079C0FE0" w:rsidR="00D329E6" w:rsidRDefault="007C2C67" w:rsidP="00D329E6">
      <w:pPr>
        <w:pStyle w:val="Kop2"/>
      </w:pPr>
      <w:bookmarkStart w:id="56" w:name="_Toc420050012"/>
      <w:bookmarkStart w:id="57" w:name="_Toc439346662"/>
      <w:r>
        <w:t>8</w:t>
      </w:r>
      <w:r w:rsidR="00D329E6">
        <w:t>.1 Overview of previous research</w:t>
      </w:r>
      <w:bookmarkEnd w:id="56"/>
      <w:bookmarkEnd w:id="57"/>
    </w:p>
    <w:p w14:paraId="07D04E80" w14:textId="77777777" w:rsidR="00D329E6" w:rsidRDefault="00D329E6" w:rsidP="00D329E6">
      <w:pPr>
        <w:rPr>
          <w:lang w:val="en-GB"/>
        </w:rPr>
      </w:pPr>
    </w:p>
    <w:p w14:paraId="5D6026D1" w14:textId="384AB36A" w:rsidR="00D329E6" w:rsidRPr="003A7A4B" w:rsidRDefault="007C2C67" w:rsidP="00D329E6">
      <w:pPr>
        <w:pStyle w:val="Kop3"/>
      </w:pPr>
      <w:bookmarkStart w:id="58" w:name="_Toc439346663"/>
      <w:r>
        <w:t>8</w:t>
      </w:r>
      <w:r w:rsidR="00D329E6">
        <w:t>.1.1 Literature with the focus on corporate governance and control systems</w:t>
      </w:r>
      <w:bookmarkEnd w:id="58"/>
    </w:p>
    <w:tbl>
      <w:tblPr>
        <w:tblStyle w:val="Tabelraster"/>
        <w:tblW w:w="11058" w:type="dxa"/>
        <w:tblInd w:w="-885" w:type="dxa"/>
        <w:tblLayout w:type="fixed"/>
        <w:tblLook w:val="04A0" w:firstRow="1" w:lastRow="0" w:firstColumn="1" w:lastColumn="0" w:noHBand="0" w:noVBand="1"/>
      </w:tblPr>
      <w:tblGrid>
        <w:gridCol w:w="1277"/>
        <w:gridCol w:w="1708"/>
        <w:gridCol w:w="2261"/>
        <w:gridCol w:w="1843"/>
        <w:gridCol w:w="1950"/>
        <w:gridCol w:w="2019"/>
      </w:tblGrid>
      <w:tr w:rsidR="00D329E6" w:rsidRPr="00A726AB" w14:paraId="303D5934" w14:textId="77777777" w:rsidTr="00D329E6">
        <w:tc>
          <w:tcPr>
            <w:tcW w:w="11058" w:type="dxa"/>
            <w:gridSpan w:val="6"/>
          </w:tcPr>
          <w:p w14:paraId="4CBE011B" w14:textId="77777777" w:rsidR="00D329E6" w:rsidRPr="00C621A4" w:rsidRDefault="00D329E6" w:rsidP="00D329E6">
            <w:pPr>
              <w:rPr>
                <w:sz w:val="24"/>
                <w:szCs w:val="24"/>
                <w:lang w:val="en-GB"/>
              </w:rPr>
            </w:pPr>
            <w:r>
              <w:rPr>
                <w:sz w:val="24"/>
                <w:szCs w:val="24"/>
                <w:lang w:val="en-GB"/>
              </w:rPr>
              <w:t>Literature with the focus on corporate governance and control systems</w:t>
            </w:r>
          </w:p>
        </w:tc>
      </w:tr>
      <w:tr w:rsidR="00D329E6" w:rsidRPr="005D3308" w14:paraId="60F630E0" w14:textId="77777777" w:rsidTr="00D329E6">
        <w:tc>
          <w:tcPr>
            <w:tcW w:w="1277" w:type="dxa"/>
          </w:tcPr>
          <w:p w14:paraId="3C93E50D" w14:textId="77777777" w:rsidR="00D329E6" w:rsidRPr="00D620A2" w:rsidRDefault="00D329E6" w:rsidP="00D329E6">
            <w:pPr>
              <w:rPr>
                <w:sz w:val="20"/>
                <w:szCs w:val="20"/>
                <w:lang w:val="en-GB"/>
              </w:rPr>
            </w:pPr>
            <w:r w:rsidRPr="00D620A2">
              <w:rPr>
                <w:sz w:val="20"/>
                <w:szCs w:val="20"/>
                <w:lang w:val="en-GB"/>
              </w:rPr>
              <w:t>Authors</w:t>
            </w:r>
          </w:p>
        </w:tc>
        <w:tc>
          <w:tcPr>
            <w:tcW w:w="1708" w:type="dxa"/>
          </w:tcPr>
          <w:p w14:paraId="10C6F04D" w14:textId="77777777" w:rsidR="00D329E6" w:rsidRPr="00D620A2" w:rsidRDefault="00D329E6" w:rsidP="00D329E6">
            <w:pPr>
              <w:rPr>
                <w:sz w:val="20"/>
                <w:szCs w:val="20"/>
                <w:lang w:val="en-GB"/>
              </w:rPr>
            </w:pPr>
            <w:r w:rsidRPr="00D620A2">
              <w:rPr>
                <w:sz w:val="20"/>
                <w:szCs w:val="20"/>
                <w:lang w:val="en-GB"/>
              </w:rPr>
              <w:t>Context</w:t>
            </w:r>
          </w:p>
        </w:tc>
        <w:tc>
          <w:tcPr>
            <w:tcW w:w="2261" w:type="dxa"/>
          </w:tcPr>
          <w:p w14:paraId="3AFD85E0" w14:textId="77777777" w:rsidR="00D329E6" w:rsidRPr="00D620A2" w:rsidRDefault="00D329E6" w:rsidP="00D329E6">
            <w:pPr>
              <w:rPr>
                <w:sz w:val="20"/>
                <w:szCs w:val="20"/>
                <w:lang w:val="en-GB"/>
              </w:rPr>
            </w:pPr>
            <w:r w:rsidRPr="00D620A2">
              <w:rPr>
                <w:sz w:val="20"/>
                <w:szCs w:val="20"/>
                <w:lang w:val="en-GB"/>
              </w:rPr>
              <w:t>Findings</w:t>
            </w:r>
          </w:p>
        </w:tc>
        <w:tc>
          <w:tcPr>
            <w:tcW w:w="1843" w:type="dxa"/>
          </w:tcPr>
          <w:p w14:paraId="2B05BC4A" w14:textId="77777777" w:rsidR="00D329E6" w:rsidRPr="00D620A2" w:rsidRDefault="00D329E6" w:rsidP="00D329E6">
            <w:pPr>
              <w:rPr>
                <w:sz w:val="20"/>
                <w:szCs w:val="20"/>
                <w:lang w:val="en-GB"/>
              </w:rPr>
            </w:pPr>
            <w:r>
              <w:rPr>
                <w:sz w:val="20"/>
                <w:szCs w:val="20"/>
                <w:lang w:val="en-GB"/>
              </w:rPr>
              <w:t>Sample</w:t>
            </w:r>
          </w:p>
        </w:tc>
        <w:tc>
          <w:tcPr>
            <w:tcW w:w="1950" w:type="dxa"/>
          </w:tcPr>
          <w:p w14:paraId="16153B87" w14:textId="77777777" w:rsidR="00D329E6" w:rsidRPr="00D620A2" w:rsidRDefault="00D329E6" w:rsidP="00D329E6">
            <w:pPr>
              <w:rPr>
                <w:sz w:val="20"/>
                <w:szCs w:val="20"/>
                <w:lang w:val="en-GB"/>
              </w:rPr>
            </w:pPr>
            <w:r w:rsidRPr="00D620A2">
              <w:rPr>
                <w:sz w:val="20"/>
                <w:szCs w:val="20"/>
                <w:lang w:val="en-GB"/>
              </w:rPr>
              <w:t>Methods</w:t>
            </w:r>
          </w:p>
        </w:tc>
        <w:tc>
          <w:tcPr>
            <w:tcW w:w="2019" w:type="dxa"/>
          </w:tcPr>
          <w:p w14:paraId="479958F3" w14:textId="77777777" w:rsidR="00D329E6" w:rsidRPr="00D620A2" w:rsidRDefault="00D329E6" w:rsidP="00D329E6">
            <w:pPr>
              <w:rPr>
                <w:sz w:val="20"/>
                <w:szCs w:val="20"/>
                <w:lang w:val="en-GB"/>
              </w:rPr>
            </w:pPr>
            <w:r w:rsidRPr="00D620A2">
              <w:rPr>
                <w:sz w:val="20"/>
                <w:szCs w:val="20"/>
                <w:lang w:val="en-GB"/>
              </w:rPr>
              <w:t>Contribution</w:t>
            </w:r>
          </w:p>
        </w:tc>
      </w:tr>
      <w:tr w:rsidR="00D329E6" w:rsidRPr="00A726AB" w14:paraId="2C810B67" w14:textId="77777777" w:rsidTr="00D329E6">
        <w:tc>
          <w:tcPr>
            <w:tcW w:w="1277" w:type="dxa"/>
          </w:tcPr>
          <w:p w14:paraId="5FBDEFF8" w14:textId="77777777" w:rsidR="00D329E6" w:rsidRPr="00DB3183" w:rsidRDefault="00D329E6" w:rsidP="00D329E6">
            <w:pPr>
              <w:rPr>
                <w:sz w:val="16"/>
                <w:szCs w:val="16"/>
                <w:lang w:val="en-GB"/>
              </w:rPr>
            </w:pPr>
            <w:r w:rsidRPr="00DB3183">
              <w:rPr>
                <w:sz w:val="16"/>
                <w:szCs w:val="16"/>
                <w:lang w:val="en-GB"/>
              </w:rPr>
              <w:t>Jensen &amp; Meckling (1976)</w:t>
            </w:r>
          </w:p>
        </w:tc>
        <w:tc>
          <w:tcPr>
            <w:tcW w:w="1708" w:type="dxa"/>
          </w:tcPr>
          <w:p w14:paraId="14ABDAD5" w14:textId="77777777" w:rsidR="00D329E6" w:rsidRPr="008934ED" w:rsidRDefault="00D329E6" w:rsidP="00D329E6">
            <w:pPr>
              <w:rPr>
                <w:sz w:val="16"/>
                <w:szCs w:val="16"/>
                <w:lang w:val="en-GB"/>
              </w:rPr>
            </w:pPr>
            <w:r w:rsidRPr="008934ED">
              <w:rPr>
                <w:sz w:val="16"/>
                <w:szCs w:val="16"/>
                <w:lang w:val="en-GB"/>
              </w:rPr>
              <w:t>Agency theory</w:t>
            </w:r>
          </w:p>
        </w:tc>
        <w:tc>
          <w:tcPr>
            <w:tcW w:w="2261" w:type="dxa"/>
          </w:tcPr>
          <w:p w14:paraId="1FF6D9C6" w14:textId="77777777" w:rsidR="00D329E6" w:rsidRPr="00D620A2" w:rsidRDefault="00D329E6" w:rsidP="00D329E6">
            <w:pPr>
              <w:rPr>
                <w:sz w:val="16"/>
                <w:szCs w:val="16"/>
                <w:lang w:val="en-GB"/>
              </w:rPr>
            </w:pPr>
            <w:r>
              <w:rPr>
                <w:sz w:val="16"/>
                <w:szCs w:val="16"/>
                <w:lang w:val="en-GB"/>
              </w:rPr>
              <w:t xml:space="preserve">Despite its shortcomings such as agency costs, the model of publicly held business survived. </w:t>
            </w:r>
          </w:p>
        </w:tc>
        <w:tc>
          <w:tcPr>
            <w:tcW w:w="1843" w:type="dxa"/>
          </w:tcPr>
          <w:p w14:paraId="5C0D43D7" w14:textId="77777777" w:rsidR="00D329E6" w:rsidRPr="005D3308" w:rsidRDefault="00D329E6" w:rsidP="00D329E6">
            <w:pPr>
              <w:rPr>
                <w:sz w:val="16"/>
                <w:szCs w:val="16"/>
                <w:lang w:val="en-GB"/>
              </w:rPr>
            </w:pPr>
            <w:r>
              <w:rPr>
                <w:sz w:val="16"/>
                <w:szCs w:val="16"/>
                <w:lang w:val="en-GB"/>
              </w:rPr>
              <w:t>-</w:t>
            </w:r>
          </w:p>
        </w:tc>
        <w:tc>
          <w:tcPr>
            <w:tcW w:w="1950" w:type="dxa"/>
          </w:tcPr>
          <w:p w14:paraId="03F070D1" w14:textId="77777777" w:rsidR="00D329E6" w:rsidRPr="005D3308" w:rsidRDefault="00D329E6" w:rsidP="00D329E6">
            <w:pPr>
              <w:rPr>
                <w:sz w:val="16"/>
                <w:szCs w:val="16"/>
                <w:lang w:val="en-GB"/>
              </w:rPr>
            </w:pPr>
            <w:r>
              <w:rPr>
                <w:sz w:val="16"/>
                <w:szCs w:val="16"/>
                <w:lang w:val="en-GB"/>
              </w:rPr>
              <w:t>Literature review</w:t>
            </w:r>
          </w:p>
        </w:tc>
        <w:tc>
          <w:tcPr>
            <w:tcW w:w="2019" w:type="dxa"/>
          </w:tcPr>
          <w:p w14:paraId="3A24B002" w14:textId="77777777" w:rsidR="00D329E6" w:rsidRPr="005D3308" w:rsidRDefault="00D329E6" w:rsidP="00D329E6">
            <w:pPr>
              <w:rPr>
                <w:sz w:val="16"/>
                <w:szCs w:val="16"/>
                <w:lang w:val="en-GB"/>
              </w:rPr>
            </w:pPr>
            <w:r>
              <w:rPr>
                <w:sz w:val="16"/>
                <w:szCs w:val="16"/>
                <w:lang w:val="en-GB"/>
              </w:rPr>
              <w:t>Developing a theory of ownership structure of the firm.</w:t>
            </w:r>
          </w:p>
        </w:tc>
      </w:tr>
      <w:tr w:rsidR="00D329E6" w:rsidRPr="00A726AB" w14:paraId="27DE20C3" w14:textId="77777777" w:rsidTr="00D329E6">
        <w:tc>
          <w:tcPr>
            <w:tcW w:w="1277" w:type="dxa"/>
          </w:tcPr>
          <w:p w14:paraId="6D9F3D9D" w14:textId="77777777" w:rsidR="00D329E6" w:rsidRPr="00DB3183" w:rsidRDefault="00D329E6" w:rsidP="00D329E6">
            <w:pPr>
              <w:rPr>
                <w:sz w:val="16"/>
                <w:szCs w:val="16"/>
                <w:lang w:val="en-GB"/>
              </w:rPr>
            </w:pPr>
            <w:r w:rsidRPr="00DB3183">
              <w:rPr>
                <w:sz w:val="16"/>
                <w:szCs w:val="16"/>
                <w:lang w:val="en-GB"/>
              </w:rPr>
              <w:t>Merchant (1982)</w:t>
            </w:r>
          </w:p>
        </w:tc>
        <w:tc>
          <w:tcPr>
            <w:tcW w:w="1708" w:type="dxa"/>
          </w:tcPr>
          <w:p w14:paraId="110BB004" w14:textId="77777777" w:rsidR="00D329E6" w:rsidRPr="002F51D9" w:rsidRDefault="00D329E6" w:rsidP="00D329E6">
            <w:pPr>
              <w:rPr>
                <w:sz w:val="16"/>
                <w:szCs w:val="16"/>
                <w:lang w:val="en-GB"/>
              </w:rPr>
            </w:pPr>
            <w:r>
              <w:rPr>
                <w:sz w:val="16"/>
                <w:szCs w:val="16"/>
                <w:lang w:val="en-GB"/>
              </w:rPr>
              <w:t>Management control</w:t>
            </w:r>
          </w:p>
        </w:tc>
        <w:tc>
          <w:tcPr>
            <w:tcW w:w="2261" w:type="dxa"/>
          </w:tcPr>
          <w:p w14:paraId="086C4639" w14:textId="77777777" w:rsidR="00D329E6" w:rsidRPr="002F51D9" w:rsidRDefault="00D329E6" w:rsidP="00D329E6">
            <w:pPr>
              <w:rPr>
                <w:sz w:val="16"/>
                <w:szCs w:val="16"/>
                <w:lang w:val="en-GB"/>
              </w:rPr>
            </w:pPr>
            <w:r>
              <w:rPr>
                <w:sz w:val="16"/>
                <w:szCs w:val="16"/>
                <w:lang w:val="en-GB"/>
              </w:rPr>
              <w:t>Understanding of controls is important for management decisions.</w:t>
            </w:r>
          </w:p>
        </w:tc>
        <w:tc>
          <w:tcPr>
            <w:tcW w:w="1843" w:type="dxa"/>
          </w:tcPr>
          <w:p w14:paraId="3CCEB819" w14:textId="77777777" w:rsidR="00D329E6" w:rsidRPr="002F51D9" w:rsidRDefault="00D329E6" w:rsidP="00D329E6">
            <w:pPr>
              <w:rPr>
                <w:sz w:val="16"/>
                <w:szCs w:val="16"/>
                <w:lang w:val="en-GB"/>
              </w:rPr>
            </w:pPr>
            <w:r>
              <w:rPr>
                <w:sz w:val="16"/>
                <w:szCs w:val="16"/>
                <w:lang w:val="en-GB"/>
              </w:rPr>
              <w:t>-</w:t>
            </w:r>
          </w:p>
        </w:tc>
        <w:tc>
          <w:tcPr>
            <w:tcW w:w="1950" w:type="dxa"/>
          </w:tcPr>
          <w:p w14:paraId="6179642E" w14:textId="77777777" w:rsidR="00D329E6" w:rsidRPr="002F51D9" w:rsidRDefault="00D329E6" w:rsidP="00D329E6">
            <w:pPr>
              <w:rPr>
                <w:sz w:val="16"/>
                <w:szCs w:val="16"/>
                <w:lang w:val="en-GB"/>
              </w:rPr>
            </w:pPr>
            <w:r>
              <w:rPr>
                <w:sz w:val="16"/>
                <w:szCs w:val="16"/>
                <w:lang w:val="en-GB"/>
              </w:rPr>
              <w:t>Literature review</w:t>
            </w:r>
          </w:p>
        </w:tc>
        <w:tc>
          <w:tcPr>
            <w:tcW w:w="2019" w:type="dxa"/>
          </w:tcPr>
          <w:p w14:paraId="09053565" w14:textId="77777777" w:rsidR="00D329E6" w:rsidRPr="002F51D9" w:rsidRDefault="00D329E6" w:rsidP="00D329E6">
            <w:pPr>
              <w:rPr>
                <w:sz w:val="16"/>
                <w:szCs w:val="16"/>
                <w:lang w:val="en-GB"/>
              </w:rPr>
            </w:pPr>
            <w:r>
              <w:rPr>
                <w:sz w:val="16"/>
                <w:szCs w:val="16"/>
                <w:lang w:val="en-GB"/>
              </w:rPr>
              <w:t>Provides a new look at the basic management problem.</w:t>
            </w:r>
          </w:p>
        </w:tc>
      </w:tr>
      <w:tr w:rsidR="00D329E6" w:rsidRPr="00A726AB" w14:paraId="28A4CF18" w14:textId="77777777" w:rsidTr="00D329E6">
        <w:tc>
          <w:tcPr>
            <w:tcW w:w="1277" w:type="dxa"/>
          </w:tcPr>
          <w:p w14:paraId="0F9B8DBE" w14:textId="77777777" w:rsidR="00D329E6" w:rsidRPr="00DB3183" w:rsidRDefault="00D329E6" w:rsidP="00D329E6">
            <w:pPr>
              <w:rPr>
                <w:sz w:val="16"/>
                <w:szCs w:val="16"/>
                <w:lang w:val="en-GB"/>
              </w:rPr>
            </w:pPr>
            <w:r w:rsidRPr="00DB3183">
              <w:rPr>
                <w:sz w:val="16"/>
                <w:szCs w:val="16"/>
                <w:lang w:val="en-GB"/>
              </w:rPr>
              <w:t>Merchant &amp; van der Stede (2007)</w:t>
            </w:r>
          </w:p>
        </w:tc>
        <w:tc>
          <w:tcPr>
            <w:tcW w:w="1708" w:type="dxa"/>
          </w:tcPr>
          <w:p w14:paraId="5D996EA4" w14:textId="77777777" w:rsidR="00D329E6" w:rsidRPr="002F51D9" w:rsidRDefault="00D329E6" w:rsidP="00D329E6">
            <w:pPr>
              <w:rPr>
                <w:sz w:val="16"/>
                <w:szCs w:val="16"/>
                <w:lang w:val="en-GB"/>
              </w:rPr>
            </w:pPr>
            <w:r>
              <w:rPr>
                <w:sz w:val="16"/>
                <w:szCs w:val="16"/>
                <w:lang w:val="en-GB"/>
              </w:rPr>
              <w:t>Management control</w:t>
            </w:r>
          </w:p>
        </w:tc>
        <w:tc>
          <w:tcPr>
            <w:tcW w:w="2261" w:type="dxa"/>
          </w:tcPr>
          <w:p w14:paraId="62366164" w14:textId="77777777" w:rsidR="00D329E6" w:rsidRPr="002F51D9" w:rsidRDefault="00D329E6" w:rsidP="00D329E6">
            <w:pPr>
              <w:rPr>
                <w:sz w:val="16"/>
                <w:szCs w:val="16"/>
                <w:lang w:val="en-GB"/>
              </w:rPr>
            </w:pPr>
            <w:r>
              <w:rPr>
                <w:sz w:val="16"/>
                <w:szCs w:val="16"/>
                <w:lang w:val="en-GB"/>
              </w:rPr>
              <w:t>-</w:t>
            </w:r>
          </w:p>
        </w:tc>
        <w:tc>
          <w:tcPr>
            <w:tcW w:w="1843" w:type="dxa"/>
          </w:tcPr>
          <w:p w14:paraId="5B433509" w14:textId="77777777" w:rsidR="00D329E6" w:rsidRPr="002F51D9" w:rsidRDefault="00D329E6" w:rsidP="00D329E6">
            <w:pPr>
              <w:rPr>
                <w:sz w:val="16"/>
                <w:szCs w:val="16"/>
                <w:lang w:val="en-GB"/>
              </w:rPr>
            </w:pPr>
            <w:r>
              <w:rPr>
                <w:sz w:val="16"/>
                <w:szCs w:val="16"/>
                <w:lang w:val="en-GB"/>
              </w:rPr>
              <w:t>-</w:t>
            </w:r>
          </w:p>
        </w:tc>
        <w:tc>
          <w:tcPr>
            <w:tcW w:w="1950" w:type="dxa"/>
          </w:tcPr>
          <w:p w14:paraId="3C566FD7" w14:textId="77777777" w:rsidR="00D329E6" w:rsidRPr="002F51D9" w:rsidRDefault="00D329E6" w:rsidP="00D329E6">
            <w:pPr>
              <w:rPr>
                <w:sz w:val="16"/>
                <w:szCs w:val="16"/>
                <w:lang w:val="en-GB"/>
              </w:rPr>
            </w:pPr>
            <w:r>
              <w:rPr>
                <w:sz w:val="16"/>
                <w:szCs w:val="16"/>
                <w:lang w:val="en-GB"/>
              </w:rPr>
              <w:t>Literature review</w:t>
            </w:r>
          </w:p>
        </w:tc>
        <w:tc>
          <w:tcPr>
            <w:tcW w:w="2019" w:type="dxa"/>
          </w:tcPr>
          <w:p w14:paraId="5B0D4F37" w14:textId="77777777" w:rsidR="00D329E6" w:rsidRPr="002F51D9" w:rsidRDefault="00D329E6" w:rsidP="00D329E6">
            <w:pPr>
              <w:rPr>
                <w:sz w:val="16"/>
                <w:szCs w:val="16"/>
                <w:lang w:val="en-GB"/>
              </w:rPr>
            </w:pPr>
            <w:r>
              <w:rPr>
                <w:sz w:val="16"/>
                <w:szCs w:val="16"/>
                <w:lang w:val="en-GB"/>
              </w:rPr>
              <w:t>Provides a comprehensive overview of the field of management control.</w:t>
            </w:r>
          </w:p>
        </w:tc>
      </w:tr>
    </w:tbl>
    <w:p w14:paraId="55A98497" w14:textId="77777777" w:rsidR="00D329E6" w:rsidRDefault="00D329E6" w:rsidP="00D329E6">
      <w:pPr>
        <w:rPr>
          <w:lang w:val="en-GB"/>
        </w:rPr>
      </w:pPr>
    </w:p>
    <w:p w14:paraId="63506986" w14:textId="1D7F67AC" w:rsidR="00D329E6" w:rsidRDefault="007C2C67" w:rsidP="00D329E6">
      <w:pPr>
        <w:pStyle w:val="Kop3"/>
      </w:pPr>
      <w:bookmarkStart w:id="59" w:name="_Toc439346664"/>
      <w:r>
        <w:t>8</w:t>
      </w:r>
      <w:r w:rsidR="00D329E6">
        <w:t>.1.2 Literature on the relation between monetary compensation and performance</w:t>
      </w:r>
      <w:bookmarkEnd w:id="59"/>
    </w:p>
    <w:tbl>
      <w:tblPr>
        <w:tblStyle w:val="Tabelraster"/>
        <w:tblW w:w="11058" w:type="dxa"/>
        <w:tblInd w:w="-885" w:type="dxa"/>
        <w:tblLayout w:type="fixed"/>
        <w:tblLook w:val="04A0" w:firstRow="1" w:lastRow="0" w:firstColumn="1" w:lastColumn="0" w:noHBand="0" w:noVBand="1"/>
      </w:tblPr>
      <w:tblGrid>
        <w:gridCol w:w="1277"/>
        <w:gridCol w:w="1708"/>
        <w:gridCol w:w="2261"/>
        <w:gridCol w:w="1809"/>
        <w:gridCol w:w="1984"/>
        <w:gridCol w:w="2019"/>
      </w:tblGrid>
      <w:tr w:rsidR="00D329E6" w:rsidRPr="00A726AB" w14:paraId="0988562E" w14:textId="77777777" w:rsidTr="00D329E6">
        <w:tc>
          <w:tcPr>
            <w:tcW w:w="11058" w:type="dxa"/>
            <w:gridSpan w:val="6"/>
          </w:tcPr>
          <w:p w14:paraId="1EED1D43" w14:textId="77777777" w:rsidR="00D329E6" w:rsidRPr="00C621A4" w:rsidRDefault="00D329E6" w:rsidP="00D329E6">
            <w:pPr>
              <w:rPr>
                <w:sz w:val="24"/>
                <w:szCs w:val="24"/>
                <w:lang w:val="en-GB"/>
              </w:rPr>
            </w:pPr>
            <w:r>
              <w:rPr>
                <w:sz w:val="24"/>
                <w:szCs w:val="24"/>
                <w:lang w:val="en-GB"/>
              </w:rPr>
              <w:t>Literature on relation between monetary compensation and performance</w:t>
            </w:r>
          </w:p>
        </w:tc>
      </w:tr>
      <w:tr w:rsidR="00D329E6" w:rsidRPr="005D3308" w14:paraId="2D05F4F0" w14:textId="77777777" w:rsidTr="00D329E6">
        <w:tc>
          <w:tcPr>
            <w:tcW w:w="1277" w:type="dxa"/>
          </w:tcPr>
          <w:p w14:paraId="4E5ED716" w14:textId="77777777" w:rsidR="00D329E6" w:rsidRPr="00D620A2" w:rsidRDefault="00D329E6" w:rsidP="00D329E6">
            <w:pPr>
              <w:rPr>
                <w:sz w:val="20"/>
                <w:szCs w:val="20"/>
                <w:lang w:val="en-GB"/>
              </w:rPr>
            </w:pPr>
            <w:r w:rsidRPr="00D620A2">
              <w:rPr>
                <w:sz w:val="20"/>
                <w:szCs w:val="20"/>
                <w:lang w:val="en-GB"/>
              </w:rPr>
              <w:t>Authors</w:t>
            </w:r>
          </w:p>
        </w:tc>
        <w:tc>
          <w:tcPr>
            <w:tcW w:w="1708" w:type="dxa"/>
          </w:tcPr>
          <w:p w14:paraId="276E3F8F" w14:textId="77777777" w:rsidR="00D329E6" w:rsidRPr="00D620A2" w:rsidRDefault="00D329E6" w:rsidP="00D329E6">
            <w:pPr>
              <w:rPr>
                <w:sz w:val="20"/>
                <w:szCs w:val="20"/>
                <w:lang w:val="en-GB"/>
              </w:rPr>
            </w:pPr>
            <w:r w:rsidRPr="00D620A2">
              <w:rPr>
                <w:sz w:val="20"/>
                <w:szCs w:val="20"/>
                <w:lang w:val="en-GB"/>
              </w:rPr>
              <w:t>Context</w:t>
            </w:r>
          </w:p>
        </w:tc>
        <w:tc>
          <w:tcPr>
            <w:tcW w:w="2261" w:type="dxa"/>
          </w:tcPr>
          <w:p w14:paraId="4B891F40" w14:textId="77777777" w:rsidR="00D329E6" w:rsidRPr="00D620A2" w:rsidRDefault="00D329E6" w:rsidP="00D329E6">
            <w:pPr>
              <w:rPr>
                <w:sz w:val="20"/>
                <w:szCs w:val="20"/>
                <w:lang w:val="en-GB"/>
              </w:rPr>
            </w:pPr>
            <w:r w:rsidRPr="00D620A2">
              <w:rPr>
                <w:sz w:val="20"/>
                <w:szCs w:val="20"/>
                <w:lang w:val="en-GB"/>
              </w:rPr>
              <w:t>Findings</w:t>
            </w:r>
          </w:p>
        </w:tc>
        <w:tc>
          <w:tcPr>
            <w:tcW w:w="1809" w:type="dxa"/>
          </w:tcPr>
          <w:p w14:paraId="6680ACF8" w14:textId="77777777" w:rsidR="00D329E6" w:rsidRPr="00D620A2" w:rsidRDefault="00D329E6" w:rsidP="00D329E6">
            <w:pPr>
              <w:rPr>
                <w:sz w:val="20"/>
                <w:szCs w:val="20"/>
                <w:lang w:val="en-GB"/>
              </w:rPr>
            </w:pPr>
            <w:r>
              <w:rPr>
                <w:sz w:val="20"/>
                <w:szCs w:val="20"/>
                <w:lang w:val="en-GB"/>
              </w:rPr>
              <w:t>Sample</w:t>
            </w:r>
          </w:p>
        </w:tc>
        <w:tc>
          <w:tcPr>
            <w:tcW w:w="1984" w:type="dxa"/>
          </w:tcPr>
          <w:p w14:paraId="71789450" w14:textId="77777777" w:rsidR="00D329E6" w:rsidRPr="00D620A2" w:rsidRDefault="00D329E6" w:rsidP="00D329E6">
            <w:pPr>
              <w:rPr>
                <w:sz w:val="20"/>
                <w:szCs w:val="20"/>
                <w:lang w:val="en-GB"/>
              </w:rPr>
            </w:pPr>
            <w:r w:rsidRPr="00D620A2">
              <w:rPr>
                <w:sz w:val="20"/>
                <w:szCs w:val="20"/>
                <w:lang w:val="en-GB"/>
              </w:rPr>
              <w:t>Methods</w:t>
            </w:r>
          </w:p>
        </w:tc>
        <w:tc>
          <w:tcPr>
            <w:tcW w:w="2019" w:type="dxa"/>
          </w:tcPr>
          <w:p w14:paraId="39DEA252" w14:textId="77777777" w:rsidR="00D329E6" w:rsidRPr="00D620A2" w:rsidRDefault="00D329E6" w:rsidP="00D329E6">
            <w:pPr>
              <w:rPr>
                <w:sz w:val="20"/>
                <w:szCs w:val="20"/>
                <w:lang w:val="en-GB"/>
              </w:rPr>
            </w:pPr>
            <w:r w:rsidRPr="00D620A2">
              <w:rPr>
                <w:sz w:val="20"/>
                <w:szCs w:val="20"/>
                <w:lang w:val="en-GB"/>
              </w:rPr>
              <w:t>Contribution</w:t>
            </w:r>
          </w:p>
        </w:tc>
      </w:tr>
      <w:tr w:rsidR="00D329E6" w:rsidRPr="00A726AB" w14:paraId="024D50EF" w14:textId="77777777" w:rsidTr="00D329E6">
        <w:tc>
          <w:tcPr>
            <w:tcW w:w="1277" w:type="dxa"/>
          </w:tcPr>
          <w:p w14:paraId="71FC4E55" w14:textId="77777777" w:rsidR="00D329E6" w:rsidRPr="00DB3183" w:rsidRDefault="00D329E6" w:rsidP="00D329E6">
            <w:pPr>
              <w:rPr>
                <w:sz w:val="16"/>
                <w:szCs w:val="16"/>
                <w:lang w:val="en-GB"/>
              </w:rPr>
            </w:pPr>
            <w:r w:rsidRPr="00DB3183">
              <w:rPr>
                <w:sz w:val="16"/>
                <w:szCs w:val="16"/>
                <w:lang w:val="en-GB"/>
              </w:rPr>
              <w:t>Jenkins (1986)</w:t>
            </w:r>
          </w:p>
        </w:tc>
        <w:tc>
          <w:tcPr>
            <w:tcW w:w="1708" w:type="dxa"/>
          </w:tcPr>
          <w:p w14:paraId="7755F482" w14:textId="77777777" w:rsidR="00D329E6" w:rsidRDefault="00D329E6" w:rsidP="00D329E6">
            <w:pPr>
              <w:rPr>
                <w:sz w:val="16"/>
                <w:szCs w:val="16"/>
                <w:lang w:val="en-GB"/>
              </w:rPr>
            </w:pPr>
            <w:r w:rsidRPr="00DB0FFB">
              <w:rPr>
                <w:sz w:val="16"/>
                <w:szCs w:val="16"/>
                <w:lang w:val="en-GB"/>
              </w:rPr>
              <w:t xml:space="preserve">Monetary </w:t>
            </w:r>
            <w:r>
              <w:rPr>
                <w:sz w:val="16"/>
                <w:szCs w:val="16"/>
                <w:lang w:val="en-GB"/>
              </w:rPr>
              <w:t xml:space="preserve">incentive </w:t>
            </w:r>
            <w:r w:rsidRPr="00DB0FFB">
              <w:rPr>
                <w:sz w:val="16"/>
                <w:szCs w:val="16"/>
                <w:lang w:val="en-GB"/>
              </w:rPr>
              <w:t xml:space="preserve">compensation and </w:t>
            </w:r>
            <w:r>
              <w:rPr>
                <w:sz w:val="16"/>
                <w:szCs w:val="16"/>
                <w:lang w:val="en-GB"/>
              </w:rPr>
              <w:t>performance</w:t>
            </w:r>
          </w:p>
        </w:tc>
        <w:tc>
          <w:tcPr>
            <w:tcW w:w="2261" w:type="dxa"/>
          </w:tcPr>
          <w:p w14:paraId="37921324" w14:textId="77777777" w:rsidR="00D329E6" w:rsidRDefault="00D329E6" w:rsidP="00D329E6">
            <w:pPr>
              <w:rPr>
                <w:sz w:val="16"/>
                <w:szCs w:val="16"/>
                <w:lang w:val="en-GB"/>
              </w:rPr>
            </w:pPr>
            <w:r>
              <w:rPr>
                <w:sz w:val="16"/>
                <w:szCs w:val="16"/>
                <w:lang w:val="en-GB"/>
              </w:rPr>
              <w:t>Financial incentives only affect performance quantity, but not performance quality.</w:t>
            </w:r>
          </w:p>
        </w:tc>
        <w:tc>
          <w:tcPr>
            <w:tcW w:w="1809" w:type="dxa"/>
          </w:tcPr>
          <w:p w14:paraId="79F525EA" w14:textId="77777777" w:rsidR="00D329E6" w:rsidRDefault="00D329E6" w:rsidP="00D329E6">
            <w:pPr>
              <w:rPr>
                <w:sz w:val="16"/>
                <w:szCs w:val="16"/>
                <w:lang w:val="en-GB"/>
              </w:rPr>
            </w:pPr>
            <w:r>
              <w:rPr>
                <w:sz w:val="16"/>
                <w:szCs w:val="16"/>
                <w:lang w:val="en-GB"/>
              </w:rPr>
              <w:t>28 studies from 1960 -1985</w:t>
            </w:r>
          </w:p>
        </w:tc>
        <w:tc>
          <w:tcPr>
            <w:tcW w:w="1984" w:type="dxa"/>
          </w:tcPr>
          <w:p w14:paraId="4CBC7A0B" w14:textId="77777777" w:rsidR="00D329E6" w:rsidRDefault="00D329E6" w:rsidP="00D329E6">
            <w:pPr>
              <w:rPr>
                <w:sz w:val="16"/>
                <w:szCs w:val="16"/>
                <w:lang w:val="en-GB"/>
              </w:rPr>
            </w:pPr>
            <w:r>
              <w:rPr>
                <w:sz w:val="16"/>
                <w:szCs w:val="16"/>
                <w:lang w:val="en-GB"/>
              </w:rPr>
              <w:t>Meta-analysis</w:t>
            </w:r>
          </w:p>
        </w:tc>
        <w:tc>
          <w:tcPr>
            <w:tcW w:w="2019" w:type="dxa"/>
          </w:tcPr>
          <w:p w14:paraId="75A2D188" w14:textId="77777777" w:rsidR="00D329E6" w:rsidRDefault="00D329E6" w:rsidP="00D329E6">
            <w:pPr>
              <w:rPr>
                <w:sz w:val="16"/>
                <w:szCs w:val="16"/>
                <w:lang w:val="en-GB"/>
              </w:rPr>
            </w:pPr>
            <w:r>
              <w:rPr>
                <w:sz w:val="16"/>
                <w:szCs w:val="16"/>
                <w:lang w:val="en-GB"/>
              </w:rPr>
              <w:t>Better understanding of the effects of financial incentives.</w:t>
            </w:r>
          </w:p>
        </w:tc>
      </w:tr>
      <w:tr w:rsidR="00D329E6" w:rsidRPr="00A726AB" w14:paraId="361C52C8" w14:textId="77777777" w:rsidTr="00D329E6">
        <w:tc>
          <w:tcPr>
            <w:tcW w:w="1277" w:type="dxa"/>
          </w:tcPr>
          <w:p w14:paraId="6B26A47B" w14:textId="77777777" w:rsidR="00D329E6" w:rsidRPr="00DB3183" w:rsidRDefault="00D329E6" w:rsidP="00D329E6">
            <w:pPr>
              <w:rPr>
                <w:sz w:val="16"/>
                <w:szCs w:val="16"/>
                <w:lang w:val="en-GB"/>
              </w:rPr>
            </w:pPr>
            <w:r w:rsidRPr="00DB3183">
              <w:rPr>
                <w:sz w:val="16"/>
                <w:szCs w:val="16"/>
                <w:lang w:val="en-GB"/>
              </w:rPr>
              <w:t>Kohn (1993)</w:t>
            </w:r>
          </w:p>
        </w:tc>
        <w:tc>
          <w:tcPr>
            <w:tcW w:w="1708" w:type="dxa"/>
          </w:tcPr>
          <w:p w14:paraId="448103B6" w14:textId="77777777" w:rsidR="00D329E6" w:rsidRDefault="00D329E6" w:rsidP="00D329E6">
            <w:pPr>
              <w:rPr>
                <w:sz w:val="16"/>
                <w:szCs w:val="16"/>
                <w:lang w:val="en-GB"/>
              </w:rPr>
            </w:pPr>
            <w:r w:rsidRPr="00DB0FFB">
              <w:rPr>
                <w:sz w:val="16"/>
                <w:szCs w:val="16"/>
                <w:lang w:val="en-GB"/>
              </w:rPr>
              <w:t xml:space="preserve">Monetary </w:t>
            </w:r>
            <w:r>
              <w:rPr>
                <w:sz w:val="16"/>
                <w:szCs w:val="16"/>
                <w:lang w:val="en-GB"/>
              </w:rPr>
              <w:t xml:space="preserve">incentive </w:t>
            </w:r>
            <w:r w:rsidRPr="00DB0FFB">
              <w:rPr>
                <w:sz w:val="16"/>
                <w:szCs w:val="16"/>
                <w:lang w:val="en-GB"/>
              </w:rPr>
              <w:t xml:space="preserve">compensation and </w:t>
            </w:r>
            <w:r>
              <w:rPr>
                <w:sz w:val="16"/>
                <w:szCs w:val="16"/>
                <w:lang w:val="en-GB"/>
              </w:rPr>
              <w:t>performance</w:t>
            </w:r>
          </w:p>
        </w:tc>
        <w:tc>
          <w:tcPr>
            <w:tcW w:w="2261" w:type="dxa"/>
          </w:tcPr>
          <w:p w14:paraId="247845CB" w14:textId="77777777" w:rsidR="00D329E6" w:rsidRDefault="00D329E6" w:rsidP="00D329E6">
            <w:pPr>
              <w:rPr>
                <w:sz w:val="16"/>
                <w:szCs w:val="16"/>
                <w:lang w:val="en-GB"/>
              </w:rPr>
            </w:pPr>
            <w:r>
              <w:rPr>
                <w:sz w:val="16"/>
                <w:szCs w:val="16"/>
                <w:lang w:val="en-GB"/>
              </w:rPr>
              <w:t>Financial incentives are an ineffective motivator because of psychological influences.</w:t>
            </w:r>
          </w:p>
        </w:tc>
        <w:tc>
          <w:tcPr>
            <w:tcW w:w="1809" w:type="dxa"/>
          </w:tcPr>
          <w:p w14:paraId="351A4D12" w14:textId="77777777" w:rsidR="00D329E6" w:rsidRDefault="00D329E6" w:rsidP="00D329E6">
            <w:pPr>
              <w:rPr>
                <w:sz w:val="16"/>
                <w:szCs w:val="16"/>
                <w:lang w:val="en-GB"/>
              </w:rPr>
            </w:pPr>
            <w:r>
              <w:rPr>
                <w:sz w:val="16"/>
                <w:szCs w:val="16"/>
                <w:lang w:val="en-GB"/>
              </w:rPr>
              <w:t>Several studies from 1975 - 1992</w:t>
            </w:r>
          </w:p>
        </w:tc>
        <w:tc>
          <w:tcPr>
            <w:tcW w:w="1984" w:type="dxa"/>
          </w:tcPr>
          <w:p w14:paraId="4D0B7A97" w14:textId="77777777" w:rsidR="00D329E6" w:rsidRDefault="00D329E6" w:rsidP="00D329E6">
            <w:pPr>
              <w:rPr>
                <w:sz w:val="16"/>
                <w:szCs w:val="16"/>
                <w:lang w:val="en-GB"/>
              </w:rPr>
            </w:pPr>
            <w:r>
              <w:rPr>
                <w:sz w:val="16"/>
                <w:szCs w:val="16"/>
                <w:lang w:val="en-GB"/>
              </w:rPr>
              <w:t>Review</w:t>
            </w:r>
          </w:p>
        </w:tc>
        <w:tc>
          <w:tcPr>
            <w:tcW w:w="2019" w:type="dxa"/>
          </w:tcPr>
          <w:p w14:paraId="4C6ABE88" w14:textId="77777777" w:rsidR="00D329E6" w:rsidRDefault="00D329E6" w:rsidP="00D329E6">
            <w:pPr>
              <w:rPr>
                <w:sz w:val="16"/>
                <w:szCs w:val="16"/>
                <w:lang w:val="en-GB"/>
              </w:rPr>
            </w:pPr>
            <w:r>
              <w:rPr>
                <w:sz w:val="16"/>
                <w:szCs w:val="16"/>
                <w:lang w:val="en-GB"/>
              </w:rPr>
              <w:t>Better understanding of the effects of financial incentives.</w:t>
            </w:r>
          </w:p>
        </w:tc>
      </w:tr>
      <w:tr w:rsidR="00D329E6" w:rsidRPr="00A726AB" w14:paraId="5BD8DFF3" w14:textId="77777777" w:rsidTr="00D329E6">
        <w:tc>
          <w:tcPr>
            <w:tcW w:w="1277" w:type="dxa"/>
          </w:tcPr>
          <w:p w14:paraId="77A0814B" w14:textId="77777777" w:rsidR="00D329E6" w:rsidRPr="00DB3183" w:rsidRDefault="00D329E6" w:rsidP="00D329E6">
            <w:pPr>
              <w:rPr>
                <w:sz w:val="16"/>
                <w:szCs w:val="16"/>
                <w:lang w:val="en-GB"/>
              </w:rPr>
            </w:pPr>
            <w:r w:rsidRPr="00DB3183">
              <w:rPr>
                <w:sz w:val="16"/>
                <w:szCs w:val="16"/>
                <w:lang w:val="en-GB"/>
              </w:rPr>
              <w:t>Jenkins et al. (1998)</w:t>
            </w:r>
          </w:p>
        </w:tc>
        <w:tc>
          <w:tcPr>
            <w:tcW w:w="1708" w:type="dxa"/>
          </w:tcPr>
          <w:p w14:paraId="638D14C1" w14:textId="77777777" w:rsidR="00D329E6" w:rsidRDefault="00D329E6" w:rsidP="00D329E6">
            <w:pPr>
              <w:rPr>
                <w:sz w:val="16"/>
                <w:szCs w:val="16"/>
                <w:lang w:val="en-GB"/>
              </w:rPr>
            </w:pPr>
            <w:r w:rsidRPr="00DB0FFB">
              <w:rPr>
                <w:sz w:val="16"/>
                <w:szCs w:val="16"/>
                <w:lang w:val="en-GB"/>
              </w:rPr>
              <w:t xml:space="preserve">Monetary </w:t>
            </w:r>
            <w:r>
              <w:rPr>
                <w:sz w:val="16"/>
                <w:szCs w:val="16"/>
                <w:lang w:val="en-GB"/>
              </w:rPr>
              <w:t xml:space="preserve">incentive </w:t>
            </w:r>
            <w:r w:rsidRPr="00DB0FFB">
              <w:rPr>
                <w:sz w:val="16"/>
                <w:szCs w:val="16"/>
                <w:lang w:val="en-GB"/>
              </w:rPr>
              <w:t xml:space="preserve">compensation and </w:t>
            </w:r>
            <w:r>
              <w:rPr>
                <w:sz w:val="16"/>
                <w:szCs w:val="16"/>
                <w:lang w:val="en-GB"/>
              </w:rPr>
              <w:t>performance</w:t>
            </w:r>
          </w:p>
        </w:tc>
        <w:tc>
          <w:tcPr>
            <w:tcW w:w="2261" w:type="dxa"/>
          </w:tcPr>
          <w:p w14:paraId="3662095B" w14:textId="77777777" w:rsidR="00D329E6" w:rsidRDefault="00D329E6" w:rsidP="00D329E6">
            <w:pPr>
              <w:rPr>
                <w:sz w:val="16"/>
                <w:szCs w:val="16"/>
                <w:lang w:val="en-GB"/>
              </w:rPr>
            </w:pPr>
            <w:r>
              <w:rPr>
                <w:sz w:val="16"/>
                <w:szCs w:val="16"/>
                <w:lang w:val="en-GB"/>
              </w:rPr>
              <w:t>Financial incentives only affect performance quantity, but not performance quality.</w:t>
            </w:r>
          </w:p>
        </w:tc>
        <w:tc>
          <w:tcPr>
            <w:tcW w:w="1809" w:type="dxa"/>
          </w:tcPr>
          <w:p w14:paraId="6A0DA858" w14:textId="77777777" w:rsidR="00D329E6" w:rsidRDefault="00D329E6" w:rsidP="00D329E6">
            <w:pPr>
              <w:rPr>
                <w:sz w:val="16"/>
                <w:szCs w:val="16"/>
                <w:lang w:val="en-GB"/>
              </w:rPr>
            </w:pPr>
            <w:r>
              <w:rPr>
                <w:sz w:val="16"/>
                <w:szCs w:val="16"/>
                <w:lang w:val="en-GB"/>
              </w:rPr>
              <w:t>39 studies from 1975 - 1996</w:t>
            </w:r>
          </w:p>
        </w:tc>
        <w:tc>
          <w:tcPr>
            <w:tcW w:w="1984" w:type="dxa"/>
          </w:tcPr>
          <w:p w14:paraId="29003254" w14:textId="77777777" w:rsidR="00D329E6" w:rsidRDefault="00D329E6" w:rsidP="00D329E6">
            <w:pPr>
              <w:rPr>
                <w:sz w:val="16"/>
                <w:szCs w:val="16"/>
                <w:lang w:val="en-GB"/>
              </w:rPr>
            </w:pPr>
            <w:r>
              <w:rPr>
                <w:sz w:val="16"/>
                <w:szCs w:val="16"/>
                <w:lang w:val="en-GB"/>
              </w:rPr>
              <w:t>Meta-analysis</w:t>
            </w:r>
          </w:p>
        </w:tc>
        <w:tc>
          <w:tcPr>
            <w:tcW w:w="2019" w:type="dxa"/>
          </w:tcPr>
          <w:p w14:paraId="07978BBF" w14:textId="77777777" w:rsidR="00D329E6" w:rsidRDefault="00D329E6" w:rsidP="00D329E6">
            <w:pPr>
              <w:rPr>
                <w:sz w:val="16"/>
                <w:szCs w:val="16"/>
                <w:lang w:val="en-GB"/>
              </w:rPr>
            </w:pPr>
            <w:r>
              <w:rPr>
                <w:sz w:val="16"/>
                <w:szCs w:val="16"/>
                <w:lang w:val="en-GB"/>
              </w:rPr>
              <w:t>Better understanding of the effects of financial incentives.</w:t>
            </w:r>
          </w:p>
        </w:tc>
      </w:tr>
      <w:tr w:rsidR="00D329E6" w:rsidRPr="00A726AB" w14:paraId="3E7F9514" w14:textId="77777777" w:rsidTr="00D329E6">
        <w:tc>
          <w:tcPr>
            <w:tcW w:w="1277" w:type="dxa"/>
          </w:tcPr>
          <w:p w14:paraId="2A1444A5" w14:textId="77777777" w:rsidR="00D329E6" w:rsidRPr="00DB3183" w:rsidRDefault="00D329E6" w:rsidP="00D329E6">
            <w:pPr>
              <w:rPr>
                <w:sz w:val="16"/>
                <w:szCs w:val="16"/>
                <w:lang w:val="en-GB"/>
              </w:rPr>
            </w:pPr>
            <w:r w:rsidRPr="00DB3183">
              <w:rPr>
                <w:sz w:val="16"/>
                <w:szCs w:val="16"/>
                <w:lang w:val="en-GB"/>
              </w:rPr>
              <w:t>Bonner et al. (2000)</w:t>
            </w:r>
          </w:p>
        </w:tc>
        <w:tc>
          <w:tcPr>
            <w:tcW w:w="1708" w:type="dxa"/>
          </w:tcPr>
          <w:p w14:paraId="669A3FD6" w14:textId="77777777" w:rsidR="00D329E6" w:rsidRDefault="00D329E6" w:rsidP="00D329E6">
            <w:pPr>
              <w:rPr>
                <w:sz w:val="16"/>
                <w:szCs w:val="16"/>
                <w:lang w:val="en-GB"/>
              </w:rPr>
            </w:pPr>
            <w:r w:rsidRPr="00DB0FFB">
              <w:rPr>
                <w:sz w:val="16"/>
                <w:szCs w:val="16"/>
                <w:lang w:val="en-GB"/>
              </w:rPr>
              <w:t xml:space="preserve">Monetary </w:t>
            </w:r>
            <w:r>
              <w:rPr>
                <w:sz w:val="16"/>
                <w:szCs w:val="16"/>
                <w:lang w:val="en-GB"/>
              </w:rPr>
              <w:t xml:space="preserve">incentive </w:t>
            </w:r>
            <w:r w:rsidRPr="00DB0FFB">
              <w:rPr>
                <w:sz w:val="16"/>
                <w:szCs w:val="16"/>
                <w:lang w:val="en-GB"/>
              </w:rPr>
              <w:t xml:space="preserve">compensation and </w:t>
            </w:r>
            <w:r>
              <w:rPr>
                <w:sz w:val="16"/>
                <w:szCs w:val="16"/>
                <w:lang w:val="en-GB"/>
              </w:rPr>
              <w:t>performance</w:t>
            </w:r>
          </w:p>
        </w:tc>
        <w:tc>
          <w:tcPr>
            <w:tcW w:w="2261" w:type="dxa"/>
          </w:tcPr>
          <w:p w14:paraId="468FE309" w14:textId="77777777" w:rsidR="00D329E6" w:rsidRDefault="00D329E6" w:rsidP="00D329E6">
            <w:pPr>
              <w:rPr>
                <w:sz w:val="16"/>
                <w:szCs w:val="16"/>
                <w:lang w:val="en-GB"/>
              </w:rPr>
            </w:pPr>
            <w:r>
              <w:rPr>
                <w:sz w:val="16"/>
                <w:szCs w:val="16"/>
                <w:lang w:val="en-GB"/>
              </w:rPr>
              <w:t>Task type and incentive type affect the efficacy of financial incentives.</w:t>
            </w:r>
          </w:p>
        </w:tc>
        <w:tc>
          <w:tcPr>
            <w:tcW w:w="1809" w:type="dxa"/>
          </w:tcPr>
          <w:p w14:paraId="1905B87F" w14:textId="77777777" w:rsidR="00D329E6" w:rsidRDefault="00D329E6" w:rsidP="00D329E6">
            <w:pPr>
              <w:rPr>
                <w:sz w:val="16"/>
                <w:szCs w:val="16"/>
                <w:lang w:val="en-GB"/>
              </w:rPr>
            </w:pPr>
            <w:r>
              <w:rPr>
                <w:sz w:val="16"/>
                <w:szCs w:val="16"/>
                <w:lang w:val="en-GB"/>
              </w:rPr>
              <w:t>-</w:t>
            </w:r>
          </w:p>
        </w:tc>
        <w:tc>
          <w:tcPr>
            <w:tcW w:w="1984" w:type="dxa"/>
          </w:tcPr>
          <w:p w14:paraId="0B83AD04" w14:textId="77777777" w:rsidR="00D329E6" w:rsidRDefault="00D329E6" w:rsidP="00D329E6">
            <w:pPr>
              <w:rPr>
                <w:sz w:val="16"/>
                <w:szCs w:val="16"/>
                <w:lang w:val="en-GB"/>
              </w:rPr>
            </w:pPr>
            <w:r>
              <w:rPr>
                <w:sz w:val="16"/>
                <w:szCs w:val="16"/>
                <w:lang w:val="en-GB"/>
              </w:rPr>
              <w:t>Review</w:t>
            </w:r>
          </w:p>
        </w:tc>
        <w:tc>
          <w:tcPr>
            <w:tcW w:w="2019" w:type="dxa"/>
          </w:tcPr>
          <w:p w14:paraId="559133DD" w14:textId="77777777" w:rsidR="00D329E6" w:rsidRDefault="00D329E6" w:rsidP="00D329E6">
            <w:pPr>
              <w:rPr>
                <w:sz w:val="16"/>
                <w:szCs w:val="16"/>
                <w:lang w:val="en-GB"/>
              </w:rPr>
            </w:pPr>
            <w:r>
              <w:rPr>
                <w:sz w:val="16"/>
                <w:szCs w:val="16"/>
                <w:lang w:val="en-GB"/>
              </w:rPr>
              <w:t>Understanding the conditions under which financial incentives improve performance.</w:t>
            </w:r>
          </w:p>
        </w:tc>
      </w:tr>
      <w:tr w:rsidR="00D329E6" w:rsidRPr="00A726AB" w14:paraId="6B94455E" w14:textId="77777777" w:rsidTr="00D329E6">
        <w:tc>
          <w:tcPr>
            <w:tcW w:w="1277" w:type="dxa"/>
          </w:tcPr>
          <w:p w14:paraId="3F86FA68" w14:textId="77777777" w:rsidR="00D329E6" w:rsidRPr="00DB3183" w:rsidRDefault="00D329E6" w:rsidP="00D329E6">
            <w:pPr>
              <w:rPr>
                <w:sz w:val="16"/>
                <w:szCs w:val="16"/>
                <w:lang w:val="en-GB"/>
              </w:rPr>
            </w:pPr>
            <w:r w:rsidRPr="00DB3183">
              <w:rPr>
                <w:sz w:val="16"/>
                <w:szCs w:val="16"/>
                <w:lang w:val="en-GB"/>
              </w:rPr>
              <w:t>Horngren et al. (2000)</w:t>
            </w:r>
          </w:p>
        </w:tc>
        <w:tc>
          <w:tcPr>
            <w:tcW w:w="1708" w:type="dxa"/>
          </w:tcPr>
          <w:p w14:paraId="38412EF7" w14:textId="77777777" w:rsidR="00D329E6" w:rsidRPr="00104EF9" w:rsidRDefault="00D329E6" w:rsidP="00D329E6">
            <w:pPr>
              <w:rPr>
                <w:lang w:val="en-GB"/>
              </w:rPr>
            </w:pPr>
            <w:r w:rsidRPr="00DB0FFB">
              <w:rPr>
                <w:sz w:val="16"/>
                <w:szCs w:val="16"/>
                <w:lang w:val="en-GB"/>
              </w:rPr>
              <w:t xml:space="preserve">Monetary </w:t>
            </w:r>
            <w:r>
              <w:rPr>
                <w:sz w:val="16"/>
                <w:szCs w:val="16"/>
                <w:lang w:val="en-GB"/>
              </w:rPr>
              <w:t xml:space="preserve">incentive </w:t>
            </w:r>
            <w:r w:rsidRPr="00DB0FFB">
              <w:rPr>
                <w:sz w:val="16"/>
                <w:szCs w:val="16"/>
                <w:lang w:val="en-GB"/>
              </w:rPr>
              <w:t xml:space="preserve">compensation and </w:t>
            </w:r>
            <w:r>
              <w:rPr>
                <w:sz w:val="16"/>
                <w:szCs w:val="16"/>
                <w:lang w:val="en-GB"/>
              </w:rPr>
              <w:t>performance</w:t>
            </w:r>
          </w:p>
        </w:tc>
        <w:tc>
          <w:tcPr>
            <w:tcW w:w="2261" w:type="dxa"/>
          </w:tcPr>
          <w:p w14:paraId="37B382A3" w14:textId="77777777" w:rsidR="00D329E6" w:rsidRDefault="00D329E6" w:rsidP="00D329E6">
            <w:pPr>
              <w:rPr>
                <w:sz w:val="16"/>
                <w:szCs w:val="16"/>
                <w:lang w:val="en-GB"/>
              </w:rPr>
            </w:pPr>
            <w:r>
              <w:rPr>
                <w:sz w:val="16"/>
                <w:szCs w:val="16"/>
                <w:lang w:val="en-GB"/>
              </w:rPr>
              <w:t>Positive relation between monetary compensation and effort.</w:t>
            </w:r>
          </w:p>
        </w:tc>
        <w:tc>
          <w:tcPr>
            <w:tcW w:w="1809" w:type="dxa"/>
          </w:tcPr>
          <w:p w14:paraId="7CA776EF" w14:textId="77777777" w:rsidR="00D329E6" w:rsidRDefault="00D329E6" w:rsidP="00D329E6">
            <w:pPr>
              <w:rPr>
                <w:sz w:val="16"/>
                <w:szCs w:val="16"/>
                <w:lang w:val="en-GB"/>
              </w:rPr>
            </w:pPr>
            <w:r>
              <w:rPr>
                <w:sz w:val="16"/>
                <w:szCs w:val="16"/>
                <w:lang w:val="en-GB"/>
              </w:rPr>
              <w:t>-</w:t>
            </w:r>
          </w:p>
        </w:tc>
        <w:tc>
          <w:tcPr>
            <w:tcW w:w="1984" w:type="dxa"/>
          </w:tcPr>
          <w:p w14:paraId="3F8AB938" w14:textId="77777777" w:rsidR="00D329E6" w:rsidRDefault="00D329E6" w:rsidP="00D329E6">
            <w:pPr>
              <w:rPr>
                <w:sz w:val="16"/>
                <w:szCs w:val="16"/>
                <w:lang w:val="en-GB"/>
              </w:rPr>
            </w:pPr>
            <w:r>
              <w:rPr>
                <w:sz w:val="16"/>
                <w:szCs w:val="16"/>
                <w:lang w:val="en-GB"/>
              </w:rPr>
              <w:t>Review</w:t>
            </w:r>
          </w:p>
        </w:tc>
        <w:tc>
          <w:tcPr>
            <w:tcW w:w="2019" w:type="dxa"/>
          </w:tcPr>
          <w:p w14:paraId="47F05FB4" w14:textId="77777777" w:rsidR="00D329E6" w:rsidRDefault="00D329E6" w:rsidP="00D329E6">
            <w:pPr>
              <w:rPr>
                <w:sz w:val="16"/>
                <w:szCs w:val="16"/>
                <w:lang w:val="en-GB"/>
              </w:rPr>
            </w:pPr>
            <w:r>
              <w:rPr>
                <w:sz w:val="16"/>
                <w:szCs w:val="16"/>
                <w:lang w:val="en-GB"/>
              </w:rPr>
              <w:t>Provides a comprehensive overview of management accounting literature.</w:t>
            </w:r>
          </w:p>
        </w:tc>
      </w:tr>
      <w:tr w:rsidR="00D329E6" w:rsidRPr="00A726AB" w14:paraId="53D6BC74" w14:textId="77777777" w:rsidTr="00D329E6">
        <w:tc>
          <w:tcPr>
            <w:tcW w:w="1277" w:type="dxa"/>
          </w:tcPr>
          <w:p w14:paraId="32362434" w14:textId="77777777" w:rsidR="00D329E6" w:rsidRPr="00DB3183" w:rsidRDefault="00D329E6" w:rsidP="00D329E6">
            <w:pPr>
              <w:rPr>
                <w:sz w:val="16"/>
                <w:szCs w:val="16"/>
                <w:lang w:val="en-GB"/>
              </w:rPr>
            </w:pPr>
            <w:r w:rsidRPr="00DB3183">
              <w:rPr>
                <w:sz w:val="16"/>
                <w:szCs w:val="16"/>
                <w:lang w:val="en-GB"/>
              </w:rPr>
              <w:t>Zimmerman (2000)</w:t>
            </w:r>
          </w:p>
        </w:tc>
        <w:tc>
          <w:tcPr>
            <w:tcW w:w="1708" w:type="dxa"/>
          </w:tcPr>
          <w:p w14:paraId="6217BEDF" w14:textId="77777777" w:rsidR="00D329E6" w:rsidRDefault="00D329E6" w:rsidP="00D329E6">
            <w:pPr>
              <w:rPr>
                <w:sz w:val="16"/>
                <w:szCs w:val="16"/>
                <w:lang w:val="en-GB"/>
              </w:rPr>
            </w:pPr>
            <w:r w:rsidRPr="00DB0FFB">
              <w:rPr>
                <w:sz w:val="16"/>
                <w:szCs w:val="16"/>
                <w:lang w:val="en-GB"/>
              </w:rPr>
              <w:t xml:space="preserve">Monetary </w:t>
            </w:r>
            <w:r>
              <w:rPr>
                <w:sz w:val="16"/>
                <w:szCs w:val="16"/>
                <w:lang w:val="en-GB"/>
              </w:rPr>
              <w:t xml:space="preserve">incentive </w:t>
            </w:r>
            <w:r w:rsidRPr="00DB0FFB">
              <w:rPr>
                <w:sz w:val="16"/>
                <w:szCs w:val="16"/>
                <w:lang w:val="en-GB"/>
              </w:rPr>
              <w:t xml:space="preserve">compensation and </w:t>
            </w:r>
            <w:r>
              <w:rPr>
                <w:sz w:val="16"/>
                <w:szCs w:val="16"/>
                <w:lang w:val="en-GB"/>
              </w:rPr>
              <w:t>performance</w:t>
            </w:r>
          </w:p>
        </w:tc>
        <w:tc>
          <w:tcPr>
            <w:tcW w:w="2261" w:type="dxa"/>
          </w:tcPr>
          <w:p w14:paraId="44026500" w14:textId="77777777" w:rsidR="00D329E6" w:rsidRDefault="00D329E6" w:rsidP="00D329E6">
            <w:pPr>
              <w:rPr>
                <w:sz w:val="16"/>
                <w:szCs w:val="16"/>
                <w:lang w:val="en-GB"/>
              </w:rPr>
            </w:pPr>
            <w:r>
              <w:rPr>
                <w:sz w:val="16"/>
                <w:szCs w:val="16"/>
                <w:lang w:val="en-GB"/>
              </w:rPr>
              <w:t>Positive relation between monetary compensation and effort.</w:t>
            </w:r>
          </w:p>
        </w:tc>
        <w:tc>
          <w:tcPr>
            <w:tcW w:w="1809" w:type="dxa"/>
          </w:tcPr>
          <w:p w14:paraId="2AE991BC" w14:textId="77777777" w:rsidR="00D329E6" w:rsidRDefault="00D329E6" w:rsidP="00D329E6">
            <w:pPr>
              <w:rPr>
                <w:sz w:val="16"/>
                <w:szCs w:val="16"/>
                <w:lang w:val="en-GB"/>
              </w:rPr>
            </w:pPr>
            <w:r>
              <w:rPr>
                <w:sz w:val="16"/>
                <w:szCs w:val="16"/>
                <w:lang w:val="en-GB"/>
              </w:rPr>
              <w:t>-</w:t>
            </w:r>
          </w:p>
        </w:tc>
        <w:tc>
          <w:tcPr>
            <w:tcW w:w="1984" w:type="dxa"/>
          </w:tcPr>
          <w:p w14:paraId="5D889FE1" w14:textId="77777777" w:rsidR="00D329E6" w:rsidRDefault="00D329E6" w:rsidP="00D329E6">
            <w:pPr>
              <w:rPr>
                <w:sz w:val="16"/>
                <w:szCs w:val="16"/>
                <w:lang w:val="en-GB"/>
              </w:rPr>
            </w:pPr>
            <w:r>
              <w:rPr>
                <w:sz w:val="16"/>
                <w:szCs w:val="16"/>
                <w:lang w:val="en-GB"/>
              </w:rPr>
              <w:t>Review</w:t>
            </w:r>
          </w:p>
        </w:tc>
        <w:tc>
          <w:tcPr>
            <w:tcW w:w="2019" w:type="dxa"/>
          </w:tcPr>
          <w:p w14:paraId="5D6A589F" w14:textId="77777777" w:rsidR="00D329E6" w:rsidRDefault="00D329E6" w:rsidP="00D329E6">
            <w:pPr>
              <w:rPr>
                <w:sz w:val="16"/>
                <w:szCs w:val="16"/>
                <w:lang w:val="en-GB"/>
              </w:rPr>
            </w:pPr>
            <w:r>
              <w:rPr>
                <w:sz w:val="16"/>
                <w:szCs w:val="16"/>
                <w:lang w:val="en-GB"/>
              </w:rPr>
              <w:t>Provides a comprehensive overview of management accounting literature.</w:t>
            </w:r>
          </w:p>
        </w:tc>
      </w:tr>
      <w:tr w:rsidR="00D329E6" w:rsidRPr="00A726AB" w14:paraId="6994FD52" w14:textId="77777777" w:rsidTr="00D329E6">
        <w:tc>
          <w:tcPr>
            <w:tcW w:w="1277" w:type="dxa"/>
          </w:tcPr>
          <w:p w14:paraId="70088F2C" w14:textId="77777777" w:rsidR="00D329E6" w:rsidRPr="00DB3183" w:rsidRDefault="00D329E6" w:rsidP="00D329E6">
            <w:pPr>
              <w:rPr>
                <w:sz w:val="16"/>
                <w:szCs w:val="16"/>
                <w:lang w:val="en-GB"/>
              </w:rPr>
            </w:pPr>
            <w:r w:rsidRPr="00DB3183">
              <w:rPr>
                <w:sz w:val="16"/>
                <w:szCs w:val="16"/>
                <w:lang w:val="en-GB"/>
              </w:rPr>
              <w:t>Atkinson et al. (2001)</w:t>
            </w:r>
          </w:p>
        </w:tc>
        <w:tc>
          <w:tcPr>
            <w:tcW w:w="1708" w:type="dxa"/>
          </w:tcPr>
          <w:p w14:paraId="13696D71" w14:textId="77777777" w:rsidR="00D329E6" w:rsidRPr="00104EF9" w:rsidRDefault="00D329E6" w:rsidP="00D329E6">
            <w:pPr>
              <w:rPr>
                <w:lang w:val="en-GB"/>
              </w:rPr>
            </w:pPr>
            <w:r w:rsidRPr="00DB0FFB">
              <w:rPr>
                <w:sz w:val="16"/>
                <w:szCs w:val="16"/>
                <w:lang w:val="en-GB"/>
              </w:rPr>
              <w:t xml:space="preserve">Monetary </w:t>
            </w:r>
            <w:r>
              <w:rPr>
                <w:sz w:val="16"/>
                <w:szCs w:val="16"/>
                <w:lang w:val="en-GB"/>
              </w:rPr>
              <w:t xml:space="preserve">incentive </w:t>
            </w:r>
            <w:r w:rsidRPr="00DB0FFB">
              <w:rPr>
                <w:sz w:val="16"/>
                <w:szCs w:val="16"/>
                <w:lang w:val="en-GB"/>
              </w:rPr>
              <w:t xml:space="preserve">compensation and </w:t>
            </w:r>
            <w:r>
              <w:rPr>
                <w:sz w:val="16"/>
                <w:szCs w:val="16"/>
                <w:lang w:val="en-GB"/>
              </w:rPr>
              <w:t>performance</w:t>
            </w:r>
          </w:p>
        </w:tc>
        <w:tc>
          <w:tcPr>
            <w:tcW w:w="2261" w:type="dxa"/>
          </w:tcPr>
          <w:p w14:paraId="4E98559A" w14:textId="77777777" w:rsidR="00D329E6" w:rsidRPr="002F51D9" w:rsidRDefault="00D329E6" w:rsidP="00D329E6">
            <w:pPr>
              <w:rPr>
                <w:sz w:val="16"/>
                <w:szCs w:val="16"/>
                <w:lang w:val="en-GB"/>
              </w:rPr>
            </w:pPr>
            <w:r>
              <w:rPr>
                <w:sz w:val="16"/>
                <w:szCs w:val="16"/>
                <w:lang w:val="en-GB"/>
              </w:rPr>
              <w:t>Positive relation between monetary compensation and effort.</w:t>
            </w:r>
          </w:p>
        </w:tc>
        <w:tc>
          <w:tcPr>
            <w:tcW w:w="1809" w:type="dxa"/>
          </w:tcPr>
          <w:p w14:paraId="4518CEB6" w14:textId="77777777" w:rsidR="00D329E6" w:rsidRPr="002F51D9" w:rsidRDefault="00D329E6" w:rsidP="00D329E6">
            <w:pPr>
              <w:rPr>
                <w:sz w:val="16"/>
                <w:szCs w:val="16"/>
                <w:lang w:val="en-GB"/>
              </w:rPr>
            </w:pPr>
            <w:r>
              <w:rPr>
                <w:sz w:val="16"/>
                <w:szCs w:val="16"/>
                <w:lang w:val="en-GB"/>
              </w:rPr>
              <w:t>-</w:t>
            </w:r>
          </w:p>
        </w:tc>
        <w:tc>
          <w:tcPr>
            <w:tcW w:w="1984" w:type="dxa"/>
          </w:tcPr>
          <w:p w14:paraId="63BEE6D2" w14:textId="77777777" w:rsidR="00D329E6" w:rsidRPr="00104EF9" w:rsidRDefault="00D329E6" w:rsidP="00D329E6">
            <w:pPr>
              <w:rPr>
                <w:sz w:val="16"/>
                <w:szCs w:val="16"/>
                <w:lang w:val="en-GB"/>
              </w:rPr>
            </w:pPr>
            <w:r>
              <w:rPr>
                <w:sz w:val="16"/>
                <w:szCs w:val="16"/>
                <w:lang w:val="en-GB"/>
              </w:rPr>
              <w:t>Review</w:t>
            </w:r>
          </w:p>
        </w:tc>
        <w:tc>
          <w:tcPr>
            <w:tcW w:w="2019" w:type="dxa"/>
          </w:tcPr>
          <w:p w14:paraId="2DA9E3CD" w14:textId="77777777" w:rsidR="00D329E6" w:rsidRPr="002F51D9" w:rsidRDefault="00D329E6" w:rsidP="00D329E6">
            <w:pPr>
              <w:rPr>
                <w:sz w:val="16"/>
                <w:szCs w:val="16"/>
                <w:lang w:val="en-GB"/>
              </w:rPr>
            </w:pPr>
            <w:r>
              <w:rPr>
                <w:sz w:val="16"/>
                <w:szCs w:val="16"/>
                <w:lang w:val="en-GB"/>
              </w:rPr>
              <w:t>Provides a comprehensive overview of management accounting literature.</w:t>
            </w:r>
          </w:p>
        </w:tc>
      </w:tr>
      <w:tr w:rsidR="00D329E6" w:rsidRPr="00A726AB" w14:paraId="0F434D17" w14:textId="77777777" w:rsidTr="00D329E6">
        <w:tc>
          <w:tcPr>
            <w:tcW w:w="1277" w:type="dxa"/>
          </w:tcPr>
          <w:p w14:paraId="13C7286E" w14:textId="77777777" w:rsidR="00D329E6" w:rsidRPr="00DB3183" w:rsidRDefault="00D329E6" w:rsidP="00D329E6">
            <w:pPr>
              <w:rPr>
                <w:sz w:val="16"/>
                <w:szCs w:val="16"/>
                <w:lang w:val="en-GB"/>
              </w:rPr>
            </w:pPr>
            <w:r w:rsidRPr="00DB3183">
              <w:rPr>
                <w:sz w:val="16"/>
                <w:szCs w:val="16"/>
                <w:lang w:val="en-GB"/>
              </w:rPr>
              <w:t>Frank (1991)</w:t>
            </w:r>
          </w:p>
        </w:tc>
        <w:tc>
          <w:tcPr>
            <w:tcW w:w="1708" w:type="dxa"/>
          </w:tcPr>
          <w:p w14:paraId="5A66BE2E" w14:textId="77777777" w:rsidR="00D329E6" w:rsidRPr="008934ED" w:rsidRDefault="00D329E6" w:rsidP="00D329E6">
            <w:pPr>
              <w:rPr>
                <w:sz w:val="16"/>
                <w:szCs w:val="16"/>
                <w:lang w:val="en-GB"/>
              </w:rPr>
            </w:pPr>
            <w:r>
              <w:rPr>
                <w:sz w:val="16"/>
                <w:szCs w:val="16"/>
                <w:lang w:val="en-GB"/>
              </w:rPr>
              <w:t>Micro-economic view on decision-making behaviour.</w:t>
            </w:r>
          </w:p>
        </w:tc>
        <w:tc>
          <w:tcPr>
            <w:tcW w:w="2261" w:type="dxa"/>
          </w:tcPr>
          <w:p w14:paraId="329AC9B9" w14:textId="77777777" w:rsidR="00D329E6" w:rsidRPr="00D620A2" w:rsidRDefault="00D329E6" w:rsidP="00D329E6">
            <w:pPr>
              <w:rPr>
                <w:sz w:val="16"/>
                <w:szCs w:val="16"/>
                <w:lang w:val="en-GB"/>
              </w:rPr>
            </w:pPr>
            <w:r>
              <w:rPr>
                <w:sz w:val="16"/>
                <w:szCs w:val="16"/>
                <w:lang w:val="en-GB"/>
              </w:rPr>
              <w:t>-</w:t>
            </w:r>
          </w:p>
        </w:tc>
        <w:tc>
          <w:tcPr>
            <w:tcW w:w="1809" w:type="dxa"/>
          </w:tcPr>
          <w:p w14:paraId="77397DF8" w14:textId="77777777" w:rsidR="00D329E6" w:rsidRPr="005D3308" w:rsidRDefault="00D329E6" w:rsidP="00D329E6">
            <w:pPr>
              <w:rPr>
                <w:sz w:val="16"/>
                <w:szCs w:val="16"/>
                <w:lang w:val="en-GB"/>
              </w:rPr>
            </w:pPr>
            <w:r>
              <w:rPr>
                <w:sz w:val="16"/>
                <w:szCs w:val="16"/>
                <w:lang w:val="en-GB"/>
              </w:rPr>
              <w:t>-</w:t>
            </w:r>
          </w:p>
        </w:tc>
        <w:tc>
          <w:tcPr>
            <w:tcW w:w="1984" w:type="dxa"/>
          </w:tcPr>
          <w:p w14:paraId="73A28309" w14:textId="77777777" w:rsidR="00D329E6" w:rsidRPr="005D3308" w:rsidRDefault="00D329E6" w:rsidP="00D329E6">
            <w:pPr>
              <w:rPr>
                <w:sz w:val="16"/>
                <w:szCs w:val="16"/>
                <w:lang w:val="en-GB"/>
              </w:rPr>
            </w:pPr>
            <w:r>
              <w:rPr>
                <w:sz w:val="16"/>
                <w:szCs w:val="16"/>
                <w:lang w:val="en-GB"/>
              </w:rPr>
              <w:t>-</w:t>
            </w:r>
          </w:p>
        </w:tc>
        <w:tc>
          <w:tcPr>
            <w:tcW w:w="2019" w:type="dxa"/>
          </w:tcPr>
          <w:p w14:paraId="3C89D87F" w14:textId="77777777" w:rsidR="00D329E6" w:rsidRPr="005D3308" w:rsidRDefault="00D329E6" w:rsidP="00D329E6">
            <w:pPr>
              <w:rPr>
                <w:sz w:val="16"/>
                <w:szCs w:val="16"/>
                <w:lang w:val="en-GB"/>
              </w:rPr>
            </w:pPr>
            <w:r>
              <w:rPr>
                <w:sz w:val="16"/>
                <w:szCs w:val="16"/>
                <w:lang w:val="en-GB"/>
              </w:rPr>
              <w:t>Provides a comprehensive overview of the field of micro-economic behaviour.</w:t>
            </w:r>
          </w:p>
        </w:tc>
      </w:tr>
      <w:tr w:rsidR="00D329E6" w:rsidRPr="00A726AB" w14:paraId="7BB28636" w14:textId="77777777" w:rsidTr="00D329E6">
        <w:tc>
          <w:tcPr>
            <w:tcW w:w="1277" w:type="dxa"/>
          </w:tcPr>
          <w:p w14:paraId="23F133BD" w14:textId="77777777" w:rsidR="00D329E6" w:rsidRPr="00DB3183" w:rsidRDefault="00D329E6" w:rsidP="00D329E6">
            <w:pPr>
              <w:rPr>
                <w:sz w:val="16"/>
                <w:szCs w:val="16"/>
                <w:lang w:val="en-GB"/>
              </w:rPr>
            </w:pPr>
            <w:r w:rsidRPr="00DB3183">
              <w:rPr>
                <w:sz w:val="16"/>
                <w:szCs w:val="16"/>
                <w:lang w:val="en-GB"/>
              </w:rPr>
              <w:t>Frey &amp; Jegen (2001)</w:t>
            </w:r>
          </w:p>
        </w:tc>
        <w:tc>
          <w:tcPr>
            <w:tcW w:w="1708" w:type="dxa"/>
          </w:tcPr>
          <w:p w14:paraId="775A9EF7" w14:textId="77777777" w:rsidR="00D329E6" w:rsidRPr="00DB0FFB" w:rsidRDefault="00D329E6" w:rsidP="00D329E6">
            <w:pPr>
              <w:rPr>
                <w:sz w:val="16"/>
                <w:szCs w:val="16"/>
                <w:lang w:val="en-GB"/>
              </w:rPr>
            </w:pPr>
            <w:r>
              <w:rPr>
                <w:sz w:val="16"/>
                <w:szCs w:val="16"/>
                <w:lang w:val="en-GB"/>
              </w:rPr>
              <w:t>Motivation crowding theory</w:t>
            </w:r>
          </w:p>
        </w:tc>
        <w:tc>
          <w:tcPr>
            <w:tcW w:w="2261" w:type="dxa"/>
          </w:tcPr>
          <w:p w14:paraId="6A916A9B" w14:textId="77777777" w:rsidR="00D329E6" w:rsidRDefault="00D329E6" w:rsidP="00D329E6">
            <w:pPr>
              <w:rPr>
                <w:sz w:val="16"/>
                <w:szCs w:val="16"/>
                <w:lang w:val="en-GB"/>
              </w:rPr>
            </w:pPr>
            <w:r>
              <w:rPr>
                <w:sz w:val="16"/>
                <w:szCs w:val="16"/>
                <w:lang w:val="en-GB"/>
              </w:rPr>
              <w:t>Empirical evidence for crowding-out effect after providing monetary incentives.</w:t>
            </w:r>
          </w:p>
        </w:tc>
        <w:tc>
          <w:tcPr>
            <w:tcW w:w="1809" w:type="dxa"/>
          </w:tcPr>
          <w:p w14:paraId="67B3A654" w14:textId="77777777" w:rsidR="00D329E6" w:rsidRDefault="00D329E6" w:rsidP="00D329E6">
            <w:pPr>
              <w:rPr>
                <w:sz w:val="16"/>
                <w:szCs w:val="16"/>
                <w:lang w:val="en-GB"/>
              </w:rPr>
            </w:pPr>
            <w:r>
              <w:rPr>
                <w:sz w:val="16"/>
                <w:szCs w:val="16"/>
                <w:lang w:val="en-GB"/>
              </w:rPr>
              <w:t>-</w:t>
            </w:r>
          </w:p>
        </w:tc>
        <w:tc>
          <w:tcPr>
            <w:tcW w:w="1984" w:type="dxa"/>
          </w:tcPr>
          <w:p w14:paraId="7200E58A" w14:textId="77777777" w:rsidR="00D329E6" w:rsidRDefault="00D329E6" w:rsidP="00D329E6">
            <w:pPr>
              <w:rPr>
                <w:sz w:val="16"/>
                <w:szCs w:val="16"/>
                <w:lang w:val="en-GB"/>
              </w:rPr>
            </w:pPr>
            <w:r>
              <w:rPr>
                <w:sz w:val="16"/>
                <w:szCs w:val="16"/>
                <w:lang w:val="en-GB"/>
              </w:rPr>
              <w:t>Review</w:t>
            </w:r>
          </w:p>
        </w:tc>
        <w:tc>
          <w:tcPr>
            <w:tcW w:w="2019" w:type="dxa"/>
          </w:tcPr>
          <w:p w14:paraId="2772D718" w14:textId="77777777" w:rsidR="00D329E6" w:rsidRDefault="00D329E6" w:rsidP="00D329E6">
            <w:pPr>
              <w:rPr>
                <w:sz w:val="16"/>
                <w:szCs w:val="16"/>
                <w:lang w:val="en-GB"/>
              </w:rPr>
            </w:pPr>
            <w:r>
              <w:rPr>
                <w:sz w:val="16"/>
                <w:szCs w:val="16"/>
                <w:lang w:val="en-GB"/>
              </w:rPr>
              <w:t>Empirical evidence regarding the crowding-out theory.</w:t>
            </w:r>
          </w:p>
        </w:tc>
      </w:tr>
      <w:tr w:rsidR="00D329E6" w:rsidRPr="00A726AB" w14:paraId="125D5915" w14:textId="77777777" w:rsidTr="00D329E6">
        <w:tc>
          <w:tcPr>
            <w:tcW w:w="1277" w:type="dxa"/>
          </w:tcPr>
          <w:p w14:paraId="0AD3C54C" w14:textId="77777777" w:rsidR="00D329E6" w:rsidRPr="00DB3183" w:rsidRDefault="00D329E6" w:rsidP="00D329E6">
            <w:pPr>
              <w:rPr>
                <w:sz w:val="16"/>
                <w:szCs w:val="16"/>
                <w:lang w:val="en-GB"/>
              </w:rPr>
            </w:pPr>
            <w:r w:rsidRPr="00DB3183">
              <w:rPr>
                <w:sz w:val="16"/>
                <w:szCs w:val="16"/>
                <w:lang w:val="en-GB"/>
              </w:rPr>
              <w:t>Bonner &amp; Sprinkle (2002)</w:t>
            </w:r>
          </w:p>
        </w:tc>
        <w:tc>
          <w:tcPr>
            <w:tcW w:w="1708" w:type="dxa"/>
          </w:tcPr>
          <w:p w14:paraId="7944BBDD" w14:textId="77777777" w:rsidR="00D329E6" w:rsidRPr="00DB0FFB" w:rsidRDefault="00D329E6" w:rsidP="00D329E6">
            <w:pPr>
              <w:rPr>
                <w:sz w:val="16"/>
                <w:szCs w:val="16"/>
                <w:lang w:val="en-GB"/>
              </w:rPr>
            </w:pPr>
            <w:r>
              <w:rPr>
                <w:sz w:val="16"/>
                <w:szCs w:val="16"/>
                <w:lang w:val="en-GB"/>
              </w:rPr>
              <w:t>Monetary incentives and performance</w:t>
            </w:r>
          </w:p>
        </w:tc>
        <w:tc>
          <w:tcPr>
            <w:tcW w:w="2261" w:type="dxa"/>
          </w:tcPr>
          <w:p w14:paraId="5CE80385" w14:textId="77777777" w:rsidR="00D329E6" w:rsidRPr="0090134D" w:rsidRDefault="00D329E6" w:rsidP="00D329E6">
            <w:pPr>
              <w:rPr>
                <w:sz w:val="16"/>
                <w:szCs w:val="16"/>
                <w:lang w:val="en-GB"/>
              </w:rPr>
            </w:pPr>
            <w:r>
              <w:rPr>
                <w:sz w:val="16"/>
                <w:szCs w:val="16"/>
                <w:lang w:val="en-GB"/>
              </w:rPr>
              <w:t>Provides an overview and directions for future research.</w:t>
            </w:r>
          </w:p>
        </w:tc>
        <w:tc>
          <w:tcPr>
            <w:tcW w:w="1809" w:type="dxa"/>
          </w:tcPr>
          <w:p w14:paraId="4BDBF76F" w14:textId="77777777" w:rsidR="00D329E6" w:rsidRDefault="00D329E6" w:rsidP="00D329E6">
            <w:pPr>
              <w:rPr>
                <w:sz w:val="16"/>
                <w:szCs w:val="16"/>
                <w:lang w:val="en-GB"/>
              </w:rPr>
            </w:pPr>
            <w:r>
              <w:rPr>
                <w:sz w:val="16"/>
                <w:szCs w:val="16"/>
                <w:lang w:val="en-GB"/>
              </w:rPr>
              <w:t>-</w:t>
            </w:r>
          </w:p>
        </w:tc>
        <w:tc>
          <w:tcPr>
            <w:tcW w:w="1984" w:type="dxa"/>
          </w:tcPr>
          <w:p w14:paraId="50B0294D" w14:textId="77777777" w:rsidR="00D329E6" w:rsidRDefault="00D329E6" w:rsidP="00D329E6">
            <w:pPr>
              <w:rPr>
                <w:sz w:val="16"/>
                <w:szCs w:val="16"/>
                <w:lang w:val="en-GB"/>
              </w:rPr>
            </w:pPr>
            <w:r>
              <w:rPr>
                <w:sz w:val="16"/>
                <w:szCs w:val="16"/>
                <w:lang w:val="en-GB"/>
              </w:rPr>
              <w:t>Review</w:t>
            </w:r>
          </w:p>
        </w:tc>
        <w:tc>
          <w:tcPr>
            <w:tcW w:w="2019" w:type="dxa"/>
          </w:tcPr>
          <w:p w14:paraId="112D4FDC" w14:textId="77777777" w:rsidR="00D329E6" w:rsidRDefault="00D329E6" w:rsidP="00D329E6">
            <w:pPr>
              <w:rPr>
                <w:sz w:val="16"/>
                <w:szCs w:val="16"/>
                <w:lang w:val="en-GB"/>
              </w:rPr>
            </w:pPr>
            <w:r>
              <w:rPr>
                <w:sz w:val="16"/>
                <w:szCs w:val="16"/>
                <w:lang w:val="en-GB"/>
              </w:rPr>
              <w:t xml:space="preserve">Makes clear that there is important research to examine </w:t>
            </w:r>
          </w:p>
        </w:tc>
      </w:tr>
    </w:tbl>
    <w:p w14:paraId="222F29E9" w14:textId="77777777" w:rsidR="00D329E6" w:rsidRDefault="00D329E6" w:rsidP="00D329E6">
      <w:pPr>
        <w:rPr>
          <w:lang w:val="en-GB"/>
        </w:rPr>
      </w:pPr>
    </w:p>
    <w:p w14:paraId="06679ABA" w14:textId="77777777" w:rsidR="00D329E6" w:rsidRDefault="00D329E6" w:rsidP="00D329E6">
      <w:pPr>
        <w:rPr>
          <w:lang w:val="en-GB"/>
        </w:rPr>
      </w:pPr>
    </w:p>
    <w:p w14:paraId="03E0D53E" w14:textId="1B5ED7E2" w:rsidR="00D329E6" w:rsidRPr="000D539B" w:rsidRDefault="00D329E6" w:rsidP="000D539B">
      <w:pPr>
        <w:pStyle w:val="Kop3"/>
      </w:pPr>
      <w:r>
        <w:br w:type="page"/>
      </w:r>
      <w:bookmarkStart w:id="60" w:name="_Toc439346665"/>
      <w:r w:rsidR="007C2C67" w:rsidRPr="000D539B">
        <w:lastRenderedPageBreak/>
        <w:t>8</w:t>
      </w:r>
      <w:r w:rsidRPr="000D539B">
        <w:t>.1.3 Literature on the relation between equity-based compensation and performance</w:t>
      </w:r>
      <w:bookmarkEnd w:id="60"/>
    </w:p>
    <w:tbl>
      <w:tblPr>
        <w:tblStyle w:val="Tabelraster"/>
        <w:tblW w:w="11058" w:type="dxa"/>
        <w:tblInd w:w="-885" w:type="dxa"/>
        <w:tblLayout w:type="fixed"/>
        <w:tblLook w:val="04A0" w:firstRow="1" w:lastRow="0" w:firstColumn="1" w:lastColumn="0" w:noHBand="0" w:noVBand="1"/>
      </w:tblPr>
      <w:tblGrid>
        <w:gridCol w:w="1277"/>
        <w:gridCol w:w="1708"/>
        <w:gridCol w:w="2261"/>
        <w:gridCol w:w="1809"/>
        <w:gridCol w:w="1984"/>
        <w:gridCol w:w="2019"/>
      </w:tblGrid>
      <w:tr w:rsidR="00D329E6" w:rsidRPr="00A726AB" w14:paraId="2C1B76EE" w14:textId="77777777" w:rsidTr="00D329E6">
        <w:tc>
          <w:tcPr>
            <w:tcW w:w="11058" w:type="dxa"/>
            <w:gridSpan w:val="6"/>
          </w:tcPr>
          <w:p w14:paraId="6361703B" w14:textId="77777777" w:rsidR="00D329E6" w:rsidRPr="000E1828" w:rsidRDefault="00D329E6" w:rsidP="00D329E6">
            <w:pPr>
              <w:rPr>
                <w:sz w:val="24"/>
                <w:szCs w:val="24"/>
                <w:lang w:val="en-GB"/>
              </w:rPr>
            </w:pPr>
            <w:r w:rsidRPr="000E1828">
              <w:rPr>
                <w:sz w:val="24"/>
                <w:szCs w:val="24"/>
                <w:lang w:val="en-GB"/>
              </w:rPr>
              <w:t>Literature on the relation between equity-based compensation and performance</w:t>
            </w:r>
          </w:p>
        </w:tc>
      </w:tr>
      <w:tr w:rsidR="00D329E6" w:rsidRPr="005D3308" w14:paraId="00E8D8E0" w14:textId="77777777" w:rsidTr="00D329E6">
        <w:tc>
          <w:tcPr>
            <w:tcW w:w="1277" w:type="dxa"/>
          </w:tcPr>
          <w:p w14:paraId="34AE46BA" w14:textId="77777777" w:rsidR="00D329E6" w:rsidRPr="000E1828" w:rsidRDefault="00D329E6" w:rsidP="00D329E6">
            <w:pPr>
              <w:rPr>
                <w:sz w:val="20"/>
                <w:szCs w:val="20"/>
                <w:lang w:val="en-GB"/>
              </w:rPr>
            </w:pPr>
            <w:r w:rsidRPr="000E1828">
              <w:rPr>
                <w:sz w:val="20"/>
                <w:szCs w:val="20"/>
                <w:lang w:val="en-GB"/>
              </w:rPr>
              <w:t>Authors</w:t>
            </w:r>
          </w:p>
        </w:tc>
        <w:tc>
          <w:tcPr>
            <w:tcW w:w="1708" w:type="dxa"/>
          </w:tcPr>
          <w:p w14:paraId="1CDC253D" w14:textId="77777777" w:rsidR="00D329E6" w:rsidRPr="000E1828" w:rsidRDefault="00D329E6" w:rsidP="00D329E6">
            <w:pPr>
              <w:rPr>
                <w:sz w:val="20"/>
                <w:szCs w:val="20"/>
                <w:lang w:val="en-GB"/>
              </w:rPr>
            </w:pPr>
            <w:r w:rsidRPr="000E1828">
              <w:rPr>
                <w:sz w:val="20"/>
                <w:szCs w:val="20"/>
                <w:lang w:val="en-GB"/>
              </w:rPr>
              <w:t>Context</w:t>
            </w:r>
          </w:p>
        </w:tc>
        <w:tc>
          <w:tcPr>
            <w:tcW w:w="2261" w:type="dxa"/>
          </w:tcPr>
          <w:p w14:paraId="448D5C91" w14:textId="77777777" w:rsidR="00D329E6" w:rsidRPr="000E1828" w:rsidRDefault="00D329E6" w:rsidP="00D329E6">
            <w:pPr>
              <w:rPr>
                <w:sz w:val="20"/>
                <w:szCs w:val="20"/>
                <w:lang w:val="en-GB"/>
              </w:rPr>
            </w:pPr>
            <w:r w:rsidRPr="000E1828">
              <w:rPr>
                <w:sz w:val="20"/>
                <w:szCs w:val="20"/>
                <w:lang w:val="en-GB"/>
              </w:rPr>
              <w:t>Findings</w:t>
            </w:r>
          </w:p>
        </w:tc>
        <w:tc>
          <w:tcPr>
            <w:tcW w:w="1809" w:type="dxa"/>
          </w:tcPr>
          <w:p w14:paraId="7E25047C" w14:textId="77777777" w:rsidR="00D329E6" w:rsidRPr="000E1828" w:rsidRDefault="00D329E6" w:rsidP="00D329E6">
            <w:pPr>
              <w:rPr>
                <w:sz w:val="20"/>
                <w:szCs w:val="20"/>
                <w:lang w:val="en-GB"/>
              </w:rPr>
            </w:pPr>
            <w:r w:rsidRPr="000E1828">
              <w:rPr>
                <w:sz w:val="20"/>
                <w:szCs w:val="20"/>
                <w:lang w:val="en-GB"/>
              </w:rPr>
              <w:t>Sample</w:t>
            </w:r>
          </w:p>
        </w:tc>
        <w:tc>
          <w:tcPr>
            <w:tcW w:w="1984" w:type="dxa"/>
          </w:tcPr>
          <w:p w14:paraId="6D29F2C5" w14:textId="77777777" w:rsidR="00D329E6" w:rsidRPr="000E1828" w:rsidRDefault="00D329E6" w:rsidP="00D329E6">
            <w:pPr>
              <w:rPr>
                <w:sz w:val="20"/>
                <w:szCs w:val="20"/>
                <w:lang w:val="en-GB"/>
              </w:rPr>
            </w:pPr>
            <w:r w:rsidRPr="000E1828">
              <w:rPr>
                <w:sz w:val="20"/>
                <w:szCs w:val="20"/>
                <w:lang w:val="en-GB"/>
              </w:rPr>
              <w:t>Methods</w:t>
            </w:r>
          </w:p>
        </w:tc>
        <w:tc>
          <w:tcPr>
            <w:tcW w:w="2019" w:type="dxa"/>
          </w:tcPr>
          <w:p w14:paraId="7D5354CB" w14:textId="77777777" w:rsidR="00D329E6" w:rsidRPr="000E1828" w:rsidRDefault="00D329E6" w:rsidP="00D329E6">
            <w:pPr>
              <w:rPr>
                <w:sz w:val="20"/>
                <w:szCs w:val="20"/>
                <w:lang w:val="en-GB"/>
              </w:rPr>
            </w:pPr>
            <w:r w:rsidRPr="000E1828">
              <w:rPr>
                <w:sz w:val="20"/>
                <w:szCs w:val="20"/>
                <w:lang w:val="en-GB"/>
              </w:rPr>
              <w:t>Contribution</w:t>
            </w:r>
          </w:p>
        </w:tc>
      </w:tr>
      <w:tr w:rsidR="00D329E6" w:rsidRPr="00A726AB" w14:paraId="391EEFC9" w14:textId="77777777" w:rsidTr="00D329E6">
        <w:tc>
          <w:tcPr>
            <w:tcW w:w="1277" w:type="dxa"/>
          </w:tcPr>
          <w:p w14:paraId="7FD4B6DA" w14:textId="77777777" w:rsidR="00D329E6" w:rsidRPr="000E1828" w:rsidRDefault="00D329E6" w:rsidP="00D329E6">
            <w:pPr>
              <w:rPr>
                <w:sz w:val="16"/>
                <w:szCs w:val="16"/>
                <w:lang w:val="en-GB"/>
              </w:rPr>
            </w:pPr>
            <w:r w:rsidRPr="000E1828">
              <w:rPr>
                <w:sz w:val="16"/>
                <w:szCs w:val="16"/>
                <w:lang w:val="en-GB"/>
              </w:rPr>
              <w:t>Harris &amp; Raviv (1979)</w:t>
            </w:r>
          </w:p>
        </w:tc>
        <w:tc>
          <w:tcPr>
            <w:tcW w:w="1708" w:type="dxa"/>
          </w:tcPr>
          <w:p w14:paraId="1E77D337" w14:textId="77777777" w:rsidR="00D329E6" w:rsidRPr="000E1828" w:rsidRDefault="00D329E6" w:rsidP="00D329E6">
            <w:pPr>
              <w:rPr>
                <w:sz w:val="16"/>
                <w:szCs w:val="16"/>
                <w:lang w:val="en-GB"/>
              </w:rPr>
            </w:pPr>
            <w:r w:rsidRPr="000E1828">
              <w:rPr>
                <w:sz w:val="16"/>
                <w:szCs w:val="16"/>
                <w:lang w:val="en-GB"/>
              </w:rPr>
              <w:t>Relationship between the optimal incentive contract and the available information</w:t>
            </w:r>
          </w:p>
        </w:tc>
        <w:tc>
          <w:tcPr>
            <w:tcW w:w="2261" w:type="dxa"/>
          </w:tcPr>
          <w:p w14:paraId="75EEBA52" w14:textId="77777777" w:rsidR="00D329E6" w:rsidRPr="000E1828" w:rsidRDefault="00D329E6" w:rsidP="00D329E6">
            <w:pPr>
              <w:rPr>
                <w:sz w:val="16"/>
                <w:szCs w:val="16"/>
                <w:lang w:val="en-GB"/>
              </w:rPr>
            </w:pPr>
            <w:r w:rsidRPr="000E1828">
              <w:rPr>
                <w:sz w:val="16"/>
                <w:szCs w:val="16"/>
                <w:lang w:val="en-GB"/>
              </w:rPr>
              <w:t>There are potential gains to supervision.</w:t>
            </w:r>
          </w:p>
        </w:tc>
        <w:tc>
          <w:tcPr>
            <w:tcW w:w="1809" w:type="dxa"/>
          </w:tcPr>
          <w:p w14:paraId="626ED7B8" w14:textId="77777777" w:rsidR="00D329E6" w:rsidRPr="000E1828" w:rsidRDefault="00D329E6" w:rsidP="00D329E6">
            <w:pPr>
              <w:rPr>
                <w:sz w:val="16"/>
                <w:szCs w:val="16"/>
                <w:lang w:val="en-GB"/>
              </w:rPr>
            </w:pPr>
            <w:r w:rsidRPr="000E1828">
              <w:rPr>
                <w:sz w:val="16"/>
                <w:szCs w:val="16"/>
                <w:lang w:val="en-GB"/>
              </w:rPr>
              <w:t>-</w:t>
            </w:r>
          </w:p>
        </w:tc>
        <w:tc>
          <w:tcPr>
            <w:tcW w:w="1984" w:type="dxa"/>
          </w:tcPr>
          <w:p w14:paraId="51569877" w14:textId="77777777" w:rsidR="00D329E6" w:rsidRPr="000E1828" w:rsidRDefault="00D329E6" w:rsidP="00D329E6">
            <w:pPr>
              <w:rPr>
                <w:sz w:val="16"/>
                <w:szCs w:val="16"/>
                <w:lang w:val="en-GB"/>
              </w:rPr>
            </w:pPr>
            <w:r w:rsidRPr="000E1828">
              <w:rPr>
                <w:sz w:val="16"/>
                <w:szCs w:val="16"/>
                <w:lang w:val="en-GB"/>
              </w:rPr>
              <w:t>Mathematical models</w:t>
            </w:r>
          </w:p>
        </w:tc>
        <w:tc>
          <w:tcPr>
            <w:tcW w:w="2019" w:type="dxa"/>
          </w:tcPr>
          <w:p w14:paraId="0223F948" w14:textId="77777777" w:rsidR="00D329E6" w:rsidRPr="000E1828" w:rsidRDefault="00D329E6" w:rsidP="00D329E6">
            <w:pPr>
              <w:rPr>
                <w:sz w:val="16"/>
                <w:szCs w:val="16"/>
                <w:lang w:val="en-GB"/>
              </w:rPr>
            </w:pPr>
            <w:r w:rsidRPr="000E1828">
              <w:rPr>
                <w:sz w:val="16"/>
                <w:szCs w:val="16"/>
                <w:lang w:val="en-GB"/>
              </w:rPr>
              <w:t>Providing a rational explanation for many observed contractual relationships.</w:t>
            </w:r>
          </w:p>
        </w:tc>
      </w:tr>
      <w:tr w:rsidR="00D329E6" w:rsidRPr="00A726AB" w14:paraId="14EA52A3" w14:textId="77777777" w:rsidTr="00D329E6">
        <w:tc>
          <w:tcPr>
            <w:tcW w:w="1277" w:type="dxa"/>
          </w:tcPr>
          <w:p w14:paraId="72E1C770" w14:textId="77777777" w:rsidR="00D329E6" w:rsidRPr="000E1828" w:rsidRDefault="00D329E6" w:rsidP="00D329E6">
            <w:pPr>
              <w:rPr>
                <w:sz w:val="16"/>
                <w:szCs w:val="16"/>
                <w:lang w:val="en-GB"/>
              </w:rPr>
            </w:pPr>
            <w:r w:rsidRPr="000E1828">
              <w:rPr>
                <w:sz w:val="16"/>
                <w:szCs w:val="16"/>
                <w:lang w:val="en-GB"/>
              </w:rPr>
              <w:t>Hölstrom (1979)</w:t>
            </w:r>
          </w:p>
        </w:tc>
        <w:tc>
          <w:tcPr>
            <w:tcW w:w="1708" w:type="dxa"/>
          </w:tcPr>
          <w:p w14:paraId="5AAD073A" w14:textId="77777777" w:rsidR="00D329E6" w:rsidRPr="000E1828" w:rsidRDefault="00D329E6" w:rsidP="00D329E6">
            <w:pPr>
              <w:rPr>
                <w:sz w:val="16"/>
                <w:szCs w:val="16"/>
                <w:lang w:val="en-GB"/>
              </w:rPr>
            </w:pPr>
            <w:r w:rsidRPr="000E1828">
              <w:rPr>
                <w:sz w:val="16"/>
                <w:szCs w:val="16"/>
                <w:lang w:val="en-GB"/>
              </w:rPr>
              <w:t>Relationship between the optimal incentive contract and the available information</w:t>
            </w:r>
          </w:p>
        </w:tc>
        <w:tc>
          <w:tcPr>
            <w:tcW w:w="2261" w:type="dxa"/>
          </w:tcPr>
          <w:p w14:paraId="3AFB1982" w14:textId="77777777" w:rsidR="00D329E6" w:rsidRPr="000E1828" w:rsidRDefault="00D329E6" w:rsidP="00D329E6">
            <w:pPr>
              <w:rPr>
                <w:sz w:val="16"/>
                <w:szCs w:val="16"/>
                <w:lang w:val="en-GB"/>
              </w:rPr>
            </w:pPr>
            <w:r w:rsidRPr="000E1828">
              <w:rPr>
                <w:sz w:val="16"/>
                <w:szCs w:val="16"/>
                <w:lang w:val="en-GB"/>
              </w:rPr>
              <w:t>Tying managers compensation to firm performance motivates value-maximizing decisions.</w:t>
            </w:r>
          </w:p>
        </w:tc>
        <w:tc>
          <w:tcPr>
            <w:tcW w:w="1809" w:type="dxa"/>
          </w:tcPr>
          <w:p w14:paraId="4E0E571C" w14:textId="77777777" w:rsidR="00D329E6" w:rsidRPr="000E1828" w:rsidRDefault="00D329E6" w:rsidP="00D329E6">
            <w:pPr>
              <w:rPr>
                <w:sz w:val="16"/>
                <w:szCs w:val="16"/>
                <w:lang w:val="en-GB"/>
              </w:rPr>
            </w:pPr>
            <w:r w:rsidRPr="000E1828">
              <w:rPr>
                <w:sz w:val="16"/>
                <w:szCs w:val="16"/>
                <w:lang w:val="en-GB"/>
              </w:rPr>
              <w:t>-</w:t>
            </w:r>
          </w:p>
        </w:tc>
        <w:tc>
          <w:tcPr>
            <w:tcW w:w="1984" w:type="dxa"/>
          </w:tcPr>
          <w:p w14:paraId="1730A092" w14:textId="77777777" w:rsidR="00D329E6" w:rsidRPr="000E1828" w:rsidRDefault="00D329E6" w:rsidP="00D329E6">
            <w:pPr>
              <w:rPr>
                <w:sz w:val="16"/>
                <w:szCs w:val="16"/>
                <w:lang w:val="en-GB"/>
              </w:rPr>
            </w:pPr>
            <w:r w:rsidRPr="000E1828">
              <w:rPr>
                <w:sz w:val="16"/>
                <w:szCs w:val="16"/>
                <w:lang w:val="en-GB"/>
              </w:rPr>
              <w:t>Mathematical models</w:t>
            </w:r>
          </w:p>
        </w:tc>
        <w:tc>
          <w:tcPr>
            <w:tcW w:w="2019" w:type="dxa"/>
          </w:tcPr>
          <w:p w14:paraId="3F8CBAE2" w14:textId="77777777" w:rsidR="00D329E6" w:rsidRPr="000E1828" w:rsidRDefault="00D329E6" w:rsidP="00D329E6">
            <w:pPr>
              <w:rPr>
                <w:sz w:val="16"/>
                <w:szCs w:val="16"/>
                <w:lang w:val="en-GB"/>
              </w:rPr>
            </w:pPr>
            <w:r w:rsidRPr="000E1828">
              <w:rPr>
                <w:sz w:val="16"/>
                <w:szCs w:val="16"/>
                <w:lang w:val="en-GB"/>
              </w:rPr>
              <w:t>Explains the extensive use of imperfect information in contracting.</w:t>
            </w:r>
          </w:p>
        </w:tc>
      </w:tr>
      <w:tr w:rsidR="00D329E6" w:rsidRPr="00A726AB" w14:paraId="7934CFC5" w14:textId="77777777" w:rsidTr="00D329E6">
        <w:tc>
          <w:tcPr>
            <w:tcW w:w="1277" w:type="dxa"/>
          </w:tcPr>
          <w:p w14:paraId="7C70E538" w14:textId="77777777" w:rsidR="00D329E6" w:rsidRPr="000E1828" w:rsidRDefault="00D329E6" w:rsidP="00D329E6">
            <w:pPr>
              <w:rPr>
                <w:sz w:val="16"/>
                <w:szCs w:val="16"/>
                <w:lang w:val="en-GB"/>
              </w:rPr>
            </w:pPr>
            <w:r w:rsidRPr="000E1828">
              <w:rPr>
                <w:sz w:val="16"/>
                <w:szCs w:val="16"/>
                <w:lang w:val="en-GB"/>
              </w:rPr>
              <w:t>Grossman &amp; Hart (1986)</w:t>
            </w:r>
          </w:p>
        </w:tc>
        <w:tc>
          <w:tcPr>
            <w:tcW w:w="1708" w:type="dxa"/>
          </w:tcPr>
          <w:p w14:paraId="1216836B" w14:textId="77777777" w:rsidR="00D329E6" w:rsidRPr="000E1828" w:rsidRDefault="00D329E6" w:rsidP="00D329E6">
            <w:pPr>
              <w:rPr>
                <w:sz w:val="16"/>
                <w:szCs w:val="16"/>
                <w:lang w:val="en-GB"/>
              </w:rPr>
            </w:pPr>
            <w:r w:rsidRPr="000E1828">
              <w:rPr>
                <w:sz w:val="16"/>
                <w:szCs w:val="16"/>
                <w:lang w:val="en-GB"/>
              </w:rPr>
              <w:t>Incentives in an principal-agent problem</w:t>
            </w:r>
          </w:p>
        </w:tc>
        <w:tc>
          <w:tcPr>
            <w:tcW w:w="2261" w:type="dxa"/>
          </w:tcPr>
          <w:p w14:paraId="04BC4CE8" w14:textId="77777777" w:rsidR="00D329E6" w:rsidRPr="000E1828" w:rsidRDefault="00D329E6" w:rsidP="00D329E6">
            <w:pPr>
              <w:rPr>
                <w:sz w:val="16"/>
                <w:szCs w:val="16"/>
                <w:lang w:val="en-GB"/>
              </w:rPr>
            </w:pPr>
            <w:r w:rsidRPr="000E1828">
              <w:rPr>
                <w:sz w:val="16"/>
                <w:szCs w:val="16"/>
                <w:lang w:val="en-GB"/>
              </w:rPr>
              <w:t>Tying managers compensation to firm performance motivates value-maximizing decisions.</w:t>
            </w:r>
          </w:p>
        </w:tc>
        <w:tc>
          <w:tcPr>
            <w:tcW w:w="1809" w:type="dxa"/>
          </w:tcPr>
          <w:p w14:paraId="46DF1A20" w14:textId="77777777" w:rsidR="00D329E6" w:rsidRPr="000E1828" w:rsidRDefault="00D329E6" w:rsidP="00D329E6">
            <w:pPr>
              <w:rPr>
                <w:sz w:val="16"/>
                <w:szCs w:val="16"/>
                <w:lang w:val="en-GB"/>
              </w:rPr>
            </w:pPr>
            <w:r w:rsidRPr="000E1828">
              <w:rPr>
                <w:sz w:val="16"/>
                <w:szCs w:val="16"/>
                <w:lang w:val="en-GB"/>
              </w:rPr>
              <w:t>-</w:t>
            </w:r>
          </w:p>
        </w:tc>
        <w:tc>
          <w:tcPr>
            <w:tcW w:w="1984" w:type="dxa"/>
          </w:tcPr>
          <w:p w14:paraId="77FA2027" w14:textId="77777777" w:rsidR="00D329E6" w:rsidRPr="000E1828" w:rsidRDefault="00D329E6" w:rsidP="00D329E6">
            <w:pPr>
              <w:rPr>
                <w:sz w:val="16"/>
                <w:szCs w:val="16"/>
                <w:lang w:val="en-GB"/>
              </w:rPr>
            </w:pPr>
            <w:r w:rsidRPr="000E1828">
              <w:rPr>
                <w:sz w:val="16"/>
                <w:szCs w:val="16"/>
                <w:lang w:val="en-GB"/>
              </w:rPr>
              <w:t>Mathematical models</w:t>
            </w:r>
          </w:p>
        </w:tc>
        <w:tc>
          <w:tcPr>
            <w:tcW w:w="2019" w:type="dxa"/>
          </w:tcPr>
          <w:p w14:paraId="51B072E6" w14:textId="77777777" w:rsidR="00D329E6" w:rsidRPr="000E1828" w:rsidRDefault="00D329E6" w:rsidP="00D329E6">
            <w:pPr>
              <w:rPr>
                <w:sz w:val="16"/>
                <w:szCs w:val="16"/>
                <w:lang w:val="en-GB"/>
              </w:rPr>
            </w:pPr>
            <w:r w:rsidRPr="000E1828">
              <w:rPr>
                <w:sz w:val="16"/>
                <w:szCs w:val="16"/>
                <w:lang w:val="en-GB"/>
              </w:rPr>
              <w:t>Provides insights in the form of an optimal incentive scheme and indicates factors the determine how serious a particular incentive problem is.</w:t>
            </w:r>
          </w:p>
        </w:tc>
      </w:tr>
      <w:tr w:rsidR="00D329E6" w:rsidRPr="00A726AB" w14:paraId="3A751074" w14:textId="77777777" w:rsidTr="00D329E6">
        <w:tc>
          <w:tcPr>
            <w:tcW w:w="1277" w:type="dxa"/>
          </w:tcPr>
          <w:p w14:paraId="7A13C02F" w14:textId="77777777" w:rsidR="00D329E6" w:rsidRPr="000E1828" w:rsidRDefault="00D329E6" w:rsidP="00D329E6">
            <w:pPr>
              <w:rPr>
                <w:sz w:val="16"/>
                <w:szCs w:val="16"/>
                <w:lang w:val="en-GB"/>
              </w:rPr>
            </w:pPr>
            <w:r w:rsidRPr="000E1828">
              <w:rPr>
                <w:sz w:val="16"/>
                <w:szCs w:val="16"/>
                <w:lang w:val="en-GB"/>
              </w:rPr>
              <w:t>Jensen &amp; Murphy (1990)</w:t>
            </w:r>
          </w:p>
        </w:tc>
        <w:tc>
          <w:tcPr>
            <w:tcW w:w="1708" w:type="dxa"/>
          </w:tcPr>
          <w:p w14:paraId="62C0C295" w14:textId="77777777" w:rsidR="00D329E6" w:rsidRPr="000E1828" w:rsidRDefault="00D329E6" w:rsidP="00D329E6">
            <w:pPr>
              <w:rPr>
                <w:sz w:val="16"/>
                <w:szCs w:val="16"/>
                <w:lang w:val="en-GB"/>
              </w:rPr>
            </w:pPr>
            <w:r w:rsidRPr="000E1828">
              <w:rPr>
                <w:sz w:val="16"/>
                <w:szCs w:val="16"/>
                <w:lang w:val="en-GB"/>
              </w:rPr>
              <w:t>Equity-based compensation for top directors</w:t>
            </w:r>
          </w:p>
        </w:tc>
        <w:tc>
          <w:tcPr>
            <w:tcW w:w="2261" w:type="dxa"/>
          </w:tcPr>
          <w:p w14:paraId="17F5C38B" w14:textId="77777777" w:rsidR="00D329E6" w:rsidRPr="000E1828" w:rsidRDefault="00D329E6" w:rsidP="00D329E6">
            <w:pPr>
              <w:rPr>
                <w:sz w:val="16"/>
                <w:szCs w:val="16"/>
                <w:lang w:val="en-GB"/>
              </w:rPr>
            </w:pPr>
            <w:r w:rsidRPr="000E1828">
              <w:rPr>
                <w:sz w:val="16"/>
                <w:szCs w:val="16"/>
                <w:lang w:val="en-GB"/>
              </w:rPr>
              <w:t>The private wealth of top directors increases with $3,25 for every $1000 increase of firm value, which is relatively insensitive.</w:t>
            </w:r>
          </w:p>
        </w:tc>
        <w:tc>
          <w:tcPr>
            <w:tcW w:w="1809" w:type="dxa"/>
          </w:tcPr>
          <w:p w14:paraId="4A5B772C" w14:textId="77777777" w:rsidR="00D329E6" w:rsidRPr="000E1828" w:rsidRDefault="00D329E6" w:rsidP="00D329E6">
            <w:pPr>
              <w:rPr>
                <w:sz w:val="16"/>
                <w:szCs w:val="16"/>
                <w:lang w:val="en-GB"/>
              </w:rPr>
            </w:pPr>
            <w:r w:rsidRPr="000E1828">
              <w:rPr>
                <w:sz w:val="16"/>
                <w:szCs w:val="16"/>
                <w:lang w:val="en-GB"/>
              </w:rPr>
              <w:t>2213 CEOs listed in the Executive Compensation Surveys from 1974 to 1986</w:t>
            </w:r>
          </w:p>
        </w:tc>
        <w:tc>
          <w:tcPr>
            <w:tcW w:w="1984" w:type="dxa"/>
          </w:tcPr>
          <w:p w14:paraId="31F7BE5C" w14:textId="77777777" w:rsidR="00D329E6" w:rsidRPr="000E1828" w:rsidRDefault="00D329E6" w:rsidP="00D329E6">
            <w:pPr>
              <w:rPr>
                <w:sz w:val="16"/>
                <w:szCs w:val="16"/>
                <w:lang w:val="en-GB"/>
              </w:rPr>
            </w:pPr>
            <w:r>
              <w:rPr>
                <w:sz w:val="16"/>
                <w:szCs w:val="16"/>
                <w:lang w:val="en-GB"/>
              </w:rPr>
              <w:t>OLS r</w:t>
            </w:r>
            <w:r w:rsidRPr="000E1828">
              <w:rPr>
                <w:sz w:val="16"/>
                <w:szCs w:val="16"/>
                <w:lang w:val="en-GB"/>
              </w:rPr>
              <w:t>egression</w:t>
            </w:r>
          </w:p>
          <w:p w14:paraId="084E8E11" w14:textId="77777777" w:rsidR="00D329E6" w:rsidRPr="000E1828" w:rsidRDefault="00D329E6" w:rsidP="00D329E6">
            <w:pPr>
              <w:rPr>
                <w:sz w:val="16"/>
                <w:szCs w:val="16"/>
                <w:lang w:val="en-GB"/>
              </w:rPr>
            </w:pPr>
          </w:p>
          <w:p w14:paraId="48ACCFF5" w14:textId="77777777" w:rsidR="00D329E6" w:rsidRPr="000E1828" w:rsidRDefault="00D329E6" w:rsidP="00D329E6">
            <w:pPr>
              <w:rPr>
                <w:sz w:val="16"/>
                <w:szCs w:val="16"/>
                <w:lang w:val="en-GB"/>
              </w:rPr>
            </w:pPr>
            <w:r w:rsidRPr="000E1828">
              <w:rPr>
                <w:sz w:val="16"/>
                <w:szCs w:val="16"/>
                <w:lang w:val="en-GB"/>
              </w:rPr>
              <w:t>Y=Change in CEO salary and bonus</w:t>
            </w:r>
          </w:p>
          <w:p w14:paraId="28B2C32C" w14:textId="77777777" w:rsidR="00D329E6" w:rsidRPr="000E1828" w:rsidRDefault="00D329E6" w:rsidP="00D329E6">
            <w:pPr>
              <w:rPr>
                <w:sz w:val="16"/>
                <w:szCs w:val="16"/>
                <w:lang w:val="en-GB"/>
              </w:rPr>
            </w:pPr>
            <w:r w:rsidRPr="000E1828">
              <w:rPr>
                <w:sz w:val="16"/>
                <w:szCs w:val="16"/>
                <w:lang w:val="en-GB"/>
              </w:rPr>
              <w:t>X=Change in shareholder wealth</w:t>
            </w:r>
          </w:p>
        </w:tc>
        <w:tc>
          <w:tcPr>
            <w:tcW w:w="2019" w:type="dxa"/>
          </w:tcPr>
          <w:p w14:paraId="6CF6284D" w14:textId="77777777" w:rsidR="00D329E6" w:rsidRPr="000E1828" w:rsidRDefault="00D329E6" w:rsidP="00D329E6">
            <w:pPr>
              <w:rPr>
                <w:sz w:val="16"/>
                <w:szCs w:val="16"/>
                <w:lang w:val="en-GB"/>
              </w:rPr>
            </w:pPr>
            <w:r w:rsidRPr="000E1828">
              <w:rPr>
                <w:sz w:val="16"/>
                <w:szCs w:val="16"/>
                <w:lang w:val="en-GB"/>
              </w:rPr>
              <w:t>Estimation of the magnitude of the incentives provided by equity-based compensation</w:t>
            </w:r>
            <w:r>
              <w:rPr>
                <w:sz w:val="16"/>
                <w:szCs w:val="16"/>
                <w:lang w:val="en-GB"/>
              </w:rPr>
              <w:t>.</w:t>
            </w:r>
          </w:p>
        </w:tc>
      </w:tr>
      <w:tr w:rsidR="00D329E6" w:rsidRPr="00A726AB" w14:paraId="5340E4BC" w14:textId="77777777" w:rsidTr="00D329E6">
        <w:tc>
          <w:tcPr>
            <w:tcW w:w="1277" w:type="dxa"/>
          </w:tcPr>
          <w:p w14:paraId="3804FCFF" w14:textId="77777777" w:rsidR="00D329E6" w:rsidRPr="000E1828" w:rsidRDefault="00D329E6" w:rsidP="00D329E6">
            <w:pPr>
              <w:rPr>
                <w:sz w:val="16"/>
                <w:szCs w:val="16"/>
                <w:lang w:val="en-GB"/>
              </w:rPr>
            </w:pPr>
            <w:r w:rsidRPr="000E1828">
              <w:rPr>
                <w:sz w:val="16"/>
                <w:szCs w:val="16"/>
                <w:lang w:val="en-GB"/>
              </w:rPr>
              <w:t>Paul (1992)</w:t>
            </w:r>
          </w:p>
        </w:tc>
        <w:tc>
          <w:tcPr>
            <w:tcW w:w="1708" w:type="dxa"/>
          </w:tcPr>
          <w:p w14:paraId="326A87B9" w14:textId="77777777" w:rsidR="00D329E6" w:rsidRPr="000E1828" w:rsidRDefault="00D329E6" w:rsidP="00D329E6">
            <w:pPr>
              <w:rPr>
                <w:sz w:val="16"/>
                <w:szCs w:val="16"/>
                <w:lang w:val="en-GB"/>
              </w:rPr>
            </w:pPr>
            <w:r w:rsidRPr="000E1828">
              <w:rPr>
                <w:sz w:val="16"/>
                <w:szCs w:val="16"/>
                <w:lang w:val="en-GB"/>
              </w:rPr>
              <w:t>Efficiency of stock-based compensation</w:t>
            </w:r>
          </w:p>
        </w:tc>
        <w:tc>
          <w:tcPr>
            <w:tcW w:w="2261" w:type="dxa"/>
          </w:tcPr>
          <w:p w14:paraId="3BE589D1" w14:textId="77777777" w:rsidR="00D329E6" w:rsidRPr="000E1828" w:rsidRDefault="00D329E6" w:rsidP="00D329E6">
            <w:pPr>
              <w:rPr>
                <w:sz w:val="16"/>
                <w:szCs w:val="16"/>
                <w:lang w:val="en-GB"/>
              </w:rPr>
            </w:pPr>
            <w:r w:rsidRPr="000E1828">
              <w:rPr>
                <w:sz w:val="16"/>
                <w:szCs w:val="16"/>
                <w:lang w:val="en-GB"/>
              </w:rPr>
              <w:t xml:space="preserve">Stock price </w:t>
            </w:r>
            <w:r>
              <w:rPr>
                <w:sz w:val="16"/>
                <w:szCs w:val="16"/>
                <w:lang w:val="en-GB"/>
              </w:rPr>
              <w:t>is</w:t>
            </w:r>
            <w:r w:rsidRPr="000E1828">
              <w:rPr>
                <w:sz w:val="16"/>
                <w:szCs w:val="16"/>
                <w:lang w:val="en-GB"/>
              </w:rPr>
              <w:t xml:space="preserve"> not an optimal aggregator of information and therefore not and optimal indicator of performance.</w:t>
            </w:r>
          </w:p>
        </w:tc>
        <w:tc>
          <w:tcPr>
            <w:tcW w:w="1809" w:type="dxa"/>
          </w:tcPr>
          <w:p w14:paraId="6FE4E6F2" w14:textId="77777777" w:rsidR="00D329E6" w:rsidRPr="000E1828" w:rsidRDefault="00D329E6" w:rsidP="00D329E6">
            <w:pPr>
              <w:rPr>
                <w:sz w:val="16"/>
                <w:szCs w:val="16"/>
                <w:lang w:val="en-GB"/>
              </w:rPr>
            </w:pPr>
            <w:r w:rsidRPr="000E1828">
              <w:rPr>
                <w:sz w:val="16"/>
                <w:szCs w:val="16"/>
                <w:lang w:val="en-GB"/>
              </w:rPr>
              <w:t>-</w:t>
            </w:r>
          </w:p>
        </w:tc>
        <w:tc>
          <w:tcPr>
            <w:tcW w:w="1984" w:type="dxa"/>
          </w:tcPr>
          <w:p w14:paraId="3B7CD1D1" w14:textId="77777777" w:rsidR="00D329E6" w:rsidRPr="000E1828" w:rsidRDefault="00D329E6" w:rsidP="00D329E6">
            <w:pPr>
              <w:rPr>
                <w:sz w:val="16"/>
                <w:szCs w:val="16"/>
                <w:lang w:val="en-GB"/>
              </w:rPr>
            </w:pPr>
            <w:r w:rsidRPr="000E1828">
              <w:rPr>
                <w:sz w:val="16"/>
                <w:szCs w:val="16"/>
                <w:lang w:val="en-GB"/>
              </w:rPr>
              <w:t>Mathematical models</w:t>
            </w:r>
          </w:p>
        </w:tc>
        <w:tc>
          <w:tcPr>
            <w:tcW w:w="2019" w:type="dxa"/>
          </w:tcPr>
          <w:p w14:paraId="3E8A1B2A" w14:textId="77777777" w:rsidR="00D329E6" w:rsidRPr="000E1828" w:rsidRDefault="00D329E6" w:rsidP="00D329E6">
            <w:pPr>
              <w:rPr>
                <w:sz w:val="16"/>
                <w:szCs w:val="16"/>
                <w:lang w:val="en-GB"/>
              </w:rPr>
            </w:pPr>
            <w:r w:rsidRPr="000E1828">
              <w:rPr>
                <w:sz w:val="16"/>
                <w:szCs w:val="16"/>
                <w:lang w:val="en-GB"/>
              </w:rPr>
              <w:t>Provides insights in the optimal information indicators for executive compensation</w:t>
            </w:r>
            <w:r>
              <w:rPr>
                <w:sz w:val="16"/>
                <w:szCs w:val="16"/>
                <w:lang w:val="en-GB"/>
              </w:rPr>
              <w:t>.</w:t>
            </w:r>
          </w:p>
        </w:tc>
      </w:tr>
      <w:tr w:rsidR="00D329E6" w:rsidRPr="00A726AB" w14:paraId="5DC8814C" w14:textId="77777777" w:rsidTr="00D329E6">
        <w:tc>
          <w:tcPr>
            <w:tcW w:w="1277" w:type="dxa"/>
          </w:tcPr>
          <w:p w14:paraId="7B93EF43" w14:textId="77777777" w:rsidR="00D329E6" w:rsidRPr="000E1828" w:rsidRDefault="00D329E6" w:rsidP="00D329E6">
            <w:pPr>
              <w:rPr>
                <w:sz w:val="16"/>
                <w:szCs w:val="16"/>
                <w:lang w:val="en-GB"/>
              </w:rPr>
            </w:pPr>
            <w:r w:rsidRPr="000E1828">
              <w:rPr>
                <w:sz w:val="16"/>
                <w:szCs w:val="16"/>
                <w:lang w:val="en-GB"/>
              </w:rPr>
              <w:t>Sloan (1993)</w:t>
            </w:r>
          </w:p>
        </w:tc>
        <w:tc>
          <w:tcPr>
            <w:tcW w:w="1708" w:type="dxa"/>
          </w:tcPr>
          <w:p w14:paraId="754EDDEA" w14:textId="77777777" w:rsidR="00D329E6" w:rsidRPr="000E1828" w:rsidRDefault="00D329E6" w:rsidP="00D329E6">
            <w:pPr>
              <w:rPr>
                <w:sz w:val="16"/>
                <w:szCs w:val="16"/>
                <w:lang w:val="en-GB"/>
              </w:rPr>
            </w:pPr>
            <w:r>
              <w:rPr>
                <w:sz w:val="16"/>
                <w:szCs w:val="16"/>
                <w:lang w:val="en-GB"/>
              </w:rPr>
              <w:t>Equity-based compensation for top directors</w:t>
            </w:r>
          </w:p>
        </w:tc>
        <w:tc>
          <w:tcPr>
            <w:tcW w:w="2261" w:type="dxa"/>
          </w:tcPr>
          <w:p w14:paraId="6DA44E85" w14:textId="77777777" w:rsidR="00D329E6" w:rsidRPr="000E1828" w:rsidRDefault="00D329E6" w:rsidP="00D329E6">
            <w:pPr>
              <w:rPr>
                <w:sz w:val="16"/>
                <w:szCs w:val="16"/>
                <w:lang w:val="en-GB"/>
              </w:rPr>
            </w:pPr>
            <w:r>
              <w:rPr>
                <w:sz w:val="16"/>
                <w:szCs w:val="16"/>
                <w:lang w:val="en-GB"/>
              </w:rPr>
              <w:t>Earnings are more sensitive to firm-specific changes in value than to market-wide changes and therefore a better base of compensation than equity.</w:t>
            </w:r>
          </w:p>
        </w:tc>
        <w:tc>
          <w:tcPr>
            <w:tcW w:w="1809" w:type="dxa"/>
          </w:tcPr>
          <w:p w14:paraId="53652F8A" w14:textId="77777777" w:rsidR="00D329E6" w:rsidRPr="000E1828" w:rsidRDefault="00D329E6" w:rsidP="00D329E6">
            <w:pPr>
              <w:rPr>
                <w:sz w:val="16"/>
                <w:szCs w:val="16"/>
                <w:lang w:val="en-GB"/>
              </w:rPr>
            </w:pPr>
            <w:r>
              <w:rPr>
                <w:sz w:val="16"/>
                <w:szCs w:val="16"/>
                <w:lang w:val="en-GB"/>
              </w:rPr>
              <w:t xml:space="preserve">6132 firms </w:t>
            </w:r>
          </w:p>
        </w:tc>
        <w:tc>
          <w:tcPr>
            <w:tcW w:w="1984" w:type="dxa"/>
          </w:tcPr>
          <w:p w14:paraId="6BDD9846" w14:textId="77777777" w:rsidR="00D329E6" w:rsidRPr="000E1828" w:rsidRDefault="00D329E6" w:rsidP="00D329E6">
            <w:pPr>
              <w:rPr>
                <w:sz w:val="16"/>
                <w:szCs w:val="16"/>
                <w:lang w:val="en-GB"/>
              </w:rPr>
            </w:pPr>
            <w:r>
              <w:rPr>
                <w:sz w:val="16"/>
                <w:szCs w:val="16"/>
                <w:lang w:val="en-GB"/>
              </w:rPr>
              <w:t>OLS r</w:t>
            </w:r>
            <w:r w:rsidRPr="000E1828">
              <w:rPr>
                <w:sz w:val="16"/>
                <w:szCs w:val="16"/>
                <w:lang w:val="en-GB"/>
              </w:rPr>
              <w:t>egression</w:t>
            </w:r>
          </w:p>
          <w:p w14:paraId="2F2798C9" w14:textId="77777777" w:rsidR="00D329E6" w:rsidRPr="000E1828" w:rsidRDefault="00D329E6" w:rsidP="00D329E6">
            <w:pPr>
              <w:rPr>
                <w:sz w:val="16"/>
                <w:szCs w:val="16"/>
                <w:lang w:val="en-GB"/>
              </w:rPr>
            </w:pPr>
          </w:p>
          <w:p w14:paraId="1D1D2B77" w14:textId="77777777" w:rsidR="00D329E6" w:rsidRDefault="00D329E6" w:rsidP="00D329E6">
            <w:pPr>
              <w:rPr>
                <w:sz w:val="16"/>
                <w:szCs w:val="16"/>
                <w:lang w:val="en-GB"/>
              </w:rPr>
            </w:pPr>
            <w:r w:rsidRPr="000E1828">
              <w:rPr>
                <w:sz w:val="16"/>
                <w:szCs w:val="16"/>
                <w:lang w:val="en-GB"/>
              </w:rPr>
              <w:t>Y=</w:t>
            </w:r>
            <w:r>
              <w:rPr>
                <w:sz w:val="16"/>
                <w:szCs w:val="16"/>
                <w:lang w:val="en-GB"/>
              </w:rPr>
              <w:t>Sensitivity of compensation to e</w:t>
            </w:r>
            <w:r w:rsidRPr="000E1828">
              <w:rPr>
                <w:sz w:val="16"/>
                <w:szCs w:val="16"/>
                <w:lang w:val="en-GB"/>
              </w:rPr>
              <w:t>arnings performance</w:t>
            </w:r>
          </w:p>
          <w:p w14:paraId="031942E9" w14:textId="77777777" w:rsidR="00D329E6" w:rsidRPr="000E1828" w:rsidRDefault="00D329E6" w:rsidP="00D329E6">
            <w:pPr>
              <w:rPr>
                <w:sz w:val="16"/>
                <w:szCs w:val="16"/>
                <w:lang w:val="en-GB"/>
              </w:rPr>
            </w:pPr>
            <w:r>
              <w:rPr>
                <w:sz w:val="16"/>
                <w:szCs w:val="16"/>
                <w:lang w:val="en-GB"/>
              </w:rPr>
              <w:t xml:space="preserve">X=Noise in earnings </w:t>
            </w:r>
          </w:p>
        </w:tc>
        <w:tc>
          <w:tcPr>
            <w:tcW w:w="2019" w:type="dxa"/>
          </w:tcPr>
          <w:p w14:paraId="7B288D7A" w14:textId="77777777" w:rsidR="00D329E6" w:rsidRPr="000E1828" w:rsidRDefault="00D329E6" w:rsidP="00D329E6">
            <w:pPr>
              <w:rPr>
                <w:sz w:val="16"/>
                <w:szCs w:val="16"/>
                <w:lang w:val="en-GB"/>
              </w:rPr>
            </w:pPr>
            <w:r>
              <w:rPr>
                <w:sz w:val="16"/>
                <w:szCs w:val="16"/>
                <w:lang w:val="en-GB"/>
              </w:rPr>
              <w:t>Implications for the policy description that earnings-based incentives should replace equity-based incentives.</w:t>
            </w:r>
          </w:p>
        </w:tc>
      </w:tr>
      <w:tr w:rsidR="00D329E6" w:rsidRPr="00A726AB" w14:paraId="56F7B92F" w14:textId="77777777" w:rsidTr="00D329E6">
        <w:tc>
          <w:tcPr>
            <w:tcW w:w="1277" w:type="dxa"/>
          </w:tcPr>
          <w:p w14:paraId="70153AD1" w14:textId="77777777" w:rsidR="00D329E6" w:rsidRPr="000E1828" w:rsidRDefault="00D329E6" w:rsidP="00D329E6">
            <w:pPr>
              <w:rPr>
                <w:sz w:val="16"/>
                <w:szCs w:val="16"/>
                <w:lang w:val="en-GB"/>
              </w:rPr>
            </w:pPr>
            <w:r w:rsidRPr="000E1828">
              <w:rPr>
                <w:sz w:val="16"/>
                <w:szCs w:val="16"/>
                <w:lang w:val="en-GB"/>
              </w:rPr>
              <w:t>Mehran (1995)</w:t>
            </w:r>
          </w:p>
        </w:tc>
        <w:tc>
          <w:tcPr>
            <w:tcW w:w="1708" w:type="dxa"/>
          </w:tcPr>
          <w:p w14:paraId="797E4794" w14:textId="77777777" w:rsidR="00D329E6" w:rsidRPr="000E1828" w:rsidRDefault="00D329E6" w:rsidP="00D329E6">
            <w:pPr>
              <w:rPr>
                <w:sz w:val="16"/>
                <w:szCs w:val="16"/>
                <w:lang w:val="en-GB"/>
              </w:rPr>
            </w:pPr>
            <w:r w:rsidRPr="000E1828">
              <w:rPr>
                <w:sz w:val="16"/>
                <w:szCs w:val="16"/>
                <w:lang w:val="en-GB"/>
              </w:rPr>
              <w:t>Equity-based compensation for top directors</w:t>
            </w:r>
          </w:p>
        </w:tc>
        <w:tc>
          <w:tcPr>
            <w:tcW w:w="2261" w:type="dxa"/>
          </w:tcPr>
          <w:p w14:paraId="7C8CE914" w14:textId="77777777" w:rsidR="00D329E6" w:rsidRPr="000E1828" w:rsidRDefault="00D329E6" w:rsidP="00D329E6">
            <w:pPr>
              <w:rPr>
                <w:sz w:val="16"/>
                <w:szCs w:val="16"/>
                <w:lang w:val="en-GB"/>
              </w:rPr>
            </w:pPr>
            <w:r w:rsidRPr="000E1828">
              <w:rPr>
                <w:sz w:val="16"/>
                <w:szCs w:val="16"/>
                <w:lang w:val="en-GB"/>
              </w:rPr>
              <w:t>Firm performance is positively related to the percentage of equity held by managers and their compensation that is equity-based.</w:t>
            </w:r>
          </w:p>
        </w:tc>
        <w:tc>
          <w:tcPr>
            <w:tcW w:w="1809" w:type="dxa"/>
          </w:tcPr>
          <w:p w14:paraId="44D6AF42" w14:textId="77777777" w:rsidR="00D329E6" w:rsidRPr="000E1828" w:rsidRDefault="00D329E6" w:rsidP="00D329E6">
            <w:pPr>
              <w:rPr>
                <w:sz w:val="16"/>
                <w:szCs w:val="16"/>
                <w:lang w:val="en-GB"/>
              </w:rPr>
            </w:pPr>
            <w:r w:rsidRPr="000E1828">
              <w:rPr>
                <w:sz w:val="16"/>
                <w:szCs w:val="16"/>
                <w:lang w:val="en-GB"/>
              </w:rPr>
              <w:t>Top directors of 153 randomly selected manufacturing firms from 1979-1980</w:t>
            </w:r>
          </w:p>
        </w:tc>
        <w:tc>
          <w:tcPr>
            <w:tcW w:w="1984" w:type="dxa"/>
          </w:tcPr>
          <w:p w14:paraId="7B0E4EB7" w14:textId="77777777" w:rsidR="00D329E6" w:rsidRPr="000E1828" w:rsidRDefault="00D329E6" w:rsidP="00D329E6">
            <w:pPr>
              <w:rPr>
                <w:sz w:val="16"/>
                <w:szCs w:val="16"/>
                <w:lang w:val="en-GB"/>
              </w:rPr>
            </w:pPr>
            <w:r w:rsidRPr="000E1828">
              <w:rPr>
                <w:sz w:val="16"/>
                <w:szCs w:val="16"/>
                <w:lang w:val="en-GB"/>
              </w:rPr>
              <w:t>Cross-sectional OLS regression</w:t>
            </w:r>
          </w:p>
        </w:tc>
        <w:tc>
          <w:tcPr>
            <w:tcW w:w="2019" w:type="dxa"/>
          </w:tcPr>
          <w:p w14:paraId="6EEEB737" w14:textId="77777777" w:rsidR="00D329E6" w:rsidRPr="000E1828" w:rsidRDefault="00D329E6" w:rsidP="00D329E6">
            <w:pPr>
              <w:rPr>
                <w:sz w:val="16"/>
                <w:szCs w:val="16"/>
                <w:lang w:val="en-GB"/>
              </w:rPr>
            </w:pPr>
            <w:r w:rsidRPr="000E1828">
              <w:rPr>
                <w:sz w:val="16"/>
                <w:szCs w:val="16"/>
                <w:lang w:val="en-GB"/>
              </w:rPr>
              <w:t>Underscoring the importance of compensation in the form of equity.</w:t>
            </w:r>
          </w:p>
        </w:tc>
      </w:tr>
      <w:tr w:rsidR="00D329E6" w:rsidRPr="00A726AB" w14:paraId="0A65C8D4" w14:textId="77777777" w:rsidTr="00D329E6">
        <w:tc>
          <w:tcPr>
            <w:tcW w:w="1277" w:type="dxa"/>
          </w:tcPr>
          <w:p w14:paraId="788811D1" w14:textId="77777777" w:rsidR="00D329E6" w:rsidRPr="000E1828" w:rsidRDefault="00D329E6" w:rsidP="00D329E6">
            <w:pPr>
              <w:rPr>
                <w:sz w:val="16"/>
                <w:szCs w:val="16"/>
                <w:lang w:val="en-GB"/>
              </w:rPr>
            </w:pPr>
            <w:r w:rsidRPr="000E1828">
              <w:rPr>
                <w:sz w:val="16"/>
                <w:szCs w:val="16"/>
                <w:lang w:val="en-GB"/>
              </w:rPr>
              <w:t>Cheng &amp; Warfield (2005)</w:t>
            </w:r>
          </w:p>
        </w:tc>
        <w:tc>
          <w:tcPr>
            <w:tcW w:w="1708" w:type="dxa"/>
          </w:tcPr>
          <w:p w14:paraId="172085A6" w14:textId="77777777" w:rsidR="00D329E6" w:rsidRPr="000E1828" w:rsidRDefault="00D329E6" w:rsidP="00D329E6">
            <w:pPr>
              <w:rPr>
                <w:sz w:val="16"/>
                <w:szCs w:val="16"/>
                <w:lang w:val="en-GB"/>
              </w:rPr>
            </w:pPr>
            <w:r>
              <w:rPr>
                <w:sz w:val="16"/>
                <w:szCs w:val="16"/>
                <w:lang w:val="en-GB"/>
              </w:rPr>
              <w:t>Equity incentives and earnings management</w:t>
            </w:r>
          </w:p>
        </w:tc>
        <w:tc>
          <w:tcPr>
            <w:tcW w:w="2261" w:type="dxa"/>
          </w:tcPr>
          <w:p w14:paraId="55B3FB8F" w14:textId="77777777" w:rsidR="00D329E6" w:rsidRPr="000E1828" w:rsidRDefault="00D329E6" w:rsidP="00D329E6">
            <w:pPr>
              <w:rPr>
                <w:sz w:val="16"/>
                <w:szCs w:val="16"/>
                <w:lang w:val="en-GB"/>
              </w:rPr>
            </w:pPr>
            <w:r>
              <w:rPr>
                <w:sz w:val="16"/>
                <w:szCs w:val="16"/>
                <w:lang w:val="en-GB"/>
              </w:rPr>
              <w:t>Positive relation between equity-based compensation and earnings management</w:t>
            </w:r>
          </w:p>
        </w:tc>
        <w:tc>
          <w:tcPr>
            <w:tcW w:w="1809" w:type="dxa"/>
          </w:tcPr>
          <w:p w14:paraId="74C67703" w14:textId="77777777" w:rsidR="00D329E6" w:rsidRPr="000E1828" w:rsidRDefault="00D329E6" w:rsidP="00D329E6">
            <w:pPr>
              <w:rPr>
                <w:sz w:val="16"/>
                <w:szCs w:val="16"/>
                <w:lang w:val="en-GB"/>
              </w:rPr>
            </w:pPr>
            <w:r>
              <w:rPr>
                <w:sz w:val="16"/>
                <w:szCs w:val="16"/>
                <w:lang w:val="en-GB"/>
              </w:rPr>
              <w:t>CEOs compensation in 9472 firm-years from 1993 to 2000.</w:t>
            </w:r>
          </w:p>
        </w:tc>
        <w:tc>
          <w:tcPr>
            <w:tcW w:w="1984" w:type="dxa"/>
          </w:tcPr>
          <w:p w14:paraId="7CD094AA" w14:textId="77777777" w:rsidR="00D329E6" w:rsidRDefault="00D329E6" w:rsidP="00D329E6">
            <w:pPr>
              <w:rPr>
                <w:sz w:val="16"/>
                <w:szCs w:val="16"/>
                <w:lang w:val="en-GB"/>
              </w:rPr>
            </w:pPr>
            <w:r>
              <w:rPr>
                <w:sz w:val="16"/>
                <w:szCs w:val="16"/>
                <w:lang w:val="en-GB"/>
              </w:rPr>
              <w:t>OLS regression</w:t>
            </w:r>
          </w:p>
          <w:p w14:paraId="68E43138" w14:textId="77777777" w:rsidR="00D329E6" w:rsidRDefault="00D329E6" w:rsidP="00D329E6">
            <w:pPr>
              <w:rPr>
                <w:sz w:val="16"/>
                <w:szCs w:val="16"/>
                <w:lang w:val="en-GB"/>
              </w:rPr>
            </w:pPr>
          </w:p>
          <w:p w14:paraId="15412E1A" w14:textId="77777777" w:rsidR="00D329E6" w:rsidRPr="0002066B" w:rsidRDefault="00D329E6" w:rsidP="00D329E6">
            <w:pPr>
              <w:rPr>
                <w:sz w:val="16"/>
                <w:szCs w:val="16"/>
                <w:lang w:val="en-GB"/>
              </w:rPr>
            </w:pPr>
          </w:p>
        </w:tc>
        <w:tc>
          <w:tcPr>
            <w:tcW w:w="2019" w:type="dxa"/>
          </w:tcPr>
          <w:p w14:paraId="00925F7C"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r w:rsidR="00D329E6" w:rsidRPr="00A726AB" w14:paraId="2B36BFEE" w14:textId="77777777" w:rsidTr="00D329E6">
        <w:tc>
          <w:tcPr>
            <w:tcW w:w="1277" w:type="dxa"/>
          </w:tcPr>
          <w:p w14:paraId="7DD62A01" w14:textId="77777777" w:rsidR="00D329E6" w:rsidRPr="000E1828" w:rsidRDefault="00D329E6" w:rsidP="00D329E6">
            <w:pPr>
              <w:rPr>
                <w:sz w:val="16"/>
                <w:szCs w:val="16"/>
                <w:lang w:val="en-GB"/>
              </w:rPr>
            </w:pPr>
            <w:r w:rsidRPr="000E1828">
              <w:rPr>
                <w:sz w:val="16"/>
                <w:szCs w:val="16"/>
                <w:lang w:val="en-GB"/>
              </w:rPr>
              <w:t>Burns &amp; Kedia (2006)</w:t>
            </w:r>
          </w:p>
        </w:tc>
        <w:tc>
          <w:tcPr>
            <w:tcW w:w="1708" w:type="dxa"/>
          </w:tcPr>
          <w:p w14:paraId="1C166E86" w14:textId="77777777" w:rsidR="00D329E6" w:rsidRPr="000E1828" w:rsidRDefault="00D329E6" w:rsidP="00D329E6">
            <w:pPr>
              <w:rPr>
                <w:sz w:val="16"/>
                <w:szCs w:val="16"/>
                <w:lang w:val="en-GB"/>
              </w:rPr>
            </w:pPr>
            <w:r>
              <w:rPr>
                <w:sz w:val="16"/>
                <w:szCs w:val="16"/>
                <w:lang w:val="en-GB"/>
              </w:rPr>
              <w:t>Equity incentives and misreporting</w:t>
            </w:r>
          </w:p>
        </w:tc>
        <w:tc>
          <w:tcPr>
            <w:tcW w:w="2261" w:type="dxa"/>
          </w:tcPr>
          <w:p w14:paraId="239ADA2E" w14:textId="77777777" w:rsidR="00D329E6" w:rsidRPr="000E1828" w:rsidRDefault="00D329E6" w:rsidP="00D329E6">
            <w:pPr>
              <w:rPr>
                <w:sz w:val="16"/>
                <w:szCs w:val="16"/>
                <w:lang w:val="en-GB"/>
              </w:rPr>
            </w:pPr>
            <w:r>
              <w:rPr>
                <w:sz w:val="16"/>
                <w:szCs w:val="16"/>
                <w:lang w:val="en-GB"/>
              </w:rPr>
              <w:t xml:space="preserve">Positive relation between the CEOs option portfolio and misreporting. </w:t>
            </w:r>
          </w:p>
        </w:tc>
        <w:tc>
          <w:tcPr>
            <w:tcW w:w="1809" w:type="dxa"/>
          </w:tcPr>
          <w:p w14:paraId="06B0E5D7" w14:textId="77777777" w:rsidR="00D329E6" w:rsidRPr="000E1828" w:rsidRDefault="00D329E6" w:rsidP="00D329E6">
            <w:pPr>
              <w:rPr>
                <w:sz w:val="16"/>
                <w:szCs w:val="16"/>
                <w:lang w:val="en-GB"/>
              </w:rPr>
            </w:pPr>
            <w:r>
              <w:rPr>
                <w:sz w:val="16"/>
                <w:szCs w:val="16"/>
                <w:lang w:val="en-GB"/>
              </w:rPr>
              <w:t xml:space="preserve">215 restating firms from 1995 to 2001 </w:t>
            </w:r>
          </w:p>
        </w:tc>
        <w:tc>
          <w:tcPr>
            <w:tcW w:w="1984" w:type="dxa"/>
          </w:tcPr>
          <w:p w14:paraId="4B6E1563" w14:textId="77777777" w:rsidR="00D329E6" w:rsidRDefault="00D329E6" w:rsidP="00D329E6">
            <w:pPr>
              <w:rPr>
                <w:sz w:val="16"/>
                <w:szCs w:val="16"/>
                <w:lang w:val="en-GB"/>
              </w:rPr>
            </w:pPr>
            <w:r>
              <w:rPr>
                <w:sz w:val="16"/>
                <w:szCs w:val="16"/>
                <w:lang w:val="en-GB"/>
              </w:rPr>
              <w:t>Logistic regression</w:t>
            </w:r>
          </w:p>
          <w:p w14:paraId="59375E37" w14:textId="77777777" w:rsidR="00D329E6" w:rsidRDefault="00D329E6" w:rsidP="00D329E6">
            <w:pPr>
              <w:rPr>
                <w:sz w:val="16"/>
                <w:szCs w:val="16"/>
                <w:lang w:val="en-GB"/>
              </w:rPr>
            </w:pPr>
          </w:p>
          <w:p w14:paraId="3C26495C" w14:textId="77777777" w:rsidR="00D329E6" w:rsidRDefault="00D329E6" w:rsidP="00D329E6">
            <w:pPr>
              <w:rPr>
                <w:sz w:val="16"/>
                <w:szCs w:val="16"/>
                <w:lang w:val="en-GB"/>
              </w:rPr>
            </w:pPr>
            <w:r>
              <w:rPr>
                <w:sz w:val="16"/>
                <w:szCs w:val="16"/>
                <w:lang w:val="en-GB"/>
              </w:rPr>
              <w:t>Y=Misreporting</w:t>
            </w:r>
          </w:p>
          <w:p w14:paraId="23D91F0C" w14:textId="77777777" w:rsidR="00D329E6" w:rsidRPr="000E1828" w:rsidRDefault="00D329E6" w:rsidP="00D329E6">
            <w:pPr>
              <w:rPr>
                <w:sz w:val="16"/>
                <w:szCs w:val="16"/>
                <w:lang w:val="en-GB"/>
              </w:rPr>
            </w:pPr>
            <w:r>
              <w:rPr>
                <w:sz w:val="16"/>
                <w:szCs w:val="16"/>
                <w:lang w:val="en-GB"/>
              </w:rPr>
              <w:t>X=CEO equity incentives</w:t>
            </w:r>
          </w:p>
        </w:tc>
        <w:tc>
          <w:tcPr>
            <w:tcW w:w="2019" w:type="dxa"/>
          </w:tcPr>
          <w:p w14:paraId="5B88D3EB"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r w:rsidR="00D329E6" w:rsidRPr="00A726AB" w14:paraId="46A8EA9E" w14:textId="77777777" w:rsidTr="00D329E6">
        <w:tc>
          <w:tcPr>
            <w:tcW w:w="1277" w:type="dxa"/>
          </w:tcPr>
          <w:p w14:paraId="6E6DD3F7" w14:textId="77777777" w:rsidR="00D329E6" w:rsidRPr="000E1828" w:rsidRDefault="00D329E6" w:rsidP="00D329E6">
            <w:pPr>
              <w:rPr>
                <w:sz w:val="16"/>
                <w:szCs w:val="16"/>
                <w:lang w:val="en-GB"/>
              </w:rPr>
            </w:pPr>
            <w:r w:rsidRPr="000E1828">
              <w:rPr>
                <w:sz w:val="16"/>
                <w:szCs w:val="16"/>
                <w:lang w:val="en-GB"/>
              </w:rPr>
              <w:t>Bergstresser &amp; Philippon (2006)</w:t>
            </w:r>
          </w:p>
        </w:tc>
        <w:tc>
          <w:tcPr>
            <w:tcW w:w="1708" w:type="dxa"/>
          </w:tcPr>
          <w:p w14:paraId="0669A804" w14:textId="77777777" w:rsidR="00D329E6" w:rsidRPr="000E1828" w:rsidRDefault="00D329E6" w:rsidP="00D329E6">
            <w:pPr>
              <w:rPr>
                <w:sz w:val="16"/>
                <w:szCs w:val="16"/>
                <w:lang w:val="en-GB"/>
              </w:rPr>
            </w:pPr>
            <w:r>
              <w:rPr>
                <w:sz w:val="16"/>
                <w:szCs w:val="16"/>
                <w:lang w:val="en-GB"/>
              </w:rPr>
              <w:t>Equity incentives and misreporting</w:t>
            </w:r>
          </w:p>
        </w:tc>
        <w:tc>
          <w:tcPr>
            <w:tcW w:w="2261" w:type="dxa"/>
          </w:tcPr>
          <w:p w14:paraId="1E5F498B" w14:textId="77777777" w:rsidR="00D329E6" w:rsidRPr="000E1828" w:rsidRDefault="00D329E6" w:rsidP="00D329E6">
            <w:pPr>
              <w:rPr>
                <w:sz w:val="16"/>
                <w:szCs w:val="16"/>
                <w:lang w:val="en-GB"/>
              </w:rPr>
            </w:pPr>
            <w:r>
              <w:rPr>
                <w:sz w:val="16"/>
                <w:szCs w:val="16"/>
                <w:lang w:val="en-GB"/>
              </w:rPr>
              <w:t>Positive relation between equity-based compensation and discretionary accruals.</w:t>
            </w:r>
          </w:p>
        </w:tc>
        <w:tc>
          <w:tcPr>
            <w:tcW w:w="1809" w:type="dxa"/>
          </w:tcPr>
          <w:p w14:paraId="489513CA" w14:textId="77777777" w:rsidR="00D329E6" w:rsidRPr="000E1828" w:rsidRDefault="00D329E6" w:rsidP="00D329E6">
            <w:pPr>
              <w:rPr>
                <w:sz w:val="16"/>
                <w:szCs w:val="16"/>
                <w:lang w:val="en-GB"/>
              </w:rPr>
            </w:pPr>
            <w:r>
              <w:rPr>
                <w:sz w:val="16"/>
                <w:szCs w:val="16"/>
                <w:lang w:val="en-GB"/>
              </w:rPr>
              <w:t xml:space="preserve">Over 4000 observations </w:t>
            </w:r>
          </w:p>
        </w:tc>
        <w:tc>
          <w:tcPr>
            <w:tcW w:w="1984" w:type="dxa"/>
          </w:tcPr>
          <w:p w14:paraId="1A25125D" w14:textId="77777777" w:rsidR="00D329E6" w:rsidRDefault="00D329E6" w:rsidP="00D329E6">
            <w:pPr>
              <w:rPr>
                <w:sz w:val="16"/>
                <w:szCs w:val="16"/>
                <w:lang w:val="en-GB"/>
              </w:rPr>
            </w:pPr>
            <w:r>
              <w:rPr>
                <w:sz w:val="16"/>
                <w:szCs w:val="16"/>
                <w:lang w:val="en-GB"/>
              </w:rPr>
              <w:t>OLS Regression</w:t>
            </w:r>
          </w:p>
          <w:p w14:paraId="1B3E356E" w14:textId="77777777" w:rsidR="00D329E6" w:rsidRDefault="00D329E6" w:rsidP="00D329E6">
            <w:pPr>
              <w:rPr>
                <w:sz w:val="16"/>
                <w:szCs w:val="16"/>
                <w:lang w:val="en-GB"/>
              </w:rPr>
            </w:pPr>
          </w:p>
          <w:p w14:paraId="3C9486EA" w14:textId="77777777" w:rsidR="00D329E6" w:rsidRDefault="00D329E6" w:rsidP="00D329E6">
            <w:pPr>
              <w:rPr>
                <w:sz w:val="16"/>
                <w:szCs w:val="16"/>
                <w:lang w:val="en-GB"/>
              </w:rPr>
            </w:pPr>
            <w:r>
              <w:rPr>
                <w:sz w:val="16"/>
                <w:szCs w:val="16"/>
                <w:lang w:val="en-GB"/>
              </w:rPr>
              <w:t>Y=Accruals</w:t>
            </w:r>
          </w:p>
          <w:p w14:paraId="2908A390" w14:textId="77777777" w:rsidR="00D329E6" w:rsidRPr="000E1828" w:rsidRDefault="00D329E6" w:rsidP="00D329E6">
            <w:pPr>
              <w:rPr>
                <w:sz w:val="16"/>
                <w:szCs w:val="16"/>
                <w:lang w:val="en-GB"/>
              </w:rPr>
            </w:pPr>
            <w:r>
              <w:rPr>
                <w:sz w:val="16"/>
                <w:szCs w:val="16"/>
                <w:lang w:val="en-GB"/>
              </w:rPr>
              <w:t>X=CEO equity incentives</w:t>
            </w:r>
          </w:p>
        </w:tc>
        <w:tc>
          <w:tcPr>
            <w:tcW w:w="2019" w:type="dxa"/>
          </w:tcPr>
          <w:p w14:paraId="4B779C03"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r w:rsidR="00D329E6" w:rsidRPr="00A726AB" w14:paraId="72D486AF" w14:textId="77777777" w:rsidTr="00D329E6">
        <w:tc>
          <w:tcPr>
            <w:tcW w:w="1277" w:type="dxa"/>
          </w:tcPr>
          <w:p w14:paraId="593D8CD5" w14:textId="77777777" w:rsidR="00D329E6" w:rsidRPr="000E1828" w:rsidRDefault="00D329E6" w:rsidP="00D329E6">
            <w:pPr>
              <w:rPr>
                <w:sz w:val="16"/>
                <w:szCs w:val="16"/>
                <w:lang w:val="en-GB"/>
              </w:rPr>
            </w:pPr>
            <w:r w:rsidRPr="000E1828">
              <w:rPr>
                <w:sz w:val="16"/>
                <w:szCs w:val="16"/>
                <w:lang w:val="en-GB"/>
              </w:rPr>
              <w:t>Efendi et al. (2007)</w:t>
            </w:r>
          </w:p>
        </w:tc>
        <w:tc>
          <w:tcPr>
            <w:tcW w:w="1708" w:type="dxa"/>
          </w:tcPr>
          <w:p w14:paraId="2950B4A0" w14:textId="77777777" w:rsidR="00D329E6" w:rsidRPr="000E1828" w:rsidRDefault="00D329E6" w:rsidP="00D329E6">
            <w:pPr>
              <w:rPr>
                <w:sz w:val="16"/>
                <w:szCs w:val="16"/>
                <w:lang w:val="en-GB"/>
              </w:rPr>
            </w:pPr>
            <w:r>
              <w:rPr>
                <w:sz w:val="16"/>
                <w:szCs w:val="16"/>
                <w:lang w:val="en-GB"/>
              </w:rPr>
              <w:t>Equity incentives and misstatements</w:t>
            </w:r>
          </w:p>
        </w:tc>
        <w:tc>
          <w:tcPr>
            <w:tcW w:w="2261" w:type="dxa"/>
          </w:tcPr>
          <w:p w14:paraId="182E3186" w14:textId="77777777" w:rsidR="00D329E6" w:rsidRPr="000E1828" w:rsidRDefault="00D329E6" w:rsidP="00D329E6">
            <w:pPr>
              <w:rPr>
                <w:sz w:val="16"/>
                <w:szCs w:val="16"/>
                <w:lang w:val="en-GB"/>
              </w:rPr>
            </w:pPr>
            <w:r>
              <w:rPr>
                <w:sz w:val="16"/>
                <w:szCs w:val="16"/>
                <w:lang w:val="en-GB"/>
              </w:rPr>
              <w:t xml:space="preserve">Positive relation between equity-based compensation and misstatements. </w:t>
            </w:r>
          </w:p>
        </w:tc>
        <w:tc>
          <w:tcPr>
            <w:tcW w:w="1809" w:type="dxa"/>
          </w:tcPr>
          <w:p w14:paraId="3F2E9B86" w14:textId="77777777" w:rsidR="00D329E6" w:rsidRPr="000E1828" w:rsidRDefault="00D329E6" w:rsidP="00D329E6">
            <w:pPr>
              <w:rPr>
                <w:sz w:val="16"/>
                <w:szCs w:val="16"/>
                <w:lang w:val="en-GB"/>
              </w:rPr>
            </w:pPr>
            <w:r>
              <w:rPr>
                <w:sz w:val="16"/>
                <w:szCs w:val="16"/>
                <w:lang w:val="en-GB"/>
              </w:rPr>
              <w:t>190 companies that restated from 1997 to 2002.</w:t>
            </w:r>
          </w:p>
        </w:tc>
        <w:tc>
          <w:tcPr>
            <w:tcW w:w="1984" w:type="dxa"/>
          </w:tcPr>
          <w:p w14:paraId="7A114635" w14:textId="77777777" w:rsidR="00D329E6" w:rsidRDefault="00D329E6" w:rsidP="00D329E6">
            <w:pPr>
              <w:rPr>
                <w:sz w:val="16"/>
                <w:szCs w:val="16"/>
                <w:lang w:val="en-GB"/>
              </w:rPr>
            </w:pPr>
            <w:r>
              <w:rPr>
                <w:sz w:val="16"/>
                <w:szCs w:val="16"/>
                <w:lang w:val="en-GB"/>
              </w:rPr>
              <w:t>Multivariate regression</w:t>
            </w:r>
          </w:p>
          <w:p w14:paraId="03BF59FE" w14:textId="77777777" w:rsidR="00D329E6" w:rsidRDefault="00D329E6" w:rsidP="00D329E6">
            <w:pPr>
              <w:rPr>
                <w:sz w:val="16"/>
                <w:szCs w:val="16"/>
                <w:lang w:val="en-GB"/>
              </w:rPr>
            </w:pPr>
          </w:p>
          <w:p w14:paraId="5EEC06C4" w14:textId="77777777" w:rsidR="00D329E6" w:rsidRDefault="00D329E6" w:rsidP="00D329E6">
            <w:pPr>
              <w:rPr>
                <w:sz w:val="16"/>
                <w:szCs w:val="16"/>
                <w:lang w:val="en-GB"/>
              </w:rPr>
            </w:pPr>
            <w:r>
              <w:rPr>
                <w:sz w:val="16"/>
                <w:szCs w:val="16"/>
                <w:lang w:val="en-GB"/>
              </w:rPr>
              <w:t>Y=Likelihood of restatement</w:t>
            </w:r>
          </w:p>
          <w:p w14:paraId="1FCC6E76" w14:textId="77777777" w:rsidR="00D329E6" w:rsidRPr="000E1828" w:rsidRDefault="00D329E6" w:rsidP="00D329E6">
            <w:pPr>
              <w:rPr>
                <w:sz w:val="16"/>
                <w:szCs w:val="16"/>
                <w:lang w:val="en-GB"/>
              </w:rPr>
            </w:pPr>
            <w:r>
              <w:rPr>
                <w:sz w:val="16"/>
                <w:szCs w:val="16"/>
                <w:lang w:val="en-GB"/>
              </w:rPr>
              <w:t>X=Equity compensation</w:t>
            </w:r>
          </w:p>
        </w:tc>
        <w:tc>
          <w:tcPr>
            <w:tcW w:w="2019" w:type="dxa"/>
          </w:tcPr>
          <w:p w14:paraId="00B675DE"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r w:rsidR="00D329E6" w:rsidRPr="00A726AB" w14:paraId="6752499B" w14:textId="77777777" w:rsidTr="002C71AA">
        <w:trPr>
          <w:trHeight w:val="77"/>
        </w:trPr>
        <w:tc>
          <w:tcPr>
            <w:tcW w:w="1277" w:type="dxa"/>
          </w:tcPr>
          <w:p w14:paraId="5E3FDAE3" w14:textId="77777777" w:rsidR="00D329E6" w:rsidRPr="000E1828" w:rsidRDefault="00D329E6" w:rsidP="00D329E6">
            <w:pPr>
              <w:rPr>
                <w:sz w:val="16"/>
                <w:szCs w:val="16"/>
                <w:lang w:val="en-GB"/>
              </w:rPr>
            </w:pPr>
            <w:r w:rsidRPr="000E1828">
              <w:rPr>
                <w:sz w:val="16"/>
                <w:szCs w:val="16"/>
                <w:lang w:val="en-GB"/>
              </w:rPr>
              <w:t>Larcker et al. (2007)</w:t>
            </w:r>
          </w:p>
        </w:tc>
        <w:tc>
          <w:tcPr>
            <w:tcW w:w="1708" w:type="dxa"/>
          </w:tcPr>
          <w:p w14:paraId="52BD30D2" w14:textId="77777777" w:rsidR="00D329E6" w:rsidRPr="000E1828" w:rsidRDefault="00D329E6" w:rsidP="00D329E6">
            <w:pPr>
              <w:rPr>
                <w:sz w:val="16"/>
                <w:szCs w:val="16"/>
                <w:lang w:val="en-GB"/>
              </w:rPr>
            </w:pPr>
            <w:r>
              <w:rPr>
                <w:sz w:val="16"/>
                <w:szCs w:val="16"/>
                <w:lang w:val="en-GB"/>
              </w:rPr>
              <w:t xml:space="preserve">Association between corporate governance factors and accounting </w:t>
            </w:r>
            <w:r>
              <w:rPr>
                <w:sz w:val="16"/>
                <w:szCs w:val="16"/>
                <w:lang w:val="en-GB"/>
              </w:rPr>
              <w:lastRenderedPageBreak/>
              <w:t>outcomes</w:t>
            </w:r>
          </w:p>
        </w:tc>
        <w:tc>
          <w:tcPr>
            <w:tcW w:w="2261" w:type="dxa"/>
          </w:tcPr>
          <w:p w14:paraId="3F06D9E1" w14:textId="77777777" w:rsidR="00D329E6" w:rsidRPr="000E1828" w:rsidRDefault="00D329E6" w:rsidP="00D329E6">
            <w:pPr>
              <w:rPr>
                <w:sz w:val="16"/>
                <w:szCs w:val="16"/>
                <w:lang w:val="en-GB"/>
              </w:rPr>
            </w:pPr>
            <w:r>
              <w:rPr>
                <w:sz w:val="16"/>
                <w:szCs w:val="16"/>
                <w:lang w:val="en-GB"/>
              </w:rPr>
              <w:lastRenderedPageBreak/>
              <w:t>Little relation between 14 dimensions of corporate governance and restatements.</w:t>
            </w:r>
          </w:p>
        </w:tc>
        <w:tc>
          <w:tcPr>
            <w:tcW w:w="1809" w:type="dxa"/>
          </w:tcPr>
          <w:p w14:paraId="04E174AB" w14:textId="77777777" w:rsidR="00D329E6" w:rsidRPr="000E1828" w:rsidRDefault="00D329E6" w:rsidP="00D329E6">
            <w:pPr>
              <w:rPr>
                <w:sz w:val="16"/>
                <w:szCs w:val="16"/>
                <w:lang w:val="en-GB"/>
              </w:rPr>
            </w:pPr>
            <w:r>
              <w:rPr>
                <w:sz w:val="16"/>
                <w:szCs w:val="16"/>
                <w:lang w:val="en-GB"/>
              </w:rPr>
              <w:t>2106 firms from 2002 to 2003</w:t>
            </w:r>
          </w:p>
        </w:tc>
        <w:tc>
          <w:tcPr>
            <w:tcW w:w="1984" w:type="dxa"/>
          </w:tcPr>
          <w:p w14:paraId="5845751F" w14:textId="77777777" w:rsidR="00D329E6" w:rsidRDefault="00D329E6" w:rsidP="00D329E6">
            <w:pPr>
              <w:rPr>
                <w:sz w:val="16"/>
                <w:szCs w:val="16"/>
                <w:lang w:val="en-GB"/>
              </w:rPr>
            </w:pPr>
            <w:r>
              <w:rPr>
                <w:sz w:val="16"/>
                <w:szCs w:val="16"/>
                <w:lang w:val="en-GB"/>
              </w:rPr>
              <w:t>Logistic regression</w:t>
            </w:r>
          </w:p>
          <w:p w14:paraId="7BAB1E85" w14:textId="77777777" w:rsidR="00D329E6" w:rsidRDefault="00D329E6" w:rsidP="00D329E6">
            <w:pPr>
              <w:rPr>
                <w:sz w:val="16"/>
                <w:szCs w:val="16"/>
                <w:lang w:val="en-GB"/>
              </w:rPr>
            </w:pPr>
          </w:p>
          <w:p w14:paraId="6EBEC29C" w14:textId="77777777" w:rsidR="00D329E6" w:rsidRDefault="00D329E6" w:rsidP="00D329E6">
            <w:pPr>
              <w:rPr>
                <w:sz w:val="16"/>
                <w:szCs w:val="16"/>
                <w:lang w:val="en-GB"/>
              </w:rPr>
            </w:pPr>
            <w:r>
              <w:rPr>
                <w:sz w:val="16"/>
                <w:szCs w:val="16"/>
                <w:lang w:val="en-GB"/>
              </w:rPr>
              <w:t>Y=Restatement</w:t>
            </w:r>
          </w:p>
          <w:p w14:paraId="273CC2E6" w14:textId="77777777" w:rsidR="00D329E6" w:rsidRPr="000E1828" w:rsidRDefault="00D329E6" w:rsidP="00D329E6">
            <w:pPr>
              <w:rPr>
                <w:sz w:val="16"/>
                <w:szCs w:val="16"/>
                <w:lang w:val="en-GB"/>
              </w:rPr>
            </w:pPr>
            <w:r>
              <w:rPr>
                <w:sz w:val="16"/>
                <w:szCs w:val="16"/>
                <w:lang w:val="en-GB"/>
              </w:rPr>
              <w:lastRenderedPageBreak/>
              <w:t>X=Governance factors</w:t>
            </w:r>
          </w:p>
        </w:tc>
        <w:tc>
          <w:tcPr>
            <w:tcW w:w="2019" w:type="dxa"/>
          </w:tcPr>
          <w:p w14:paraId="610DBE81" w14:textId="77777777" w:rsidR="00D329E6" w:rsidRPr="000E1828" w:rsidRDefault="00D329E6" w:rsidP="00D329E6">
            <w:pPr>
              <w:rPr>
                <w:sz w:val="16"/>
                <w:szCs w:val="16"/>
                <w:lang w:val="en-GB"/>
              </w:rPr>
            </w:pPr>
            <w:r>
              <w:rPr>
                <w:sz w:val="16"/>
                <w:szCs w:val="16"/>
                <w:lang w:val="en-GB"/>
              </w:rPr>
              <w:lastRenderedPageBreak/>
              <w:t xml:space="preserve">Provides insights in the optimal construction of governance structures </w:t>
            </w:r>
            <w:r>
              <w:rPr>
                <w:sz w:val="16"/>
                <w:szCs w:val="16"/>
                <w:lang w:val="en-GB"/>
              </w:rPr>
              <w:lastRenderedPageBreak/>
              <w:t>regarding accounting performance.</w:t>
            </w:r>
          </w:p>
        </w:tc>
      </w:tr>
      <w:tr w:rsidR="00D329E6" w:rsidRPr="00A726AB" w14:paraId="78AA3DAC" w14:textId="77777777" w:rsidTr="00D329E6">
        <w:tc>
          <w:tcPr>
            <w:tcW w:w="1277" w:type="dxa"/>
          </w:tcPr>
          <w:p w14:paraId="5ADEAAFB" w14:textId="77777777" w:rsidR="00D329E6" w:rsidRPr="000E1828" w:rsidRDefault="00D329E6" w:rsidP="00D329E6">
            <w:pPr>
              <w:rPr>
                <w:sz w:val="16"/>
                <w:szCs w:val="16"/>
                <w:lang w:val="en-GB"/>
              </w:rPr>
            </w:pPr>
            <w:r w:rsidRPr="000E1828">
              <w:rPr>
                <w:sz w:val="16"/>
                <w:szCs w:val="16"/>
                <w:lang w:val="en-GB"/>
              </w:rPr>
              <w:lastRenderedPageBreak/>
              <w:t>Cheng &amp; Farber (2008)</w:t>
            </w:r>
          </w:p>
        </w:tc>
        <w:tc>
          <w:tcPr>
            <w:tcW w:w="1708" w:type="dxa"/>
          </w:tcPr>
          <w:p w14:paraId="2B5239B3" w14:textId="77777777" w:rsidR="00D329E6" w:rsidRPr="000E1828" w:rsidRDefault="00D329E6" w:rsidP="00D329E6">
            <w:pPr>
              <w:rPr>
                <w:sz w:val="16"/>
                <w:szCs w:val="16"/>
                <w:lang w:val="en-GB"/>
              </w:rPr>
            </w:pPr>
            <w:r>
              <w:rPr>
                <w:sz w:val="16"/>
                <w:szCs w:val="16"/>
                <w:lang w:val="en-GB"/>
              </w:rPr>
              <w:t>Equity incentives and misreporting</w:t>
            </w:r>
          </w:p>
        </w:tc>
        <w:tc>
          <w:tcPr>
            <w:tcW w:w="2261" w:type="dxa"/>
          </w:tcPr>
          <w:p w14:paraId="0C7C4BB1" w14:textId="77777777" w:rsidR="00D329E6" w:rsidRPr="000E1828" w:rsidRDefault="00D329E6" w:rsidP="00D329E6">
            <w:pPr>
              <w:rPr>
                <w:sz w:val="16"/>
                <w:szCs w:val="16"/>
                <w:lang w:val="en-GB"/>
              </w:rPr>
            </w:pPr>
            <w:r>
              <w:rPr>
                <w:sz w:val="16"/>
                <w:szCs w:val="16"/>
                <w:lang w:val="en-GB"/>
              </w:rPr>
              <w:t>Proportion of CEOs equity compensation declines in the two years after the restatement.</w:t>
            </w:r>
          </w:p>
        </w:tc>
        <w:tc>
          <w:tcPr>
            <w:tcW w:w="1809" w:type="dxa"/>
          </w:tcPr>
          <w:p w14:paraId="1770799B" w14:textId="77777777" w:rsidR="00D329E6" w:rsidRPr="000E1828" w:rsidRDefault="00D329E6" w:rsidP="00D329E6">
            <w:pPr>
              <w:rPr>
                <w:sz w:val="16"/>
                <w:szCs w:val="16"/>
                <w:lang w:val="en-GB"/>
              </w:rPr>
            </w:pPr>
            <w:r>
              <w:rPr>
                <w:sz w:val="16"/>
                <w:szCs w:val="16"/>
                <w:lang w:val="en-GB"/>
              </w:rPr>
              <w:t xml:space="preserve">289 restatement firms from 1997 to 2001 </w:t>
            </w:r>
          </w:p>
        </w:tc>
        <w:tc>
          <w:tcPr>
            <w:tcW w:w="1984" w:type="dxa"/>
          </w:tcPr>
          <w:p w14:paraId="50F5DA8B" w14:textId="77777777" w:rsidR="00D329E6" w:rsidRDefault="00D329E6" w:rsidP="00D329E6">
            <w:pPr>
              <w:rPr>
                <w:sz w:val="16"/>
                <w:szCs w:val="16"/>
                <w:lang w:val="en-GB"/>
              </w:rPr>
            </w:pPr>
            <w:r>
              <w:rPr>
                <w:sz w:val="16"/>
                <w:szCs w:val="16"/>
                <w:lang w:val="en-GB"/>
              </w:rPr>
              <w:t>OLS regression</w:t>
            </w:r>
          </w:p>
          <w:p w14:paraId="02CDD8EC" w14:textId="77777777" w:rsidR="00D329E6" w:rsidRDefault="00D329E6" w:rsidP="00D329E6">
            <w:pPr>
              <w:rPr>
                <w:sz w:val="16"/>
                <w:szCs w:val="16"/>
                <w:lang w:val="en-GB"/>
              </w:rPr>
            </w:pPr>
          </w:p>
          <w:p w14:paraId="2E0781B8" w14:textId="77777777" w:rsidR="00D329E6" w:rsidRDefault="00D329E6" w:rsidP="00D329E6">
            <w:pPr>
              <w:rPr>
                <w:sz w:val="16"/>
                <w:szCs w:val="16"/>
                <w:lang w:val="en-GB"/>
              </w:rPr>
            </w:pPr>
            <w:r>
              <w:rPr>
                <w:sz w:val="16"/>
                <w:szCs w:val="16"/>
                <w:lang w:val="en-GB"/>
              </w:rPr>
              <w:t>Y=Change in CEO equity compensation</w:t>
            </w:r>
          </w:p>
          <w:p w14:paraId="71083B39" w14:textId="77777777" w:rsidR="00D329E6" w:rsidRPr="000E1828" w:rsidRDefault="00D329E6" w:rsidP="00D329E6">
            <w:pPr>
              <w:rPr>
                <w:sz w:val="16"/>
                <w:szCs w:val="16"/>
                <w:lang w:val="en-GB"/>
              </w:rPr>
            </w:pPr>
            <w:r>
              <w:rPr>
                <w:sz w:val="16"/>
                <w:szCs w:val="16"/>
                <w:lang w:val="en-GB"/>
              </w:rPr>
              <w:t>X=Restatement</w:t>
            </w:r>
          </w:p>
        </w:tc>
        <w:tc>
          <w:tcPr>
            <w:tcW w:w="2019" w:type="dxa"/>
          </w:tcPr>
          <w:p w14:paraId="63D4E035"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r w:rsidR="00D329E6" w:rsidRPr="00A726AB" w14:paraId="127507B5" w14:textId="77777777" w:rsidTr="00D329E6">
        <w:tc>
          <w:tcPr>
            <w:tcW w:w="1277" w:type="dxa"/>
          </w:tcPr>
          <w:p w14:paraId="360CE952" w14:textId="77777777" w:rsidR="00D329E6" w:rsidRPr="000E1828" w:rsidRDefault="00D329E6" w:rsidP="00D329E6">
            <w:pPr>
              <w:rPr>
                <w:sz w:val="16"/>
                <w:szCs w:val="16"/>
                <w:lang w:val="en-GB"/>
              </w:rPr>
            </w:pPr>
            <w:r w:rsidRPr="000E1828">
              <w:rPr>
                <w:sz w:val="16"/>
                <w:szCs w:val="16"/>
                <w:lang w:val="en-GB"/>
              </w:rPr>
              <w:t>Cornett et al. (2008)</w:t>
            </w:r>
          </w:p>
        </w:tc>
        <w:tc>
          <w:tcPr>
            <w:tcW w:w="1708" w:type="dxa"/>
          </w:tcPr>
          <w:p w14:paraId="285FAFC1" w14:textId="77777777" w:rsidR="00D329E6" w:rsidRPr="000E1828" w:rsidRDefault="00D329E6" w:rsidP="00D329E6">
            <w:pPr>
              <w:rPr>
                <w:sz w:val="16"/>
                <w:szCs w:val="16"/>
                <w:lang w:val="en-GB"/>
              </w:rPr>
            </w:pPr>
            <w:r>
              <w:rPr>
                <w:sz w:val="16"/>
                <w:szCs w:val="16"/>
                <w:lang w:val="en-GB"/>
              </w:rPr>
              <w:t>Equity incentives and misreporting</w:t>
            </w:r>
          </w:p>
        </w:tc>
        <w:tc>
          <w:tcPr>
            <w:tcW w:w="2261" w:type="dxa"/>
          </w:tcPr>
          <w:p w14:paraId="79E64518" w14:textId="77777777" w:rsidR="00D329E6" w:rsidRPr="000E1828" w:rsidRDefault="00D329E6" w:rsidP="00D329E6">
            <w:pPr>
              <w:rPr>
                <w:sz w:val="16"/>
                <w:szCs w:val="16"/>
                <w:lang w:val="en-GB"/>
              </w:rPr>
            </w:pPr>
            <w:r>
              <w:rPr>
                <w:sz w:val="16"/>
                <w:szCs w:val="16"/>
                <w:lang w:val="en-GB"/>
              </w:rPr>
              <w:t>Positive relation between equity-based compensation and earnings management.</w:t>
            </w:r>
          </w:p>
        </w:tc>
        <w:tc>
          <w:tcPr>
            <w:tcW w:w="1809" w:type="dxa"/>
          </w:tcPr>
          <w:p w14:paraId="11F59C96" w14:textId="77777777" w:rsidR="00D329E6" w:rsidRPr="000E1828" w:rsidRDefault="00D329E6" w:rsidP="00D329E6">
            <w:pPr>
              <w:rPr>
                <w:sz w:val="16"/>
                <w:szCs w:val="16"/>
                <w:lang w:val="en-GB"/>
              </w:rPr>
            </w:pPr>
            <w:r>
              <w:rPr>
                <w:sz w:val="16"/>
                <w:szCs w:val="16"/>
                <w:lang w:val="en-GB"/>
              </w:rPr>
              <w:t>Firms included in the S&amp;P 100 Index from 1994 to 2003</w:t>
            </w:r>
          </w:p>
        </w:tc>
        <w:tc>
          <w:tcPr>
            <w:tcW w:w="1984" w:type="dxa"/>
          </w:tcPr>
          <w:p w14:paraId="1684EB81" w14:textId="77777777" w:rsidR="00D329E6" w:rsidRDefault="00D329E6" w:rsidP="00D329E6">
            <w:pPr>
              <w:rPr>
                <w:sz w:val="16"/>
                <w:szCs w:val="16"/>
                <w:lang w:val="en-GB"/>
              </w:rPr>
            </w:pPr>
            <w:r>
              <w:rPr>
                <w:sz w:val="16"/>
                <w:szCs w:val="16"/>
                <w:lang w:val="en-GB"/>
              </w:rPr>
              <w:t>OLS regression</w:t>
            </w:r>
          </w:p>
          <w:p w14:paraId="044B7282" w14:textId="77777777" w:rsidR="00D329E6" w:rsidRDefault="00D329E6" w:rsidP="00D329E6">
            <w:pPr>
              <w:rPr>
                <w:sz w:val="16"/>
                <w:szCs w:val="16"/>
                <w:lang w:val="en-GB"/>
              </w:rPr>
            </w:pPr>
          </w:p>
          <w:p w14:paraId="5D749302" w14:textId="77777777" w:rsidR="00D329E6" w:rsidRDefault="00D329E6" w:rsidP="00D329E6">
            <w:pPr>
              <w:rPr>
                <w:sz w:val="16"/>
                <w:szCs w:val="16"/>
                <w:lang w:val="en-GB"/>
              </w:rPr>
            </w:pPr>
            <w:r>
              <w:rPr>
                <w:sz w:val="16"/>
                <w:szCs w:val="16"/>
                <w:lang w:val="en-GB"/>
              </w:rPr>
              <w:t xml:space="preserve">Y=Discretionary accruals </w:t>
            </w:r>
          </w:p>
          <w:p w14:paraId="5C388CE4" w14:textId="77777777" w:rsidR="00D329E6" w:rsidRPr="000E1828" w:rsidRDefault="00D329E6" w:rsidP="00D329E6">
            <w:pPr>
              <w:rPr>
                <w:sz w:val="16"/>
                <w:szCs w:val="16"/>
                <w:lang w:val="en-GB"/>
              </w:rPr>
            </w:pPr>
            <w:r>
              <w:rPr>
                <w:sz w:val="16"/>
                <w:szCs w:val="16"/>
                <w:lang w:val="en-GB"/>
              </w:rPr>
              <w:t>X=Equity compensation</w:t>
            </w:r>
          </w:p>
        </w:tc>
        <w:tc>
          <w:tcPr>
            <w:tcW w:w="2019" w:type="dxa"/>
          </w:tcPr>
          <w:p w14:paraId="0081E684"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r w:rsidR="00D329E6" w:rsidRPr="00A726AB" w14:paraId="342B0E91" w14:textId="77777777" w:rsidTr="00D329E6">
        <w:tc>
          <w:tcPr>
            <w:tcW w:w="1277" w:type="dxa"/>
          </w:tcPr>
          <w:p w14:paraId="2EB5759C" w14:textId="77777777" w:rsidR="00D329E6" w:rsidRPr="000E1828" w:rsidRDefault="00D329E6" w:rsidP="00D329E6">
            <w:pPr>
              <w:rPr>
                <w:sz w:val="16"/>
                <w:szCs w:val="16"/>
                <w:lang w:val="en-GB"/>
              </w:rPr>
            </w:pPr>
            <w:r w:rsidRPr="000E1828">
              <w:rPr>
                <w:sz w:val="16"/>
                <w:szCs w:val="16"/>
                <w:lang w:val="en-GB"/>
              </w:rPr>
              <w:t>Armstrong et al. (2010)</w:t>
            </w:r>
          </w:p>
        </w:tc>
        <w:tc>
          <w:tcPr>
            <w:tcW w:w="1708" w:type="dxa"/>
          </w:tcPr>
          <w:p w14:paraId="026DB243" w14:textId="77777777" w:rsidR="00D329E6" w:rsidRPr="000E1828" w:rsidRDefault="00D329E6" w:rsidP="00D329E6">
            <w:pPr>
              <w:rPr>
                <w:sz w:val="16"/>
                <w:szCs w:val="16"/>
                <w:lang w:val="en-GB"/>
              </w:rPr>
            </w:pPr>
            <w:r>
              <w:rPr>
                <w:sz w:val="16"/>
                <w:szCs w:val="16"/>
                <w:lang w:val="en-GB"/>
              </w:rPr>
              <w:t>Equity incentives and accounting irregularities</w:t>
            </w:r>
          </w:p>
        </w:tc>
        <w:tc>
          <w:tcPr>
            <w:tcW w:w="2261" w:type="dxa"/>
          </w:tcPr>
          <w:p w14:paraId="455C623C" w14:textId="77777777" w:rsidR="00D329E6" w:rsidRPr="000E1828" w:rsidRDefault="00D329E6" w:rsidP="00D329E6">
            <w:pPr>
              <w:rPr>
                <w:sz w:val="16"/>
                <w:szCs w:val="16"/>
                <w:lang w:val="en-GB"/>
              </w:rPr>
            </w:pPr>
            <w:r>
              <w:rPr>
                <w:sz w:val="16"/>
                <w:szCs w:val="16"/>
                <w:lang w:val="en-GB"/>
              </w:rPr>
              <w:t xml:space="preserve">No relation between CEO equity-based compensation and accounting irregularities. </w:t>
            </w:r>
          </w:p>
        </w:tc>
        <w:tc>
          <w:tcPr>
            <w:tcW w:w="1809" w:type="dxa"/>
          </w:tcPr>
          <w:p w14:paraId="0431683D" w14:textId="77777777" w:rsidR="00D329E6" w:rsidRPr="000E1828" w:rsidRDefault="00D329E6" w:rsidP="00D329E6">
            <w:pPr>
              <w:rPr>
                <w:sz w:val="16"/>
                <w:szCs w:val="16"/>
                <w:lang w:val="en-GB"/>
              </w:rPr>
            </w:pPr>
            <w:r>
              <w:rPr>
                <w:sz w:val="16"/>
                <w:szCs w:val="16"/>
                <w:lang w:val="en-GB"/>
              </w:rPr>
              <w:t>20000 observations from 2001 to 2005.</w:t>
            </w:r>
          </w:p>
        </w:tc>
        <w:tc>
          <w:tcPr>
            <w:tcW w:w="1984" w:type="dxa"/>
          </w:tcPr>
          <w:p w14:paraId="7678A314" w14:textId="77777777" w:rsidR="00D329E6" w:rsidRDefault="00D329E6" w:rsidP="00D329E6">
            <w:pPr>
              <w:rPr>
                <w:sz w:val="16"/>
                <w:szCs w:val="16"/>
                <w:lang w:val="en-GB"/>
              </w:rPr>
            </w:pPr>
            <w:r>
              <w:rPr>
                <w:sz w:val="16"/>
                <w:szCs w:val="16"/>
                <w:lang w:val="en-GB"/>
              </w:rPr>
              <w:t>Logistic regression</w:t>
            </w:r>
          </w:p>
          <w:p w14:paraId="0D153BF1" w14:textId="77777777" w:rsidR="00D329E6" w:rsidRDefault="00D329E6" w:rsidP="00D329E6">
            <w:pPr>
              <w:rPr>
                <w:sz w:val="16"/>
                <w:szCs w:val="16"/>
                <w:lang w:val="en-GB"/>
              </w:rPr>
            </w:pPr>
          </w:p>
          <w:p w14:paraId="02A941D4" w14:textId="77777777" w:rsidR="00D329E6" w:rsidRDefault="00D329E6" w:rsidP="00D329E6">
            <w:pPr>
              <w:rPr>
                <w:sz w:val="16"/>
                <w:szCs w:val="16"/>
                <w:lang w:val="en-GB"/>
              </w:rPr>
            </w:pPr>
            <w:r>
              <w:rPr>
                <w:sz w:val="16"/>
                <w:szCs w:val="16"/>
                <w:lang w:val="en-GB"/>
              </w:rPr>
              <w:t xml:space="preserve">Y=Accounting irregularities </w:t>
            </w:r>
          </w:p>
          <w:p w14:paraId="324F1B1D" w14:textId="77777777" w:rsidR="00D329E6" w:rsidRDefault="00D329E6" w:rsidP="00D329E6">
            <w:pPr>
              <w:rPr>
                <w:sz w:val="16"/>
                <w:szCs w:val="16"/>
                <w:lang w:val="en-GB"/>
              </w:rPr>
            </w:pPr>
            <w:r>
              <w:rPr>
                <w:sz w:val="16"/>
                <w:szCs w:val="16"/>
                <w:lang w:val="en-GB"/>
              </w:rPr>
              <w:t>X=Equity compensation</w:t>
            </w:r>
          </w:p>
          <w:p w14:paraId="1FCFEAC0" w14:textId="77777777" w:rsidR="00D329E6" w:rsidRPr="00372F17" w:rsidRDefault="00D329E6" w:rsidP="00D329E6">
            <w:pPr>
              <w:rPr>
                <w:sz w:val="16"/>
                <w:szCs w:val="16"/>
                <w:lang w:val="en-GB"/>
              </w:rPr>
            </w:pPr>
          </w:p>
        </w:tc>
        <w:tc>
          <w:tcPr>
            <w:tcW w:w="2019" w:type="dxa"/>
          </w:tcPr>
          <w:p w14:paraId="066D8F9C"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r w:rsidR="00D329E6" w:rsidRPr="00A726AB" w14:paraId="3C4A3CD8" w14:textId="77777777" w:rsidTr="00D329E6">
        <w:tc>
          <w:tcPr>
            <w:tcW w:w="1277" w:type="dxa"/>
          </w:tcPr>
          <w:p w14:paraId="72DAA1AC" w14:textId="77777777" w:rsidR="00D329E6" w:rsidRPr="000E1828" w:rsidRDefault="00D329E6" w:rsidP="00D329E6">
            <w:pPr>
              <w:rPr>
                <w:sz w:val="16"/>
                <w:szCs w:val="16"/>
                <w:lang w:val="en-GB"/>
              </w:rPr>
            </w:pPr>
            <w:r w:rsidRPr="000E1828">
              <w:rPr>
                <w:sz w:val="16"/>
                <w:szCs w:val="16"/>
                <w:lang w:val="en-GB"/>
              </w:rPr>
              <w:t>Jiang et al. (2010)</w:t>
            </w:r>
          </w:p>
        </w:tc>
        <w:tc>
          <w:tcPr>
            <w:tcW w:w="1708" w:type="dxa"/>
          </w:tcPr>
          <w:p w14:paraId="48792AE3" w14:textId="77777777" w:rsidR="00D329E6" w:rsidRPr="000E1828" w:rsidRDefault="00D329E6" w:rsidP="00D329E6">
            <w:pPr>
              <w:rPr>
                <w:sz w:val="16"/>
                <w:szCs w:val="16"/>
                <w:lang w:val="en-GB"/>
              </w:rPr>
            </w:pPr>
            <w:r>
              <w:rPr>
                <w:sz w:val="16"/>
                <w:szCs w:val="16"/>
                <w:lang w:val="en-GB"/>
              </w:rPr>
              <w:t>Equity incentives and earnings management</w:t>
            </w:r>
          </w:p>
        </w:tc>
        <w:tc>
          <w:tcPr>
            <w:tcW w:w="2261" w:type="dxa"/>
          </w:tcPr>
          <w:p w14:paraId="6B6F136A" w14:textId="77777777" w:rsidR="00D329E6" w:rsidRPr="000E1828" w:rsidRDefault="00D329E6" w:rsidP="00D329E6">
            <w:pPr>
              <w:rPr>
                <w:sz w:val="16"/>
                <w:szCs w:val="16"/>
                <w:lang w:val="en-GB"/>
              </w:rPr>
            </w:pPr>
            <w:r>
              <w:rPr>
                <w:sz w:val="16"/>
                <w:szCs w:val="16"/>
                <w:lang w:val="en-GB"/>
              </w:rPr>
              <w:t>More association between accruals management or forecast beating and CFO equity incentives than accruals management or forecast beating and CEO equity incentives.</w:t>
            </w:r>
          </w:p>
        </w:tc>
        <w:tc>
          <w:tcPr>
            <w:tcW w:w="1809" w:type="dxa"/>
          </w:tcPr>
          <w:p w14:paraId="1F48B841" w14:textId="77777777" w:rsidR="00D329E6" w:rsidRPr="000E1828" w:rsidRDefault="00D329E6" w:rsidP="00D329E6">
            <w:pPr>
              <w:rPr>
                <w:sz w:val="16"/>
                <w:szCs w:val="16"/>
                <w:lang w:val="en-GB"/>
              </w:rPr>
            </w:pPr>
            <w:r>
              <w:rPr>
                <w:sz w:val="16"/>
                <w:szCs w:val="16"/>
                <w:lang w:val="en-GB"/>
              </w:rPr>
              <w:t>17542 firm-years from 1993 to 2006</w:t>
            </w:r>
          </w:p>
        </w:tc>
        <w:tc>
          <w:tcPr>
            <w:tcW w:w="1984" w:type="dxa"/>
          </w:tcPr>
          <w:p w14:paraId="43D15B12" w14:textId="77777777" w:rsidR="00D329E6" w:rsidRDefault="00D329E6" w:rsidP="00D329E6">
            <w:pPr>
              <w:rPr>
                <w:sz w:val="16"/>
                <w:szCs w:val="16"/>
                <w:lang w:val="en-GB"/>
              </w:rPr>
            </w:pPr>
            <w:r>
              <w:rPr>
                <w:sz w:val="16"/>
                <w:szCs w:val="16"/>
                <w:lang w:val="en-GB"/>
              </w:rPr>
              <w:t>OLS regression</w:t>
            </w:r>
          </w:p>
          <w:p w14:paraId="519FA9FD" w14:textId="77777777" w:rsidR="00D329E6" w:rsidRDefault="00D329E6" w:rsidP="00D329E6">
            <w:pPr>
              <w:rPr>
                <w:sz w:val="16"/>
                <w:szCs w:val="16"/>
                <w:lang w:val="en-GB"/>
              </w:rPr>
            </w:pPr>
          </w:p>
          <w:p w14:paraId="754930B0" w14:textId="77777777" w:rsidR="00D329E6" w:rsidRDefault="00D329E6" w:rsidP="00D329E6">
            <w:pPr>
              <w:rPr>
                <w:sz w:val="16"/>
                <w:szCs w:val="16"/>
                <w:lang w:val="en-GB"/>
              </w:rPr>
            </w:pPr>
            <w:r>
              <w:rPr>
                <w:sz w:val="16"/>
                <w:szCs w:val="16"/>
                <w:lang w:val="en-GB"/>
              </w:rPr>
              <w:t>Y=Earnings management and analyst forecast beating</w:t>
            </w:r>
          </w:p>
          <w:p w14:paraId="13DDD1B7" w14:textId="77777777" w:rsidR="00D329E6" w:rsidRPr="000E1828" w:rsidRDefault="00D329E6" w:rsidP="00D329E6">
            <w:pPr>
              <w:rPr>
                <w:sz w:val="16"/>
                <w:szCs w:val="16"/>
                <w:lang w:val="en-GB"/>
              </w:rPr>
            </w:pPr>
            <w:r>
              <w:rPr>
                <w:sz w:val="16"/>
                <w:szCs w:val="16"/>
                <w:lang w:val="en-GB"/>
              </w:rPr>
              <w:t>X=Equity compensation</w:t>
            </w:r>
          </w:p>
        </w:tc>
        <w:tc>
          <w:tcPr>
            <w:tcW w:w="2019" w:type="dxa"/>
          </w:tcPr>
          <w:p w14:paraId="3FC32409"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r w:rsidR="00D329E6" w:rsidRPr="00A726AB" w14:paraId="5ABF677A" w14:textId="77777777" w:rsidTr="00D329E6">
        <w:tc>
          <w:tcPr>
            <w:tcW w:w="1277" w:type="dxa"/>
          </w:tcPr>
          <w:p w14:paraId="070D0091" w14:textId="77777777" w:rsidR="00D329E6" w:rsidRPr="000E1828" w:rsidRDefault="00D329E6" w:rsidP="00D329E6">
            <w:pPr>
              <w:rPr>
                <w:sz w:val="16"/>
                <w:szCs w:val="16"/>
                <w:lang w:val="en-GB"/>
              </w:rPr>
            </w:pPr>
            <w:r w:rsidRPr="000E1828">
              <w:rPr>
                <w:sz w:val="16"/>
                <w:szCs w:val="16"/>
                <w:lang w:val="en-GB"/>
              </w:rPr>
              <w:t>Feng et al. (2011)</w:t>
            </w:r>
          </w:p>
        </w:tc>
        <w:tc>
          <w:tcPr>
            <w:tcW w:w="1708" w:type="dxa"/>
          </w:tcPr>
          <w:p w14:paraId="18DB62D7" w14:textId="77777777" w:rsidR="00D329E6" w:rsidRPr="000E1828" w:rsidRDefault="00D329E6" w:rsidP="00D329E6">
            <w:pPr>
              <w:rPr>
                <w:sz w:val="16"/>
                <w:szCs w:val="16"/>
                <w:lang w:val="en-GB"/>
              </w:rPr>
            </w:pPr>
            <w:r>
              <w:rPr>
                <w:sz w:val="16"/>
                <w:szCs w:val="16"/>
                <w:lang w:val="en-GB"/>
              </w:rPr>
              <w:t>Equity incentives and earnings management</w:t>
            </w:r>
          </w:p>
        </w:tc>
        <w:tc>
          <w:tcPr>
            <w:tcW w:w="2261" w:type="dxa"/>
          </w:tcPr>
          <w:p w14:paraId="336B935E" w14:textId="77777777" w:rsidR="00D329E6" w:rsidRPr="000E1828" w:rsidRDefault="00D329E6" w:rsidP="00D329E6">
            <w:pPr>
              <w:rPr>
                <w:sz w:val="16"/>
                <w:szCs w:val="16"/>
                <w:lang w:val="en-GB"/>
              </w:rPr>
            </w:pPr>
            <w:r>
              <w:rPr>
                <w:sz w:val="16"/>
                <w:szCs w:val="16"/>
                <w:lang w:val="en-GB"/>
              </w:rPr>
              <w:t>No relation for CFOs between equity incentives and accounting manipulations. Positive relation for CEOs between equity incentives and accounting manipulations.</w:t>
            </w:r>
          </w:p>
        </w:tc>
        <w:tc>
          <w:tcPr>
            <w:tcW w:w="1809" w:type="dxa"/>
          </w:tcPr>
          <w:p w14:paraId="41015F01" w14:textId="77777777" w:rsidR="00D329E6" w:rsidRPr="000E1828" w:rsidRDefault="00D329E6" w:rsidP="00D329E6">
            <w:pPr>
              <w:rPr>
                <w:sz w:val="16"/>
                <w:szCs w:val="16"/>
                <w:lang w:val="en-GB"/>
              </w:rPr>
            </w:pPr>
            <w:r>
              <w:rPr>
                <w:sz w:val="16"/>
                <w:szCs w:val="16"/>
                <w:lang w:val="en-GB"/>
              </w:rPr>
              <w:t>130 firm-years from 1982 to 2005</w:t>
            </w:r>
          </w:p>
        </w:tc>
        <w:tc>
          <w:tcPr>
            <w:tcW w:w="1984" w:type="dxa"/>
          </w:tcPr>
          <w:p w14:paraId="6CA68BBE" w14:textId="77777777" w:rsidR="00D329E6" w:rsidRDefault="00D329E6" w:rsidP="00D329E6">
            <w:pPr>
              <w:rPr>
                <w:sz w:val="16"/>
                <w:szCs w:val="16"/>
                <w:lang w:val="en-GB"/>
              </w:rPr>
            </w:pPr>
            <w:r>
              <w:rPr>
                <w:sz w:val="16"/>
                <w:szCs w:val="16"/>
                <w:lang w:val="en-GB"/>
              </w:rPr>
              <w:t>Logistic regression</w:t>
            </w:r>
          </w:p>
          <w:p w14:paraId="4C4BE4D2" w14:textId="77777777" w:rsidR="00D329E6" w:rsidRDefault="00D329E6" w:rsidP="00D329E6">
            <w:pPr>
              <w:rPr>
                <w:sz w:val="16"/>
                <w:szCs w:val="16"/>
                <w:lang w:val="en-GB"/>
              </w:rPr>
            </w:pPr>
          </w:p>
          <w:p w14:paraId="16961C3E" w14:textId="77777777" w:rsidR="00D329E6" w:rsidRDefault="00D329E6" w:rsidP="00D329E6">
            <w:pPr>
              <w:rPr>
                <w:sz w:val="16"/>
                <w:szCs w:val="16"/>
                <w:lang w:val="en-GB"/>
              </w:rPr>
            </w:pPr>
            <w:r>
              <w:rPr>
                <w:sz w:val="16"/>
                <w:szCs w:val="16"/>
                <w:lang w:val="en-GB"/>
              </w:rPr>
              <w:t>Y=Accounting manipulations</w:t>
            </w:r>
          </w:p>
          <w:p w14:paraId="17C622BC" w14:textId="77777777" w:rsidR="00D329E6" w:rsidRPr="000E1828" w:rsidRDefault="00D329E6" w:rsidP="00D329E6">
            <w:pPr>
              <w:rPr>
                <w:sz w:val="16"/>
                <w:szCs w:val="16"/>
                <w:lang w:val="en-GB"/>
              </w:rPr>
            </w:pPr>
            <w:r>
              <w:rPr>
                <w:sz w:val="16"/>
                <w:szCs w:val="16"/>
                <w:lang w:val="en-GB"/>
              </w:rPr>
              <w:t>X=Equity compensation</w:t>
            </w:r>
          </w:p>
        </w:tc>
        <w:tc>
          <w:tcPr>
            <w:tcW w:w="2019" w:type="dxa"/>
          </w:tcPr>
          <w:p w14:paraId="272F4038"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r w:rsidR="00D329E6" w:rsidRPr="00A726AB" w14:paraId="2DA8E75B" w14:textId="77777777" w:rsidTr="00D329E6">
        <w:tc>
          <w:tcPr>
            <w:tcW w:w="1277" w:type="dxa"/>
          </w:tcPr>
          <w:p w14:paraId="7BF1A9EE" w14:textId="77777777" w:rsidR="00D329E6" w:rsidRPr="000E1828" w:rsidRDefault="00D329E6" w:rsidP="00D329E6">
            <w:pPr>
              <w:rPr>
                <w:sz w:val="16"/>
                <w:szCs w:val="16"/>
                <w:lang w:val="en-GB"/>
              </w:rPr>
            </w:pPr>
            <w:r w:rsidRPr="000E1828">
              <w:rPr>
                <w:sz w:val="16"/>
                <w:szCs w:val="16"/>
                <w:lang w:val="en-GB"/>
              </w:rPr>
              <w:t>Armstrong et al. (2013)</w:t>
            </w:r>
          </w:p>
        </w:tc>
        <w:tc>
          <w:tcPr>
            <w:tcW w:w="1708" w:type="dxa"/>
          </w:tcPr>
          <w:p w14:paraId="0110FDE9" w14:textId="77777777" w:rsidR="00D329E6" w:rsidRPr="000E1828" w:rsidRDefault="00D329E6" w:rsidP="00D329E6">
            <w:pPr>
              <w:rPr>
                <w:sz w:val="16"/>
                <w:szCs w:val="16"/>
                <w:lang w:val="en-GB"/>
              </w:rPr>
            </w:pPr>
            <w:r>
              <w:rPr>
                <w:sz w:val="16"/>
                <w:szCs w:val="16"/>
                <w:lang w:val="en-GB"/>
              </w:rPr>
              <w:t>Equity incentives and misreporting</w:t>
            </w:r>
          </w:p>
        </w:tc>
        <w:tc>
          <w:tcPr>
            <w:tcW w:w="2261" w:type="dxa"/>
          </w:tcPr>
          <w:p w14:paraId="03E97D3C" w14:textId="77777777" w:rsidR="00D329E6" w:rsidRPr="000E1828" w:rsidRDefault="00D329E6" w:rsidP="00D329E6">
            <w:pPr>
              <w:rPr>
                <w:sz w:val="16"/>
                <w:szCs w:val="16"/>
                <w:lang w:val="en-GB"/>
              </w:rPr>
            </w:pPr>
            <w:r>
              <w:rPr>
                <w:sz w:val="16"/>
                <w:szCs w:val="16"/>
                <w:lang w:val="en-GB"/>
              </w:rPr>
              <w:t>Positive relation between equity-based executive compensation and misreporting.</w:t>
            </w:r>
          </w:p>
        </w:tc>
        <w:tc>
          <w:tcPr>
            <w:tcW w:w="1809" w:type="dxa"/>
          </w:tcPr>
          <w:p w14:paraId="2F761302" w14:textId="77777777" w:rsidR="00D329E6" w:rsidRPr="000E1828" w:rsidRDefault="00D329E6" w:rsidP="00D329E6">
            <w:pPr>
              <w:rPr>
                <w:sz w:val="16"/>
                <w:szCs w:val="16"/>
                <w:lang w:val="en-GB"/>
              </w:rPr>
            </w:pPr>
            <w:r>
              <w:rPr>
                <w:sz w:val="16"/>
                <w:szCs w:val="16"/>
                <w:lang w:val="en-GB"/>
              </w:rPr>
              <w:t xml:space="preserve">20445 firm-years from 1992-2009 </w:t>
            </w:r>
          </w:p>
        </w:tc>
        <w:tc>
          <w:tcPr>
            <w:tcW w:w="1984" w:type="dxa"/>
          </w:tcPr>
          <w:p w14:paraId="5FC3F924" w14:textId="77777777" w:rsidR="00D329E6" w:rsidRDefault="00D329E6" w:rsidP="00D329E6">
            <w:pPr>
              <w:rPr>
                <w:sz w:val="16"/>
                <w:szCs w:val="16"/>
                <w:lang w:val="en-GB"/>
              </w:rPr>
            </w:pPr>
            <w:r>
              <w:rPr>
                <w:sz w:val="16"/>
                <w:szCs w:val="16"/>
                <w:lang w:val="en-GB"/>
              </w:rPr>
              <w:t>OLS Regression</w:t>
            </w:r>
          </w:p>
          <w:p w14:paraId="7C39CA94" w14:textId="77777777" w:rsidR="00D329E6" w:rsidRDefault="00D329E6" w:rsidP="00D329E6">
            <w:pPr>
              <w:rPr>
                <w:sz w:val="16"/>
                <w:szCs w:val="16"/>
                <w:lang w:val="en-GB"/>
              </w:rPr>
            </w:pPr>
          </w:p>
          <w:p w14:paraId="501D98E2" w14:textId="77777777" w:rsidR="00D329E6" w:rsidRPr="00CB618B" w:rsidRDefault="00D329E6" w:rsidP="00D329E6">
            <w:pPr>
              <w:rPr>
                <w:sz w:val="16"/>
                <w:szCs w:val="16"/>
                <w:lang w:val="en-GB"/>
              </w:rPr>
            </w:pPr>
            <w:r>
              <w:rPr>
                <w:sz w:val="16"/>
                <w:szCs w:val="16"/>
                <w:lang w:val="en-GB"/>
              </w:rPr>
              <w:t>Y</w:t>
            </w:r>
            <w:r w:rsidRPr="00CB618B">
              <w:rPr>
                <w:sz w:val="16"/>
                <w:szCs w:val="16"/>
                <w:lang w:val="en-GB"/>
              </w:rPr>
              <w:t>=Restatement</w:t>
            </w:r>
          </w:p>
          <w:p w14:paraId="1A7EFF87" w14:textId="77777777" w:rsidR="00D329E6" w:rsidRPr="00CB618B" w:rsidRDefault="00D329E6" w:rsidP="00D329E6">
            <w:pPr>
              <w:rPr>
                <w:sz w:val="16"/>
                <w:szCs w:val="16"/>
                <w:vertAlign w:val="superscript"/>
                <w:lang w:val="en-GB"/>
              </w:rPr>
            </w:pPr>
            <w:r w:rsidRPr="00CB618B">
              <w:rPr>
                <w:sz w:val="16"/>
                <w:szCs w:val="16"/>
                <w:lang w:val="en-GB"/>
              </w:rPr>
              <w:t xml:space="preserve">X=Executive </w:t>
            </w:r>
            <w:r>
              <w:rPr>
                <w:sz w:val="16"/>
                <w:szCs w:val="16"/>
                <w:lang w:val="en-GB"/>
              </w:rPr>
              <w:t xml:space="preserve">equity </w:t>
            </w:r>
            <w:r w:rsidRPr="00CB618B">
              <w:rPr>
                <w:sz w:val="16"/>
                <w:szCs w:val="16"/>
                <w:lang w:val="en-GB"/>
              </w:rPr>
              <w:t>in</w:t>
            </w:r>
            <w:r>
              <w:rPr>
                <w:sz w:val="16"/>
                <w:szCs w:val="16"/>
                <w:lang w:val="en-GB"/>
              </w:rPr>
              <w:t>centives</w:t>
            </w:r>
          </w:p>
        </w:tc>
        <w:tc>
          <w:tcPr>
            <w:tcW w:w="2019" w:type="dxa"/>
          </w:tcPr>
          <w:p w14:paraId="151DA753" w14:textId="77777777" w:rsidR="00D329E6" w:rsidRPr="000E1828" w:rsidRDefault="00D329E6" w:rsidP="00D329E6">
            <w:pPr>
              <w:rPr>
                <w:sz w:val="16"/>
                <w:szCs w:val="16"/>
                <w:lang w:val="en-GB"/>
              </w:rPr>
            </w:pPr>
            <w:r>
              <w:rPr>
                <w:sz w:val="16"/>
                <w:szCs w:val="16"/>
                <w:lang w:val="en-GB"/>
              </w:rPr>
              <w:t>Provides insights in the optimal construction of executive compensation contracts regarding the consequences of equity-based compensation.</w:t>
            </w:r>
          </w:p>
        </w:tc>
      </w:tr>
    </w:tbl>
    <w:p w14:paraId="43C05D7C" w14:textId="77777777" w:rsidR="00D329E6" w:rsidRDefault="00D329E6" w:rsidP="00D329E6">
      <w:pPr>
        <w:rPr>
          <w:lang w:val="en-GB"/>
        </w:rPr>
      </w:pPr>
    </w:p>
    <w:p w14:paraId="45CF2634" w14:textId="6BBDA7AA" w:rsidR="00D329E6" w:rsidRDefault="007C2C67" w:rsidP="00D329E6">
      <w:pPr>
        <w:pStyle w:val="Kop3"/>
      </w:pPr>
      <w:bookmarkStart w:id="61" w:name="_Toc439346666"/>
      <w:r>
        <w:t>8</w:t>
      </w:r>
      <w:r w:rsidR="00D329E6">
        <w:t>.1.4 Literature on the CFO performance</w:t>
      </w:r>
      <w:bookmarkEnd w:id="61"/>
    </w:p>
    <w:tbl>
      <w:tblPr>
        <w:tblStyle w:val="Tabelraster"/>
        <w:tblW w:w="11058" w:type="dxa"/>
        <w:tblInd w:w="-885" w:type="dxa"/>
        <w:tblLayout w:type="fixed"/>
        <w:tblLook w:val="04A0" w:firstRow="1" w:lastRow="0" w:firstColumn="1" w:lastColumn="0" w:noHBand="0" w:noVBand="1"/>
      </w:tblPr>
      <w:tblGrid>
        <w:gridCol w:w="1277"/>
        <w:gridCol w:w="1417"/>
        <w:gridCol w:w="1560"/>
        <w:gridCol w:w="1417"/>
        <w:gridCol w:w="1843"/>
        <w:gridCol w:w="1559"/>
        <w:gridCol w:w="1985"/>
      </w:tblGrid>
      <w:tr w:rsidR="00D329E6" w:rsidRPr="00A726AB" w14:paraId="1A3D66E9" w14:textId="77777777" w:rsidTr="00D329E6">
        <w:tc>
          <w:tcPr>
            <w:tcW w:w="11058" w:type="dxa"/>
            <w:gridSpan w:val="7"/>
          </w:tcPr>
          <w:p w14:paraId="36F96FA9" w14:textId="77777777" w:rsidR="00D329E6" w:rsidRPr="00C621A4" w:rsidRDefault="00D329E6" w:rsidP="00D329E6">
            <w:pPr>
              <w:rPr>
                <w:sz w:val="24"/>
                <w:szCs w:val="24"/>
                <w:lang w:val="en-GB"/>
              </w:rPr>
            </w:pPr>
            <w:r>
              <w:rPr>
                <w:sz w:val="24"/>
                <w:szCs w:val="24"/>
                <w:lang w:val="en-GB"/>
              </w:rPr>
              <w:t>Literature on the CFO fiduciary responsibility</w:t>
            </w:r>
          </w:p>
        </w:tc>
      </w:tr>
      <w:tr w:rsidR="00D329E6" w:rsidRPr="00314A6E" w14:paraId="011FA27F" w14:textId="77777777" w:rsidTr="00D329E6">
        <w:tc>
          <w:tcPr>
            <w:tcW w:w="1277" w:type="dxa"/>
          </w:tcPr>
          <w:p w14:paraId="40A1BB2E" w14:textId="77777777" w:rsidR="00D329E6" w:rsidRPr="00D620A2" w:rsidRDefault="00D329E6" w:rsidP="00D329E6">
            <w:pPr>
              <w:rPr>
                <w:sz w:val="20"/>
                <w:szCs w:val="20"/>
                <w:lang w:val="en-GB"/>
              </w:rPr>
            </w:pPr>
            <w:r w:rsidRPr="00D620A2">
              <w:rPr>
                <w:sz w:val="20"/>
                <w:szCs w:val="20"/>
                <w:lang w:val="en-GB"/>
              </w:rPr>
              <w:t>Authors</w:t>
            </w:r>
          </w:p>
        </w:tc>
        <w:tc>
          <w:tcPr>
            <w:tcW w:w="1417" w:type="dxa"/>
          </w:tcPr>
          <w:p w14:paraId="1796B8F1" w14:textId="77777777" w:rsidR="00D329E6" w:rsidRPr="00D620A2" w:rsidRDefault="00D329E6" w:rsidP="00D329E6">
            <w:pPr>
              <w:rPr>
                <w:sz w:val="20"/>
                <w:szCs w:val="20"/>
                <w:lang w:val="en-GB"/>
              </w:rPr>
            </w:pPr>
            <w:r w:rsidRPr="00D620A2">
              <w:rPr>
                <w:sz w:val="20"/>
                <w:szCs w:val="20"/>
                <w:lang w:val="en-GB"/>
              </w:rPr>
              <w:t>Context</w:t>
            </w:r>
          </w:p>
        </w:tc>
        <w:tc>
          <w:tcPr>
            <w:tcW w:w="1560" w:type="dxa"/>
          </w:tcPr>
          <w:p w14:paraId="0C41B83E" w14:textId="77777777" w:rsidR="00D329E6" w:rsidRPr="00D620A2" w:rsidRDefault="00D329E6" w:rsidP="00D329E6">
            <w:pPr>
              <w:rPr>
                <w:sz w:val="20"/>
                <w:szCs w:val="20"/>
                <w:lang w:val="en-GB"/>
              </w:rPr>
            </w:pPr>
            <w:r w:rsidRPr="00D620A2">
              <w:rPr>
                <w:sz w:val="20"/>
                <w:szCs w:val="20"/>
                <w:lang w:val="en-GB"/>
              </w:rPr>
              <w:t>Findings</w:t>
            </w:r>
          </w:p>
        </w:tc>
        <w:tc>
          <w:tcPr>
            <w:tcW w:w="1417" w:type="dxa"/>
          </w:tcPr>
          <w:p w14:paraId="5045C8F6" w14:textId="77777777" w:rsidR="00D329E6" w:rsidRPr="00D620A2" w:rsidRDefault="00D329E6" w:rsidP="00D329E6">
            <w:pPr>
              <w:rPr>
                <w:sz w:val="20"/>
                <w:szCs w:val="20"/>
                <w:lang w:val="en-GB"/>
              </w:rPr>
            </w:pPr>
            <w:r>
              <w:rPr>
                <w:sz w:val="20"/>
                <w:szCs w:val="20"/>
                <w:lang w:val="en-GB"/>
              </w:rPr>
              <w:t>Sample</w:t>
            </w:r>
          </w:p>
        </w:tc>
        <w:tc>
          <w:tcPr>
            <w:tcW w:w="1843" w:type="dxa"/>
          </w:tcPr>
          <w:p w14:paraId="203B662D" w14:textId="77777777" w:rsidR="00D329E6" w:rsidRPr="00D620A2" w:rsidRDefault="00D329E6" w:rsidP="00D329E6">
            <w:pPr>
              <w:rPr>
                <w:sz w:val="20"/>
                <w:szCs w:val="20"/>
                <w:lang w:val="en-GB"/>
              </w:rPr>
            </w:pPr>
            <w:r w:rsidRPr="00D620A2">
              <w:rPr>
                <w:sz w:val="20"/>
                <w:szCs w:val="20"/>
                <w:lang w:val="en-GB"/>
              </w:rPr>
              <w:t>Methods</w:t>
            </w:r>
          </w:p>
        </w:tc>
        <w:tc>
          <w:tcPr>
            <w:tcW w:w="1559" w:type="dxa"/>
          </w:tcPr>
          <w:p w14:paraId="21CB99E7" w14:textId="77777777" w:rsidR="00D329E6" w:rsidRPr="00D620A2" w:rsidRDefault="00D329E6" w:rsidP="00D329E6">
            <w:pPr>
              <w:rPr>
                <w:sz w:val="20"/>
                <w:szCs w:val="20"/>
                <w:lang w:val="en-GB"/>
              </w:rPr>
            </w:pPr>
            <w:r>
              <w:rPr>
                <w:sz w:val="20"/>
                <w:szCs w:val="20"/>
                <w:lang w:val="en-GB"/>
              </w:rPr>
              <w:t>Proxy fiduciary performance</w:t>
            </w:r>
          </w:p>
        </w:tc>
        <w:tc>
          <w:tcPr>
            <w:tcW w:w="1985" w:type="dxa"/>
          </w:tcPr>
          <w:p w14:paraId="1ADBE652" w14:textId="77777777" w:rsidR="00D329E6" w:rsidRPr="00D620A2" w:rsidRDefault="00D329E6" w:rsidP="00D329E6">
            <w:pPr>
              <w:rPr>
                <w:sz w:val="20"/>
                <w:szCs w:val="20"/>
                <w:lang w:val="en-GB"/>
              </w:rPr>
            </w:pPr>
            <w:r w:rsidRPr="00D620A2">
              <w:rPr>
                <w:sz w:val="20"/>
                <w:szCs w:val="20"/>
                <w:lang w:val="en-GB"/>
              </w:rPr>
              <w:t>Contribution</w:t>
            </w:r>
          </w:p>
        </w:tc>
      </w:tr>
      <w:tr w:rsidR="00D329E6" w:rsidRPr="00A726AB" w14:paraId="60834A00" w14:textId="77777777" w:rsidTr="00D329E6">
        <w:tc>
          <w:tcPr>
            <w:tcW w:w="1277" w:type="dxa"/>
          </w:tcPr>
          <w:p w14:paraId="35A99949" w14:textId="77777777" w:rsidR="00D329E6" w:rsidRDefault="00D329E6" w:rsidP="00D329E6">
            <w:pPr>
              <w:rPr>
                <w:sz w:val="16"/>
                <w:szCs w:val="16"/>
                <w:lang w:val="en-GB"/>
              </w:rPr>
            </w:pPr>
            <w:r>
              <w:rPr>
                <w:sz w:val="16"/>
                <w:szCs w:val="16"/>
                <w:lang w:val="en-GB"/>
              </w:rPr>
              <w:t>Arthaud-Day et al. (2006)</w:t>
            </w:r>
          </w:p>
        </w:tc>
        <w:tc>
          <w:tcPr>
            <w:tcW w:w="1417" w:type="dxa"/>
          </w:tcPr>
          <w:p w14:paraId="466A535F" w14:textId="77777777" w:rsidR="00D329E6" w:rsidRDefault="00D329E6" w:rsidP="00D329E6">
            <w:pPr>
              <w:rPr>
                <w:sz w:val="16"/>
                <w:szCs w:val="16"/>
                <w:lang w:val="en-GB"/>
              </w:rPr>
            </w:pPr>
            <w:r>
              <w:rPr>
                <w:sz w:val="16"/>
                <w:szCs w:val="16"/>
                <w:lang w:val="en-GB"/>
              </w:rPr>
              <w:t>Association between executive turnover and financial restatements</w:t>
            </w:r>
          </w:p>
        </w:tc>
        <w:tc>
          <w:tcPr>
            <w:tcW w:w="1560" w:type="dxa"/>
          </w:tcPr>
          <w:p w14:paraId="780D3E3F" w14:textId="77777777" w:rsidR="00D329E6" w:rsidRDefault="00D329E6" w:rsidP="00D329E6">
            <w:pPr>
              <w:rPr>
                <w:sz w:val="16"/>
                <w:szCs w:val="16"/>
                <w:lang w:val="en-GB"/>
              </w:rPr>
            </w:pPr>
            <w:r>
              <w:rPr>
                <w:sz w:val="16"/>
                <w:szCs w:val="16"/>
                <w:lang w:val="en-GB"/>
              </w:rPr>
              <w:t>Executives that file a restatement are twice as likely to exit the firm.</w:t>
            </w:r>
          </w:p>
        </w:tc>
        <w:tc>
          <w:tcPr>
            <w:tcW w:w="1417" w:type="dxa"/>
          </w:tcPr>
          <w:p w14:paraId="2F19F5D1" w14:textId="77777777" w:rsidR="00D329E6" w:rsidRDefault="00D329E6" w:rsidP="00D329E6">
            <w:pPr>
              <w:rPr>
                <w:sz w:val="16"/>
                <w:szCs w:val="16"/>
                <w:lang w:val="en-GB"/>
              </w:rPr>
            </w:pPr>
            <w:r>
              <w:rPr>
                <w:sz w:val="16"/>
                <w:szCs w:val="16"/>
                <w:lang w:val="en-GB"/>
              </w:rPr>
              <w:t>232 firm filing a restatement from 1998 to 1999</w:t>
            </w:r>
          </w:p>
        </w:tc>
        <w:tc>
          <w:tcPr>
            <w:tcW w:w="1843" w:type="dxa"/>
          </w:tcPr>
          <w:p w14:paraId="11F82161" w14:textId="77777777" w:rsidR="00D329E6" w:rsidRDefault="00D329E6" w:rsidP="00D329E6">
            <w:pPr>
              <w:rPr>
                <w:sz w:val="16"/>
                <w:szCs w:val="16"/>
                <w:lang w:val="en-GB"/>
              </w:rPr>
            </w:pPr>
            <w:r>
              <w:rPr>
                <w:sz w:val="16"/>
                <w:szCs w:val="16"/>
                <w:lang w:val="en-GB"/>
              </w:rPr>
              <w:t>Cox regression</w:t>
            </w:r>
          </w:p>
          <w:p w14:paraId="77254088" w14:textId="77777777" w:rsidR="00D329E6" w:rsidRDefault="00D329E6" w:rsidP="00D329E6">
            <w:pPr>
              <w:rPr>
                <w:sz w:val="16"/>
                <w:szCs w:val="16"/>
                <w:lang w:val="en-GB"/>
              </w:rPr>
            </w:pPr>
          </w:p>
          <w:p w14:paraId="6B298762" w14:textId="77777777" w:rsidR="00D329E6" w:rsidRDefault="00D329E6" w:rsidP="00D329E6">
            <w:pPr>
              <w:rPr>
                <w:sz w:val="16"/>
                <w:szCs w:val="16"/>
                <w:lang w:val="en-GB"/>
              </w:rPr>
            </w:pPr>
            <w:r>
              <w:rPr>
                <w:sz w:val="16"/>
                <w:szCs w:val="16"/>
                <w:lang w:val="en-GB"/>
              </w:rPr>
              <w:t>Y=Executive exit</w:t>
            </w:r>
          </w:p>
          <w:p w14:paraId="333B9CAF" w14:textId="77777777" w:rsidR="00D329E6" w:rsidRDefault="00D329E6" w:rsidP="00D329E6">
            <w:pPr>
              <w:rPr>
                <w:sz w:val="16"/>
                <w:szCs w:val="16"/>
                <w:lang w:val="en-GB"/>
              </w:rPr>
            </w:pPr>
            <w:r>
              <w:rPr>
                <w:sz w:val="16"/>
                <w:szCs w:val="16"/>
                <w:lang w:val="en-GB"/>
              </w:rPr>
              <w:t>X=Restatement</w:t>
            </w:r>
          </w:p>
        </w:tc>
        <w:tc>
          <w:tcPr>
            <w:tcW w:w="1559" w:type="dxa"/>
          </w:tcPr>
          <w:p w14:paraId="10F6B693" w14:textId="77777777" w:rsidR="00D329E6" w:rsidRDefault="00D329E6" w:rsidP="00D329E6">
            <w:pPr>
              <w:rPr>
                <w:sz w:val="16"/>
                <w:szCs w:val="16"/>
                <w:lang w:val="en-GB"/>
              </w:rPr>
            </w:pPr>
            <w:r>
              <w:rPr>
                <w:sz w:val="16"/>
                <w:szCs w:val="16"/>
                <w:lang w:val="en-GB"/>
              </w:rPr>
              <w:t>Restatement</w:t>
            </w:r>
          </w:p>
        </w:tc>
        <w:tc>
          <w:tcPr>
            <w:tcW w:w="1985" w:type="dxa"/>
          </w:tcPr>
          <w:p w14:paraId="63C6E670" w14:textId="77777777" w:rsidR="00D329E6" w:rsidRDefault="00D329E6" w:rsidP="00D329E6">
            <w:pPr>
              <w:rPr>
                <w:sz w:val="16"/>
                <w:szCs w:val="16"/>
                <w:lang w:val="en-GB"/>
              </w:rPr>
            </w:pPr>
            <w:r>
              <w:rPr>
                <w:sz w:val="16"/>
                <w:szCs w:val="16"/>
                <w:lang w:val="en-GB"/>
              </w:rPr>
              <w:t>Insight in the consequences of a restatement and the causes of executive exit.</w:t>
            </w:r>
          </w:p>
        </w:tc>
      </w:tr>
      <w:tr w:rsidR="00D329E6" w:rsidRPr="00A726AB" w14:paraId="278D965E" w14:textId="77777777" w:rsidTr="00D329E6">
        <w:tc>
          <w:tcPr>
            <w:tcW w:w="1277" w:type="dxa"/>
          </w:tcPr>
          <w:p w14:paraId="27BAD0BF" w14:textId="77777777" w:rsidR="00D329E6" w:rsidRPr="002F51D9" w:rsidRDefault="00D329E6" w:rsidP="00D329E6">
            <w:pPr>
              <w:rPr>
                <w:sz w:val="16"/>
                <w:szCs w:val="16"/>
                <w:lang w:val="en-GB"/>
              </w:rPr>
            </w:pPr>
            <w:r>
              <w:rPr>
                <w:sz w:val="16"/>
                <w:szCs w:val="16"/>
                <w:lang w:val="en-GB"/>
              </w:rPr>
              <w:t>Geiger &amp; North (2006)</w:t>
            </w:r>
          </w:p>
        </w:tc>
        <w:tc>
          <w:tcPr>
            <w:tcW w:w="1417" w:type="dxa"/>
          </w:tcPr>
          <w:p w14:paraId="44E6F4B2" w14:textId="77777777" w:rsidR="00D329E6" w:rsidRPr="002F51D9" w:rsidRDefault="00D329E6" w:rsidP="00D329E6">
            <w:pPr>
              <w:rPr>
                <w:sz w:val="16"/>
                <w:szCs w:val="16"/>
                <w:lang w:val="en-GB"/>
              </w:rPr>
            </w:pPr>
            <w:r>
              <w:rPr>
                <w:sz w:val="16"/>
                <w:szCs w:val="16"/>
                <w:lang w:val="en-GB"/>
              </w:rPr>
              <w:t>The influence of appointment of a new CFO</w:t>
            </w:r>
          </w:p>
        </w:tc>
        <w:tc>
          <w:tcPr>
            <w:tcW w:w="1560" w:type="dxa"/>
          </w:tcPr>
          <w:p w14:paraId="6B462B2D" w14:textId="77777777" w:rsidR="00D329E6" w:rsidRPr="002F51D9" w:rsidRDefault="00D329E6" w:rsidP="00D329E6">
            <w:pPr>
              <w:rPr>
                <w:sz w:val="16"/>
                <w:szCs w:val="16"/>
                <w:lang w:val="en-GB"/>
              </w:rPr>
            </w:pPr>
            <w:r>
              <w:rPr>
                <w:sz w:val="16"/>
                <w:szCs w:val="16"/>
                <w:lang w:val="en-GB"/>
              </w:rPr>
              <w:t>Discretionary accruals decreased following the appointment of a new CFO.</w:t>
            </w:r>
          </w:p>
        </w:tc>
        <w:tc>
          <w:tcPr>
            <w:tcW w:w="1417" w:type="dxa"/>
          </w:tcPr>
          <w:p w14:paraId="7DF3475E" w14:textId="77777777" w:rsidR="00D329E6" w:rsidRPr="002F51D9" w:rsidRDefault="00D329E6" w:rsidP="00D329E6">
            <w:pPr>
              <w:rPr>
                <w:sz w:val="16"/>
                <w:szCs w:val="16"/>
                <w:lang w:val="en-GB"/>
              </w:rPr>
            </w:pPr>
            <w:r>
              <w:rPr>
                <w:sz w:val="16"/>
                <w:szCs w:val="16"/>
                <w:lang w:val="en-GB"/>
              </w:rPr>
              <w:t>712 companies that appointed a new CFO in the period 1994 to 2000</w:t>
            </w:r>
          </w:p>
        </w:tc>
        <w:tc>
          <w:tcPr>
            <w:tcW w:w="1843" w:type="dxa"/>
          </w:tcPr>
          <w:p w14:paraId="7905E23F" w14:textId="77777777" w:rsidR="00D329E6" w:rsidRDefault="00D329E6" w:rsidP="00D329E6">
            <w:pPr>
              <w:rPr>
                <w:sz w:val="16"/>
                <w:szCs w:val="16"/>
                <w:lang w:val="en-GB"/>
              </w:rPr>
            </w:pPr>
            <w:r>
              <w:rPr>
                <w:sz w:val="16"/>
                <w:szCs w:val="16"/>
                <w:lang w:val="en-GB"/>
              </w:rPr>
              <w:t>Multivariate regression</w:t>
            </w:r>
          </w:p>
          <w:p w14:paraId="71C589E3" w14:textId="77777777" w:rsidR="00D329E6" w:rsidRDefault="00D329E6" w:rsidP="00D329E6">
            <w:pPr>
              <w:rPr>
                <w:sz w:val="16"/>
                <w:szCs w:val="16"/>
                <w:lang w:val="en-GB"/>
              </w:rPr>
            </w:pPr>
          </w:p>
          <w:p w14:paraId="4247C52C" w14:textId="77777777" w:rsidR="00D329E6" w:rsidRDefault="00D329E6" w:rsidP="00D329E6">
            <w:pPr>
              <w:rPr>
                <w:sz w:val="16"/>
                <w:szCs w:val="16"/>
                <w:lang w:val="en-GB"/>
              </w:rPr>
            </w:pPr>
            <w:r>
              <w:rPr>
                <w:sz w:val="16"/>
                <w:szCs w:val="16"/>
                <w:lang w:val="en-GB"/>
              </w:rPr>
              <w:t>Y=Discretionary accruals</w:t>
            </w:r>
          </w:p>
          <w:p w14:paraId="5663FEA0" w14:textId="77777777" w:rsidR="00D329E6" w:rsidRPr="002F51D9" w:rsidRDefault="00D329E6" w:rsidP="00D329E6">
            <w:pPr>
              <w:rPr>
                <w:sz w:val="16"/>
                <w:szCs w:val="16"/>
                <w:lang w:val="en-GB"/>
              </w:rPr>
            </w:pPr>
            <w:r>
              <w:rPr>
                <w:sz w:val="16"/>
                <w:szCs w:val="16"/>
                <w:lang w:val="en-GB"/>
              </w:rPr>
              <w:t>X=CFO appointment</w:t>
            </w:r>
          </w:p>
        </w:tc>
        <w:tc>
          <w:tcPr>
            <w:tcW w:w="1559" w:type="dxa"/>
          </w:tcPr>
          <w:p w14:paraId="552C3191" w14:textId="77777777" w:rsidR="00D329E6" w:rsidRPr="002F51D9" w:rsidRDefault="00D329E6" w:rsidP="00D329E6">
            <w:pPr>
              <w:rPr>
                <w:sz w:val="16"/>
                <w:szCs w:val="16"/>
                <w:lang w:val="en-GB"/>
              </w:rPr>
            </w:pPr>
            <w:r>
              <w:rPr>
                <w:sz w:val="16"/>
                <w:szCs w:val="16"/>
                <w:lang w:val="en-GB"/>
              </w:rPr>
              <w:t>Discretionary accruals</w:t>
            </w:r>
          </w:p>
        </w:tc>
        <w:tc>
          <w:tcPr>
            <w:tcW w:w="1985" w:type="dxa"/>
          </w:tcPr>
          <w:p w14:paraId="1B7661AB" w14:textId="77777777" w:rsidR="00D329E6" w:rsidRPr="002F51D9" w:rsidRDefault="00D329E6" w:rsidP="00D329E6">
            <w:pPr>
              <w:rPr>
                <w:sz w:val="16"/>
                <w:szCs w:val="16"/>
                <w:lang w:val="en-GB"/>
              </w:rPr>
            </w:pPr>
            <w:r>
              <w:rPr>
                <w:sz w:val="16"/>
                <w:szCs w:val="16"/>
                <w:lang w:val="en-GB"/>
              </w:rPr>
              <w:t>Empirical evidence of the consequences of CFO rotation.</w:t>
            </w:r>
          </w:p>
        </w:tc>
      </w:tr>
      <w:tr w:rsidR="00D329E6" w:rsidRPr="00A726AB" w14:paraId="4A787227" w14:textId="77777777" w:rsidTr="00D329E6">
        <w:tc>
          <w:tcPr>
            <w:tcW w:w="1277" w:type="dxa"/>
          </w:tcPr>
          <w:p w14:paraId="7DCE654B" w14:textId="77777777" w:rsidR="00D329E6" w:rsidRPr="00D620A2" w:rsidRDefault="00D329E6" w:rsidP="00D329E6">
            <w:pPr>
              <w:rPr>
                <w:sz w:val="16"/>
                <w:szCs w:val="16"/>
                <w:lang w:val="en-GB"/>
              </w:rPr>
            </w:pPr>
            <w:r>
              <w:rPr>
                <w:sz w:val="16"/>
                <w:szCs w:val="16"/>
                <w:lang w:val="en-GB"/>
              </w:rPr>
              <w:t>Indjejikian &amp; Matêjka (2009)</w:t>
            </w:r>
          </w:p>
        </w:tc>
        <w:tc>
          <w:tcPr>
            <w:tcW w:w="1417" w:type="dxa"/>
          </w:tcPr>
          <w:p w14:paraId="7210E395" w14:textId="77777777" w:rsidR="00D329E6" w:rsidRPr="008934ED" w:rsidRDefault="00D329E6" w:rsidP="00D329E6">
            <w:pPr>
              <w:rPr>
                <w:sz w:val="16"/>
                <w:szCs w:val="16"/>
                <w:lang w:val="en-GB"/>
              </w:rPr>
            </w:pPr>
            <w:r>
              <w:rPr>
                <w:sz w:val="16"/>
                <w:szCs w:val="16"/>
                <w:lang w:val="en-GB"/>
              </w:rPr>
              <w:t>CFO fiduciary responsibilities and bonus compensation</w:t>
            </w:r>
          </w:p>
        </w:tc>
        <w:tc>
          <w:tcPr>
            <w:tcW w:w="1560" w:type="dxa"/>
          </w:tcPr>
          <w:p w14:paraId="0CF7B65B" w14:textId="77777777" w:rsidR="00D329E6" w:rsidRPr="00D620A2" w:rsidRDefault="00D329E6" w:rsidP="00D329E6">
            <w:pPr>
              <w:rPr>
                <w:sz w:val="16"/>
                <w:szCs w:val="16"/>
                <w:lang w:val="en-GB"/>
              </w:rPr>
            </w:pPr>
            <w:r>
              <w:rPr>
                <w:sz w:val="16"/>
                <w:szCs w:val="16"/>
                <w:lang w:val="en-GB"/>
              </w:rPr>
              <w:t>Less emphasis of bonus compensation on financial performance in the years 2003 to 2006.</w:t>
            </w:r>
          </w:p>
        </w:tc>
        <w:tc>
          <w:tcPr>
            <w:tcW w:w="1417" w:type="dxa"/>
          </w:tcPr>
          <w:p w14:paraId="161B71D7" w14:textId="77777777" w:rsidR="00D329E6" w:rsidRPr="005D3308" w:rsidRDefault="00D329E6" w:rsidP="00D329E6">
            <w:pPr>
              <w:rPr>
                <w:sz w:val="16"/>
                <w:szCs w:val="16"/>
                <w:lang w:val="en-GB"/>
              </w:rPr>
            </w:pPr>
            <w:r>
              <w:rPr>
                <w:sz w:val="16"/>
                <w:szCs w:val="16"/>
                <w:lang w:val="en-GB"/>
              </w:rPr>
              <w:t>Survey on 1353 respondents from both public and private entities</w:t>
            </w:r>
          </w:p>
        </w:tc>
        <w:tc>
          <w:tcPr>
            <w:tcW w:w="1843" w:type="dxa"/>
          </w:tcPr>
          <w:p w14:paraId="35EB0219" w14:textId="77777777" w:rsidR="00D329E6" w:rsidRDefault="00D329E6" w:rsidP="00D329E6">
            <w:pPr>
              <w:rPr>
                <w:sz w:val="16"/>
                <w:szCs w:val="16"/>
                <w:lang w:val="en-GB"/>
              </w:rPr>
            </w:pPr>
            <w:r>
              <w:rPr>
                <w:sz w:val="16"/>
                <w:szCs w:val="16"/>
                <w:lang w:val="en-GB"/>
              </w:rPr>
              <w:t>OLS regression</w:t>
            </w:r>
          </w:p>
          <w:p w14:paraId="13BC4D61" w14:textId="77777777" w:rsidR="00D329E6" w:rsidRDefault="00D329E6" w:rsidP="00D329E6">
            <w:pPr>
              <w:rPr>
                <w:sz w:val="16"/>
                <w:szCs w:val="16"/>
                <w:lang w:val="en-GB"/>
              </w:rPr>
            </w:pPr>
          </w:p>
          <w:p w14:paraId="39F142FA" w14:textId="77777777" w:rsidR="00D329E6" w:rsidRDefault="00D329E6" w:rsidP="00D329E6">
            <w:pPr>
              <w:rPr>
                <w:sz w:val="16"/>
                <w:szCs w:val="16"/>
                <w:lang w:val="en-GB"/>
              </w:rPr>
            </w:pPr>
            <w:r>
              <w:rPr>
                <w:sz w:val="16"/>
                <w:szCs w:val="16"/>
                <w:lang w:val="en-GB"/>
              </w:rPr>
              <w:t xml:space="preserve">Y=Bonus weight on financial performance </w:t>
            </w:r>
          </w:p>
          <w:p w14:paraId="77A34842" w14:textId="4927232F" w:rsidR="00D329E6" w:rsidRPr="005D3308" w:rsidRDefault="00F51C55" w:rsidP="00D329E6">
            <w:pPr>
              <w:rPr>
                <w:sz w:val="16"/>
                <w:szCs w:val="16"/>
                <w:lang w:val="en-GB"/>
              </w:rPr>
            </w:pPr>
            <w:r>
              <w:rPr>
                <w:sz w:val="16"/>
                <w:szCs w:val="16"/>
                <w:lang w:val="en-GB"/>
              </w:rPr>
              <w:t>X=Years after SOx</w:t>
            </w:r>
          </w:p>
        </w:tc>
        <w:tc>
          <w:tcPr>
            <w:tcW w:w="1559" w:type="dxa"/>
          </w:tcPr>
          <w:p w14:paraId="4E180B34" w14:textId="77777777" w:rsidR="00D329E6" w:rsidRPr="005D3308" w:rsidRDefault="00D329E6" w:rsidP="00D329E6">
            <w:pPr>
              <w:rPr>
                <w:sz w:val="16"/>
                <w:szCs w:val="16"/>
                <w:lang w:val="en-GB"/>
              </w:rPr>
            </w:pPr>
            <w:r>
              <w:rPr>
                <w:sz w:val="16"/>
                <w:szCs w:val="16"/>
                <w:lang w:val="en-GB"/>
              </w:rPr>
              <w:t>Firm financial performance as a counterpart of fiduciary performance</w:t>
            </w:r>
          </w:p>
        </w:tc>
        <w:tc>
          <w:tcPr>
            <w:tcW w:w="1985" w:type="dxa"/>
          </w:tcPr>
          <w:p w14:paraId="0B72B438" w14:textId="33F524C2" w:rsidR="00D329E6" w:rsidRPr="005D3308" w:rsidRDefault="00D329E6" w:rsidP="00D329E6">
            <w:pPr>
              <w:rPr>
                <w:sz w:val="16"/>
                <w:szCs w:val="16"/>
                <w:lang w:val="en-GB"/>
              </w:rPr>
            </w:pPr>
            <w:r>
              <w:rPr>
                <w:sz w:val="16"/>
                <w:szCs w:val="16"/>
                <w:lang w:val="en-GB"/>
              </w:rPr>
              <w:t>Empirical evi</w:t>
            </w:r>
            <w:r w:rsidR="00F51C55">
              <w:rPr>
                <w:sz w:val="16"/>
                <w:szCs w:val="16"/>
                <w:lang w:val="en-GB"/>
              </w:rPr>
              <w:t>dence of the consequences of SOx</w:t>
            </w:r>
            <w:r>
              <w:rPr>
                <w:sz w:val="16"/>
                <w:szCs w:val="16"/>
                <w:lang w:val="en-GB"/>
              </w:rPr>
              <w:t xml:space="preserve"> regarding CFO fiduciary incentive compensation.</w:t>
            </w:r>
          </w:p>
        </w:tc>
      </w:tr>
      <w:tr w:rsidR="00D329E6" w:rsidRPr="00A726AB" w14:paraId="7A1FEC9E" w14:textId="77777777" w:rsidTr="00D329E6">
        <w:tc>
          <w:tcPr>
            <w:tcW w:w="1277" w:type="dxa"/>
          </w:tcPr>
          <w:p w14:paraId="09C029A6" w14:textId="77777777" w:rsidR="00D329E6" w:rsidRDefault="00D329E6" w:rsidP="00D329E6">
            <w:pPr>
              <w:rPr>
                <w:sz w:val="16"/>
                <w:szCs w:val="16"/>
                <w:lang w:val="en-GB"/>
              </w:rPr>
            </w:pPr>
            <w:r>
              <w:rPr>
                <w:sz w:val="16"/>
                <w:szCs w:val="16"/>
                <w:lang w:val="en-GB"/>
              </w:rPr>
              <w:t>Li et al. (2010)</w:t>
            </w:r>
          </w:p>
        </w:tc>
        <w:tc>
          <w:tcPr>
            <w:tcW w:w="1417" w:type="dxa"/>
          </w:tcPr>
          <w:p w14:paraId="2C0A72DD" w14:textId="77777777" w:rsidR="00D329E6" w:rsidRDefault="00D329E6" w:rsidP="00D329E6">
            <w:pPr>
              <w:rPr>
                <w:sz w:val="16"/>
                <w:szCs w:val="16"/>
                <w:lang w:val="en-GB"/>
              </w:rPr>
            </w:pPr>
            <w:r>
              <w:rPr>
                <w:sz w:val="16"/>
                <w:szCs w:val="16"/>
                <w:lang w:val="en-GB"/>
              </w:rPr>
              <w:t>Association between CFO performance and CFO qualifications</w:t>
            </w:r>
          </w:p>
        </w:tc>
        <w:tc>
          <w:tcPr>
            <w:tcW w:w="1560" w:type="dxa"/>
          </w:tcPr>
          <w:p w14:paraId="27E54C8C" w14:textId="77777777" w:rsidR="00D329E6" w:rsidRDefault="00D329E6" w:rsidP="00D329E6">
            <w:pPr>
              <w:rPr>
                <w:sz w:val="16"/>
                <w:szCs w:val="16"/>
                <w:lang w:val="en-GB"/>
              </w:rPr>
            </w:pPr>
            <w:r>
              <w:rPr>
                <w:sz w:val="16"/>
                <w:szCs w:val="16"/>
                <w:lang w:val="en-GB"/>
              </w:rPr>
              <w:t>Firms that encounter ICMW have less qualified CFOs.</w:t>
            </w:r>
          </w:p>
          <w:p w14:paraId="22B65C8B" w14:textId="77777777" w:rsidR="00D329E6" w:rsidRDefault="00D329E6" w:rsidP="00D329E6">
            <w:pPr>
              <w:rPr>
                <w:sz w:val="16"/>
                <w:szCs w:val="16"/>
                <w:lang w:val="en-GB"/>
              </w:rPr>
            </w:pPr>
          </w:p>
        </w:tc>
        <w:tc>
          <w:tcPr>
            <w:tcW w:w="1417" w:type="dxa"/>
          </w:tcPr>
          <w:p w14:paraId="4909177D" w14:textId="77777777" w:rsidR="00D329E6" w:rsidRDefault="00D329E6" w:rsidP="00D329E6">
            <w:pPr>
              <w:rPr>
                <w:sz w:val="16"/>
                <w:szCs w:val="16"/>
                <w:lang w:val="en-GB"/>
              </w:rPr>
            </w:pPr>
            <w:r>
              <w:rPr>
                <w:sz w:val="16"/>
                <w:szCs w:val="16"/>
                <w:lang w:val="en-GB"/>
              </w:rPr>
              <w:lastRenderedPageBreak/>
              <w:t>2478 companies in the fiscal year 2004</w:t>
            </w:r>
          </w:p>
        </w:tc>
        <w:tc>
          <w:tcPr>
            <w:tcW w:w="1843" w:type="dxa"/>
          </w:tcPr>
          <w:p w14:paraId="7CD6EBD3" w14:textId="77777777" w:rsidR="00D329E6" w:rsidRDefault="00D329E6" w:rsidP="00D329E6">
            <w:pPr>
              <w:rPr>
                <w:sz w:val="16"/>
                <w:szCs w:val="16"/>
                <w:lang w:val="en-GB"/>
              </w:rPr>
            </w:pPr>
            <w:r>
              <w:rPr>
                <w:sz w:val="16"/>
                <w:szCs w:val="16"/>
                <w:lang w:val="en-GB"/>
              </w:rPr>
              <w:t>Logistic regression</w:t>
            </w:r>
          </w:p>
          <w:p w14:paraId="5C22008D" w14:textId="77777777" w:rsidR="00D329E6" w:rsidRDefault="00D329E6" w:rsidP="00D329E6">
            <w:pPr>
              <w:rPr>
                <w:sz w:val="16"/>
                <w:szCs w:val="16"/>
                <w:lang w:val="en-GB"/>
              </w:rPr>
            </w:pPr>
          </w:p>
          <w:p w14:paraId="1F7C07A7" w14:textId="77777777" w:rsidR="00D329E6" w:rsidRDefault="00D329E6" w:rsidP="00D329E6">
            <w:pPr>
              <w:rPr>
                <w:sz w:val="16"/>
                <w:szCs w:val="16"/>
                <w:lang w:val="en-GB"/>
              </w:rPr>
            </w:pPr>
            <w:r>
              <w:rPr>
                <w:sz w:val="16"/>
                <w:szCs w:val="16"/>
                <w:lang w:val="en-GB"/>
              </w:rPr>
              <w:t>Y=ICMW disclosure</w:t>
            </w:r>
          </w:p>
          <w:p w14:paraId="743E50C1" w14:textId="77777777" w:rsidR="00D329E6" w:rsidRDefault="00D329E6" w:rsidP="00D329E6">
            <w:pPr>
              <w:rPr>
                <w:sz w:val="16"/>
                <w:szCs w:val="16"/>
                <w:lang w:val="en-GB"/>
              </w:rPr>
            </w:pPr>
            <w:r>
              <w:rPr>
                <w:sz w:val="16"/>
                <w:szCs w:val="16"/>
                <w:lang w:val="en-GB"/>
              </w:rPr>
              <w:t xml:space="preserve">X=CFO qualifications </w:t>
            </w:r>
          </w:p>
        </w:tc>
        <w:tc>
          <w:tcPr>
            <w:tcW w:w="1559" w:type="dxa"/>
          </w:tcPr>
          <w:p w14:paraId="15ACFA12" w14:textId="77777777" w:rsidR="00D329E6" w:rsidRDefault="00D329E6" w:rsidP="00D329E6">
            <w:pPr>
              <w:rPr>
                <w:sz w:val="16"/>
                <w:szCs w:val="16"/>
                <w:lang w:val="en-GB"/>
              </w:rPr>
            </w:pPr>
            <w:r>
              <w:rPr>
                <w:sz w:val="16"/>
                <w:szCs w:val="16"/>
                <w:lang w:val="en-GB"/>
              </w:rPr>
              <w:t>Internal Control Material Weakness Disclosure</w:t>
            </w:r>
          </w:p>
        </w:tc>
        <w:tc>
          <w:tcPr>
            <w:tcW w:w="1985" w:type="dxa"/>
          </w:tcPr>
          <w:p w14:paraId="2802450E" w14:textId="77777777" w:rsidR="00D329E6" w:rsidRDefault="00D329E6" w:rsidP="00D329E6">
            <w:pPr>
              <w:rPr>
                <w:sz w:val="16"/>
                <w:szCs w:val="16"/>
                <w:lang w:val="en-GB"/>
              </w:rPr>
            </w:pPr>
            <w:r>
              <w:rPr>
                <w:sz w:val="16"/>
                <w:szCs w:val="16"/>
                <w:lang w:val="en-GB"/>
              </w:rPr>
              <w:t xml:space="preserve">Understanding consequences of CFO qualifications and the causes of ICMW </w:t>
            </w:r>
            <w:r>
              <w:rPr>
                <w:sz w:val="16"/>
                <w:szCs w:val="16"/>
                <w:lang w:val="en-GB"/>
              </w:rPr>
              <w:lastRenderedPageBreak/>
              <w:t>disclosure.</w:t>
            </w:r>
          </w:p>
        </w:tc>
      </w:tr>
      <w:tr w:rsidR="00D329E6" w:rsidRPr="00A726AB" w14:paraId="5C4198EA" w14:textId="77777777" w:rsidTr="00D329E6">
        <w:tc>
          <w:tcPr>
            <w:tcW w:w="1277" w:type="dxa"/>
          </w:tcPr>
          <w:p w14:paraId="35C574FE" w14:textId="77777777" w:rsidR="00D329E6" w:rsidRDefault="00D329E6" w:rsidP="00D329E6">
            <w:pPr>
              <w:rPr>
                <w:sz w:val="16"/>
                <w:szCs w:val="16"/>
                <w:lang w:val="en-GB"/>
              </w:rPr>
            </w:pPr>
            <w:r>
              <w:rPr>
                <w:sz w:val="16"/>
                <w:szCs w:val="16"/>
                <w:lang w:val="en-GB"/>
              </w:rPr>
              <w:lastRenderedPageBreak/>
              <w:t>Burks (2010)</w:t>
            </w:r>
          </w:p>
        </w:tc>
        <w:tc>
          <w:tcPr>
            <w:tcW w:w="1417" w:type="dxa"/>
          </w:tcPr>
          <w:p w14:paraId="7325F708" w14:textId="77777777" w:rsidR="00D329E6" w:rsidRDefault="00D329E6" w:rsidP="00D329E6">
            <w:pPr>
              <w:rPr>
                <w:sz w:val="16"/>
                <w:szCs w:val="16"/>
                <w:lang w:val="en-GB"/>
              </w:rPr>
            </w:pPr>
            <w:r>
              <w:rPr>
                <w:sz w:val="16"/>
                <w:szCs w:val="16"/>
                <w:lang w:val="en-GB"/>
              </w:rPr>
              <w:t>Disciplinary measures in response to restatements</w:t>
            </w:r>
          </w:p>
        </w:tc>
        <w:tc>
          <w:tcPr>
            <w:tcW w:w="1560" w:type="dxa"/>
          </w:tcPr>
          <w:p w14:paraId="1282E80B" w14:textId="77777777" w:rsidR="00D329E6" w:rsidRDefault="00D329E6" w:rsidP="00D329E6">
            <w:pPr>
              <w:rPr>
                <w:sz w:val="16"/>
                <w:szCs w:val="16"/>
                <w:lang w:val="en-GB"/>
              </w:rPr>
            </w:pPr>
            <w:r>
              <w:rPr>
                <w:sz w:val="16"/>
                <w:szCs w:val="16"/>
                <w:lang w:val="en-GB"/>
              </w:rPr>
              <w:t xml:space="preserve">Bonus decrease for CEOs and termination for CFOs after restatements. </w:t>
            </w:r>
          </w:p>
        </w:tc>
        <w:tc>
          <w:tcPr>
            <w:tcW w:w="1417" w:type="dxa"/>
          </w:tcPr>
          <w:p w14:paraId="430CA478" w14:textId="77777777" w:rsidR="00D329E6" w:rsidRDefault="00D329E6" w:rsidP="00D329E6">
            <w:pPr>
              <w:rPr>
                <w:sz w:val="16"/>
                <w:szCs w:val="16"/>
                <w:lang w:val="en-GB"/>
              </w:rPr>
            </w:pPr>
            <w:r>
              <w:rPr>
                <w:sz w:val="16"/>
                <w:szCs w:val="16"/>
                <w:lang w:val="en-GB"/>
              </w:rPr>
              <w:t>2309 restatements by publicly traded companies from  1997 to 2005</w:t>
            </w:r>
          </w:p>
        </w:tc>
        <w:tc>
          <w:tcPr>
            <w:tcW w:w="1843" w:type="dxa"/>
          </w:tcPr>
          <w:p w14:paraId="570E6B74" w14:textId="77777777" w:rsidR="00D329E6" w:rsidRDefault="00D329E6" w:rsidP="00D329E6">
            <w:pPr>
              <w:rPr>
                <w:sz w:val="16"/>
                <w:szCs w:val="16"/>
                <w:lang w:val="en-GB"/>
              </w:rPr>
            </w:pPr>
            <w:r>
              <w:rPr>
                <w:sz w:val="16"/>
                <w:szCs w:val="16"/>
                <w:lang w:val="en-GB"/>
              </w:rPr>
              <w:t>Logistic regression</w:t>
            </w:r>
          </w:p>
          <w:p w14:paraId="5F3D3581" w14:textId="77777777" w:rsidR="00D329E6" w:rsidRDefault="00D329E6" w:rsidP="00D329E6">
            <w:pPr>
              <w:rPr>
                <w:sz w:val="16"/>
                <w:szCs w:val="16"/>
                <w:lang w:val="en-GB"/>
              </w:rPr>
            </w:pPr>
            <w:r>
              <w:rPr>
                <w:sz w:val="16"/>
                <w:szCs w:val="16"/>
                <w:lang w:val="en-GB"/>
              </w:rPr>
              <w:t>Y=Turnover</w:t>
            </w:r>
          </w:p>
          <w:p w14:paraId="4A3A7313" w14:textId="77777777" w:rsidR="00D329E6" w:rsidRDefault="00D329E6" w:rsidP="00D329E6">
            <w:pPr>
              <w:rPr>
                <w:sz w:val="16"/>
                <w:szCs w:val="16"/>
                <w:lang w:val="en-GB"/>
              </w:rPr>
            </w:pPr>
            <w:r>
              <w:rPr>
                <w:sz w:val="16"/>
                <w:szCs w:val="16"/>
                <w:lang w:val="en-GB"/>
              </w:rPr>
              <w:t>X=Restatement</w:t>
            </w:r>
          </w:p>
          <w:p w14:paraId="3F5D783E" w14:textId="77777777" w:rsidR="00D329E6" w:rsidRDefault="00D329E6" w:rsidP="00D329E6">
            <w:pPr>
              <w:rPr>
                <w:sz w:val="16"/>
                <w:szCs w:val="16"/>
                <w:lang w:val="en-GB"/>
              </w:rPr>
            </w:pPr>
          </w:p>
          <w:p w14:paraId="7FDAC247" w14:textId="77777777" w:rsidR="00D329E6" w:rsidRDefault="00D329E6" w:rsidP="00D329E6">
            <w:pPr>
              <w:rPr>
                <w:sz w:val="16"/>
                <w:szCs w:val="16"/>
                <w:lang w:val="en-GB"/>
              </w:rPr>
            </w:pPr>
            <w:r>
              <w:rPr>
                <w:sz w:val="16"/>
                <w:szCs w:val="16"/>
                <w:lang w:val="en-GB"/>
              </w:rPr>
              <w:t>Multivariate regression</w:t>
            </w:r>
          </w:p>
          <w:p w14:paraId="065C233E" w14:textId="77777777" w:rsidR="00D329E6" w:rsidRDefault="00D329E6" w:rsidP="00D329E6">
            <w:pPr>
              <w:rPr>
                <w:sz w:val="16"/>
                <w:szCs w:val="16"/>
                <w:lang w:val="en-GB"/>
              </w:rPr>
            </w:pPr>
            <w:r>
              <w:rPr>
                <w:sz w:val="16"/>
                <w:szCs w:val="16"/>
                <w:lang w:val="en-GB"/>
              </w:rPr>
              <w:t>Y=Bonus compensation</w:t>
            </w:r>
          </w:p>
          <w:p w14:paraId="17C0C855" w14:textId="77777777" w:rsidR="00D329E6" w:rsidRDefault="00D329E6" w:rsidP="00D329E6">
            <w:pPr>
              <w:rPr>
                <w:sz w:val="16"/>
                <w:szCs w:val="16"/>
                <w:lang w:val="en-GB"/>
              </w:rPr>
            </w:pPr>
            <w:r>
              <w:rPr>
                <w:sz w:val="16"/>
                <w:szCs w:val="16"/>
                <w:lang w:val="en-GB"/>
              </w:rPr>
              <w:t>X=Restatement</w:t>
            </w:r>
          </w:p>
        </w:tc>
        <w:tc>
          <w:tcPr>
            <w:tcW w:w="1559" w:type="dxa"/>
          </w:tcPr>
          <w:p w14:paraId="59D2314E" w14:textId="77777777" w:rsidR="00D329E6" w:rsidRDefault="00D329E6" w:rsidP="00D329E6">
            <w:pPr>
              <w:rPr>
                <w:sz w:val="16"/>
                <w:szCs w:val="16"/>
                <w:lang w:val="en-GB"/>
              </w:rPr>
            </w:pPr>
            <w:r>
              <w:rPr>
                <w:sz w:val="16"/>
                <w:szCs w:val="16"/>
                <w:lang w:val="en-GB"/>
              </w:rPr>
              <w:t>Restatement</w:t>
            </w:r>
          </w:p>
        </w:tc>
        <w:tc>
          <w:tcPr>
            <w:tcW w:w="1985" w:type="dxa"/>
          </w:tcPr>
          <w:p w14:paraId="6FBA61AA" w14:textId="77777777" w:rsidR="00D329E6" w:rsidRDefault="00D329E6" w:rsidP="00D329E6">
            <w:pPr>
              <w:rPr>
                <w:sz w:val="16"/>
                <w:szCs w:val="16"/>
                <w:lang w:val="en-GB"/>
              </w:rPr>
            </w:pPr>
            <w:r>
              <w:rPr>
                <w:sz w:val="16"/>
                <w:szCs w:val="16"/>
                <w:lang w:val="en-GB"/>
              </w:rPr>
              <w:t>Insight in the consequences of a restatement and the causes of executive exit and compensation changes.</w:t>
            </w:r>
          </w:p>
        </w:tc>
      </w:tr>
      <w:tr w:rsidR="00D329E6" w:rsidRPr="00A726AB" w14:paraId="7AA22C85" w14:textId="77777777" w:rsidTr="00D329E6">
        <w:tc>
          <w:tcPr>
            <w:tcW w:w="1277" w:type="dxa"/>
          </w:tcPr>
          <w:p w14:paraId="5B94210C" w14:textId="77777777" w:rsidR="00D329E6" w:rsidRDefault="00D329E6" w:rsidP="00D329E6">
            <w:pPr>
              <w:rPr>
                <w:sz w:val="16"/>
                <w:szCs w:val="16"/>
                <w:lang w:val="en-GB"/>
              </w:rPr>
            </w:pPr>
            <w:r>
              <w:rPr>
                <w:sz w:val="16"/>
                <w:szCs w:val="16"/>
                <w:lang w:val="en-GB"/>
              </w:rPr>
              <w:t>Johnstone et al. (2011)</w:t>
            </w:r>
          </w:p>
        </w:tc>
        <w:tc>
          <w:tcPr>
            <w:tcW w:w="1417" w:type="dxa"/>
          </w:tcPr>
          <w:p w14:paraId="5CC4B39B" w14:textId="77777777" w:rsidR="00D329E6" w:rsidRDefault="00D329E6" w:rsidP="00D329E6">
            <w:pPr>
              <w:rPr>
                <w:sz w:val="16"/>
                <w:szCs w:val="16"/>
                <w:lang w:val="en-GB"/>
              </w:rPr>
            </w:pPr>
            <w:r>
              <w:rPr>
                <w:sz w:val="16"/>
                <w:szCs w:val="16"/>
                <w:lang w:val="en-GB"/>
              </w:rPr>
              <w:t>Changes in corporate governance associated with ICMW disclosure and their remediation</w:t>
            </w:r>
          </w:p>
        </w:tc>
        <w:tc>
          <w:tcPr>
            <w:tcW w:w="1560" w:type="dxa"/>
          </w:tcPr>
          <w:p w14:paraId="012B30E2" w14:textId="77777777" w:rsidR="00D329E6" w:rsidRDefault="00D329E6" w:rsidP="00D329E6">
            <w:pPr>
              <w:rPr>
                <w:sz w:val="16"/>
                <w:szCs w:val="16"/>
                <w:lang w:val="en-GB"/>
              </w:rPr>
            </w:pPr>
            <w:r>
              <w:rPr>
                <w:sz w:val="16"/>
                <w:szCs w:val="16"/>
                <w:lang w:val="en-GB"/>
              </w:rPr>
              <w:t xml:space="preserve">Disclosure of ICMW is positively associated with subsequent turnover of executives. </w:t>
            </w:r>
          </w:p>
        </w:tc>
        <w:tc>
          <w:tcPr>
            <w:tcW w:w="1417" w:type="dxa"/>
          </w:tcPr>
          <w:p w14:paraId="70FEECF8" w14:textId="77777777" w:rsidR="00D329E6" w:rsidRDefault="00D329E6" w:rsidP="00D329E6">
            <w:pPr>
              <w:rPr>
                <w:sz w:val="16"/>
                <w:szCs w:val="16"/>
                <w:lang w:val="en-GB"/>
              </w:rPr>
            </w:pPr>
            <w:r>
              <w:rPr>
                <w:sz w:val="16"/>
                <w:szCs w:val="16"/>
                <w:lang w:val="en-GB"/>
              </w:rPr>
              <w:t>733 firms that reported ICMW and 3602 that that did not report ICMW from 2004 to 2008.</w:t>
            </w:r>
          </w:p>
        </w:tc>
        <w:tc>
          <w:tcPr>
            <w:tcW w:w="1843" w:type="dxa"/>
          </w:tcPr>
          <w:p w14:paraId="7ED5E000" w14:textId="77777777" w:rsidR="00D329E6" w:rsidRDefault="00D329E6" w:rsidP="00D329E6">
            <w:pPr>
              <w:rPr>
                <w:sz w:val="16"/>
                <w:szCs w:val="16"/>
                <w:lang w:val="en-GB"/>
              </w:rPr>
            </w:pPr>
            <w:r>
              <w:rPr>
                <w:sz w:val="16"/>
                <w:szCs w:val="16"/>
                <w:lang w:val="en-GB"/>
              </w:rPr>
              <w:t>Logistic regression</w:t>
            </w:r>
          </w:p>
          <w:p w14:paraId="6DFF59C2" w14:textId="77777777" w:rsidR="00D329E6" w:rsidRDefault="00D329E6" w:rsidP="00D329E6">
            <w:pPr>
              <w:rPr>
                <w:sz w:val="16"/>
                <w:szCs w:val="16"/>
                <w:lang w:val="en-GB"/>
              </w:rPr>
            </w:pPr>
          </w:p>
          <w:p w14:paraId="782347C2" w14:textId="77777777" w:rsidR="00D329E6" w:rsidRDefault="00D329E6" w:rsidP="00D329E6">
            <w:pPr>
              <w:rPr>
                <w:sz w:val="16"/>
                <w:szCs w:val="16"/>
                <w:lang w:val="en-GB"/>
              </w:rPr>
            </w:pPr>
            <w:r>
              <w:rPr>
                <w:sz w:val="16"/>
                <w:szCs w:val="16"/>
                <w:lang w:val="en-GB"/>
              </w:rPr>
              <w:t>Y=Executive turnover</w:t>
            </w:r>
          </w:p>
          <w:p w14:paraId="7C84C70C" w14:textId="77777777" w:rsidR="00D329E6" w:rsidRDefault="00D329E6" w:rsidP="00D329E6">
            <w:pPr>
              <w:rPr>
                <w:sz w:val="16"/>
                <w:szCs w:val="16"/>
                <w:lang w:val="en-GB"/>
              </w:rPr>
            </w:pPr>
            <w:r>
              <w:rPr>
                <w:sz w:val="16"/>
                <w:szCs w:val="16"/>
                <w:lang w:val="en-GB"/>
              </w:rPr>
              <w:t>X=ICMW</w:t>
            </w:r>
          </w:p>
        </w:tc>
        <w:tc>
          <w:tcPr>
            <w:tcW w:w="1559" w:type="dxa"/>
          </w:tcPr>
          <w:p w14:paraId="0CD51504" w14:textId="77777777" w:rsidR="00D329E6" w:rsidRDefault="00D329E6" w:rsidP="00D329E6">
            <w:pPr>
              <w:rPr>
                <w:sz w:val="16"/>
                <w:szCs w:val="16"/>
                <w:lang w:val="en-GB"/>
              </w:rPr>
            </w:pPr>
            <w:r>
              <w:rPr>
                <w:sz w:val="16"/>
                <w:szCs w:val="16"/>
                <w:lang w:val="en-GB"/>
              </w:rPr>
              <w:t>Internal Control Material Weakness</w:t>
            </w:r>
          </w:p>
        </w:tc>
        <w:tc>
          <w:tcPr>
            <w:tcW w:w="1985" w:type="dxa"/>
          </w:tcPr>
          <w:p w14:paraId="65940574" w14:textId="77777777" w:rsidR="00D329E6" w:rsidRDefault="00D329E6" w:rsidP="00D329E6">
            <w:pPr>
              <w:rPr>
                <w:sz w:val="16"/>
                <w:szCs w:val="16"/>
                <w:lang w:val="en-GB"/>
              </w:rPr>
            </w:pPr>
            <w:r>
              <w:rPr>
                <w:sz w:val="16"/>
                <w:szCs w:val="16"/>
                <w:lang w:val="en-GB"/>
              </w:rPr>
              <w:t>Empirical evidence regarding the consequences of ICMW disclosure.</w:t>
            </w:r>
          </w:p>
        </w:tc>
      </w:tr>
      <w:tr w:rsidR="00D329E6" w:rsidRPr="00A726AB" w14:paraId="3BE6BCB5" w14:textId="77777777" w:rsidTr="00D329E6">
        <w:tc>
          <w:tcPr>
            <w:tcW w:w="1277" w:type="dxa"/>
          </w:tcPr>
          <w:p w14:paraId="3A92F469" w14:textId="77777777" w:rsidR="00D329E6" w:rsidRPr="002F51D9" w:rsidRDefault="00D329E6" w:rsidP="00D329E6">
            <w:pPr>
              <w:rPr>
                <w:sz w:val="16"/>
                <w:szCs w:val="16"/>
                <w:lang w:val="en-GB"/>
              </w:rPr>
            </w:pPr>
            <w:r>
              <w:rPr>
                <w:sz w:val="16"/>
                <w:szCs w:val="16"/>
                <w:lang w:val="en-GB"/>
              </w:rPr>
              <w:t>Hoitash et al. (2012)</w:t>
            </w:r>
          </w:p>
        </w:tc>
        <w:tc>
          <w:tcPr>
            <w:tcW w:w="1417" w:type="dxa"/>
          </w:tcPr>
          <w:p w14:paraId="32B730FE" w14:textId="77777777" w:rsidR="00D329E6" w:rsidRPr="002F51D9" w:rsidRDefault="00D329E6" w:rsidP="00D329E6">
            <w:pPr>
              <w:rPr>
                <w:sz w:val="16"/>
                <w:szCs w:val="16"/>
                <w:lang w:val="en-GB"/>
              </w:rPr>
            </w:pPr>
            <w:r>
              <w:rPr>
                <w:sz w:val="16"/>
                <w:szCs w:val="16"/>
                <w:lang w:val="en-GB"/>
              </w:rPr>
              <w:t>Fiduciary performance and CFO compensation</w:t>
            </w:r>
          </w:p>
        </w:tc>
        <w:tc>
          <w:tcPr>
            <w:tcW w:w="1560" w:type="dxa"/>
          </w:tcPr>
          <w:p w14:paraId="38DF59BD" w14:textId="77777777" w:rsidR="00D329E6" w:rsidRDefault="00D329E6" w:rsidP="00D329E6">
            <w:pPr>
              <w:rPr>
                <w:sz w:val="16"/>
                <w:szCs w:val="16"/>
                <w:lang w:val="en-GB"/>
              </w:rPr>
            </w:pPr>
            <w:r>
              <w:rPr>
                <w:sz w:val="16"/>
                <w:szCs w:val="16"/>
                <w:lang w:val="en-GB"/>
              </w:rPr>
              <w:t>Negative association between ICMW disclosures and the change in CFO bonus compensation.</w:t>
            </w:r>
          </w:p>
          <w:p w14:paraId="6B827CDA" w14:textId="77777777" w:rsidR="00D329E6" w:rsidRPr="00E45227" w:rsidRDefault="00D329E6" w:rsidP="00D329E6">
            <w:pPr>
              <w:jc w:val="center"/>
              <w:rPr>
                <w:sz w:val="16"/>
                <w:szCs w:val="16"/>
                <w:lang w:val="en-GB"/>
              </w:rPr>
            </w:pPr>
          </w:p>
        </w:tc>
        <w:tc>
          <w:tcPr>
            <w:tcW w:w="1417" w:type="dxa"/>
          </w:tcPr>
          <w:p w14:paraId="07FCA532" w14:textId="77777777" w:rsidR="00D329E6" w:rsidRPr="002F51D9" w:rsidRDefault="00D329E6" w:rsidP="00D329E6">
            <w:pPr>
              <w:rPr>
                <w:sz w:val="16"/>
                <w:szCs w:val="16"/>
                <w:lang w:val="en-GB"/>
              </w:rPr>
            </w:pPr>
            <w:r>
              <w:rPr>
                <w:sz w:val="16"/>
                <w:szCs w:val="16"/>
                <w:lang w:val="en-GB"/>
              </w:rPr>
              <w:t>604 firms in the fiscal year 2005</w:t>
            </w:r>
          </w:p>
        </w:tc>
        <w:tc>
          <w:tcPr>
            <w:tcW w:w="1843" w:type="dxa"/>
          </w:tcPr>
          <w:p w14:paraId="025A1528" w14:textId="77777777" w:rsidR="00D329E6" w:rsidRDefault="00D329E6" w:rsidP="00D329E6">
            <w:pPr>
              <w:rPr>
                <w:sz w:val="16"/>
                <w:szCs w:val="16"/>
                <w:lang w:val="en-GB"/>
              </w:rPr>
            </w:pPr>
            <w:r>
              <w:rPr>
                <w:sz w:val="16"/>
                <w:szCs w:val="16"/>
                <w:lang w:val="en-GB"/>
              </w:rPr>
              <w:t>OLS regression</w:t>
            </w:r>
          </w:p>
          <w:p w14:paraId="54EA5687" w14:textId="77777777" w:rsidR="00D329E6" w:rsidRDefault="00D329E6" w:rsidP="00D329E6">
            <w:pPr>
              <w:rPr>
                <w:sz w:val="16"/>
                <w:szCs w:val="16"/>
                <w:lang w:val="en-GB"/>
              </w:rPr>
            </w:pPr>
          </w:p>
          <w:p w14:paraId="3D065F53" w14:textId="77777777" w:rsidR="00D329E6" w:rsidRDefault="00D329E6" w:rsidP="00D329E6">
            <w:pPr>
              <w:rPr>
                <w:sz w:val="16"/>
                <w:szCs w:val="16"/>
                <w:lang w:val="en-GB"/>
              </w:rPr>
            </w:pPr>
            <w:r>
              <w:rPr>
                <w:sz w:val="16"/>
                <w:szCs w:val="16"/>
                <w:lang w:val="en-GB"/>
              </w:rPr>
              <w:t>Y=CFO compensation</w:t>
            </w:r>
          </w:p>
          <w:p w14:paraId="3883BB4F" w14:textId="77777777" w:rsidR="00D329E6" w:rsidRPr="002F51D9" w:rsidRDefault="00D329E6" w:rsidP="00D329E6">
            <w:pPr>
              <w:rPr>
                <w:sz w:val="16"/>
                <w:szCs w:val="16"/>
                <w:lang w:val="en-GB"/>
              </w:rPr>
            </w:pPr>
            <w:r>
              <w:rPr>
                <w:sz w:val="16"/>
                <w:szCs w:val="16"/>
                <w:lang w:val="en-GB"/>
              </w:rPr>
              <w:t>X=ICMW disclosure</w:t>
            </w:r>
          </w:p>
        </w:tc>
        <w:tc>
          <w:tcPr>
            <w:tcW w:w="1559" w:type="dxa"/>
          </w:tcPr>
          <w:p w14:paraId="30B59C78" w14:textId="77777777" w:rsidR="00D329E6" w:rsidRPr="002F51D9" w:rsidRDefault="00D329E6" w:rsidP="00D329E6">
            <w:pPr>
              <w:rPr>
                <w:sz w:val="16"/>
                <w:szCs w:val="16"/>
                <w:lang w:val="en-GB"/>
              </w:rPr>
            </w:pPr>
            <w:r>
              <w:rPr>
                <w:sz w:val="16"/>
                <w:szCs w:val="16"/>
                <w:lang w:val="en-GB"/>
              </w:rPr>
              <w:t>Internal Control Material Weakness Disclosure</w:t>
            </w:r>
          </w:p>
        </w:tc>
        <w:tc>
          <w:tcPr>
            <w:tcW w:w="1985" w:type="dxa"/>
          </w:tcPr>
          <w:p w14:paraId="4240681B" w14:textId="77777777" w:rsidR="00D329E6" w:rsidRPr="002F51D9" w:rsidRDefault="00D329E6" w:rsidP="00D329E6">
            <w:pPr>
              <w:rPr>
                <w:sz w:val="16"/>
                <w:szCs w:val="16"/>
                <w:lang w:val="en-GB"/>
              </w:rPr>
            </w:pPr>
            <w:r>
              <w:rPr>
                <w:sz w:val="16"/>
                <w:szCs w:val="16"/>
                <w:lang w:val="en-GB"/>
              </w:rPr>
              <w:t>Empirical evidence regarding the relation between CFO compensation and fiduciary performance.</w:t>
            </w:r>
          </w:p>
        </w:tc>
      </w:tr>
    </w:tbl>
    <w:p w14:paraId="1DE250FC" w14:textId="77777777" w:rsidR="00D329E6" w:rsidRPr="002477B9" w:rsidRDefault="00D329E6" w:rsidP="00D329E6">
      <w:pPr>
        <w:rPr>
          <w:lang w:val="en-GB"/>
        </w:rPr>
      </w:pPr>
    </w:p>
    <w:p w14:paraId="16833237" w14:textId="3F89C5F5" w:rsidR="00713C83" w:rsidRDefault="00713C83">
      <w:pPr>
        <w:rPr>
          <w:rFonts w:asciiTheme="majorHAnsi" w:eastAsiaTheme="majorEastAsia" w:hAnsiTheme="majorHAnsi" w:cstheme="majorBidi"/>
          <w:b/>
          <w:bCs/>
          <w:color w:val="4F81BD" w:themeColor="accent1"/>
          <w:sz w:val="26"/>
          <w:szCs w:val="26"/>
          <w:lang w:val="en-GB"/>
        </w:rPr>
      </w:pPr>
      <w:r>
        <w:rPr>
          <w:rFonts w:asciiTheme="majorHAnsi" w:eastAsiaTheme="majorEastAsia" w:hAnsiTheme="majorHAnsi" w:cstheme="majorBidi"/>
          <w:b/>
          <w:bCs/>
          <w:color w:val="4F81BD" w:themeColor="accent1"/>
          <w:sz w:val="26"/>
          <w:szCs w:val="26"/>
          <w:lang w:val="en-GB"/>
        </w:rPr>
        <w:br w:type="page"/>
      </w:r>
    </w:p>
    <w:p w14:paraId="3A3903D7" w14:textId="704F5415" w:rsidR="00926866" w:rsidRDefault="00713C83" w:rsidP="00F32C04">
      <w:pPr>
        <w:pStyle w:val="Kop2"/>
      </w:pPr>
      <w:bookmarkStart w:id="62" w:name="_Toc439346667"/>
      <w:r>
        <w:lastRenderedPageBreak/>
        <w:t>8.2 Additional mutual relations of deciles</w:t>
      </w:r>
      <w:bookmarkEnd w:id="62"/>
    </w:p>
    <w:p w14:paraId="1EC93D66" w14:textId="77777777" w:rsidR="00017BAA" w:rsidRPr="00017BAA" w:rsidRDefault="00017BAA" w:rsidP="00017BAA">
      <w:pPr>
        <w:widowControl w:val="0"/>
        <w:autoSpaceDE w:val="0"/>
        <w:autoSpaceDN w:val="0"/>
        <w:adjustRightInd w:val="0"/>
        <w:spacing w:after="0" w:line="240" w:lineRule="auto"/>
        <w:rPr>
          <w:rFonts w:eastAsiaTheme="minorEastAsia" w:cs="Times New Roman"/>
          <w:sz w:val="16"/>
          <w:szCs w:val="16"/>
          <w:lang w:val="en-GB" w:eastAsia="en-GB"/>
        </w:rPr>
      </w:pPr>
    </w:p>
    <w:p w14:paraId="620179DC" w14:textId="5E3FADA5" w:rsidR="00017BAA" w:rsidRPr="008E59D3" w:rsidRDefault="00017BAA" w:rsidP="00F32C04">
      <w:pPr>
        <w:pStyle w:val="Kop5"/>
      </w:pPr>
      <w:r w:rsidRPr="008E59D3">
        <w:t xml:space="preserve">Table </w:t>
      </w:r>
      <w:r>
        <w:fldChar w:fldCharType="begin"/>
      </w:r>
      <w:r w:rsidRPr="008E59D3">
        <w:instrText xml:space="preserve"> SEQ Table \* ARABIC </w:instrText>
      </w:r>
      <w:r>
        <w:fldChar w:fldCharType="separate"/>
      </w:r>
      <w:r w:rsidR="004043A1">
        <w:rPr>
          <w:noProof/>
        </w:rPr>
        <w:t>12</w:t>
      </w:r>
      <w:r>
        <w:fldChar w:fldCharType="end"/>
      </w:r>
      <w:r w:rsidR="003F4802">
        <w:t>: M</w:t>
      </w:r>
      <w:r w:rsidRPr="008E59D3">
        <w:t>utual relations hypothesis 2a</w:t>
      </w:r>
    </w:p>
    <w:tbl>
      <w:tblPr>
        <w:tblW w:w="892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567"/>
        <w:gridCol w:w="1843"/>
        <w:gridCol w:w="1701"/>
        <w:gridCol w:w="709"/>
        <w:gridCol w:w="1701"/>
        <w:gridCol w:w="1699"/>
      </w:tblGrid>
      <w:tr w:rsidR="00017BAA" w:rsidRPr="00017BAA" w14:paraId="3949670B" w14:textId="77777777" w:rsidTr="00017BAA">
        <w:trPr>
          <w:cantSplit/>
        </w:trPr>
        <w:tc>
          <w:tcPr>
            <w:tcW w:w="709" w:type="dxa"/>
            <w:vMerge w:val="restart"/>
            <w:tcBorders>
              <w:top w:val="single" w:sz="16" w:space="0" w:color="000000"/>
              <w:left w:val="single" w:sz="16" w:space="0" w:color="000000"/>
              <w:bottom w:val="nil"/>
              <w:right w:val="nil"/>
            </w:tcBorders>
            <w:shd w:val="clear" w:color="auto" w:fill="FFFFFF"/>
            <w:vAlign w:val="bottom"/>
          </w:tcPr>
          <w:p w14:paraId="29453F02"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(I) Decile</w:t>
            </w:r>
          </w:p>
        </w:tc>
        <w:tc>
          <w:tcPr>
            <w:tcW w:w="567" w:type="dxa"/>
            <w:vMerge w:val="restart"/>
            <w:tcBorders>
              <w:top w:val="single" w:sz="16" w:space="0" w:color="000000"/>
              <w:left w:val="nil"/>
              <w:bottom w:val="nil"/>
              <w:right w:val="single" w:sz="16" w:space="0" w:color="000000"/>
            </w:tcBorders>
            <w:shd w:val="clear" w:color="auto" w:fill="FFFFFF"/>
            <w:vAlign w:val="bottom"/>
          </w:tcPr>
          <w:p w14:paraId="608EF81B"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(J) Decile</w:t>
            </w:r>
          </w:p>
        </w:tc>
        <w:tc>
          <w:tcPr>
            <w:tcW w:w="1843" w:type="dxa"/>
            <w:vMerge w:val="restart"/>
            <w:tcBorders>
              <w:top w:val="single" w:sz="16" w:space="0" w:color="000000"/>
              <w:left w:val="single" w:sz="16" w:space="0" w:color="000000"/>
            </w:tcBorders>
            <w:shd w:val="clear" w:color="auto" w:fill="FFFFFF"/>
            <w:vAlign w:val="bottom"/>
          </w:tcPr>
          <w:p w14:paraId="67D10F7A" w14:textId="77777777" w:rsidR="00017BAA" w:rsidRPr="00017BAA" w:rsidRDefault="00017BAA" w:rsidP="00017BAA">
            <w:pPr>
              <w:widowControl w:val="0"/>
              <w:autoSpaceDE w:val="0"/>
              <w:autoSpaceDN w:val="0"/>
              <w:adjustRightInd w:val="0"/>
              <w:spacing w:after="0" w:line="240" w:lineRule="auto"/>
              <w:ind w:left="60" w:right="60"/>
              <w:jc w:val="center"/>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Mean Difference (I-J)</w:t>
            </w:r>
          </w:p>
        </w:tc>
        <w:tc>
          <w:tcPr>
            <w:tcW w:w="1701" w:type="dxa"/>
            <w:vMerge w:val="restart"/>
            <w:tcBorders>
              <w:top w:val="single" w:sz="16" w:space="0" w:color="000000"/>
            </w:tcBorders>
            <w:shd w:val="clear" w:color="auto" w:fill="FFFFFF"/>
            <w:vAlign w:val="bottom"/>
          </w:tcPr>
          <w:p w14:paraId="5A4BBC32" w14:textId="77777777" w:rsidR="00017BAA" w:rsidRPr="00017BAA" w:rsidRDefault="00017BAA" w:rsidP="00017BAA">
            <w:pPr>
              <w:widowControl w:val="0"/>
              <w:autoSpaceDE w:val="0"/>
              <w:autoSpaceDN w:val="0"/>
              <w:adjustRightInd w:val="0"/>
              <w:spacing w:after="0" w:line="240" w:lineRule="auto"/>
              <w:ind w:left="60" w:right="60"/>
              <w:jc w:val="center"/>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Std. Error</w:t>
            </w:r>
          </w:p>
        </w:tc>
        <w:tc>
          <w:tcPr>
            <w:tcW w:w="709" w:type="dxa"/>
            <w:vMerge w:val="restart"/>
            <w:tcBorders>
              <w:top w:val="single" w:sz="16" w:space="0" w:color="000000"/>
            </w:tcBorders>
            <w:shd w:val="clear" w:color="auto" w:fill="FFFFFF"/>
            <w:vAlign w:val="bottom"/>
          </w:tcPr>
          <w:p w14:paraId="267FB431" w14:textId="77777777" w:rsidR="00017BAA" w:rsidRPr="00017BAA" w:rsidRDefault="00017BAA" w:rsidP="00017BAA">
            <w:pPr>
              <w:widowControl w:val="0"/>
              <w:autoSpaceDE w:val="0"/>
              <w:autoSpaceDN w:val="0"/>
              <w:adjustRightInd w:val="0"/>
              <w:spacing w:after="0" w:line="240" w:lineRule="auto"/>
              <w:ind w:left="60" w:right="60"/>
              <w:jc w:val="center"/>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Sig.</w:t>
            </w:r>
          </w:p>
        </w:tc>
        <w:tc>
          <w:tcPr>
            <w:tcW w:w="3400" w:type="dxa"/>
            <w:gridSpan w:val="2"/>
            <w:tcBorders>
              <w:top w:val="single" w:sz="16" w:space="0" w:color="000000"/>
              <w:right w:val="single" w:sz="16" w:space="0" w:color="000000"/>
            </w:tcBorders>
            <w:shd w:val="clear" w:color="auto" w:fill="FFFFFF"/>
            <w:vAlign w:val="bottom"/>
          </w:tcPr>
          <w:p w14:paraId="0C30701B" w14:textId="77777777" w:rsidR="00017BAA" w:rsidRPr="00017BAA" w:rsidRDefault="00017BAA" w:rsidP="00017BAA">
            <w:pPr>
              <w:widowControl w:val="0"/>
              <w:autoSpaceDE w:val="0"/>
              <w:autoSpaceDN w:val="0"/>
              <w:adjustRightInd w:val="0"/>
              <w:spacing w:after="0" w:line="240" w:lineRule="auto"/>
              <w:ind w:left="60" w:right="60"/>
              <w:jc w:val="center"/>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95% Confidence Interval</w:t>
            </w:r>
          </w:p>
        </w:tc>
      </w:tr>
      <w:tr w:rsidR="00017BAA" w:rsidRPr="00017BAA" w14:paraId="7A959B92" w14:textId="77777777" w:rsidTr="00017BAA">
        <w:trPr>
          <w:cantSplit/>
        </w:trPr>
        <w:tc>
          <w:tcPr>
            <w:tcW w:w="709" w:type="dxa"/>
            <w:vMerge/>
            <w:tcBorders>
              <w:top w:val="single" w:sz="16" w:space="0" w:color="000000"/>
              <w:left w:val="single" w:sz="16" w:space="0" w:color="000000"/>
              <w:bottom w:val="nil"/>
              <w:right w:val="nil"/>
            </w:tcBorders>
            <w:shd w:val="clear" w:color="auto" w:fill="FFFFFF"/>
            <w:vAlign w:val="bottom"/>
          </w:tcPr>
          <w:p w14:paraId="5002E36B"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vMerge/>
            <w:tcBorders>
              <w:top w:val="single" w:sz="16" w:space="0" w:color="000000"/>
              <w:left w:val="nil"/>
              <w:bottom w:val="nil"/>
              <w:right w:val="single" w:sz="16" w:space="0" w:color="000000"/>
            </w:tcBorders>
            <w:shd w:val="clear" w:color="auto" w:fill="FFFFFF"/>
            <w:vAlign w:val="bottom"/>
          </w:tcPr>
          <w:p w14:paraId="19DB5238"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1843" w:type="dxa"/>
            <w:vMerge/>
            <w:tcBorders>
              <w:top w:val="single" w:sz="16" w:space="0" w:color="000000"/>
              <w:left w:val="single" w:sz="16" w:space="0" w:color="000000"/>
            </w:tcBorders>
            <w:shd w:val="clear" w:color="auto" w:fill="FFFFFF"/>
            <w:vAlign w:val="bottom"/>
          </w:tcPr>
          <w:p w14:paraId="0DEDF9BA"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1701" w:type="dxa"/>
            <w:vMerge/>
            <w:tcBorders>
              <w:top w:val="single" w:sz="16" w:space="0" w:color="000000"/>
            </w:tcBorders>
            <w:shd w:val="clear" w:color="auto" w:fill="FFFFFF"/>
            <w:vAlign w:val="bottom"/>
          </w:tcPr>
          <w:p w14:paraId="7D91FDB4"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709" w:type="dxa"/>
            <w:vMerge/>
            <w:tcBorders>
              <w:top w:val="single" w:sz="16" w:space="0" w:color="000000"/>
            </w:tcBorders>
            <w:shd w:val="clear" w:color="auto" w:fill="FFFFFF"/>
            <w:vAlign w:val="bottom"/>
          </w:tcPr>
          <w:p w14:paraId="64BED7E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1701" w:type="dxa"/>
            <w:tcBorders>
              <w:bottom w:val="single" w:sz="16" w:space="0" w:color="000000"/>
            </w:tcBorders>
            <w:shd w:val="clear" w:color="auto" w:fill="FFFFFF"/>
            <w:vAlign w:val="bottom"/>
          </w:tcPr>
          <w:p w14:paraId="086CA563" w14:textId="77777777" w:rsidR="00017BAA" w:rsidRPr="00017BAA" w:rsidRDefault="00017BAA" w:rsidP="00017BAA">
            <w:pPr>
              <w:widowControl w:val="0"/>
              <w:autoSpaceDE w:val="0"/>
              <w:autoSpaceDN w:val="0"/>
              <w:adjustRightInd w:val="0"/>
              <w:spacing w:after="0" w:line="240" w:lineRule="auto"/>
              <w:ind w:left="60" w:right="60"/>
              <w:jc w:val="center"/>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Lower Bound</w:t>
            </w:r>
          </w:p>
        </w:tc>
        <w:tc>
          <w:tcPr>
            <w:tcW w:w="1699" w:type="dxa"/>
            <w:tcBorders>
              <w:bottom w:val="single" w:sz="16" w:space="0" w:color="000000"/>
              <w:right w:val="single" w:sz="16" w:space="0" w:color="000000"/>
            </w:tcBorders>
            <w:shd w:val="clear" w:color="auto" w:fill="FFFFFF"/>
            <w:vAlign w:val="bottom"/>
          </w:tcPr>
          <w:p w14:paraId="4B1187DA" w14:textId="77777777" w:rsidR="00017BAA" w:rsidRPr="00017BAA" w:rsidRDefault="00017BAA" w:rsidP="00017BAA">
            <w:pPr>
              <w:widowControl w:val="0"/>
              <w:autoSpaceDE w:val="0"/>
              <w:autoSpaceDN w:val="0"/>
              <w:adjustRightInd w:val="0"/>
              <w:spacing w:after="0" w:line="240" w:lineRule="auto"/>
              <w:ind w:left="60" w:right="60"/>
              <w:jc w:val="center"/>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Upper Bound</w:t>
            </w:r>
          </w:p>
        </w:tc>
      </w:tr>
      <w:tr w:rsidR="00017BAA" w:rsidRPr="00017BAA" w14:paraId="16E9BD90" w14:textId="77777777" w:rsidTr="00017BAA">
        <w:trPr>
          <w:cantSplit/>
        </w:trPr>
        <w:tc>
          <w:tcPr>
            <w:tcW w:w="709" w:type="dxa"/>
            <w:vMerge w:val="restart"/>
            <w:tcBorders>
              <w:top w:val="single" w:sz="16" w:space="0" w:color="000000"/>
              <w:left w:val="single" w:sz="16" w:space="0" w:color="000000"/>
              <w:right w:val="nil"/>
            </w:tcBorders>
            <w:shd w:val="clear" w:color="auto" w:fill="FFFFFF"/>
          </w:tcPr>
          <w:p w14:paraId="587E2706"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567" w:type="dxa"/>
            <w:tcBorders>
              <w:top w:val="single" w:sz="16" w:space="0" w:color="000000"/>
              <w:left w:val="nil"/>
              <w:bottom w:val="nil"/>
              <w:right w:val="single" w:sz="16" w:space="0" w:color="000000"/>
            </w:tcBorders>
            <w:shd w:val="clear" w:color="auto" w:fill="FFFFFF"/>
          </w:tcPr>
          <w:p w14:paraId="7AABFC19"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1843" w:type="dxa"/>
            <w:tcBorders>
              <w:top w:val="single" w:sz="16" w:space="0" w:color="000000"/>
              <w:left w:val="single" w:sz="16" w:space="0" w:color="000000"/>
              <w:bottom w:val="nil"/>
            </w:tcBorders>
            <w:shd w:val="clear" w:color="auto" w:fill="FFFFFF"/>
            <w:vAlign w:val="center"/>
          </w:tcPr>
          <w:p w14:paraId="32F3530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-,812287966098205</w:t>
            </w:r>
            <w:r w:rsidRPr="00017BAA">
              <w:rPr>
                <w:rFonts w:eastAsiaTheme="minorEastAsia" w:cs="Arial"/>
                <w:color w:val="000000"/>
                <w:sz w:val="16"/>
                <w:szCs w:val="16"/>
                <w:vertAlign w:val="superscript"/>
                <w:lang w:val="en-GB" w:eastAsia="en-GB"/>
              </w:rPr>
              <w:t>*</w:t>
            </w:r>
          </w:p>
        </w:tc>
        <w:tc>
          <w:tcPr>
            <w:tcW w:w="1701" w:type="dxa"/>
            <w:tcBorders>
              <w:top w:val="single" w:sz="16" w:space="0" w:color="000000"/>
              <w:bottom w:val="nil"/>
            </w:tcBorders>
            <w:shd w:val="clear" w:color="auto" w:fill="FFFFFF"/>
            <w:vAlign w:val="center"/>
          </w:tcPr>
          <w:p w14:paraId="3BC4140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,411769033225152</w:t>
            </w:r>
          </w:p>
        </w:tc>
        <w:tc>
          <w:tcPr>
            <w:tcW w:w="709" w:type="dxa"/>
            <w:tcBorders>
              <w:top w:val="single" w:sz="16" w:space="0" w:color="000000"/>
              <w:bottom w:val="nil"/>
            </w:tcBorders>
            <w:shd w:val="clear" w:color="auto" w:fill="FFFFFF"/>
            <w:vAlign w:val="center"/>
          </w:tcPr>
          <w:p w14:paraId="6C40E8A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,049</w:t>
            </w:r>
          </w:p>
        </w:tc>
        <w:tc>
          <w:tcPr>
            <w:tcW w:w="1701" w:type="dxa"/>
            <w:tcBorders>
              <w:top w:val="single" w:sz="16" w:space="0" w:color="000000"/>
              <w:bottom w:val="nil"/>
            </w:tcBorders>
            <w:shd w:val="clear" w:color="auto" w:fill="FFFFFF"/>
            <w:vAlign w:val="center"/>
          </w:tcPr>
          <w:p w14:paraId="112AD4B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-1,619458020626016</w:t>
            </w:r>
          </w:p>
        </w:tc>
        <w:tc>
          <w:tcPr>
            <w:tcW w:w="1699" w:type="dxa"/>
            <w:tcBorders>
              <w:top w:val="single" w:sz="16" w:space="0" w:color="000000"/>
              <w:bottom w:val="nil"/>
              <w:right w:val="single" w:sz="16" w:space="0" w:color="000000"/>
            </w:tcBorders>
            <w:shd w:val="clear" w:color="auto" w:fill="FFFFFF"/>
            <w:vAlign w:val="center"/>
          </w:tcPr>
          <w:p w14:paraId="332E6BC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-,005117911570395</w:t>
            </w:r>
          </w:p>
        </w:tc>
      </w:tr>
      <w:tr w:rsidR="00017BAA" w:rsidRPr="00017BAA" w14:paraId="6D5A12BE" w14:textId="77777777" w:rsidTr="00017BAA">
        <w:trPr>
          <w:cantSplit/>
        </w:trPr>
        <w:tc>
          <w:tcPr>
            <w:tcW w:w="709" w:type="dxa"/>
            <w:vMerge/>
            <w:tcBorders>
              <w:top w:val="single" w:sz="16" w:space="0" w:color="000000"/>
              <w:left w:val="single" w:sz="16" w:space="0" w:color="000000"/>
              <w:right w:val="nil"/>
            </w:tcBorders>
            <w:shd w:val="clear" w:color="auto" w:fill="FFFFFF"/>
          </w:tcPr>
          <w:p w14:paraId="2019F1FD"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E6544FD"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1843" w:type="dxa"/>
            <w:tcBorders>
              <w:top w:val="nil"/>
              <w:left w:val="single" w:sz="16" w:space="0" w:color="000000"/>
              <w:bottom w:val="nil"/>
            </w:tcBorders>
            <w:shd w:val="clear" w:color="auto" w:fill="FFFFFF"/>
            <w:vAlign w:val="center"/>
          </w:tcPr>
          <w:p w14:paraId="2E145BB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-,995769580867592</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5E0FC2C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,374572887784078</w:t>
            </w:r>
          </w:p>
        </w:tc>
        <w:tc>
          <w:tcPr>
            <w:tcW w:w="709" w:type="dxa"/>
            <w:tcBorders>
              <w:top w:val="nil"/>
              <w:bottom w:val="nil"/>
            </w:tcBorders>
            <w:shd w:val="clear" w:color="auto" w:fill="FFFFFF"/>
            <w:vAlign w:val="center"/>
          </w:tcPr>
          <w:p w14:paraId="1DB09F8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,008</w:t>
            </w:r>
          </w:p>
        </w:tc>
        <w:tc>
          <w:tcPr>
            <w:tcW w:w="1701" w:type="dxa"/>
            <w:tcBorders>
              <w:top w:val="nil"/>
              <w:bottom w:val="nil"/>
            </w:tcBorders>
            <w:shd w:val="clear" w:color="auto" w:fill="FFFFFF"/>
            <w:vAlign w:val="center"/>
          </w:tcPr>
          <w:p w14:paraId="1BE4668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-1,730025908715331</w:t>
            </w:r>
          </w:p>
        </w:tc>
        <w:tc>
          <w:tcPr>
            <w:tcW w:w="1699" w:type="dxa"/>
            <w:tcBorders>
              <w:top w:val="nil"/>
              <w:bottom w:val="nil"/>
              <w:right w:val="single" w:sz="16" w:space="0" w:color="000000"/>
            </w:tcBorders>
            <w:shd w:val="clear" w:color="auto" w:fill="FFFFFF"/>
            <w:vAlign w:val="center"/>
          </w:tcPr>
          <w:p w14:paraId="243DAE7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-,261513253019854</w:t>
            </w:r>
          </w:p>
        </w:tc>
      </w:tr>
      <w:tr w:rsidR="00017BAA" w:rsidRPr="00017BAA" w14:paraId="1283629A" w14:textId="77777777" w:rsidTr="00017BAA">
        <w:trPr>
          <w:cantSplit/>
        </w:trPr>
        <w:tc>
          <w:tcPr>
            <w:tcW w:w="709" w:type="dxa"/>
            <w:vMerge/>
            <w:tcBorders>
              <w:top w:val="single" w:sz="16" w:space="0" w:color="000000"/>
              <w:left w:val="single" w:sz="16" w:space="0" w:color="000000"/>
              <w:right w:val="nil"/>
            </w:tcBorders>
            <w:shd w:val="clear" w:color="auto" w:fill="FFFFFF"/>
          </w:tcPr>
          <w:p w14:paraId="338E003B"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9AB9EFD"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1843" w:type="dxa"/>
            <w:tcBorders>
              <w:top w:val="nil"/>
              <w:left w:val="single" w:sz="16" w:space="0" w:color="000000"/>
              <w:bottom w:val="nil"/>
            </w:tcBorders>
            <w:shd w:val="clear" w:color="auto" w:fill="FFFFFF"/>
            <w:vAlign w:val="center"/>
          </w:tcPr>
          <w:p w14:paraId="77FF3BA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-1,599962997492201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5A07D8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,355363861271693</w:t>
            </w:r>
          </w:p>
        </w:tc>
        <w:tc>
          <w:tcPr>
            <w:tcW w:w="709" w:type="dxa"/>
            <w:tcBorders>
              <w:top w:val="nil"/>
              <w:bottom w:val="nil"/>
            </w:tcBorders>
            <w:shd w:val="clear" w:color="auto" w:fill="FFFFFF"/>
            <w:vAlign w:val="center"/>
          </w:tcPr>
          <w:p w14:paraId="48FBF09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0448CCB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-2,296564840115575</w:t>
            </w:r>
          </w:p>
        </w:tc>
        <w:tc>
          <w:tcPr>
            <w:tcW w:w="1699" w:type="dxa"/>
            <w:tcBorders>
              <w:top w:val="nil"/>
              <w:bottom w:val="nil"/>
              <w:right w:val="single" w:sz="16" w:space="0" w:color="000000"/>
            </w:tcBorders>
            <w:shd w:val="clear" w:color="auto" w:fill="FFFFFF"/>
            <w:vAlign w:val="center"/>
          </w:tcPr>
          <w:p w14:paraId="77E11F8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-,903361154868828</w:t>
            </w:r>
          </w:p>
        </w:tc>
      </w:tr>
      <w:tr w:rsidR="00017BAA" w:rsidRPr="00017BAA" w14:paraId="090247DE" w14:textId="77777777" w:rsidTr="00017BAA">
        <w:trPr>
          <w:cantSplit/>
        </w:trPr>
        <w:tc>
          <w:tcPr>
            <w:tcW w:w="709" w:type="dxa"/>
            <w:vMerge/>
            <w:tcBorders>
              <w:top w:val="single" w:sz="16" w:space="0" w:color="000000"/>
              <w:left w:val="single" w:sz="16" w:space="0" w:color="000000"/>
              <w:right w:val="nil"/>
            </w:tcBorders>
            <w:shd w:val="clear" w:color="auto" w:fill="FFFFFF"/>
          </w:tcPr>
          <w:p w14:paraId="556A586E"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BCF4D6C"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1843" w:type="dxa"/>
            <w:tcBorders>
              <w:top w:val="nil"/>
              <w:left w:val="single" w:sz="16" w:space="0" w:color="000000"/>
              <w:bottom w:val="nil"/>
            </w:tcBorders>
            <w:shd w:val="clear" w:color="auto" w:fill="FFFFFF"/>
            <w:vAlign w:val="center"/>
          </w:tcPr>
          <w:p w14:paraId="0ADA23C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-1,560405683260520</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6D9BEA7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,335622317782498</w:t>
            </w:r>
          </w:p>
        </w:tc>
        <w:tc>
          <w:tcPr>
            <w:tcW w:w="709" w:type="dxa"/>
            <w:tcBorders>
              <w:top w:val="nil"/>
              <w:bottom w:val="nil"/>
            </w:tcBorders>
            <w:shd w:val="clear" w:color="auto" w:fill="FFFFFF"/>
            <w:vAlign w:val="center"/>
          </w:tcPr>
          <w:p w14:paraId="117E377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3222831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-2,218309174505139</w:t>
            </w:r>
          </w:p>
        </w:tc>
        <w:tc>
          <w:tcPr>
            <w:tcW w:w="1699" w:type="dxa"/>
            <w:tcBorders>
              <w:top w:val="nil"/>
              <w:bottom w:val="nil"/>
              <w:right w:val="single" w:sz="16" w:space="0" w:color="000000"/>
            </w:tcBorders>
            <w:shd w:val="clear" w:color="auto" w:fill="FFFFFF"/>
            <w:vAlign w:val="center"/>
          </w:tcPr>
          <w:p w14:paraId="710C897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-,902502192015900</w:t>
            </w:r>
          </w:p>
        </w:tc>
      </w:tr>
      <w:tr w:rsidR="00017BAA" w:rsidRPr="00017BAA" w14:paraId="46036DD7" w14:textId="77777777" w:rsidTr="00017BAA">
        <w:trPr>
          <w:cantSplit/>
        </w:trPr>
        <w:tc>
          <w:tcPr>
            <w:tcW w:w="709" w:type="dxa"/>
            <w:vMerge/>
            <w:tcBorders>
              <w:top w:val="single" w:sz="16" w:space="0" w:color="000000"/>
              <w:left w:val="single" w:sz="16" w:space="0" w:color="000000"/>
              <w:right w:val="nil"/>
            </w:tcBorders>
            <w:shd w:val="clear" w:color="auto" w:fill="FFFFFF"/>
          </w:tcPr>
          <w:p w14:paraId="378BB497"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59BCD64"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1843" w:type="dxa"/>
            <w:tcBorders>
              <w:top w:val="nil"/>
              <w:left w:val="single" w:sz="16" w:space="0" w:color="000000"/>
              <w:bottom w:val="nil"/>
            </w:tcBorders>
            <w:shd w:val="clear" w:color="auto" w:fill="FFFFFF"/>
            <w:vAlign w:val="center"/>
          </w:tcPr>
          <w:p w14:paraId="4523223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-2,464407739809581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6FE443E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,327383957604918</w:t>
            </w:r>
          </w:p>
        </w:tc>
        <w:tc>
          <w:tcPr>
            <w:tcW w:w="709" w:type="dxa"/>
            <w:tcBorders>
              <w:top w:val="nil"/>
              <w:bottom w:val="nil"/>
            </w:tcBorders>
            <w:shd w:val="clear" w:color="auto" w:fill="FFFFFF"/>
            <w:vAlign w:val="center"/>
          </w:tcPr>
          <w:p w14:paraId="230D463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4F4C65D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-3,106161989374531</w:t>
            </w:r>
          </w:p>
        </w:tc>
        <w:tc>
          <w:tcPr>
            <w:tcW w:w="1699" w:type="dxa"/>
            <w:tcBorders>
              <w:top w:val="nil"/>
              <w:bottom w:val="nil"/>
              <w:right w:val="single" w:sz="16" w:space="0" w:color="000000"/>
            </w:tcBorders>
            <w:shd w:val="clear" w:color="auto" w:fill="FFFFFF"/>
            <w:vAlign w:val="center"/>
          </w:tcPr>
          <w:p w14:paraId="40EC584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-1,822653490244632</w:t>
            </w:r>
          </w:p>
        </w:tc>
      </w:tr>
      <w:tr w:rsidR="00017BAA" w:rsidRPr="00017BAA" w14:paraId="7F0D1454" w14:textId="77777777" w:rsidTr="00017BAA">
        <w:trPr>
          <w:cantSplit/>
        </w:trPr>
        <w:tc>
          <w:tcPr>
            <w:tcW w:w="709" w:type="dxa"/>
            <w:vMerge/>
            <w:tcBorders>
              <w:top w:val="single" w:sz="16" w:space="0" w:color="000000"/>
              <w:left w:val="single" w:sz="16" w:space="0" w:color="000000"/>
              <w:right w:val="nil"/>
            </w:tcBorders>
            <w:shd w:val="clear" w:color="auto" w:fill="FFFFFF"/>
          </w:tcPr>
          <w:p w14:paraId="0C99A6FA"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DA77E70"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1843" w:type="dxa"/>
            <w:tcBorders>
              <w:top w:val="nil"/>
              <w:left w:val="single" w:sz="16" w:space="0" w:color="000000"/>
              <w:bottom w:val="nil"/>
            </w:tcBorders>
            <w:shd w:val="clear" w:color="auto" w:fill="FFFFFF"/>
            <w:vAlign w:val="center"/>
          </w:tcPr>
          <w:p w14:paraId="1DAA82A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-2,262015575282851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3164079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,313617418886852</w:t>
            </w:r>
          </w:p>
        </w:tc>
        <w:tc>
          <w:tcPr>
            <w:tcW w:w="709" w:type="dxa"/>
            <w:tcBorders>
              <w:top w:val="nil"/>
              <w:bottom w:val="nil"/>
            </w:tcBorders>
            <w:shd w:val="clear" w:color="auto" w:fill="FFFFFF"/>
            <w:vAlign w:val="center"/>
          </w:tcPr>
          <w:p w14:paraId="6583A5B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0679150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-2,876783973773262</w:t>
            </w:r>
          </w:p>
        </w:tc>
        <w:tc>
          <w:tcPr>
            <w:tcW w:w="1699" w:type="dxa"/>
            <w:tcBorders>
              <w:top w:val="nil"/>
              <w:bottom w:val="nil"/>
              <w:right w:val="single" w:sz="16" w:space="0" w:color="000000"/>
            </w:tcBorders>
            <w:shd w:val="clear" w:color="auto" w:fill="FFFFFF"/>
            <w:vAlign w:val="center"/>
          </w:tcPr>
          <w:p w14:paraId="6E2791B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-1,647247176792440</w:t>
            </w:r>
          </w:p>
        </w:tc>
      </w:tr>
      <w:tr w:rsidR="00017BAA" w:rsidRPr="00017BAA" w14:paraId="2ED501BC" w14:textId="77777777" w:rsidTr="00017BAA">
        <w:trPr>
          <w:cantSplit/>
        </w:trPr>
        <w:tc>
          <w:tcPr>
            <w:tcW w:w="709" w:type="dxa"/>
            <w:vMerge/>
            <w:tcBorders>
              <w:top w:val="single" w:sz="16" w:space="0" w:color="000000"/>
              <w:left w:val="single" w:sz="16" w:space="0" w:color="000000"/>
              <w:right w:val="nil"/>
            </w:tcBorders>
            <w:shd w:val="clear" w:color="auto" w:fill="FFFFFF"/>
          </w:tcPr>
          <w:p w14:paraId="33D1E369"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60E079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1843" w:type="dxa"/>
            <w:tcBorders>
              <w:top w:val="nil"/>
              <w:left w:val="single" w:sz="16" w:space="0" w:color="000000"/>
              <w:bottom w:val="nil"/>
            </w:tcBorders>
            <w:shd w:val="clear" w:color="auto" w:fill="FFFFFF"/>
            <w:vAlign w:val="center"/>
          </w:tcPr>
          <w:p w14:paraId="3345FA8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-2,664388962995524</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EA9029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,304730094269515</w:t>
            </w:r>
          </w:p>
        </w:tc>
        <w:tc>
          <w:tcPr>
            <w:tcW w:w="709" w:type="dxa"/>
            <w:tcBorders>
              <w:top w:val="nil"/>
              <w:bottom w:val="nil"/>
            </w:tcBorders>
            <w:shd w:val="clear" w:color="auto" w:fill="FFFFFF"/>
            <w:vAlign w:val="center"/>
          </w:tcPr>
          <w:p w14:paraId="54D5CDE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2949B9D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-3,261735987567173</w:t>
            </w:r>
          </w:p>
        </w:tc>
        <w:tc>
          <w:tcPr>
            <w:tcW w:w="1699" w:type="dxa"/>
            <w:tcBorders>
              <w:top w:val="nil"/>
              <w:bottom w:val="nil"/>
              <w:right w:val="single" w:sz="16" w:space="0" w:color="000000"/>
            </w:tcBorders>
            <w:shd w:val="clear" w:color="auto" w:fill="FFFFFF"/>
            <w:vAlign w:val="center"/>
          </w:tcPr>
          <w:p w14:paraId="0C6C390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-2,067041938423875</w:t>
            </w:r>
          </w:p>
        </w:tc>
      </w:tr>
      <w:tr w:rsidR="00017BAA" w:rsidRPr="00017BAA" w14:paraId="279F5CE5" w14:textId="77777777" w:rsidTr="00017BAA">
        <w:trPr>
          <w:cantSplit/>
        </w:trPr>
        <w:tc>
          <w:tcPr>
            <w:tcW w:w="709" w:type="dxa"/>
            <w:vMerge/>
            <w:tcBorders>
              <w:top w:val="single" w:sz="16" w:space="0" w:color="000000"/>
              <w:left w:val="single" w:sz="16" w:space="0" w:color="000000"/>
              <w:right w:val="nil"/>
            </w:tcBorders>
            <w:shd w:val="clear" w:color="auto" w:fill="FFFFFF"/>
          </w:tcPr>
          <w:p w14:paraId="3CB05F9D"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5550ED7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1843" w:type="dxa"/>
            <w:tcBorders>
              <w:top w:val="nil"/>
              <w:left w:val="single" w:sz="16" w:space="0" w:color="000000"/>
              <w:bottom w:val="nil"/>
            </w:tcBorders>
            <w:shd w:val="clear" w:color="auto" w:fill="FFFFFF"/>
            <w:vAlign w:val="center"/>
          </w:tcPr>
          <w:p w14:paraId="1CB2C97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-3,279476575021915</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1E8C9C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,313515729117165</w:t>
            </w:r>
          </w:p>
        </w:tc>
        <w:tc>
          <w:tcPr>
            <w:tcW w:w="709" w:type="dxa"/>
            <w:tcBorders>
              <w:top w:val="nil"/>
              <w:bottom w:val="nil"/>
            </w:tcBorders>
            <w:shd w:val="clear" w:color="auto" w:fill="FFFFFF"/>
            <w:vAlign w:val="center"/>
          </w:tcPr>
          <w:p w14:paraId="2A90C8E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0F7927C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-3,894045636188923</w:t>
            </w:r>
          </w:p>
        </w:tc>
        <w:tc>
          <w:tcPr>
            <w:tcW w:w="1699" w:type="dxa"/>
            <w:tcBorders>
              <w:top w:val="nil"/>
              <w:bottom w:val="nil"/>
              <w:right w:val="single" w:sz="16" w:space="0" w:color="000000"/>
            </w:tcBorders>
            <w:shd w:val="clear" w:color="auto" w:fill="FFFFFF"/>
            <w:vAlign w:val="center"/>
          </w:tcPr>
          <w:p w14:paraId="35F8DF6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-2,664907513854907</w:t>
            </w:r>
          </w:p>
        </w:tc>
      </w:tr>
      <w:tr w:rsidR="00017BAA" w:rsidRPr="00017BAA" w14:paraId="6312B10C" w14:textId="77777777" w:rsidTr="00017BAA">
        <w:trPr>
          <w:cantSplit/>
        </w:trPr>
        <w:tc>
          <w:tcPr>
            <w:tcW w:w="709" w:type="dxa"/>
            <w:vMerge/>
            <w:tcBorders>
              <w:top w:val="single" w:sz="16" w:space="0" w:color="000000"/>
              <w:left w:val="single" w:sz="16" w:space="0" w:color="000000"/>
              <w:right w:val="nil"/>
            </w:tcBorders>
            <w:shd w:val="clear" w:color="auto" w:fill="FFFFFF"/>
          </w:tcPr>
          <w:p w14:paraId="27BB74F1"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right w:val="single" w:sz="16" w:space="0" w:color="000000"/>
            </w:tcBorders>
            <w:shd w:val="clear" w:color="auto" w:fill="FFFFFF"/>
          </w:tcPr>
          <w:p w14:paraId="5D81FA6B"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1843" w:type="dxa"/>
            <w:tcBorders>
              <w:top w:val="nil"/>
              <w:left w:val="single" w:sz="16" w:space="0" w:color="000000"/>
            </w:tcBorders>
            <w:shd w:val="clear" w:color="auto" w:fill="FFFFFF"/>
            <w:vAlign w:val="center"/>
          </w:tcPr>
          <w:p w14:paraId="5E70D5E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-2,245001778805238</w:t>
            </w:r>
            <w:r w:rsidRPr="00017BAA">
              <w:rPr>
                <w:rFonts w:eastAsiaTheme="minorEastAsia" w:cs="Arial"/>
                <w:color w:val="000000"/>
                <w:sz w:val="16"/>
                <w:szCs w:val="16"/>
                <w:vertAlign w:val="superscript"/>
                <w:lang w:val="en-GB" w:eastAsia="en-GB"/>
              </w:rPr>
              <w:t>*</w:t>
            </w:r>
          </w:p>
        </w:tc>
        <w:tc>
          <w:tcPr>
            <w:tcW w:w="1701" w:type="dxa"/>
            <w:tcBorders>
              <w:top w:val="nil"/>
            </w:tcBorders>
            <w:shd w:val="clear" w:color="auto" w:fill="FFFFFF"/>
            <w:vAlign w:val="center"/>
          </w:tcPr>
          <w:p w14:paraId="29CAE28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,251378279088749</w:t>
            </w:r>
          </w:p>
        </w:tc>
        <w:tc>
          <w:tcPr>
            <w:tcW w:w="709" w:type="dxa"/>
            <w:tcBorders>
              <w:top w:val="nil"/>
            </w:tcBorders>
            <w:shd w:val="clear" w:color="auto" w:fill="FFFFFF"/>
            <w:vAlign w:val="center"/>
          </w:tcPr>
          <w:p w14:paraId="67600B5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tcBorders>
            <w:shd w:val="clear" w:color="auto" w:fill="FFFFFF"/>
            <w:vAlign w:val="center"/>
          </w:tcPr>
          <w:p w14:paraId="6A9FBCF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-2,737765932656083</w:t>
            </w:r>
          </w:p>
        </w:tc>
        <w:tc>
          <w:tcPr>
            <w:tcW w:w="1699" w:type="dxa"/>
            <w:tcBorders>
              <w:top w:val="nil"/>
              <w:right w:val="single" w:sz="16" w:space="0" w:color="000000"/>
            </w:tcBorders>
            <w:shd w:val="clear" w:color="auto" w:fill="FFFFFF"/>
            <w:vAlign w:val="center"/>
          </w:tcPr>
          <w:p w14:paraId="0D21C1C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-1,752237624954394</w:t>
            </w:r>
          </w:p>
        </w:tc>
      </w:tr>
      <w:tr w:rsidR="00017BAA" w:rsidRPr="00017BAA" w14:paraId="40DBDABA" w14:textId="77777777" w:rsidTr="00017BAA">
        <w:trPr>
          <w:cantSplit/>
        </w:trPr>
        <w:tc>
          <w:tcPr>
            <w:tcW w:w="709" w:type="dxa"/>
            <w:vMerge w:val="restart"/>
            <w:tcBorders>
              <w:top w:val="nil"/>
              <w:left w:val="single" w:sz="16" w:space="0" w:color="000000"/>
              <w:right w:val="nil"/>
            </w:tcBorders>
            <w:shd w:val="clear" w:color="auto" w:fill="FFFFFF"/>
          </w:tcPr>
          <w:p w14:paraId="5F1F1271"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567" w:type="dxa"/>
            <w:tcBorders>
              <w:top w:val="nil"/>
              <w:left w:val="nil"/>
              <w:bottom w:val="nil"/>
              <w:right w:val="single" w:sz="16" w:space="0" w:color="000000"/>
            </w:tcBorders>
            <w:shd w:val="clear" w:color="auto" w:fill="FFFFFF"/>
          </w:tcPr>
          <w:p w14:paraId="46136745"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1843" w:type="dxa"/>
            <w:tcBorders>
              <w:top w:val="nil"/>
              <w:left w:val="single" w:sz="16" w:space="0" w:color="000000"/>
              <w:bottom w:val="nil"/>
            </w:tcBorders>
            <w:shd w:val="clear" w:color="auto" w:fill="FFFFFF"/>
            <w:vAlign w:val="center"/>
          </w:tcPr>
          <w:p w14:paraId="716DA35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,812287966098205</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61F782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,411769033225152</w:t>
            </w:r>
          </w:p>
        </w:tc>
        <w:tc>
          <w:tcPr>
            <w:tcW w:w="709" w:type="dxa"/>
            <w:tcBorders>
              <w:top w:val="nil"/>
              <w:bottom w:val="nil"/>
            </w:tcBorders>
            <w:shd w:val="clear" w:color="auto" w:fill="FFFFFF"/>
            <w:vAlign w:val="center"/>
          </w:tcPr>
          <w:p w14:paraId="5051314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,049</w:t>
            </w:r>
          </w:p>
        </w:tc>
        <w:tc>
          <w:tcPr>
            <w:tcW w:w="1701" w:type="dxa"/>
            <w:tcBorders>
              <w:top w:val="nil"/>
              <w:bottom w:val="nil"/>
            </w:tcBorders>
            <w:shd w:val="clear" w:color="auto" w:fill="FFFFFF"/>
            <w:vAlign w:val="center"/>
          </w:tcPr>
          <w:p w14:paraId="55DC6B1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,005117911570395</w:t>
            </w:r>
          </w:p>
        </w:tc>
        <w:tc>
          <w:tcPr>
            <w:tcW w:w="1699" w:type="dxa"/>
            <w:tcBorders>
              <w:top w:val="nil"/>
              <w:bottom w:val="nil"/>
              <w:right w:val="single" w:sz="16" w:space="0" w:color="000000"/>
            </w:tcBorders>
            <w:shd w:val="clear" w:color="auto" w:fill="FFFFFF"/>
            <w:vAlign w:val="center"/>
          </w:tcPr>
          <w:p w14:paraId="0404A28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1,619458020626016</w:t>
            </w:r>
          </w:p>
        </w:tc>
      </w:tr>
      <w:tr w:rsidR="00017BAA" w:rsidRPr="00017BAA" w14:paraId="2177D959" w14:textId="77777777" w:rsidTr="00017BAA">
        <w:trPr>
          <w:cantSplit/>
        </w:trPr>
        <w:tc>
          <w:tcPr>
            <w:tcW w:w="709" w:type="dxa"/>
            <w:vMerge/>
            <w:tcBorders>
              <w:top w:val="nil"/>
              <w:left w:val="single" w:sz="16" w:space="0" w:color="000000"/>
              <w:right w:val="nil"/>
            </w:tcBorders>
            <w:shd w:val="clear" w:color="auto" w:fill="FFFFFF"/>
          </w:tcPr>
          <w:p w14:paraId="4D62E89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680B1BB"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1843" w:type="dxa"/>
            <w:tcBorders>
              <w:top w:val="nil"/>
              <w:left w:val="single" w:sz="16" w:space="0" w:color="000000"/>
              <w:bottom w:val="nil"/>
            </w:tcBorders>
            <w:shd w:val="clear" w:color="auto" w:fill="FFFFFF"/>
            <w:vAlign w:val="center"/>
          </w:tcPr>
          <w:p w14:paraId="722F2F7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-,183481614769387</w:t>
            </w:r>
          </w:p>
        </w:tc>
        <w:tc>
          <w:tcPr>
            <w:tcW w:w="1701" w:type="dxa"/>
            <w:tcBorders>
              <w:top w:val="nil"/>
              <w:bottom w:val="nil"/>
            </w:tcBorders>
            <w:shd w:val="clear" w:color="auto" w:fill="FFFFFF"/>
            <w:vAlign w:val="center"/>
          </w:tcPr>
          <w:p w14:paraId="173CF4F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,458903036505497</w:t>
            </w:r>
          </w:p>
        </w:tc>
        <w:tc>
          <w:tcPr>
            <w:tcW w:w="709" w:type="dxa"/>
            <w:tcBorders>
              <w:top w:val="nil"/>
              <w:bottom w:val="nil"/>
            </w:tcBorders>
            <w:shd w:val="clear" w:color="auto" w:fill="FFFFFF"/>
            <w:vAlign w:val="center"/>
          </w:tcPr>
          <w:p w14:paraId="188DC68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,689</w:t>
            </w:r>
          </w:p>
        </w:tc>
        <w:tc>
          <w:tcPr>
            <w:tcW w:w="1701" w:type="dxa"/>
            <w:tcBorders>
              <w:top w:val="nil"/>
              <w:bottom w:val="nil"/>
            </w:tcBorders>
            <w:shd w:val="clear" w:color="auto" w:fill="FFFFFF"/>
            <w:vAlign w:val="center"/>
          </w:tcPr>
          <w:p w14:paraId="1206D28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-1,083046077152309</w:t>
            </w:r>
          </w:p>
        </w:tc>
        <w:tc>
          <w:tcPr>
            <w:tcW w:w="1699" w:type="dxa"/>
            <w:tcBorders>
              <w:top w:val="nil"/>
              <w:bottom w:val="nil"/>
              <w:right w:val="single" w:sz="16" w:space="0" w:color="000000"/>
            </w:tcBorders>
            <w:shd w:val="clear" w:color="auto" w:fill="FFFFFF"/>
            <w:vAlign w:val="center"/>
          </w:tcPr>
          <w:p w14:paraId="2AC6A36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,716082847613536</w:t>
            </w:r>
          </w:p>
        </w:tc>
      </w:tr>
      <w:tr w:rsidR="00017BAA" w:rsidRPr="00017BAA" w14:paraId="14C09320" w14:textId="77777777" w:rsidTr="00017BAA">
        <w:trPr>
          <w:cantSplit/>
        </w:trPr>
        <w:tc>
          <w:tcPr>
            <w:tcW w:w="709" w:type="dxa"/>
            <w:vMerge/>
            <w:tcBorders>
              <w:top w:val="nil"/>
              <w:left w:val="single" w:sz="16" w:space="0" w:color="000000"/>
              <w:right w:val="nil"/>
            </w:tcBorders>
            <w:shd w:val="clear" w:color="auto" w:fill="FFFFFF"/>
          </w:tcPr>
          <w:p w14:paraId="0DD9FBE2"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EA0CAB0"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1843" w:type="dxa"/>
            <w:tcBorders>
              <w:top w:val="nil"/>
              <w:left w:val="single" w:sz="16" w:space="0" w:color="000000"/>
              <w:bottom w:val="nil"/>
            </w:tcBorders>
            <w:shd w:val="clear" w:color="auto" w:fill="FFFFFF"/>
            <w:vAlign w:val="center"/>
          </w:tcPr>
          <w:p w14:paraId="798CCDF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-,787675031393996</w:t>
            </w:r>
          </w:p>
        </w:tc>
        <w:tc>
          <w:tcPr>
            <w:tcW w:w="1701" w:type="dxa"/>
            <w:tcBorders>
              <w:top w:val="nil"/>
              <w:bottom w:val="nil"/>
            </w:tcBorders>
            <w:shd w:val="clear" w:color="auto" w:fill="FFFFFF"/>
            <w:vAlign w:val="center"/>
          </w:tcPr>
          <w:p w14:paraId="29C6DC6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,443362856528362</w:t>
            </w:r>
          </w:p>
        </w:tc>
        <w:tc>
          <w:tcPr>
            <w:tcW w:w="709" w:type="dxa"/>
            <w:tcBorders>
              <w:top w:val="nil"/>
              <w:bottom w:val="nil"/>
            </w:tcBorders>
            <w:shd w:val="clear" w:color="auto" w:fill="FFFFFF"/>
            <w:vAlign w:val="center"/>
          </w:tcPr>
          <w:p w14:paraId="4D01C9C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,076</w:t>
            </w:r>
          </w:p>
        </w:tc>
        <w:tc>
          <w:tcPr>
            <w:tcW w:w="1701" w:type="dxa"/>
            <w:tcBorders>
              <w:top w:val="nil"/>
              <w:bottom w:val="nil"/>
            </w:tcBorders>
            <w:shd w:val="clear" w:color="auto" w:fill="FFFFFF"/>
            <w:vAlign w:val="center"/>
          </w:tcPr>
          <w:p w14:paraId="58A7F01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-1,656776863254975</w:t>
            </w:r>
          </w:p>
        </w:tc>
        <w:tc>
          <w:tcPr>
            <w:tcW w:w="1699" w:type="dxa"/>
            <w:tcBorders>
              <w:top w:val="nil"/>
              <w:bottom w:val="nil"/>
              <w:right w:val="single" w:sz="16" w:space="0" w:color="000000"/>
            </w:tcBorders>
            <w:shd w:val="clear" w:color="auto" w:fill="FFFFFF"/>
            <w:vAlign w:val="center"/>
          </w:tcPr>
          <w:p w14:paraId="3DB2F07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,081426800466983</w:t>
            </w:r>
          </w:p>
        </w:tc>
      </w:tr>
      <w:tr w:rsidR="00017BAA" w:rsidRPr="00017BAA" w14:paraId="4A304AED" w14:textId="77777777" w:rsidTr="00017BAA">
        <w:trPr>
          <w:cantSplit/>
        </w:trPr>
        <w:tc>
          <w:tcPr>
            <w:tcW w:w="709" w:type="dxa"/>
            <w:vMerge/>
            <w:tcBorders>
              <w:top w:val="nil"/>
              <w:left w:val="single" w:sz="16" w:space="0" w:color="000000"/>
              <w:right w:val="nil"/>
            </w:tcBorders>
            <w:shd w:val="clear" w:color="auto" w:fill="FFFFFF"/>
          </w:tcPr>
          <w:p w14:paraId="3AD8F071"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2F8CF346"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1843" w:type="dxa"/>
            <w:tcBorders>
              <w:top w:val="nil"/>
              <w:left w:val="single" w:sz="16" w:space="0" w:color="000000"/>
              <w:bottom w:val="nil"/>
            </w:tcBorders>
            <w:shd w:val="clear" w:color="auto" w:fill="FFFFFF"/>
            <w:vAlign w:val="center"/>
          </w:tcPr>
          <w:p w14:paraId="4D5D7E3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-,748117717162314</w:t>
            </w:r>
          </w:p>
        </w:tc>
        <w:tc>
          <w:tcPr>
            <w:tcW w:w="1701" w:type="dxa"/>
            <w:tcBorders>
              <w:top w:val="nil"/>
              <w:bottom w:val="nil"/>
            </w:tcBorders>
            <w:shd w:val="clear" w:color="auto" w:fill="FFFFFF"/>
            <w:vAlign w:val="center"/>
          </w:tcPr>
          <w:p w14:paraId="16BF461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,427702570537936</w:t>
            </w:r>
          </w:p>
        </w:tc>
        <w:tc>
          <w:tcPr>
            <w:tcW w:w="709" w:type="dxa"/>
            <w:tcBorders>
              <w:top w:val="nil"/>
              <w:bottom w:val="nil"/>
            </w:tcBorders>
            <w:shd w:val="clear" w:color="auto" w:fill="FFFFFF"/>
            <w:vAlign w:val="center"/>
          </w:tcPr>
          <w:p w14:paraId="42F0B8D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,080</w:t>
            </w:r>
          </w:p>
        </w:tc>
        <w:tc>
          <w:tcPr>
            <w:tcW w:w="1701" w:type="dxa"/>
            <w:tcBorders>
              <w:top w:val="nil"/>
              <w:bottom w:val="nil"/>
            </w:tcBorders>
            <w:shd w:val="clear" w:color="auto" w:fill="FFFFFF"/>
            <w:vAlign w:val="center"/>
          </w:tcPr>
          <w:p w14:paraId="27F0242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-1,586521480745046</w:t>
            </w:r>
          </w:p>
        </w:tc>
        <w:tc>
          <w:tcPr>
            <w:tcW w:w="1699" w:type="dxa"/>
            <w:tcBorders>
              <w:top w:val="nil"/>
              <w:bottom w:val="nil"/>
              <w:right w:val="single" w:sz="16" w:space="0" w:color="000000"/>
            </w:tcBorders>
            <w:shd w:val="clear" w:color="auto" w:fill="FFFFFF"/>
            <w:vAlign w:val="center"/>
          </w:tcPr>
          <w:p w14:paraId="42A8361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,090286046420418</w:t>
            </w:r>
          </w:p>
        </w:tc>
      </w:tr>
      <w:tr w:rsidR="00017BAA" w:rsidRPr="00017BAA" w14:paraId="47EA84C2" w14:textId="77777777" w:rsidTr="00017BAA">
        <w:trPr>
          <w:cantSplit/>
        </w:trPr>
        <w:tc>
          <w:tcPr>
            <w:tcW w:w="709" w:type="dxa"/>
            <w:vMerge/>
            <w:tcBorders>
              <w:top w:val="nil"/>
              <w:left w:val="single" w:sz="16" w:space="0" w:color="000000"/>
              <w:right w:val="nil"/>
            </w:tcBorders>
            <w:shd w:val="clear" w:color="auto" w:fill="FFFFFF"/>
          </w:tcPr>
          <w:p w14:paraId="39B74AE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47C058FA"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1843" w:type="dxa"/>
            <w:tcBorders>
              <w:top w:val="nil"/>
              <w:left w:val="single" w:sz="16" w:space="0" w:color="000000"/>
              <w:bottom w:val="nil"/>
            </w:tcBorders>
            <w:shd w:val="clear" w:color="auto" w:fill="FFFFFF"/>
            <w:vAlign w:val="center"/>
          </w:tcPr>
          <w:p w14:paraId="3922545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-1,652119773711376</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50AB8E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,421268802960913</w:t>
            </w:r>
          </w:p>
        </w:tc>
        <w:tc>
          <w:tcPr>
            <w:tcW w:w="709" w:type="dxa"/>
            <w:tcBorders>
              <w:top w:val="nil"/>
              <w:bottom w:val="nil"/>
            </w:tcBorders>
            <w:shd w:val="clear" w:color="auto" w:fill="FFFFFF"/>
            <w:vAlign w:val="center"/>
          </w:tcPr>
          <w:p w14:paraId="3763E58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0E688E9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-2,477911747414500</w:t>
            </w:r>
          </w:p>
        </w:tc>
        <w:tc>
          <w:tcPr>
            <w:tcW w:w="1699" w:type="dxa"/>
            <w:tcBorders>
              <w:top w:val="nil"/>
              <w:bottom w:val="nil"/>
              <w:right w:val="single" w:sz="16" w:space="0" w:color="000000"/>
            </w:tcBorders>
            <w:shd w:val="clear" w:color="auto" w:fill="FFFFFF"/>
            <w:vAlign w:val="center"/>
          </w:tcPr>
          <w:p w14:paraId="5C33BD1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-,826327800008252</w:t>
            </w:r>
          </w:p>
        </w:tc>
      </w:tr>
      <w:tr w:rsidR="00017BAA" w:rsidRPr="00017BAA" w14:paraId="362C85CF" w14:textId="77777777" w:rsidTr="00017BAA">
        <w:trPr>
          <w:cantSplit/>
        </w:trPr>
        <w:tc>
          <w:tcPr>
            <w:tcW w:w="709" w:type="dxa"/>
            <w:vMerge/>
            <w:tcBorders>
              <w:top w:val="nil"/>
              <w:left w:val="single" w:sz="16" w:space="0" w:color="000000"/>
              <w:right w:val="nil"/>
            </w:tcBorders>
            <w:shd w:val="clear" w:color="auto" w:fill="FFFFFF"/>
          </w:tcPr>
          <w:p w14:paraId="0AF3D90D"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47DA81A4"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1843" w:type="dxa"/>
            <w:tcBorders>
              <w:top w:val="nil"/>
              <w:left w:val="single" w:sz="16" w:space="0" w:color="000000"/>
              <w:bottom w:val="nil"/>
            </w:tcBorders>
            <w:shd w:val="clear" w:color="auto" w:fill="FFFFFF"/>
            <w:vAlign w:val="center"/>
          </w:tcPr>
          <w:p w14:paraId="24AC5A1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-1,449727609184645</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0308818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,410661702719298</w:t>
            </w:r>
          </w:p>
        </w:tc>
        <w:tc>
          <w:tcPr>
            <w:tcW w:w="709" w:type="dxa"/>
            <w:tcBorders>
              <w:top w:val="nil"/>
              <w:bottom w:val="nil"/>
            </w:tcBorders>
            <w:shd w:val="clear" w:color="auto" w:fill="FFFFFF"/>
            <w:vAlign w:val="center"/>
          </w:tcPr>
          <w:p w14:paraId="785D6D0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332CC21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-2,254727019606973</w:t>
            </w:r>
          </w:p>
        </w:tc>
        <w:tc>
          <w:tcPr>
            <w:tcW w:w="1699" w:type="dxa"/>
            <w:tcBorders>
              <w:top w:val="nil"/>
              <w:bottom w:val="nil"/>
              <w:right w:val="single" w:sz="16" w:space="0" w:color="000000"/>
            </w:tcBorders>
            <w:shd w:val="clear" w:color="auto" w:fill="FFFFFF"/>
            <w:vAlign w:val="center"/>
          </w:tcPr>
          <w:p w14:paraId="571E082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-,644728198762318</w:t>
            </w:r>
          </w:p>
        </w:tc>
      </w:tr>
      <w:tr w:rsidR="00017BAA" w:rsidRPr="00017BAA" w14:paraId="10173574" w14:textId="77777777" w:rsidTr="00017BAA">
        <w:trPr>
          <w:cantSplit/>
        </w:trPr>
        <w:tc>
          <w:tcPr>
            <w:tcW w:w="709" w:type="dxa"/>
            <w:vMerge/>
            <w:tcBorders>
              <w:top w:val="nil"/>
              <w:left w:val="single" w:sz="16" w:space="0" w:color="000000"/>
              <w:right w:val="nil"/>
            </w:tcBorders>
            <w:shd w:val="clear" w:color="auto" w:fill="FFFFFF"/>
          </w:tcPr>
          <w:p w14:paraId="65161968"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BD9A85D"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1843" w:type="dxa"/>
            <w:tcBorders>
              <w:top w:val="nil"/>
              <w:left w:val="single" w:sz="16" w:space="0" w:color="000000"/>
              <w:bottom w:val="nil"/>
            </w:tcBorders>
            <w:shd w:val="clear" w:color="auto" w:fill="FFFFFF"/>
            <w:vAlign w:val="center"/>
          </w:tcPr>
          <w:p w14:paraId="081CBBC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-1,852100996897319</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515B5E8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,403915311673832</w:t>
            </w:r>
          </w:p>
        </w:tc>
        <w:tc>
          <w:tcPr>
            <w:tcW w:w="709" w:type="dxa"/>
            <w:tcBorders>
              <w:top w:val="nil"/>
              <w:bottom w:val="nil"/>
            </w:tcBorders>
            <w:shd w:val="clear" w:color="auto" w:fill="FFFFFF"/>
            <w:vAlign w:val="center"/>
          </w:tcPr>
          <w:p w14:paraId="39477B6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0656D88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-2,643875797432441</w:t>
            </w:r>
          </w:p>
        </w:tc>
        <w:tc>
          <w:tcPr>
            <w:tcW w:w="1699" w:type="dxa"/>
            <w:tcBorders>
              <w:top w:val="nil"/>
              <w:bottom w:val="nil"/>
              <w:right w:val="single" w:sz="16" w:space="0" w:color="000000"/>
            </w:tcBorders>
            <w:shd w:val="clear" w:color="auto" w:fill="FFFFFF"/>
            <w:vAlign w:val="center"/>
          </w:tcPr>
          <w:p w14:paraId="4CBD2A9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-1,060326196362197</w:t>
            </w:r>
          </w:p>
        </w:tc>
      </w:tr>
      <w:tr w:rsidR="00017BAA" w:rsidRPr="00017BAA" w14:paraId="75105F49" w14:textId="77777777" w:rsidTr="00017BAA">
        <w:trPr>
          <w:cantSplit/>
        </w:trPr>
        <w:tc>
          <w:tcPr>
            <w:tcW w:w="709" w:type="dxa"/>
            <w:vMerge/>
            <w:tcBorders>
              <w:top w:val="nil"/>
              <w:left w:val="single" w:sz="16" w:space="0" w:color="000000"/>
              <w:right w:val="nil"/>
            </w:tcBorders>
            <w:shd w:val="clear" w:color="auto" w:fill="FFFFFF"/>
          </w:tcPr>
          <w:p w14:paraId="656A53C4"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3B1C81FC"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1843" w:type="dxa"/>
            <w:tcBorders>
              <w:top w:val="nil"/>
              <w:left w:val="single" w:sz="16" w:space="0" w:color="000000"/>
              <w:bottom w:val="nil"/>
            </w:tcBorders>
            <w:shd w:val="clear" w:color="auto" w:fill="FFFFFF"/>
            <w:vAlign w:val="center"/>
          </w:tcPr>
          <w:p w14:paraId="4FB37D1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-2,467188608923710</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33D274F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,410584048709798</w:t>
            </w:r>
          </w:p>
        </w:tc>
        <w:tc>
          <w:tcPr>
            <w:tcW w:w="709" w:type="dxa"/>
            <w:tcBorders>
              <w:top w:val="nil"/>
              <w:bottom w:val="nil"/>
            </w:tcBorders>
            <w:shd w:val="clear" w:color="auto" w:fill="FFFFFF"/>
            <w:vAlign w:val="center"/>
          </w:tcPr>
          <w:p w14:paraId="2BDE9FA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16A03ED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-3,272035798110283</w:t>
            </w:r>
          </w:p>
        </w:tc>
        <w:tc>
          <w:tcPr>
            <w:tcW w:w="1699" w:type="dxa"/>
            <w:tcBorders>
              <w:top w:val="nil"/>
              <w:bottom w:val="nil"/>
              <w:right w:val="single" w:sz="16" w:space="0" w:color="000000"/>
            </w:tcBorders>
            <w:shd w:val="clear" w:color="auto" w:fill="FFFFFF"/>
            <w:vAlign w:val="center"/>
          </w:tcPr>
          <w:p w14:paraId="1C9757C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-1,662341419737136</w:t>
            </w:r>
          </w:p>
        </w:tc>
      </w:tr>
      <w:tr w:rsidR="00017BAA" w:rsidRPr="00017BAA" w14:paraId="1CAE8F40" w14:textId="77777777" w:rsidTr="00017BAA">
        <w:trPr>
          <w:cantSplit/>
        </w:trPr>
        <w:tc>
          <w:tcPr>
            <w:tcW w:w="709" w:type="dxa"/>
            <w:vMerge/>
            <w:tcBorders>
              <w:top w:val="nil"/>
              <w:left w:val="single" w:sz="16" w:space="0" w:color="000000"/>
              <w:right w:val="nil"/>
            </w:tcBorders>
            <w:shd w:val="clear" w:color="auto" w:fill="FFFFFF"/>
          </w:tcPr>
          <w:p w14:paraId="1024717A"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right w:val="single" w:sz="16" w:space="0" w:color="000000"/>
            </w:tcBorders>
            <w:shd w:val="clear" w:color="auto" w:fill="FFFFFF"/>
          </w:tcPr>
          <w:p w14:paraId="612215D5"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1843" w:type="dxa"/>
            <w:tcBorders>
              <w:top w:val="nil"/>
              <w:left w:val="single" w:sz="16" w:space="0" w:color="000000"/>
            </w:tcBorders>
            <w:shd w:val="clear" w:color="auto" w:fill="FFFFFF"/>
            <w:vAlign w:val="center"/>
          </w:tcPr>
          <w:p w14:paraId="73AC754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-1,432713812707033</w:t>
            </w:r>
            <w:r w:rsidRPr="00017BAA">
              <w:rPr>
                <w:rFonts w:eastAsiaTheme="minorEastAsia" w:cs="Arial"/>
                <w:color w:val="000000"/>
                <w:sz w:val="16"/>
                <w:szCs w:val="16"/>
                <w:vertAlign w:val="superscript"/>
                <w:lang w:val="en-GB" w:eastAsia="en-GB"/>
              </w:rPr>
              <w:t>*</w:t>
            </w:r>
          </w:p>
        </w:tc>
        <w:tc>
          <w:tcPr>
            <w:tcW w:w="1701" w:type="dxa"/>
            <w:tcBorders>
              <w:top w:val="nil"/>
            </w:tcBorders>
            <w:shd w:val="clear" w:color="auto" w:fill="FFFFFF"/>
            <w:vAlign w:val="center"/>
          </w:tcPr>
          <w:p w14:paraId="3A1C0A0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,365346668041030</w:t>
            </w:r>
          </w:p>
        </w:tc>
        <w:tc>
          <w:tcPr>
            <w:tcW w:w="709" w:type="dxa"/>
            <w:tcBorders>
              <w:top w:val="nil"/>
            </w:tcBorders>
            <w:shd w:val="clear" w:color="auto" w:fill="FFFFFF"/>
            <w:vAlign w:val="center"/>
          </w:tcPr>
          <w:p w14:paraId="60B94AF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tcBorders>
            <w:shd w:val="clear" w:color="auto" w:fill="FFFFFF"/>
            <w:vAlign w:val="center"/>
          </w:tcPr>
          <w:p w14:paraId="3F7CD35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-2,148884447624557</w:t>
            </w:r>
          </w:p>
        </w:tc>
        <w:tc>
          <w:tcPr>
            <w:tcW w:w="1699" w:type="dxa"/>
            <w:tcBorders>
              <w:top w:val="nil"/>
              <w:right w:val="single" w:sz="16" w:space="0" w:color="000000"/>
            </w:tcBorders>
            <w:shd w:val="clear" w:color="auto" w:fill="FFFFFF"/>
            <w:vAlign w:val="center"/>
          </w:tcPr>
          <w:p w14:paraId="32C3CD7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-,716543177789509</w:t>
            </w:r>
          </w:p>
        </w:tc>
      </w:tr>
      <w:tr w:rsidR="00017BAA" w:rsidRPr="00017BAA" w14:paraId="10662710" w14:textId="77777777" w:rsidTr="00017BAA">
        <w:trPr>
          <w:cantSplit/>
        </w:trPr>
        <w:tc>
          <w:tcPr>
            <w:tcW w:w="709" w:type="dxa"/>
            <w:vMerge w:val="restart"/>
            <w:tcBorders>
              <w:top w:val="nil"/>
              <w:left w:val="single" w:sz="16" w:space="0" w:color="000000"/>
              <w:right w:val="nil"/>
            </w:tcBorders>
            <w:shd w:val="clear" w:color="auto" w:fill="FFFFFF"/>
          </w:tcPr>
          <w:p w14:paraId="6FBA3A20"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567" w:type="dxa"/>
            <w:tcBorders>
              <w:top w:val="nil"/>
              <w:left w:val="nil"/>
              <w:bottom w:val="nil"/>
              <w:right w:val="single" w:sz="16" w:space="0" w:color="000000"/>
            </w:tcBorders>
            <w:shd w:val="clear" w:color="auto" w:fill="FFFFFF"/>
          </w:tcPr>
          <w:p w14:paraId="5654E073"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1843" w:type="dxa"/>
            <w:tcBorders>
              <w:top w:val="nil"/>
              <w:left w:val="single" w:sz="16" w:space="0" w:color="000000"/>
              <w:bottom w:val="nil"/>
            </w:tcBorders>
            <w:shd w:val="clear" w:color="auto" w:fill="FFFFFF"/>
            <w:vAlign w:val="center"/>
          </w:tcPr>
          <w:p w14:paraId="11337B5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,995769580867592</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F0E763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,374572887784078</w:t>
            </w:r>
          </w:p>
        </w:tc>
        <w:tc>
          <w:tcPr>
            <w:tcW w:w="709" w:type="dxa"/>
            <w:tcBorders>
              <w:top w:val="nil"/>
              <w:bottom w:val="nil"/>
            </w:tcBorders>
            <w:shd w:val="clear" w:color="auto" w:fill="FFFFFF"/>
            <w:vAlign w:val="center"/>
          </w:tcPr>
          <w:p w14:paraId="68DAFB9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,008</w:t>
            </w:r>
          </w:p>
        </w:tc>
        <w:tc>
          <w:tcPr>
            <w:tcW w:w="1701" w:type="dxa"/>
            <w:tcBorders>
              <w:top w:val="nil"/>
              <w:bottom w:val="nil"/>
            </w:tcBorders>
            <w:shd w:val="clear" w:color="auto" w:fill="FFFFFF"/>
            <w:vAlign w:val="center"/>
          </w:tcPr>
          <w:p w14:paraId="33F3C72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,261513253019854</w:t>
            </w:r>
          </w:p>
        </w:tc>
        <w:tc>
          <w:tcPr>
            <w:tcW w:w="1699" w:type="dxa"/>
            <w:tcBorders>
              <w:top w:val="nil"/>
              <w:bottom w:val="nil"/>
              <w:right w:val="single" w:sz="16" w:space="0" w:color="000000"/>
            </w:tcBorders>
            <w:shd w:val="clear" w:color="auto" w:fill="FFFFFF"/>
            <w:vAlign w:val="center"/>
          </w:tcPr>
          <w:p w14:paraId="2A2CB69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1,730025908715331</w:t>
            </w:r>
          </w:p>
        </w:tc>
      </w:tr>
      <w:tr w:rsidR="00017BAA" w:rsidRPr="00017BAA" w14:paraId="6C246430" w14:textId="77777777" w:rsidTr="00017BAA">
        <w:trPr>
          <w:cantSplit/>
        </w:trPr>
        <w:tc>
          <w:tcPr>
            <w:tcW w:w="709" w:type="dxa"/>
            <w:vMerge/>
            <w:tcBorders>
              <w:top w:val="nil"/>
              <w:left w:val="single" w:sz="16" w:space="0" w:color="000000"/>
              <w:right w:val="nil"/>
            </w:tcBorders>
            <w:shd w:val="clear" w:color="auto" w:fill="FFFFFF"/>
          </w:tcPr>
          <w:p w14:paraId="39F5409E"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0BCC2E5"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1843" w:type="dxa"/>
            <w:tcBorders>
              <w:top w:val="nil"/>
              <w:left w:val="single" w:sz="16" w:space="0" w:color="000000"/>
              <w:bottom w:val="nil"/>
            </w:tcBorders>
            <w:shd w:val="clear" w:color="auto" w:fill="FFFFFF"/>
            <w:vAlign w:val="center"/>
          </w:tcPr>
          <w:p w14:paraId="348D885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,183481614769387</w:t>
            </w:r>
          </w:p>
        </w:tc>
        <w:tc>
          <w:tcPr>
            <w:tcW w:w="1701" w:type="dxa"/>
            <w:tcBorders>
              <w:top w:val="nil"/>
              <w:bottom w:val="nil"/>
            </w:tcBorders>
            <w:shd w:val="clear" w:color="auto" w:fill="FFFFFF"/>
            <w:vAlign w:val="center"/>
          </w:tcPr>
          <w:p w14:paraId="34B4071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,458903036505497</w:t>
            </w:r>
          </w:p>
        </w:tc>
        <w:tc>
          <w:tcPr>
            <w:tcW w:w="709" w:type="dxa"/>
            <w:tcBorders>
              <w:top w:val="nil"/>
              <w:bottom w:val="nil"/>
            </w:tcBorders>
            <w:shd w:val="clear" w:color="auto" w:fill="FFFFFF"/>
            <w:vAlign w:val="center"/>
          </w:tcPr>
          <w:p w14:paraId="79819C0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,689</w:t>
            </w:r>
          </w:p>
        </w:tc>
        <w:tc>
          <w:tcPr>
            <w:tcW w:w="1701" w:type="dxa"/>
            <w:tcBorders>
              <w:top w:val="nil"/>
              <w:bottom w:val="nil"/>
            </w:tcBorders>
            <w:shd w:val="clear" w:color="auto" w:fill="FFFFFF"/>
            <w:vAlign w:val="center"/>
          </w:tcPr>
          <w:p w14:paraId="7C4BB71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-,716082847613536</w:t>
            </w:r>
          </w:p>
        </w:tc>
        <w:tc>
          <w:tcPr>
            <w:tcW w:w="1699" w:type="dxa"/>
            <w:tcBorders>
              <w:top w:val="nil"/>
              <w:bottom w:val="nil"/>
              <w:right w:val="single" w:sz="16" w:space="0" w:color="000000"/>
            </w:tcBorders>
            <w:shd w:val="clear" w:color="auto" w:fill="FFFFFF"/>
            <w:vAlign w:val="center"/>
          </w:tcPr>
          <w:p w14:paraId="7FBC0BF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1,083046077152309</w:t>
            </w:r>
          </w:p>
        </w:tc>
      </w:tr>
      <w:tr w:rsidR="00017BAA" w:rsidRPr="00017BAA" w14:paraId="166AD765" w14:textId="77777777" w:rsidTr="00017BAA">
        <w:trPr>
          <w:cantSplit/>
        </w:trPr>
        <w:tc>
          <w:tcPr>
            <w:tcW w:w="709" w:type="dxa"/>
            <w:vMerge/>
            <w:tcBorders>
              <w:top w:val="nil"/>
              <w:left w:val="single" w:sz="16" w:space="0" w:color="000000"/>
              <w:right w:val="nil"/>
            </w:tcBorders>
            <w:shd w:val="clear" w:color="auto" w:fill="FFFFFF"/>
          </w:tcPr>
          <w:p w14:paraId="4B2474B5"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509E138D"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1843" w:type="dxa"/>
            <w:tcBorders>
              <w:top w:val="nil"/>
              <w:left w:val="single" w:sz="16" w:space="0" w:color="000000"/>
              <w:bottom w:val="nil"/>
            </w:tcBorders>
            <w:shd w:val="clear" w:color="auto" w:fill="FFFFFF"/>
            <w:vAlign w:val="center"/>
          </w:tcPr>
          <w:p w14:paraId="5B60F33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-,604193416624609</w:t>
            </w:r>
          </w:p>
        </w:tc>
        <w:tc>
          <w:tcPr>
            <w:tcW w:w="1701" w:type="dxa"/>
            <w:tcBorders>
              <w:top w:val="nil"/>
              <w:bottom w:val="nil"/>
            </w:tcBorders>
            <w:shd w:val="clear" w:color="auto" w:fill="FFFFFF"/>
            <w:vAlign w:val="center"/>
          </w:tcPr>
          <w:p w14:paraId="315F93D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,409049794143349</w:t>
            </w:r>
          </w:p>
        </w:tc>
        <w:tc>
          <w:tcPr>
            <w:tcW w:w="709" w:type="dxa"/>
            <w:tcBorders>
              <w:top w:val="nil"/>
              <w:bottom w:val="nil"/>
            </w:tcBorders>
            <w:shd w:val="clear" w:color="auto" w:fill="FFFFFF"/>
            <w:vAlign w:val="center"/>
          </w:tcPr>
          <w:p w14:paraId="3AB8946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,140</w:t>
            </w:r>
          </w:p>
        </w:tc>
        <w:tc>
          <w:tcPr>
            <w:tcW w:w="1701" w:type="dxa"/>
            <w:tcBorders>
              <w:top w:val="nil"/>
              <w:bottom w:val="nil"/>
            </w:tcBorders>
            <w:shd w:val="clear" w:color="auto" w:fill="FFFFFF"/>
            <w:vAlign w:val="center"/>
          </w:tcPr>
          <w:p w14:paraId="5621E45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-1,406033084015869</w:t>
            </w:r>
          </w:p>
        </w:tc>
        <w:tc>
          <w:tcPr>
            <w:tcW w:w="1699" w:type="dxa"/>
            <w:tcBorders>
              <w:top w:val="nil"/>
              <w:bottom w:val="nil"/>
              <w:right w:val="single" w:sz="16" w:space="0" w:color="000000"/>
            </w:tcBorders>
            <w:shd w:val="clear" w:color="auto" w:fill="FFFFFF"/>
            <w:vAlign w:val="center"/>
          </w:tcPr>
          <w:p w14:paraId="6D41F54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,197646250766651</w:t>
            </w:r>
          </w:p>
        </w:tc>
      </w:tr>
      <w:tr w:rsidR="00017BAA" w:rsidRPr="00017BAA" w14:paraId="468D0FD8" w14:textId="77777777" w:rsidTr="00017BAA">
        <w:trPr>
          <w:cantSplit/>
        </w:trPr>
        <w:tc>
          <w:tcPr>
            <w:tcW w:w="709" w:type="dxa"/>
            <w:vMerge/>
            <w:tcBorders>
              <w:top w:val="nil"/>
              <w:left w:val="single" w:sz="16" w:space="0" w:color="000000"/>
              <w:right w:val="nil"/>
            </w:tcBorders>
            <w:shd w:val="clear" w:color="auto" w:fill="FFFFFF"/>
          </w:tcPr>
          <w:p w14:paraId="1BD5FF42"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BAE37FA"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1843" w:type="dxa"/>
            <w:tcBorders>
              <w:top w:val="nil"/>
              <w:left w:val="single" w:sz="16" w:space="0" w:color="000000"/>
              <w:bottom w:val="nil"/>
            </w:tcBorders>
            <w:shd w:val="clear" w:color="auto" w:fill="FFFFFF"/>
            <w:vAlign w:val="center"/>
          </w:tcPr>
          <w:p w14:paraId="65A66A1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-,564636102392927</w:t>
            </w:r>
          </w:p>
        </w:tc>
        <w:tc>
          <w:tcPr>
            <w:tcW w:w="1701" w:type="dxa"/>
            <w:tcBorders>
              <w:top w:val="nil"/>
              <w:bottom w:val="nil"/>
            </w:tcBorders>
            <w:shd w:val="clear" w:color="auto" w:fill="FFFFFF"/>
            <w:vAlign w:val="center"/>
          </w:tcPr>
          <w:p w14:paraId="3C406FA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,392021173387975</w:t>
            </w:r>
          </w:p>
        </w:tc>
        <w:tc>
          <w:tcPr>
            <w:tcW w:w="709" w:type="dxa"/>
            <w:tcBorders>
              <w:top w:val="nil"/>
              <w:bottom w:val="nil"/>
            </w:tcBorders>
            <w:shd w:val="clear" w:color="auto" w:fill="FFFFFF"/>
            <w:vAlign w:val="center"/>
          </w:tcPr>
          <w:p w14:paraId="0F07890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,150</w:t>
            </w:r>
          </w:p>
        </w:tc>
        <w:tc>
          <w:tcPr>
            <w:tcW w:w="1701" w:type="dxa"/>
            <w:tcBorders>
              <w:top w:val="nil"/>
              <w:bottom w:val="nil"/>
            </w:tcBorders>
            <w:shd w:val="clear" w:color="auto" w:fill="FFFFFF"/>
            <w:vAlign w:val="center"/>
          </w:tcPr>
          <w:p w14:paraId="2F215A1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-1,333095423923811</w:t>
            </w:r>
          </w:p>
        </w:tc>
        <w:tc>
          <w:tcPr>
            <w:tcW w:w="1699" w:type="dxa"/>
            <w:tcBorders>
              <w:top w:val="nil"/>
              <w:bottom w:val="nil"/>
              <w:right w:val="single" w:sz="16" w:space="0" w:color="000000"/>
            </w:tcBorders>
            <w:shd w:val="clear" w:color="auto" w:fill="FFFFFF"/>
            <w:vAlign w:val="center"/>
          </w:tcPr>
          <w:p w14:paraId="2D8AF2B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,203823219137957</w:t>
            </w:r>
          </w:p>
        </w:tc>
      </w:tr>
      <w:tr w:rsidR="00017BAA" w:rsidRPr="00017BAA" w14:paraId="28EAF4F7" w14:textId="77777777" w:rsidTr="00017BAA">
        <w:trPr>
          <w:cantSplit/>
        </w:trPr>
        <w:tc>
          <w:tcPr>
            <w:tcW w:w="709" w:type="dxa"/>
            <w:vMerge/>
            <w:tcBorders>
              <w:top w:val="nil"/>
              <w:left w:val="single" w:sz="16" w:space="0" w:color="000000"/>
              <w:right w:val="nil"/>
            </w:tcBorders>
            <w:shd w:val="clear" w:color="auto" w:fill="FFFFFF"/>
          </w:tcPr>
          <w:p w14:paraId="2CA5BD5E"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D5E8833"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1843" w:type="dxa"/>
            <w:tcBorders>
              <w:top w:val="nil"/>
              <w:left w:val="single" w:sz="16" w:space="0" w:color="000000"/>
              <w:bottom w:val="nil"/>
            </w:tcBorders>
            <w:shd w:val="clear" w:color="auto" w:fill="FFFFFF"/>
            <w:vAlign w:val="center"/>
          </w:tcPr>
          <w:p w14:paraId="5E9C108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-1,468638158941989</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2433CD2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,384991578983031</w:t>
            </w:r>
          </w:p>
        </w:tc>
        <w:tc>
          <w:tcPr>
            <w:tcW w:w="709" w:type="dxa"/>
            <w:tcBorders>
              <w:top w:val="nil"/>
              <w:bottom w:val="nil"/>
            </w:tcBorders>
            <w:shd w:val="clear" w:color="auto" w:fill="FFFFFF"/>
            <w:vAlign w:val="center"/>
          </w:tcPr>
          <w:p w14:paraId="725272D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600D616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-2,223317721332887</w:t>
            </w:r>
          </w:p>
        </w:tc>
        <w:tc>
          <w:tcPr>
            <w:tcW w:w="1699" w:type="dxa"/>
            <w:tcBorders>
              <w:top w:val="nil"/>
              <w:bottom w:val="nil"/>
              <w:right w:val="single" w:sz="16" w:space="0" w:color="000000"/>
            </w:tcBorders>
            <w:shd w:val="clear" w:color="auto" w:fill="FFFFFF"/>
            <w:vAlign w:val="center"/>
          </w:tcPr>
          <w:p w14:paraId="7C5D78A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-,713958596551090</w:t>
            </w:r>
          </w:p>
        </w:tc>
      </w:tr>
      <w:tr w:rsidR="00017BAA" w:rsidRPr="00017BAA" w14:paraId="29A36AA0" w14:textId="77777777" w:rsidTr="00017BAA">
        <w:trPr>
          <w:cantSplit/>
        </w:trPr>
        <w:tc>
          <w:tcPr>
            <w:tcW w:w="709" w:type="dxa"/>
            <w:vMerge/>
            <w:tcBorders>
              <w:top w:val="nil"/>
              <w:left w:val="single" w:sz="16" w:space="0" w:color="000000"/>
              <w:right w:val="nil"/>
            </w:tcBorders>
            <w:shd w:val="clear" w:color="auto" w:fill="FFFFFF"/>
          </w:tcPr>
          <w:p w14:paraId="58C46E16"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2C0315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1843" w:type="dxa"/>
            <w:tcBorders>
              <w:top w:val="nil"/>
              <w:left w:val="single" w:sz="16" w:space="0" w:color="000000"/>
              <w:bottom w:val="nil"/>
            </w:tcBorders>
            <w:shd w:val="clear" w:color="auto" w:fill="FFFFFF"/>
            <w:vAlign w:val="center"/>
          </w:tcPr>
          <w:p w14:paraId="223186F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-1,266245994415258</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61125EB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,373355253907107</w:t>
            </w:r>
          </w:p>
        </w:tc>
        <w:tc>
          <w:tcPr>
            <w:tcW w:w="709" w:type="dxa"/>
            <w:tcBorders>
              <w:top w:val="nil"/>
              <w:bottom w:val="nil"/>
            </w:tcBorders>
            <w:shd w:val="clear" w:color="auto" w:fill="FFFFFF"/>
            <w:vAlign w:val="center"/>
          </w:tcPr>
          <w:p w14:paraId="18C92FF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,001</w:t>
            </w:r>
          </w:p>
        </w:tc>
        <w:tc>
          <w:tcPr>
            <w:tcW w:w="1701" w:type="dxa"/>
            <w:tcBorders>
              <w:top w:val="nil"/>
              <w:bottom w:val="nil"/>
            </w:tcBorders>
            <w:shd w:val="clear" w:color="auto" w:fill="FFFFFF"/>
            <w:vAlign w:val="center"/>
          </w:tcPr>
          <w:p w14:paraId="7941A5C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-1,998115456025942</w:t>
            </w:r>
          </w:p>
        </w:tc>
        <w:tc>
          <w:tcPr>
            <w:tcW w:w="1699" w:type="dxa"/>
            <w:tcBorders>
              <w:top w:val="nil"/>
              <w:bottom w:val="nil"/>
              <w:right w:val="single" w:sz="16" w:space="0" w:color="000000"/>
            </w:tcBorders>
            <w:shd w:val="clear" w:color="auto" w:fill="FFFFFF"/>
            <w:vAlign w:val="center"/>
          </w:tcPr>
          <w:p w14:paraId="668223C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-,534376532804574</w:t>
            </w:r>
          </w:p>
        </w:tc>
      </w:tr>
      <w:tr w:rsidR="00017BAA" w:rsidRPr="00017BAA" w14:paraId="5AF2D37F" w14:textId="77777777" w:rsidTr="00017BAA">
        <w:trPr>
          <w:cantSplit/>
        </w:trPr>
        <w:tc>
          <w:tcPr>
            <w:tcW w:w="709" w:type="dxa"/>
            <w:vMerge/>
            <w:tcBorders>
              <w:top w:val="nil"/>
              <w:left w:val="single" w:sz="16" w:space="0" w:color="000000"/>
              <w:right w:val="nil"/>
            </w:tcBorders>
            <w:shd w:val="clear" w:color="auto" w:fill="FFFFFF"/>
          </w:tcPr>
          <w:p w14:paraId="7D3E5416"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5B2CD9A2"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1843" w:type="dxa"/>
            <w:tcBorders>
              <w:top w:val="nil"/>
              <w:left w:val="single" w:sz="16" w:space="0" w:color="000000"/>
              <w:bottom w:val="nil"/>
            </w:tcBorders>
            <w:shd w:val="clear" w:color="auto" w:fill="FFFFFF"/>
            <w:vAlign w:val="center"/>
          </w:tcPr>
          <w:p w14:paraId="62A60F9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-1,668619382127932</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7B1EC3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,365921700018318</w:t>
            </w:r>
          </w:p>
        </w:tc>
        <w:tc>
          <w:tcPr>
            <w:tcW w:w="709" w:type="dxa"/>
            <w:tcBorders>
              <w:top w:val="nil"/>
              <w:bottom w:val="nil"/>
            </w:tcBorders>
            <w:shd w:val="clear" w:color="auto" w:fill="FFFFFF"/>
            <w:vAlign w:val="center"/>
          </w:tcPr>
          <w:p w14:paraId="1FC0400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2D64B63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-2,385917223209619</w:t>
            </w:r>
          </w:p>
        </w:tc>
        <w:tc>
          <w:tcPr>
            <w:tcW w:w="1699" w:type="dxa"/>
            <w:tcBorders>
              <w:top w:val="nil"/>
              <w:bottom w:val="nil"/>
              <w:right w:val="single" w:sz="16" w:space="0" w:color="000000"/>
            </w:tcBorders>
            <w:shd w:val="clear" w:color="auto" w:fill="FFFFFF"/>
            <w:vAlign w:val="center"/>
          </w:tcPr>
          <w:p w14:paraId="0BAF30E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-,951321541046244</w:t>
            </w:r>
          </w:p>
        </w:tc>
      </w:tr>
      <w:tr w:rsidR="00017BAA" w:rsidRPr="00017BAA" w14:paraId="1B7B94D7" w14:textId="77777777" w:rsidTr="00017BAA">
        <w:trPr>
          <w:cantSplit/>
        </w:trPr>
        <w:tc>
          <w:tcPr>
            <w:tcW w:w="709" w:type="dxa"/>
            <w:vMerge/>
            <w:tcBorders>
              <w:top w:val="nil"/>
              <w:left w:val="single" w:sz="16" w:space="0" w:color="000000"/>
              <w:right w:val="nil"/>
            </w:tcBorders>
            <w:shd w:val="clear" w:color="auto" w:fill="FFFFFF"/>
          </w:tcPr>
          <w:p w14:paraId="30A88BF9"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4D0EAB52"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1843" w:type="dxa"/>
            <w:tcBorders>
              <w:top w:val="nil"/>
              <w:left w:val="single" w:sz="16" w:space="0" w:color="000000"/>
              <w:bottom w:val="nil"/>
            </w:tcBorders>
            <w:shd w:val="clear" w:color="auto" w:fill="FFFFFF"/>
            <w:vAlign w:val="center"/>
          </w:tcPr>
          <w:p w14:paraId="46CF36C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-2,283706994154323</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675C09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,373269838849399</w:t>
            </w:r>
          </w:p>
        </w:tc>
        <w:tc>
          <w:tcPr>
            <w:tcW w:w="709" w:type="dxa"/>
            <w:tcBorders>
              <w:top w:val="nil"/>
              <w:bottom w:val="nil"/>
            </w:tcBorders>
            <w:shd w:val="clear" w:color="auto" w:fill="FFFFFF"/>
            <w:vAlign w:val="center"/>
          </w:tcPr>
          <w:p w14:paraId="3E6A5F8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11E0D0B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-3,015409020938139</w:t>
            </w:r>
          </w:p>
        </w:tc>
        <w:tc>
          <w:tcPr>
            <w:tcW w:w="1699" w:type="dxa"/>
            <w:tcBorders>
              <w:top w:val="nil"/>
              <w:bottom w:val="nil"/>
              <w:right w:val="single" w:sz="16" w:space="0" w:color="000000"/>
            </w:tcBorders>
            <w:shd w:val="clear" w:color="auto" w:fill="FFFFFF"/>
            <w:vAlign w:val="center"/>
          </w:tcPr>
          <w:p w14:paraId="78B38ED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-1,552004967370506</w:t>
            </w:r>
          </w:p>
        </w:tc>
      </w:tr>
      <w:tr w:rsidR="00017BAA" w:rsidRPr="00017BAA" w14:paraId="10879323" w14:textId="77777777" w:rsidTr="00017BAA">
        <w:trPr>
          <w:cantSplit/>
        </w:trPr>
        <w:tc>
          <w:tcPr>
            <w:tcW w:w="709" w:type="dxa"/>
            <w:vMerge/>
            <w:tcBorders>
              <w:top w:val="nil"/>
              <w:left w:val="single" w:sz="16" w:space="0" w:color="000000"/>
              <w:right w:val="nil"/>
            </w:tcBorders>
            <w:shd w:val="clear" w:color="auto" w:fill="FFFFFF"/>
          </w:tcPr>
          <w:p w14:paraId="6F09C19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right w:val="single" w:sz="16" w:space="0" w:color="000000"/>
            </w:tcBorders>
            <w:shd w:val="clear" w:color="auto" w:fill="FFFFFF"/>
          </w:tcPr>
          <w:p w14:paraId="645399C3"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1843" w:type="dxa"/>
            <w:tcBorders>
              <w:top w:val="nil"/>
              <w:left w:val="single" w:sz="16" w:space="0" w:color="000000"/>
            </w:tcBorders>
            <w:shd w:val="clear" w:color="auto" w:fill="FFFFFF"/>
            <w:vAlign w:val="center"/>
          </w:tcPr>
          <w:p w14:paraId="763EAFC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-1,249232197937646</w:t>
            </w:r>
            <w:r w:rsidRPr="00017BAA">
              <w:rPr>
                <w:rFonts w:eastAsiaTheme="minorEastAsia" w:cs="Arial"/>
                <w:color w:val="000000"/>
                <w:sz w:val="16"/>
                <w:szCs w:val="16"/>
                <w:vertAlign w:val="superscript"/>
                <w:lang w:val="en-GB" w:eastAsia="en-GB"/>
              </w:rPr>
              <w:t>*</w:t>
            </w:r>
          </w:p>
        </w:tc>
        <w:tc>
          <w:tcPr>
            <w:tcW w:w="1701" w:type="dxa"/>
            <w:tcBorders>
              <w:top w:val="nil"/>
            </w:tcBorders>
            <w:shd w:val="clear" w:color="auto" w:fill="FFFFFF"/>
            <w:vAlign w:val="center"/>
          </w:tcPr>
          <w:p w14:paraId="5DEA01E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,322845627798193</w:t>
            </w:r>
          </w:p>
        </w:tc>
        <w:tc>
          <w:tcPr>
            <w:tcW w:w="709" w:type="dxa"/>
            <w:tcBorders>
              <w:top w:val="nil"/>
            </w:tcBorders>
            <w:shd w:val="clear" w:color="auto" w:fill="FFFFFF"/>
            <w:vAlign w:val="center"/>
          </w:tcPr>
          <w:p w14:paraId="755856D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tcBorders>
            <w:shd w:val="clear" w:color="auto" w:fill="FFFFFF"/>
            <w:vAlign w:val="center"/>
          </w:tcPr>
          <w:p w14:paraId="590807A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-1,882090188624487</w:t>
            </w:r>
          </w:p>
        </w:tc>
        <w:tc>
          <w:tcPr>
            <w:tcW w:w="1699" w:type="dxa"/>
            <w:tcBorders>
              <w:top w:val="nil"/>
              <w:right w:val="single" w:sz="16" w:space="0" w:color="000000"/>
            </w:tcBorders>
            <w:shd w:val="clear" w:color="auto" w:fill="FFFFFF"/>
            <w:vAlign w:val="center"/>
          </w:tcPr>
          <w:p w14:paraId="2419E58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-,616374207250805</w:t>
            </w:r>
          </w:p>
        </w:tc>
      </w:tr>
      <w:tr w:rsidR="00017BAA" w:rsidRPr="00017BAA" w14:paraId="3DC7E11E" w14:textId="77777777" w:rsidTr="00017BAA">
        <w:trPr>
          <w:cantSplit/>
        </w:trPr>
        <w:tc>
          <w:tcPr>
            <w:tcW w:w="709" w:type="dxa"/>
            <w:vMerge w:val="restart"/>
            <w:tcBorders>
              <w:top w:val="nil"/>
              <w:left w:val="single" w:sz="16" w:space="0" w:color="000000"/>
              <w:right w:val="nil"/>
            </w:tcBorders>
            <w:shd w:val="clear" w:color="auto" w:fill="FFFFFF"/>
          </w:tcPr>
          <w:p w14:paraId="3C245B70"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567" w:type="dxa"/>
            <w:tcBorders>
              <w:top w:val="nil"/>
              <w:left w:val="nil"/>
              <w:bottom w:val="nil"/>
              <w:right w:val="single" w:sz="16" w:space="0" w:color="000000"/>
            </w:tcBorders>
            <w:shd w:val="clear" w:color="auto" w:fill="FFFFFF"/>
          </w:tcPr>
          <w:p w14:paraId="59D4BA9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1843" w:type="dxa"/>
            <w:tcBorders>
              <w:top w:val="nil"/>
              <w:left w:val="single" w:sz="16" w:space="0" w:color="000000"/>
              <w:bottom w:val="nil"/>
            </w:tcBorders>
            <w:shd w:val="clear" w:color="auto" w:fill="FFFFFF"/>
            <w:vAlign w:val="center"/>
          </w:tcPr>
          <w:p w14:paraId="51072A1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1,599962997492201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AE5A7A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,355363861271693</w:t>
            </w:r>
          </w:p>
        </w:tc>
        <w:tc>
          <w:tcPr>
            <w:tcW w:w="709" w:type="dxa"/>
            <w:tcBorders>
              <w:top w:val="nil"/>
              <w:bottom w:val="nil"/>
            </w:tcBorders>
            <w:shd w:val="clear" w:color="auto" w:fill="FFFFFF"/>
            <w:vAlign w:val="center"/>
          </w:tcPr>
          <w:p w14:paraId="775D13C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48CC5A9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,903361154868828</w:t>
            </w:r>
          </w:p>
        </w:tc>
        <w:tc>
          <w:tcPr>
            <w:tcW w:w="1699" w:type="dxa"/>
            <w:tcBorders>
              <w:top w:val="nil"/>
              <w:bottom w:val="nil"/>
              <w:right w:val="single" w:sz="16" w:space="0" w:color="000000"/>
            </w:tcBorders>
            <w:shd w:val="clear" w:color="auto" w:fill="FFFFFF"/>
            <w:vAlign w:val="center"/>
          </w:tcPr>
          <w:p w14:paraId="62BB12A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2,296564840115575</w:t>
            </w:r>
          </w:p>
        </w:tc>
      </w:tr>
      <w:tr w:rsidR="00017BAA" w:rsidRPr="00017BAA" w14:paraId="7C964183" w14:textId="77777777" w:rsidTr="00017BAA">
        <w:trPr>
          <w:cantSplit/>
        </w:trPr>
        <w:tc>
          <w:tcPr>
            <w:tcW w:w="709" w:type="dxa"/>
            <w:vMerge/>
            <w:tcBorders>
              <w:top w:val="nil"/>
              <w:left w:val="single" w:sz="16" w:space="0" w:color="000000"/>
              <w:right w:val="nil"/>
            </w:tcBorders>
            <w:shd w:val="clear" w:color="auto" w:fill="FFFFFF"/>
          </w:tcPr>
          <w:p w14:paraId="3814222D"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76FEFDC"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1843" w:type="dxa"/>
            <w:tcBorders>
              <w:top w:val="nil"/>
              <w:left w:val="single" w:sz="16" w:space="0" w:color="000000"/>
              <w:bottom w:val="nil"/>
            </w:tcBorders>
            <w:shd w:val="clear" w:color="auto" w:fill="FFFFFF"/>
            <w:vAlign w:val="center"/>
          </w:tcPr>
          <w:p w14:paraId="1C51D11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,787675031393996</w:t>
            </w:r>
          </w:p>
        </w:tc>
        <w:tc>
          <w:tcPr>
            <w:tcW w:w="1701" w:type="dxa"/>
            <w:tcBorders>
              <w:top w:val="nil"/>
              <w:bottom w:val="nil"/>
            </w:tcBorders>
            <w:shd w:val="clear" w:color="auto" w:fill="FFFFFF"/>
            <w:vAlign w:val="center"/>
          </w:tcPr>
          <w:p w14:paraId="09D0520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,443362856528362</w:t>
            </w:r>
          </w:p>
        </w:tc>
        <w:tc>
          <w:tcPr>
            <w:tcW w:w="709" w:type="dxa"/>
            <w:tcBorders>
              <w:top w:val="nil"/>
              <w:bottom w:val="nil"/>
            </w:tcBorders>
            <w:shd w:val="clear" w:color="auto" w:fill="FFFFFF"/>
            <w:vAlign w:val="center"/>
          </w:tcPr>
          <w:p w14:paraId="17E7A02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,076</w:t>
            </w:r>
          </w:p>
        </w:tc>
        <w:tc>
          <w:tcPr>
            <w:tcW w:w="1701" w:type="dxa"/>
            <w:tcBorders>
              <w:top w:val="nil"/>
              <w:bottom w:val="nil"/>
            </w:tcBorders>
            <w:shd w:val="clear" w:color="auto" w:fill="FFFFFF"/>
            <w:vAlign w:val="center"/>
          </w:tcPr>
          <w:p w14:paraId="2BF6AD5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-,081426800466983</w:t>
            </w:r>
          </w:p>
        </w:tc>
        <w:tc>
          <w:tcPr>
            <w:tcW w:w="1699" w:type="dxa"/>
            <w:tcBorders>
              <w:top w:val="nil"/>
              <w:bottom w:val="nil"/>
              <w:right w:val="single" w:sz="16" w:space="0" w:color="000000"/>
            </w:tcBorders>
            <w:shd w:val="clear" w:color="auto" w:fill="FFFFFF"/>
            <w:vAlign w:val="center"/>
          </w:tcPr>
          <w:p w14:paraId="3164A18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1,656776863254975</w:t>
            </w:r>
          </w:p>
        </w:tc>
      </w:tr>
      <w:tr w:rsidR="00017BAA" w:rsidRPr="00017BAA" w14:paraId="1985C9FB" w14:textId="77777777" w:rsidTr="00017BAA">
        <w:trPr>
          <w:cantSplit/>
        </w:trPr>
        <w:tc>
          <w:tcPr>
            <w:tcW w:w="709" w:type="dxa"/>
            <w:vMerge/>
            <w:tcBorders>
              <w:top w:val="nil"/>
              <w:left w:val="single" w:sz="16" w:space="0" w:color="000000"/>
              <w:right w:val="nil"/>
            </w:tcBorders>
            <w:shd w:val="clear" w:color="auto" w:fill="FFFFFF"/>
          </w:tcPr>
          <w:p w14:paraId="2B5C2DA3"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A4F8130"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1843" w:type="dxa"/>
            <w:tcBorders>
              <w:top w:val="nil"/>
              <w:left w:val="single" w:sz="16" w:space="0" w:color="000000"/>
              <w:bottom w:val="nil"/>
            </w:tcBorders>
            <w:shd w:val="clear" w:color="auto" w:fill="FFFFFF"/>
            <w:vAlign w:val="center"/>
          </w:tcPr>
          <w:p w14:paraId="271BC00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,604193416624609</w:t>
            </w:r>
          </w:p>
        </w:tc>
        <w:tc>
          <w:tcPr>
            <w:tcW w:w="1701" w:type="dxa"/>
            <w:tcBorders>
              <w:top w:val="nil"/>
              <w:bottom w:val="nil"/>
            </w:tcBorders>
            <w:shd w:val="clear" w:color="auto" w:fill="FFFFFF"/>
            <w:vAlign w:val="center"/>
          </w:tcPr>
          <w:p w14:paraId="6EA322E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,409049794143349</w:t>
            </w:r>
          </w:p>
        </w:tc>
        <w:tc>
          <w:tcPr>
            <w:tcW w:w="709" w:type="dxa"/>
            <w:tcBorders>
              <w:top w:val="nil"/>
              <w:bottom w:val="nil"/>
            </w:tcBorders>
            <w:shd w:val="clear" w:color="auto" w:fill="FFFFFF"/>
            <w:vAlign w:val="center"/>
          </w:tcPr>
          <w:p w14:paraId="037F385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,140</w:t>
            </w:r>
          </w:p>
        </w:tc>
        <w:tc>
          <w:tcPr>
            <w:tcW w:w="1701" w:type="dxa"/>
            <w:tcBorders>
              <w:top w:val="nil"/>
              <w:bottom w:val="nil"/>
            </w:tcBorders>
            <w:shd w:val="clear" w:color="auto" w:fill="FFFFFF"/>
            <w:vAlign w:val="center"/>
          </w:tcPr>
          <w:p w14:paraId="42A1001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-,197646250766651</w:t>
            </w:r>
          </w:p>
        </w:tc>
        <w:tc>
          <w:tcPr>
            <w:tcW w:w="1699" w:type="dxa"/>
            <w:tcBorders>
              <w:top w:val="nil"/>
              <w:bottom w:val="nil"/>
              <w:right w:val="single" w:sz="16" w:space="0" w:color="000000"/>
            </w:tcBorders>
            <w:shd w:val="clear" w:color="auto" w:fill="FFFFFF"/>
            <w:vAlign w:val="center"/>
          </w:tcPr>
          <w:p w14:paraId="358DBC8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1,406033084015869</w:t>
            </w:r>
          </w:p>
        </w:tc>
      </w:tr>
      <w:tr w:rsidR="00017BAA" w:rsidRPr="00017BAA" w14:paraId="3F0685E1" w14:textId="77777777" w:rsidTr="00017BAA">
        <w:trPr>
          <w:cantSplit/>
        </w:trPr>
        <w:tc>
          <w:tcPr>
            <w:tcW w:w="709" w:type="dxa"/>
            <w:vMerge/>
            <w:tcBorders>
              <w:top w:val="nil"/>
              <w:left w:val="single" w:sz="16" w:space="0" w:color="000000"/>
              <w:right w:val="nil"/>
            </w:tcBorders>
            <w:shd w:val="clear" w:color="auto" w:fill="FFFFFF"/>
          </w:tcPr>
          <w:p w14:paraId="3CA2543C"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3A866886"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1843" w:type="dxa"/>
            <w:tcBorders>
              <w:top w:val="nil"/>
              <w:left w:val="single" w:sz="16" w:space="0" w:color="000000"/>
              <w:bottom w:val="nil"/>
            </w:tcBorders>
            <w:shd w:val="clear" w:color="auto" w:fill="FFFFFF"/>
            <w:vAlign w:val="center"/>
          </w:tcPr>
          <w:p w14:paraId="5164B7A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,039557314231682</w:t>
            </w:r>
          </w:p>
        </w:tc>
        <w:tc>
          <w:tcPr>
            <w:tcW w:w="1701" w:type="dxa"/>
            <w:tcBorders>
              <w:top w:val="nil"/>
              <w:bottom w:val="nil"/>
            </w:tcBorders>
            <w:shd w:val="clear" w:color="auto" w:fill="FFFFFF"/>
            <w:vAlign w:val="center"/>
          </w:tcPr>
          <w:p w14:paraId="1FE5FC0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,373710082844321</w:t>
            </w:r>
          </w:p>
        </w:tc>
        <w:tc>
          <w:tcPr>
            <w:tcW w:w="709" w:type="dxa"/>
            <w:tcBorders>
              <w:top w:val="nil"/>
              <w:bottom w:val="nil"/>
            </w:tcBorders>
            <w:shd w:val="clear" w:color="auto" w:fill="FFFFFF"/>
            <w:vAlign w:val="center"/>
          </w:tcPr>
          <w:p w14:paraId="550340A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,916</w:t>
            </w:r>
          </w:p>
        </w:tc>
        <w:tc>
          <w:tcPr>
            <w:tcW w:w="1701" w:type="dxa"/>
            <w:tcBorders>
              <w:top w:val="nil"/>
              <w:bottom w:val="nil"/>
            </w:tcBorders>
            <w:shd w:val="clear" w:color="auto" w:fill="FFFFFF"/>
            <w:vAlign w:val="center"/>
          </w:tcPr>
          <w:p w14:paraId="78D4673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-,693007700636991</w:t>
            </w:r>
          </w:p>
        </w:tc>
        <w:tc>
          <w:tcPr>
            <w:tcW w:w="1699" w:type="dxa"/>
            <w:tcBorders>
              <w:top w:val="nil"/>
              <w:bottom w:val="nil"/>
              <w:right w:val="single" w:sz="16" w:space="0" w:color="000000"/>
            </w:tcBorders>
            <w:shd w:val="clear" w:color="auto" w:fill="FFFFFF"/>
            <w:vAlign w:val="center"/>
          </w:tcPr>
          <w:p w14:paraId="078972D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,772122329100355</w:t>
            </w:r>
          </w:p>
        </w:tc>
      </w:tr>
      <w:tr w:rsidR="00017BAA" w:rsidRPr="00017BAA" w14:paraId="0EC921D4" w14:textId="77777777" w:rsidTr="00017BAA">
        <w:trPr>
          <w:cantSplit/>
        </w:trPr>
        <w:tc>
          <w:tcPr>
            <w:tcW w:w="709" w:type="dxa"/>
            <w:vMerge/>
            <w:tcBorders>
              <w:top w:val="nil"/>
              <w:left w:val="single" w:sz="16" w:space="0" w:color="000000"/>
              <w:right w:val="nil"/>
            </w:tcBorders>
            <w:shd w:val="clear" w:color="auto" w:fill="FFFFFF"/>
          </w:tcPr>
          <w:p w14:paraId="784AED4A"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D7E26F1"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1843" w:type="dxa"/>
            <w:tcBorders>
              <w:top w:val="nil"/>
              <w:left w:val="single" w:sz="16" w:space="0" w:color="000000"/>
              <w:bottom w:val="nil"/>
            </w:tcBorders>
            <w:shd w:val="clear" w:color="auto" w:fill="FFFFFF"/>
            <w:vAlign w:val="center"/>
          </w:tcPr>
          <w:p w14:paraId="1BA8DD8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-,864444742317380</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3846F56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,366329280187745</w:t>
            </w:r>
          </w:p>
        </w:tc>
        <w:tc>
          <w:tcPr>
            <w:tcW w:w="709" w:type="dxa"/>
            <w:tcBorders>
              <w:top w:val="nil"/>
              <w:bottom w:val="nil"/>
            </w:tcBorders>
            <w:shd w:val="clear" w:color="auto" w:fill="FFFFFF"/>
            <w:vAlign w:val="center"/>
          </w:tcPr>
          <w:p w14:paraId="15426D0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,018</w:t>
            </w:r>
          </w:p>
        </w:tc>
        <w:tc>
          <w:tcPr>
            <w:tcW w:w="1701" w:type="dxa"/>
            <w:tcBorders>
              <w:top w:val="nil"/>
              <w:bottom w:val="nil"/>
            </w:tcBorders>
            <w:shd w:val="clear" w:color="auto" w:fill="FFFFFF"/>
            <w:vAlign w:val="center"/>
          </w:tcPr>
          <w:p w14:paraId="305E81B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-1,582541542235296</w:t>
            </w:r>
          </w:p>
        </w:tc>
        <w:tc>
          <w:tcPr>
            <w:tcW w:w="1699" w:type="dxa"/>
            <w:tcBorders>
              <w:top w:val="nil"/>
              <w:bottom w:val="nil"/>
              <w:right w:val="single" w:sz="16" w:space="0" w:color="000000"/>
            </w:tcBorders>
            <w:shd w:val="clear" w:color="auto" w:fill="FFFFFF"/>
            <w:vAlign w:val="center"/>
          </w:tcPr>
          <w:p w14:paraId="34A3E65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-,146347942399464</w:t>
            </w:r>
          </w:p>
        </w:tc>
      </w:tr>
      <w:tr w:rsidR="00017BAA" w:rsidRPr="00017BAA" w14:paraId="1EAD5D36" w14:textId="77777777" w:rsidTr="00017BAA">
        <w:trPr>
          <w:cantSplit/>
        </w:trPr>
        <w:tc>
          <w:tcPr>
            <w:tcW w:w="709" w:type="dxa"/>
            <w:vMerge/>
            <w:tcBorders>
              <w:top w:val="nil"/>
              <w:left w:val="single" w:sz="16" w:space="0" w:color="000000"/>
              <w:right w:val="nil"/>
            </w:tcBorders>
            <w:shd w:val="clear" w:color="auto" w:fill="FFFFFF"/>
          </w:tcPr>
          <w:p w14:paraId="552383A7"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4E7E7C01"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1843" w:type="dxa"/>
            <w:tcBorders>
              <w:top w:val="nil"/>
              <w:left w:val="single" w:sz="16" w:space="0" w:color="000000"/>
              <w:bottom w:val="nil"/>
            </w:tcBorders>
            <w:shd w:val="clear" w:color="auto" w:fill="FFFFFF"/>
            <w:vAlign w:val="center"/>
          </w:tcPr>
          <w:p w14:paraId="6568002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-,662052577790649</w:t>
            </w:r>
          </w:p>
        </w:tc>
        <w:tc>
          <w:tcPr>
            <w:tcW w:w="1701" w:type="dxa"/>
            <w:tcBorders>
              <w:top w:val="nil"/>
              <w:bottom w:val="nil"/>
            </w:tcBorders>
            <w:shd w:val="clear" w:color="auto" w:fill="FFFFFF"/>
            <w:vAlign w:val="center"/>
          </w:tcPr>
          <w:p w14:paraId="61DA2D6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,354080176309073</w:t>
            </w:r>
          </w:p>
        </w:tc>
        <w:tc>
          <w:tcPr>
            <w:tcW w:w="709" w:type="dxa"/>
            <w:tcBorders>
              <w:top w:val="nil"/>
              <w:bottom w:val="nil"/>
            </w:tcBorders>
            <w:shd w:val="clear" w:color="auto" w:fill="FFFFFF"/>
            <w:vAlign w:val="center"/>
          </w:tcPr>
          <w:p w14:paraId="0A0BED4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,062</w:t>
            </w:r>
          </w:p>
        </w:tc>
        <w:tc>
          <w:tcPr>
            <w:tcW w:w="1701" w:type="dxa"/>
            <w:tcBorders>
              <w:top w:val="nil"/>
              <w:bottom w:val="nil"/>
            </w:tcBorders>
            <w:shd w:val="clear" w:color="auto" w:fill="FFFFFF"/>
            <w:vAlign w:val="center"/>
          </w:tcPr>
          <w:p w14:paraId="069BA7F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-1,356138077567258</w:t>
            </w:r>
          </w:p>
        </w:tc>
        <w:tc>
          <w:tcPr>
            <w:tcW w:w="1699" w:type="dxa"/>
            <w:tcBorders>
              <w:top w:val="nil"/>
              <w:bottom w:val="nil"/>
              <w:right w:val="single" w:sz="16" w:space="0" w:color="000000"/>
            </w:tcBorders>
            <w:shd w:val="clear" w:color="auto" w:fill="FFFFFF"/>
            <w:vAlign w:val="center"/>
          </w:tcPr>
          <w:p w14:paraId="1C87BEB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,032032921985960</w:t>
            </w:r>
          </w:p>
        </w:tc>
      </w:tr>
      <w:tr w:rsidR="00017BAA" w:rsidRPr="00017BAA" w14:paraId="6A8D9986" w14:textId="77777777" w:rsidTr="00017BAA">
        <w:trPr>
          <w:cantSplit/>
        </w:trPr>
        <w:tc>
          <w:tcPr>
            <w:tcW w:w="709" w:type="dxa"/>
            <w:vMerge/>
            <w:tcBorders>
              <w:top w:val="nil"/>
              <w:left w:val="single" w:sz="16" w:space="0" w:color="000000"/>
              <w:right w:val="nil"/>
            </w:tcBorders>
            <w:shd w:val="clear" w:color="auto" w:fill="FFFFFF"/>
          </w:tcPr>
          <w:p w14:paraId="7BDDA074"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061790E"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1843" w:type="dxa"/>
            <w:tcBorders>
              <w:top w:val="nil"/>
              <w:left w:val="single" w:sz="16" w:space="0" w:color="000000"/>
              <w:bottom w:val="nil"/>
            </w:tcBorders>
            <w:shd w:val="clear" w:color="auto" w:fill="FFFFFF"/>
            <w:vAlign w:val="center"/>
          </w:tcPr>
          <w:p w14:paraId="366DCBC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-1,064425965503323</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2D2E716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,346233037388577</w:t>
            </w:r>
          </w:p>
        </w:tc>
        <w:tc>
          <w:tcPr>
            <w:tcW w:w="709" w:type="dxa"/>
            <w:tcBorders>
              <w:top w:val="nil"/>
              <w:bottom w:val="nil"/>
            </w:tcBorders>
            <w:shd w:val="clear" w:color="auto" w:fill="FFFFFF"/>
            <w:vAlign w:val="center"/>
          </w:tcPr>
          <w:p w14:paraId="69C1267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,002</w:t>
            </w:r>
          </w:p>
        </w:tc>
        <w:tc>
          <w:tcPr>
            <w:tcW w:w="1701" w:type="dxa"/>
            <w:tcBorders>
              <w:top w:val="nil"/>
              <w:bottom w:val="nil"/>
            </w:tcBorders>
            <w:shd w:val="clear" w:color="auto" w:fill="FFFFFF"/>
            <w:vAlign w:val="center"/>
          </w:tcPr>
          <w:p w14:paraId="31ED062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-1,743129114886234</w:t>
            </w:r>
          </w:p>
        </w:tc>
        <w:tc>
          <w:tcPr>
            <w:tcW w:w="1699" w:type="dxa"/>
            <w:tcBorders>
              <w:top w:val="nil"/>
              <w:bottom w:val="nil"/>
              <w:right w:val="single" w:sz="16" w:space="0" w:color="000000"/>
            </w:tcBorders>
            <w:shd w:val="clear" w:color="auto" w:fill="FFFFFF"/>
            <w:vAlign w:val="center"/>
          </w:tcPr>
          <w:p w14:paraId="6D121A7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-,385722816120411</w:t>
            </w:r>
          </w:p>
        </w:tc>
      </w:tr>
      <w:tr w:rsidR="00017BAA" w:rsidRPr="00017BAA" w14:paraId="78424251" w14:textId="77777777" w:rsidTr="00017BAA">
        <w:trPr>
          <w:cantSplit/>
        </w:trPr>
        <w:tc>
          <w:tcPr>
            <w:tcW w:w="709" w:type="dxa"/>
            <w:vMerge/>
            <w:tcBorders>
              <w:top w:val="nil"/>
              <w:left w:val="single" w:sz="16" w:space="0" w:color="000000"/>
              <w:right w:val="nil"/>
            </w:tcBorders>
            <w:shd w:val="clear" w:color="auto" w:fill="FFFFFF"/>
          </w:tcPr>
          <w:p w14:paraId="55478B4F"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34B8498A"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1843" w:type="dxa"/>
            <w:tcBorders>
              <w:top w:val="nil"/>
              <w:left w:val="single" w:sz="16" w:space="0" w:color="000000"/>
              <w:bottom w:val="nil"/>
            </w:tcBorders>
            <w:shd w:val="clear" w:color="auto" w:fill="FFFFFF"/>
            <w:vAlign w:val="center"/>
          </w:tcPr>
          <w:p w14:paraId="1CEA05E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-1,679513577529714</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58F24A4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,353990110355756</w:t>
            </w:r>
          </w:p>
        </w:tc>
        <w:tc>
          <w:tcPr>
            <w:tcW w:w="709" w:type="dxa"/>
            <w:tcBorders>
              <w:top w:val="nil"/>
              <w:bottom w:val="nil"/>
            </w:tcBorders>
            <w:shd w:val="clear" w:color="auto" w:fill="FFFFFF"/>
            <w:vAlign w:val="center"/>
          </w:tcPr>
          <w:p w14:paraId="6218AFA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6817916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-2,373422525563516</w:t>
            </w:r>
          </w:p>
        </w:tc>
        <w:tc>
          <w:tcPr>
            <w:tcW w:w="1699" w:type="dxa"/>
            <w:tcBorders>
              <w:top w:val="nil"/>
              <w:bottom w:val="nil"/>
              <w:right w:val="single" w:sz="16" w:space="0" w:color="000000"/>
            </w:tcBorders>
            <w:shd w:val="clear" w:color="auto" w:fill="FFFFFF"/>
            <w:vAlign w:val="center"/>
          </w:tcPr>
          <w:p w14:paraId="6B32004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-,985604629495912</w:t>
            </w:r>
          </w:p>
        </w:tc>
      </w:tr>
      <w:tr w:rsidR="00017BAA" w:rsidRPr="00017BAA" w14:paraId="68328AC2" w14:textId="77777777" w:rsidTr="00017BAA">
        <w:trPr>
          <w:cantSplit/>
        </w:trPr>
        <w:tc>
          <w:tcPr>
            <w:tcW w:w="709" w:type="dxa"/>
            <w:vMerge/>
            <w:tcBorders>
              <w:top w:val="nil"/>
              <w:left w:val="single" w:sz="16" w:space="0" w:color="000000"/>
              <w:right w:val="nil"/>
            </w:tcBorders>
            <w:shd w:val="clear" w:color="auto" w:fill="FFFFFF"/>
          </w:tcPr>
          <w:p w14:paraId="20F70E0C"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right w:val="single" w:sz="16" w:space="0" w:color="000000"/>
            </w:tcBorders>
            <w:shd w:val="clear" w:color="auto" w:fill="FFFFFF"/>
          </w:tcPr>
          <w:p w14:paraId="40E29623"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1843" w:type="dxa"/>
            <w:tcBorders>
              <w:top w:val="nil"/>
              <w:left w:val="single" w:sz="16" w:space="0" w:color="000000"/>
            </w:tcBorders>
            <w:shd w:val="clear" w:color="auto" w:fill="FFFFFF"/>
            <w:vAlign w:val="center"/>
          </w:tcPr>
          <w:p w14:paraId="4FA683E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-,645038781313037</w:t>
            </w:r>
            <w:r w:rsidRPr="00017BAA">
              <w:rPr>
                <w:rFonts w:eastAsiaTheme="minorEastAsia" w:cs="Arial"/>
                <w:color w:val="000000"/>
                <w:sz w:val="16"/>
                <w:szCs w:val="16"/>
                <w:vertAlign w:val="superscript"/>
                <w:lang w:val="en-GB" w:eastAsia="en-GB"/>
              </w:rPr>
              <w:t>*</w:t>
            </w:r>
          </w:p>
        </w:tc>
        <w:tc>
          <w:tcPr>
            <w:tcW w:w="1701" w:type="dxa"/>
            <w:tcBorders>
              <w:top w:val="nil"/>
            </w:tcBorders>
            <w:shd w:val="clear" w:color="auto" w:fill="FFFFFF"/>
            <w:vAlign w:val="center"/>
          </w:tcPr>
          <w:p w14:paraId="421ED77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,300346341784669</w:t>
            </w:r>
          </w:p>
        </w:tc>
        <w:tc>
          <w:tcPr>
            <w:tcW w:w="709" w:type="dxa"/>
            <w:tcBorders>
              <w:top w:val="nil"/>
            </w:tcBorders>
            <w:shd w:val="clear" w:color="auto" w:fill="FFFFFF"/>
            <w:vAlign w:val="center"/>
          </w:tcPr>
          <w:p w14:paraId="343C999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,032</w:t>
            </w:r>
          </w:p>
        </w:tc>
        <w:tc>
          <w:tcPr>
            <w:tcW w:w="1701" w:type="dxa"/>
            <w:tcBorders>
              <w:top w:val="nil"/>
            </w:tcBorders>
            <w:shd w:val="clear" w:color="auto" w:fill="FFFFFF"/>
            <w:vAlign w:val="center"/>
          </w:tcPr>
          <w:p w14:paraId="13DD19E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-1,233792557129396</w:t>
            </w:r>
          </w:p>
        </w:tc>
        <w:tc>
          <w:tcPr>
            <w:tcW w:w="1699" w:type="dxa"/>
            <w:tcBorders>
              <w:top w:val="nil"/>
              <w:right w:val="single" w:sz="16" w:space="0" w:color="000000"/>
            </w:tcBorders>
            <w:shd w:val="clear" w:color="auto" w:fill="FFFFFF"/>
            <w:vAlign w:val="center"/>
          </w:tcPr>
          <w:p w14:paraId="2436DFC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-,056285005496678</w:t>
            </w:r>
          </w:p>
        </w:tc>
      </w:tr>
      <w:tr w:rsidR="00017BAA" w:rsidRPr="00017BAA" w14:paraId="0A2ADCFF" w14:textId="77777777" w:rsidTr="00017BAA">
        <w:trPr>
          <w:cantSplit/>
        </w:trPr>
        <w:tc>
          <w:tcPr>
            <w:tcW w:w="709" w:type="dxa"/>
            <w:vMerge w:val="restart"/>
            <w:tcBorders>
              <w:top w:val="nil"/>
              <w:left w:val="single" w:sz="16" w:space="0" w:color="000000"/>
              <w:right w:val="nil"/>
            </w:tcBorders>
            <w:shd w:val="clear" w:color="auto" w:fill="FFFFFF"/>
          </w:tcPr>
          <w:p w14:paraId="760235A6"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567" w:type="dxa"/>
            <w:tcBorders>
              <w:top w:val="nil"/>
              <w:left w:val="nil"/>
              <w:bottom w:val="nil"/>
              <w:right w:val="single" w:sz="16" w:space="0" w:color="000000"/>
            </w:tcBorders>
            <w:shd w:val="clear" w:color="auto" w:fill="FFFFFF"/>
          </w:tcPr>
          <w:p w14:paraId="4DD12733"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1843" w:type="dxa"/>
            <w:tcBorders>
              <w:top w:val="nil"/>
              <w:left w:val="single" w:sz="16" w:space="0" w:color="000000"/>
              <w:bottom w:val="nil"/>
            </w:tcBorders>
            <w:shd w:val="clear" w:color="auto" w:fill="FFFFFF"/>
            <w:vAlign w:val="center"/>
          </w:tcPr>
          <w:p w14:paraId="6BD9C02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1,560405683260520</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BAD258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,335622317782498</w:t>
            </w:r>
          </w:p>
        </w:tc>
        <w:tc>
          <w:tcPr>
            <w:tcW w:w="709" w:type="dxa"/>
            <w:tcBorders>
              <w:top w:val="nil"/>
              <w:bottom w:val="nil"/>
            </w:tcBorders>
            <w:shd w:val="clear" w:color="auto" w:fill="FFFFFF"/>
            <w:vAlign w:val="center"/>
          </w:tcPr>
          <w:p w14:paraId="5C84AC9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68DDF7D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,902502192015900</w:t>
            </w:r>
          </w:p>
        </w:tc>
        <w:tc>
          <w:tcPr>
            <w:tcW w:w="1699" w:type="dxa"/>
            <w:tcBorders>
              <w:top w:val="nil"/>
              <w:bottom w:val="nil"/>
              <w:right w:val="single" w:sz="16" w:space="0" w:color="000000"/>
            </w:tcBorders>
            <w:shd w:val="clear" w:color="auto" w:fill="FFFFFF"/>
            <w:vAlign w:val="center"/>
          </w:tcPr>
          <w:p w14:paraId="2678FA6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2,218309174505139</w:t>
            </w:r>
          </w:p>
        </w:tc>
      </w:tr>
      <w:tr w:rsidR="00017BAA" w:rsidRPr="00017BAA" w14:paraId="02D110D5" w14:textId="77777777" w:rsidTr="00017BAA">
        <w:trPr>
          <w:cantSplit/>
        </w:trPr>
        <w:tc>
          <w:tcPr>
            <w:tcW w:w="709" w:type="dxa"/>
            <w:vMerge/>
            <w:tcBorders>
              <w:top w:val="nil"/>
              <w:left w:val="single" w:sz="16" w:space="0" w:color="000000"/>
              <w:right w:val="nil"/>
            </w:tcBorders>
            <w:shd w:val="clear" w:color="auto" w:fill="FFFFFF"/>
          </w:tcPr>
          <w:p w14:paraId="296CD01F"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4E78F28D"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1843" w:type="dxa"/>
            <w:tcBorders>
              <w:top w:val="nil"/>
              <w:left w:val="single" w:sz="16" w:space="0" w:color="000000"/>
              <w:bottom w:val="nil"/>
            </w:tcBorders>
            <w:shd w:val="clear" w:color="auto" w:fill="FFFFFF"/>
            <w:vAlign w:val="center"/>
          </w:tcPr>
          <w:p w14:paraId="10FDFB6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,748117717162314</w:t>
            </w:r>
          </w:p>
        </w:tc>
        <w:tc>
          <w:tcPr>
            <w:tcW w:w="1701" w:type="dxa"/>
            <w:tcBorders>
              <w:top w:val="nil"/>
              <w:bottom w:val="nil"/>
            </w:tcBorders>
            <w:shd w:val="clear" w:color="auto" w:fill="FFFFFF"/>
            <w:vAlign w:val="center"/>
          </w:tcPr>
          <w:p w14:paraId="7AA201F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,427702570537936</w:t>
            </w:r>
          </w:p>
        </w:tc>
        <w:tc>
          <w:tcPr>
            <w:tcW w:w="709" w:type="dxa"/>
            <w:tcBorders>
              <w:top w:val="nil"/>
              <w:bottom w:val="nil"/>
            </w:tcBorders>
            <w:shd w:val="clear" w:color="auto" w:fill="FFFFFF"/>
            <w:vAlign w:val="center"/>
          </w:tcPr>
          <w:p w14:paraId="343179D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,080</w:t>
            </w:r>
          </w:p>
        </w:tc>
        <w:tc>
          <w:tcPr>
            <w:tcW w:w="1701" w:type="dxa"/>
            <w:tcBorders>
              <w:top w:val="nil"/>
              <w:bottom w:val="nil"/>
            </w:tcBorders>
            <w:shd w:val="clear" w:color="auto" w:fill="FFFFFF"/>
            <w:vAlign w:val="center"/>
          </w:tcPr>
          <w:p w14:paraId="691C916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-,090286046420418</w:t>
            </w:r>
          </w:p>
        </w:tc>
        <w:tc>
          <w:tcPr>
            <w:tcW w:w="1699" w:type="dxa"/>
            <w:tcBorders>
              <w:top w:val="nil"/>
              <w:bottom w:val="nil"/>
              <w:right w:val="single" w:sz="16" w:space="0" w:color="000000"/>
            </w:tcBorders>
            <w:shd w:val="clear" w:color="auto" w:fill="FFFFFF"/>
            <w:vAlign w:val="center"/>
          </w:tcPr>
          <w:p w14:paraId="0803549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1,586521480745046</w:t>
            </w:r>
          </w:p>
        </w:tc>
      </w:tr>
      <w:tr w:rsidR="00017BAA" w:rsidRPr="00017BAA" w14:paraId="7EBC5976" w14:textId="77777777" w:rsidTr="00017BAA">
        <w:trPr>
          <w:cantSplit/>
        </w:trPr>
        <w:tc>
          <w:tcPr>
            <w:tcW w:w="709" w:type="dxa"/>
            <w:vMerge/>
            <w:tcBorders>
              <w:top w:val="nil"/>
              <w:left w:val="single" w:sz="16" w:space="0" w:color="000000"/>
              <w:right w:val="nil"/>
            </w:tcBorders>
            <w:shd w:val="clear" w:color="auto" w:fill="FFFFFF"/>
          </w:tcPr>
          <w:p w14:paraId="297F650A"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7540A2D"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1843" w:type="dxa"/>
            <w:tcBorders>
              <w:top w:val="nil"/>
              <w:left w:val="single" w:sz="16" w:space="0" w:color="000000"/>
              <w:bottom w:val="nil"/>
            </w:tcBorders>
            <w:shd w:val="clear" w:color="auto" w:fill="FFFFFF"/>
            <w:vAlign w:val="center"/>
          </w:tcPr>
          <w:p w14:paraId="0E172D2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,564636102392927</w:t>
            </w:r>
          </w:p>
        </w:tc>
        <w:tc>
          <w:tcPr>
            <w:tcW w:w="1701" w:type="dxa"/>
            <w:tcBorders>
              <w:top w:val="nil"/>
              <w:bottom w:val="nil"/>
            </w:tcBorders>
            <w:shd w:val="clear" w:color="auto" w:fill="FFFFFF"/>
            <w:vAlign w:val="center"/>
          </w:tcPr>
          <w:p w14:paraId="2A2BEB9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,392021173387975</w:t>
            </w:r>
          </w:p>
        </w:tc>
        <w:tc>
          <w:tcPr>
            <w:tcW w:w="709" w:type="dxa"/>
            <w:tcBorders>
              <w:top w:val="nil"/>
              <w:bottom w:val="nil"/>
            </w:tcBorders>
            <w:shd w:val="clear" w:color="auto" w:fill="FFFFFF"/>
            <w:vAlign w:val="center"/>
          </w:tcPr>
          <w:p w14:paraId="71FAB39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,150</w:t>
            </w:r>
          </w:p>
        </w:tc>
        <w:tc>
          <w:tcPr>
            <w:tcW w:w="1701" w:type="dxa"/>
            <w:tcBorders>
              <w:top w:val="nil"/>
              <w:bottom w:val="nil"/>
            </w:tcBorders>
            <w:shd w:val="clear" w:color="auto" w:fill="FFFFFF"/>
            <w:vAlign w:val="center"/>
          </w:tcPr>
          <w:p w14:paraId="39C85B4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-,203823219137957</w:t>
            </w:r>
          </w:p>
        </w:tc>
        <w:tc>
          <w:tcPr>
            <w:tcW w:w="1699" w:type="dxa"/>
            <w:tcBorders>
              <w:top w:val="nil"/>
              <w:bottom w:val="nil"/>
              <w:right w:val="single" w:sz="16" w:space="0" w:color="000000"/>
            </w:tcBorders>
            <w:shd w:val="clear" w:color="auto" w:fill="FFFFFF"/>
            <w:vAlign w:val="center"/>
          </w:tcPr>
          <w:p w14:paraId="5661BDD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1,333095423923811</w:t>
            </w:r>
          </w:p>
        </w:tc>
      </w:tr>
      <w:tr w:rsidR="00017BAA" w:rsidRPr="00017BAA" w14:paraId="5ADFC000" w14:textId="77777777" w:rsidTr="00017BAA">
        <w:trPr>
          <w:cantSplit/>
        </w:trPr>
        <w:tc>
          <w:tcPr>
            <w:tcW w:w="709" w:type="dxa"/>
            <w:vMerge/>
            <w:tcBorders>
              <w:top w:val="nil"/>
              <w:left w:val="single" w:sz="16" w:space="0" w:color="000000"/>
              <w:right w:val="nil"/>
            </w:tcBorders>
            <w:shd w:val="clear" w:color="auto" w:fill="FFFFFF"/>
          </w:tcPr>
          <w:p w14:paraId="1AC0EFD7"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6BDDB33"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1843" w:type="dxa"/>
            <w:tcBorders>
              <w:top w:val="nil"/>
              <w:left w:val="single" w:sz="16" w:space="0" w:color="000000"/>
              <w:bottom w:val="nil"/>
            </w:tcBorders>
            <w:shd w:val="clear" w:color="auto" w:fill="FFFFFF"/>
            <w:vAlign w:val="center"/>
          </w:tcPr>
          <w:p w14:paraId="6C8F3A6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-,039557314231682</w:t>
            </w:r>
          </w:p>
        </w:tc>
        <w:tc>
          <w:tcPr>
            <w:tcW w:w="1701" w:type="dxa"/>
            <w:tcBorders>
              <w:top w:val="nil"/>
              <w:bottom w:val="nil"/>
            </w:tcBorders>
            <w:shd w:val="clear" w:color="auto" w:fill="FFFFFF"/>
            <w:vAlign w:val="center"/>
          </w:tcPr>
          <w:p w14:paraId="4DC0331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,373710082844321</w:t>
            </w:r>
          </w:p>
        </w:tc>
        <w:tc>
          <w:tcPr>
            <w:tcW w:w="709" w:type="dxa"/>
            <w:tcBorders>
              <w:top w:val="nil"/>
              <w:bottom w:val="nil"/>
            </w:tcBorders>
            <w:shd w:val="clear" w:color="auto" w:fill="FFFFFF"/>
            <w:vAlign w:val="center"/>
          </w:tcPr>
          <w:p w14:paraId="61750A0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,916</w:t>
            </w:r>
          </w:p>
        </w:tc>
        <w:tc>
          <w:tcPr>
            <w:tcW w:w="1701" w:type="dxa"/>
            <w:tcBorders>
              <w:top w:val="nil"/>
              <w:bottom w:val="nil"/>
            </w:tcBorders>
            <w:shd w:val="clear" w:color="auto" w:fill="FFFFFF"/>
            <w:vAlign w:val="center"/>
          </w:tcPr>
          <w:p w14:paraId="620F182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-,772122329100355</w:t>
            </w:r>
          </w:p>
        </w:tc>
        <w:tc>
          <w:tcPr>
            <w:tcW w:w="1699" w:type="dxa"/>
            <w:tcBorders>
              <w:top w:val="nil"/>
              <w:bottom w:val="nil"/>
              <w:right w:val="single" w:sz="16" w:space="0" w:color="000000"/>
            </w:tcBorders>
            <w:shd w:val="clear" w:color="auto" w:fill="FFFFFF"/>
            <w:vAlign w:val="center"/>
          </w:tcPr>
          <w:p w14:paraId="781F111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,693007700636991</w:t>
            </w:r>
          </w:p>
        </w:tc>
      </w:tr>
      <w:tr w:rsidR="00017BAA" w:rsidRPr="00017BAA" w14:paraId="422C338F" w14:textId="77777777" w:rsidTr="00017BAA">
        <w:trPr>
          <w:cantSplit/>
        </w:trPr>
        <w:tc>
          <w:tcPr>
            <w:tcW w:w="709" w:type="dxa"/>
            <w:vMerge/>
            <w:tcBorders>
              <w:top w:val="nil"/>
              <w:left w:val="single" w:sz="16" w:space="0" w:color="000000"/>
              <w:right w:val="nil"/>
            </w:tcBorders>
            <w:shd w:val="clear" w:color="auto" w:fill="FFFFFF"/>
          </w:tcPr>
          <w:p w14:paraId="54D5AA9F"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23FF81CF"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1843" w:type="dxa"/>
            <w:tcBorders>
              <w:top w:val="nil"/>
              <w:left w:val="single" w:sz="16" w:space="0" w:color="000000"/>
              <w:bottom w:val="nil"/>
            </w:tcBorders>
            <w:shd w:val="clear" w:color="auto" w:fill="FFFFFF"/>
            <w:vAlign w:val="center"/>
          </w:tcPr>
          <w:p w14:paraId="1C23B93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-,904002056549062</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2184623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,347211762212400</w:t>
            </w:r>
          </w:p>
        </w:tc>
        <w:tc>
          <w:tcPr>
            <w:tcW w:w="709" w:type="dxa"/>
            <w:tcBorders>
              <w:top w:val="nil"/>
              <w:bottom w:val="nil"/>
            </w:tcBorders>
            <w:shd w:val="clear" w:color="auto" w:fill="FFFFFF"/>
            <w:vAlign w:val="center"/>
          </w:tcPr>
          <w:p w14:paraId="6EB8DAE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,009</w:t>
            </w:r>
          </w:p>
        </w:tc>
        <w:tc>
          <w:tcPr>
            <w:tcW w:w="1701" w:type="dxa"/>
            <w:tcBorders>
              <w:top w:val="nil"/>
              <w:bottom w:val="nil"/>
            </w:tcBorders>
            <w:shd w:val="clear" w:color="auto" w:fill="FFFFFF"/>
            <w:vAlign w:val="center"/>
          </w:tcPr>
          <w:p w14:paraId="44B1D01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-1,584623750809487</w:t>
            </w:r>
          </w:p>
        </w:tc>
        <w:tc>
          <w:tcPr>
            <w:tcW w:w="1699" w:type="dxa"/>
            <w:tcBorders>
              <w:top w:val="nil"/>
              <w:bottom w:val="nil"/>
              <w:right w:val="single" w:sz="16" w:space="0" w:color="000000"/>
            </w:tcBorders>
            <w:shd w:val="clear" w:color="auto" w:fill="FFFFFF"/>
            <w:vAlign w:val="center"/>
          </w:tcPr>
          <w:p w14:paraId="7488E0F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-,223380362288637</w:t>
            </w:r>
          </w:p>
        </w:tc>
      </w:tr>
      <w:tr w:rsidR="00017BAA" w:rsidRPr="00017BAA" w14:paraId="2268015D" w14:textId="77777777" w:rsidTr="00017BAA">
        <w:trPr>
          <w:cantSplit/>
        </w:trPr>
        <w:tc>
          <w:tcPr>
            <w:tcW w:w="709" w:type="dxa"/>
            <w:vMerge/>
            <w:tcBorders>
              <w:top w:val="nil"/>
              <w:left w:val="single" w:sz="16" w:space="0" w:color="000000"/>
              <w:right w:val="nil"/>
            </w:tcBorders>
            <w:shd w:val="clear" w:color="auto" w:fill="FFFFFF"/>
          </w:tcPr>
          <w:p w14:paraId="34C2D349"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3130654C"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1843" w:type="dxa"/>
            <w:tcBorders>
              <w:top w:val="nil"/>
              <w:left w:val="single" w:sz="16" w:space="0" w:color="000000"/>
              <w:bottom w:val="nil"/>
            </w:tcBorders>
            <w:shd w:val="clear" w:color="auto" w:fill="FFFFFF"/>
            <w:vAlign w:val="center"/>
          </w:tcPr>
          <w:p w14:paraId="28AADCE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-,701609892022331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3DE9E1B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,334262827055048</w:t>
            </w:r>
          </w:p>
        </w:tc>
        <w:tc>
          <w:tcPr>
            <w:tcW w:w="709" w:type="dxa"/>
            <w:tcBorders>
              <w:top w:val="nil"/>
              <w:bottom w:val="nil"/>
            </w:tcBorders>
            <w:shd w:val="clear" w:color="auto" w:fill="FFFFFF"/>
            <w:vAlign w:val="center"/>
          </w:tcPr>
          <w:p w14:paraId="5084E1C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,036</w:t>
            </w:r>
          </w:p>
        </w:tc>
        <w:tc>
          <w:tcPr>
            <w:tcW w:w="1701" w:type="dxa"/>
            <w:tcBorders>
              <w:top w:val="nil"/>
              <w:bottom w:val="nil"/>
            </w:tcBorders>
            <w:shd w:val="clear" w:color="auto" w:fill="FFFFFF"/>
            <w:vAlign w:val="center"/>
          </w:tcPr>
          <w:p w14:paraId="14D56C6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-1,356848442205183</w:t>
            </w:r>
          </w:p>
        </w:tc>
        <w:tc>
          <w:tcPr>
            <w:tcW w:w="1699" w:type="dxa"/>
            <w:tcBorders>
              <w:top w:val="nil"/>
              <w:bottom w:val="nil"/>
              <w:right w:val="single" w:sz="16" w:space="0" w:color="000000"/>
            </w:tcBorders>
            <w:shd w:val="clear" w:color="auto" w:fill="FFFFFF"/>
            <w:vAlign w:val="center"/>
          </w:tcPr>
          <w:p w14:paraId="5AAC633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-,046371341839480</w:t>
            </w:r>
          </w:p>
        </w:tc>
      </w:tr>
      <w:tr w:rsidR="00017BAA" w:rsidRPr="00017BAA" w14:paraId="2FA4CD70" w14:textId="77777777" w:rsidTr="00017BAA">
        <w:trPr>
          <w:cantSplit/>
        </w:trPr>
        <w:tc>
          <w:tcPr>
            <w:tcW w:w="709" w:type="dxa"/>
            <w:vMerge/>
            <w:tcBorders>
              <w:top w:val="nil"/>
              <w:left w:val="single" w:sz="16" w:space="0" w:color="000000"/>
              <w:right w:val="nil"/>
            </w:tcBorders>
            <w:shd w:val="clear" w:color="auto" w:fill="FFFFFF"/>
          </w:tcPr>
          <w:p w14:paraId="0B091D56"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7B729D5"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1843" w:type="dxa"/>
            <w:tcBorders>
              <w:top w:val="nil"/>
              <w:left w:val="single" w:sz="16" w:space="0" w:color="000000"/>
              <w:bottom w:val="nil"/>
            </w:tcBorders>
            <w:shd w:val="clear" w:color="auto" w:fill="FFFFFF"/>
            <w:vAlign w:val="center"/>
          </w:tcPr>
          <w:p w14:paraId="48CCB60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-1,103983279735004</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07123A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,325938924455317</w:t>
            </w:r>
          </w:p>
        </w:tc>
        <w:tc>
          <w:tcPr>
            <w:tcW w:w="709" w:type="dxa"/>
            <w:tcBorders>
              <w:top w:val="nil"/>
              <w:bottom w:val="nil"/>
            </w:tcBorders>
            <w:shd w:val="clear" w:color="auto" w:fill="FFFFFF"/>
            <w:vAlign w:val="center"/>
          </w:tcPr>
          <w:p w14:paraId="3F71C57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,001</w:t>
            </w:r>
          </w:p>
        </w:tc>
        <w:tc>
          <w:tcPr>
            <w:tcW w:w="1701" w:type="dxa"/>
            <w:tcBorders>
              <w:top w:val="nil"/>
              <w:bottom w:val="nil"/>
            </w:tcBorders>
            <w:shd w:val="clear" w:color="auto" w:fill="FFFFFF"/>
            <w:vAlign w:val="center"/>
          </w:tcPr>
          <w:p w14:paraId="0AB038A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-1,742904903745229</w:t>
            </w:r>
          </w:p>
        </w:tc>
        <w:tc>
          <w:tcPr>
            <w:tcW w:w="1699" w:type="dxa"/>
            <w:tcBorders>
              <w:top w:val="nil"/>
              <w:bottom w:val="nil"/>
              <w:right w:val="single" w:sz="16" w:space="0" w:color="000000"/>
            </w:tcBorders>
            <w:shd w:val="clear" w:color="auto" w:fill="FFFFFF"/>
            <w:vAlign w:val="center"/>
          </w:tcPr>
          <w:p w14:paraId="25790AE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-,465061655724780</w:t>
            </w:r>
          </w:p>
        </w:tc>
      </w:tr>
      <w:tr w:rsidR="00017BAA" w:rsidRPr="00017BAA" w14:paraId="02A01680" w14:textId="77777777" w:rsidTr="00017BAA">
        <w:trPr>
          <w:cantSplit/>
        </w:trPr>
        <w:tc>
          <w:tcPr>
            <w:tcW w:w="709" w:type="dxa"/>
            <w:vMerge/>
            <w:tcBorders>
              <w:top w:val="nil"/>
              <w:left w:val="single" w:sz="16" w:space="0" w:color="000000"/>
              <w:right w:val="nil"/>
            </w:tcBorders>
            <w:shd w:val="clear" w:color="auto" w:fill="FFFFFF"/>
          </w:tcPr>
          <w:p w14:paraId="606A0306"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5E02E601"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1843" w:type="dxa"/>
            <w:tcBorders>
              <w:top w:val="nil"/>
              <w:left w:val="single" w:sz="16" w:space="0" w:color="000000"/>
              <w:bottom w:val="nil"/>
            </w:tcBorders>
            <w:shd w:val="clear" w:color="auto" w:fill="FFFFFF"/>
            <w:vAlign w:val="center"/>
          </w:tcPr>
          <w:p w14:paraId="303E92A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-1,719070891761396</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6B8BCAE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,334167419904229</w:t>
            </w:r>
          </w:p>
        </w:tc>
        <w:tc>
          <w:tcPr>
            <w:tcW w:w="709" w:type="dxa"/>
            <w:tcBorders>
              <w:top w:val="nil"/>
              <w:bottom w:val="nil"/>
            </w:tcBorders>
            <w:shd w:val="clear" w:color="auto" w:fill="FFFFFF"/>
            <w:vAlign w:val="center"/>
          </w:tcPr>
          <w:p w14:paraId="6CF4FF4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0DF11E9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-2,374122420121537</w:t>
            </w:r>
          </w:p>
        </w:tc>
        <w:tc>
          <w:tcPr>
            <w:tcW w:w="1699" w:type="dxa"/>
            <w:tcBorders>
              <w:top w:val="nil"/>
              <w:bottom w:val="nil"/>
              <w:right w:val="single" w:sz="16" w:space="0" w:color="000000"/>
            </w:tcBorders>
            <w:shd w:val="clear" w:color="auto" w:fill="FFFFFF"/>
            <w:vAlign w:val="center"/>
          </w:tcPr>
          <w:p w14:paraId="762EF5F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-1,064019363401254</w:t>
            </w:r>
          </w:p>
        </w:tc>
      </w:tr>
      <w:tr w:rsidR="00017BAA" w:rsidRPr="00017BAA" w14:paraId="45F34C99" w14:textId="77777777" w:rsidTr="00017BAA">
        <w:trPr>
          <w:cantSplit/>
        </w:trPr>
        <w:tc>
          <w:tcPr>
            <w:tcW w:w="709" w:type="dxa"/>
            <w:vMerge/>
            <w:tcBorders>
              <w:top w:val="nil"/>
              <w:left w:val="single" w:sz="16" w:space="0" w:color="000000"/>
              <w:right w:val="nil"/>
            </w:tcBorders>
            <w:shd w:val="clear" w:color="auto" w:fill="FFFFFF"/>
          </w:tcPr>
          <w:p w14:paraId="528BDE7A"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right w:val="single" w:sz="16" w:space="0" w:color="000000"/>
            </w:tcBorders>
            <w:shd w:val="clear" w:color="auto" w:fill="FFFFFF"/>
          </w:tcPr>
          <w:p w14:paraId="5AE2CE14"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1843" w:type="dxa"/>
            <w:tcBorders>
              <w:top w:val="nil"/>
              <w:left w:val="single" w:sz="16" w:space="0" w:color="000000"/>
            </w:tcBorders>
            <w:shd w:val="clear" w:color="auto" w:fill="FFFFFF"/>
            <w:vAlign w:val="center"/>
          </w:tcPr>
          <w:p w14:paraId="4A08CB5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-,684596095544719</w:t>
            </w:r>
            <w:r w:rsidRPr="00017BAA">
              <w:rPr>
                <w:rFonts w:eastAsiaTheme="minorEastAsia" w:cs="Arial"/>
                <w:color w:val="000000"/>
                <w:sz w:val="16"/>
                <w:szCs w:val="16"/>
                <w:vertAlign w:val="superscript"/>
                <w:lang w:val="en-GB" w:eastAsia="en-GB"/>
              </w:rPr>
              <w:t>*</w:t>
            </w:r>
          </w:p>
        </w:tc>
        <w:tc>
          <w:tcPr>
            <w:tcW w:w="1701" w:type="dxa"/>
            <w:tcBorders>
              <w:top w:val="nil"/>
            </w:tcBorders>
            <w:shd w:val="clear" w:color="auto" w:fill="FFFFFF"/>
            <w:vAlign w:val="center"/>
          </w:tcPr>
          <w:p w14:paraId="4E6E1FB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,276707049637703</w:t>
            </w:r>
          </w:p>
        </w:tc>
        <w:tc>
          <w:tcPr>
            <w:tcW w:w="709" w:type="dxa"/>
            <w:tcBorders>
              <w:top w:val="nil"/>
            </w:tcBorders>
            <w:shd w:val="clear" w:color="auto" w:fill="FFFFFF"/>
            <w:vAlign w:val="center"/>
          </w:tcPr>
          <w:p w14:paraId="71C3E8D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,013</w:t>
            </w:r>
          </w:p>
        </w:tc>
        <w:tc>
          <w:tcPr>
            <w:tcW w:w="1701" w:type="dxa"/>
            <w:tcBorders>
              <w:top w:val="nil"/>
            </w:tcBorders>
            <w:shd w:val="clear" w:color="auto" w:fill="FFFFFF"/>
            <w:vAlign w:val="center"/>
          </w:tcPr>
          <w:p w14:paraId="03C8DB9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-1,227010960001436</w:t>
            </w:r>
          </w:p>
        </w:tc>
        <w:tc>
          <w:tcPr>
            <w:tcW w:w="1699" w:type="dxa"/>
            <w:tcBorders>
              <w:top w:val="nil"/>
              <w:right w:val="single" w:sz="16" w:space="0" w:color="000000"/>
            </w:tcBorders>
            <w:shd w:val="clear" w:color="auto" w:fill="FFFFFF"/>
            <w:vAlign w:val="center"/>
          </w:tcPr>
          <w:p w14:paraId="4B9C4AE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-,142181231088001</w:t>
            </w:r>
          </w:p>
        </w:tc>
      </w:tr>
      <w:tr w:rsidR="00017BAA" w:rsidRPr="00017BAA" w14:paraId="780577F4" w14:textId="77777777" w:rsidTr="00017BAA">
        <w:trPr>
          <w:cantSplit/>
        </w:trPr>
        <w:tc>
          <w:tcPr>
            <w:tcW w:w="709" w:type="dxa"/>
            <w:vMerge w:val="restart"/>
            <w:tcBorders>
              <w:top w:val="nil"/>
              <w:left w:val="single" w:sz="16" w:space="0" w:color="000000"/>
              <w:right w:val="nil"/>
            </w:tcBorders>
            <w:shd w:val="clear" w:color="auto" w:fill="FFFFFF"/>
          </w:tcPr>
          <w:p w14:paraId="21CE7601"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567" w:type="dxa"/>
            <w:tcBorders>
              <w:top w:val="nil"/>
              <w:left w:val="nil"/>
              <w:bottom w:val="nil"/>
              <w:right w:val="single" w:sz="16" w:space="0" w:color="000000"/>
            </w:tcBorders>
            <w:shd w:val="clear" w:color="auto" w:fill="FFFFFF"/>
          </w:tcPr>
          <w:p w14:paraId="0891D7D6"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1843" w:type="dxa"/>
            <w:tcBorders>
              <w:top w:val="nil"/>
              <w:left w:val="single" w:sz="16" w:space="0" w:color="000000"/>
              <w:bottom w:val="nil"/>
            </w:tcBorders>
            <w:shd w:val="clear" w:color="auto" w:fill="FFFFFF"/>
            <w:vAlign w:val="center"/>
          </w:tcPr>
          <w:p w14:paraId="5E11ED8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2,464407739809581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0D33EF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,327383957604918</w:t>
            </w:r>
          </w:p>
        </w:tc>
        <w:tc>
          <w:tcPr>
            <w:tcW w:w="709" w:type="dxa"/>
            <w:tcBorders>
              <w:top w:val="nil"/>
              <w:bottom w:val="nil"/>
            </w:tcBorders>
            <w:shd w:val="clear" w:color="auto" w:fill="FFFFFF"/>
            <w:vAlign w:val="center"/>
          </w:tcPr>
          <w:p w14:paraId="7324916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5CEA20D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1,822653490244632</w:t>
            </w:r>
          </w:p>
        </w:tc>
        <w:tc>
          <w:tcPr>
            <w:tcW w:w="1699" w:type="dxa"/>
            <w:tcBorders>
              <w:top w:val="nil"/>
              <w:bottom w:val="nil"/>
              <w:right w:val="single" w:sz="16" w:space="0" w:color="000000"/>
            </w:tcBorders>
            <w:shd w:val="clear" w:color="auto" w:fill="FFFFFF"/>
            <w:vAlign w:val="center"/>
          </w:tcPr>
          <w:p w14:paraId="1CFB840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3,106161989374531</w:t>
            </w:r>
          </w:p>
        </w:tc>
      </w:tr>
      <w:tr w:rsidR="00017BAA" w:rsidRPr="00017BAA" w14:paraId="69A54D0B" w14:textId="77777777" w:rsidTr="00017BAA">
        <w:trPr>
          <w:cantSplit/>
        </w:trPr>
        <w:tc>
          <w:tcPr>
            <w:tcW w:w="709" w:type="dxa"/>
            <w:vMerge/>
            <w:tcBorders>
              <w:top w:val="nil"/>
              <w:left w:val="single" w:sz="16" w:space="0" w:color="000000"/>
              <w:right w:val="nil"/>
            </w:tcBorders>
            <w:shd w:val="clear" w:color="auto" w:fill="FFFFFF"/>
          </w:tcPr>
          <w:p w14:paraId="04D7C34E"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46C3DF5"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1843" w:type="dxa"/>
            <w:tcBorders>
              <w:top w:val="nil"/>
              <w:left w:val="single" w:sz="16" w:space="0" w:color="000000"/>
              <w:bottom w:val="nil"/>
            </w:tcBorders>
            <w:shd w:val="clear" w:color="auto" w:fill="FFFFFF"/>
            <w:vAlign w:val="center"/>
          </w:tcPr>
          <w:p w14:paraId="2791C9C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1,652119773711376</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EF7A99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,421268802960913</w:t>
            </w:r>
          </w:p>
        </w:tc>
        <w:tc>
          <w:tcPr>
            <w:tcW w:w="709" w:type="dxa"/>
            <w:tcBorders>
              <w:top w:val="nil"/>
              <w:bottom w:val="nil"/>
            </w:tcBorders>
            <w:shd w:val="clear" w:color="auto" w:fill="FFFFFF"/>
            <w:vAlign w:val="center"/>
          </w:tcPr>
          <w:p w14:paraId="1E320A2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00BD580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,826327800008252</w:t>
            </w:r>
          </w:p>
        </w:tc>
        <w:tc>
          <w:tcPr>
            <w:tcW w:w="1699" w:type="dxa"/>
            <w:tcBorders>
              <w:top w:val="nil"/>
              <w:bottom w:val="nil"/>
              <w:right w:val="single" w:sz="16" w:space="0" w:color="000000"/>
            </w:tcBorders>
            <w:shd w:val="clear" w:color="auto" w:fill="FFFFFF"/>
            <w:vAlign w:val="center"/>
          </w:tcPr>
          <w:p w14:paraId="7AE621A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2,477911747414500</w:t>
            </w:r>
          </w:p>
        </w:tc>
      </w:tr>
      <w:tr w:rsidR="00017BAA" w:rsidRPr="00017BAA" w14:paraId="094DCC0E" w14:textId="77777777" w:rsidTr="00017BAA">
        <w:trPr>
          <w:cantSplit/>
        </w:trPr>
        <w:tc>
          <w:tcPr>
            <w:tcW w:w="709" w:type="dxa"/>
            <w:vMerge/>
            <w:tcBorders>
              <w:top w:val="nil"/>
              <w:left w:val="single" w:sz="16" w:space="0" w:color="000000"/>
              <w:right w:val="nil"/>
            </w:tcBorders>
            <w:shd w:val="clear" w:color="auto" w:fill="FFFFFF"/>
          </w:tcPr>
          <w:p w14:paraId="05899ADB"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B0680B4"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1843" w:type="dxa"/>
            <w:tcBorders>
              <w:top w:val="nil"/>
              <w:left w:val="single" w:sz="16" w:space="0" w:color="000000"/>
              <w:bottom w:val="nil"/>
            </w:tcBorders>
            <w:shd w:val="clear" w:color="auto" w:fill="FFFFFF"/>
            <w:vAlign w:val="center"/>
          </w:tcPr>
          <w:p w14:paraId="1384354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1,468638158941989</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51FC03D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,384991578983031</w:t>
            </w:r>
          </w:p>
        </w:tc>
        <w:tc>
          <w:tcPr>
            <w:tcW w:w="709" w:type="dxa"/>
            <w:tcBorders>
              <w:top w:val="nil"/>
              <w:bottom w:val="nil"/>
            </w:tcBorders>
            <w:shd w:val="clear" w:color="auto" w:fill="FFFFFF"/>
            <w:vAlign w:val="center"/>
          </w:tcPr>
          <w:p w14:paraId="4C2C00E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4F2CA2A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,713958596551090</w:t>
            </w:r>
          </w:p>
        </w:tc>
        <w:tc>
          <w:tcPr>
            <w:tcW w:w="1699" w:type="dxa"/>
            <w:tcBorders>
              <w:top w:val="nil"/>
              <w:bottom w:val="nil"/>
              <w:right w:val="single" w:sz="16" w:space="0" w:color="000000"/>
            </w:tcBorders>
            <w:shd w:val="clear" w:color="auto" w:fill="FFFFFF"/>
            <w:vAlign w:val="center"/>
          </w:tcPr>
          <w:p w14:paraId="7E687B4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2,223317721332887</w:t>
            </w:r>
          </w:p>
        </w:tc>
      </w:tr>
      <w:tr w:rsidR="00017BAA" w:rsidRPr="00017BAA" w14:paraId="4A8DCEC0" w14:textId="77777777" w:rsidTr="00017BAA">
        <w:trPr>
          <w:cantSplit/>
        </w:trPr>
        <w:tc>
          <w:tcPr>
            <w:tcW w:w="709" w:type="dxa"/>
            <w:vMerge/>
            <w:tcBorders>
              <w:top w:val="nil"/>
              <w:left w:val="single" w:sz="16" w:space="0" w:color="000000"/>
              <w:right w:val="nil"/>
            </w:tcBorders>
            <w:shd w:val="clear" w:color="auto" w:fill="FFFFFF"/>
          </w:tcPr>
          <w:p w14:paraId="0899DB61"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181C4C0"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1843" w:type="dxa"/>
            <w:tcBorders>
              <w:top w:val="nil"/>
              <w:left w:val="single" w:sz="16" w:space="0" w:color="000000"/>
              <w:bottom w:val="nil"/>
            </w:tcBorders>
            <w:shd w:val="clear" w:color="auto" w:fill="FFFFFF"/>
            <w:vAlign w:val="center"/>
          </w:tcPr>
          <w:p w14:paraId="3A65A92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,864444742317380</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691822B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,366329280187745</w:t>
            </w:r>
          </w:p>
        </w:tc>
        <w:tc>
          <w:tcPr>
            <w:tcW w:w="709" w:type="dxa"/>
            <w:tcBorders>
              <w:top w:val="nil"/>
              <w:bottom w:val="nil"/>
            </w:tcBorders>
            <w:shd w:val="clear" w:color="auto" w:fill="FFFFFF"/>
            <w:vAlign w:val="center"/>
          </w:tcPr>
          <w:p w14:paraId="5DF90B5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,018</w:t>
            </w:r>
          </w:p>
        </w:tc>
        <w:tc>
          <w:tcPr>
            <w:tcW w:w="1701" w:type="dxa"/>
            <w:tcBorders>
              <w:top w:val="nil"/>
              <w:bottom w:val="nil"/>
            </w:tcBorders>
            <w:shd w:val="clear" w:color="auto" w:fill="FFFFFF"/>
            <w:vAlign w:val="center"/>
          </w:tcPr>
          <w:p w14:paraId="363402C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,146347942399464</w:t>
            </w:r>
          </w:p>
        </w:tc>
        <w:tc>
          <w:tcPr>
            <w:tcW w:w="1699" w:type="dxa"/>
            <w:tcBorders>
              <w:top w:val="nil"/>
              <w:bottom w:val="nil"/>
              <w:right w:val="single" w:sz="16" w:space="0" w:color="000000"/>
            </w:tcBorders>
            <w:shd w:val="clear" w:color="auto" w:fill="FFFFFF"/>
            <w:vAlign w:val="center"/>
          </w:tcPr>
          <w:p w14:paraId="045BA32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1,582541542235296</w:t>
            </w:r>
          </w:p>
        </w:tc>
      </w:tr>
      <w:tr w:rsidR="00017BAA" w:rsidRPr="00017BAA" w14:paraId="273D8E43" w14:textId="77777777" w:rsidTr="00017BAA">
        <w:trPr>
          <w:cantSplit/>
        </w:trPr>
        <w:tc>
          <w:tcPr>
            <w:tcW w:w="709" w:type="dxa"/>
            <w:vMerge/>
            <w:tcBorders>
              <w:top w:val="nil"/>
              <w:left w:val="single" w:sz="16" w:space="0" w:color="000000"/>
              <w:right w:val="nil"/>
            </w:tcBorders>
            <w:shd w:val="clear" w:color="auto" w:fill="FFFFFF"/>
          </w:tcPr>
          <w:p w14:paraId="3D418A92"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66DCF52"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1843" w:type="dxa"/>
            <w:tcBorders>
              <w:top w:val="nil"/>
              <w:left w:val="single" w:sz="16" w:space="0" w:color="000000"/>
              <w:bottom w:val="nil"/>
            </w:tcBorders>
            <w:shd w:val="clear" w:color="auto" w:fill="FFFFFF"/>
            <w:vAlign w:val="center"/>
          </w:tcPr>
          <w:p w14:paraId="0DB72CD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,904002056549062</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473F385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,347211762212400</w:t>
            </w:r>
          </w:p>
        </w:tc>
        <w:tc>
          <w:tcPr>
            <w:tcW w:w="709" w:type="dxa"/>
            <w:tcBorders>
              <w:top w:val="nil"/>
              <w:bottom w:val="nil"/>
            </w:tcBorders>
            <w:shd w:val="clear" w:color="auto" w:fill="FFFFFF"/>
            <w:vAlign w:val="center"/>
          </w:tcPr>
          <w:p w14:paraId="5F609F4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,009</w:t>
            </w:r>
          </w:p>
        </w:tc>
        <w:tc>
          <w:tcPr>
            <w:tcW w:w="1701" w:type="dxa"/>
            <w:tcBorders>
              <w:top w:val="nil"/>
              <w:bottom w:val="nil"/>
            </w:tcBorders>
            <w:shd w:val="clear" w:color="auto" w:fill="FFFFFF"/>
            <w:vAlign w:val="center"/>
          </w:tcPr>
          <w:p w14:paraId="18CBE39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,223380362288637</w:t>
            </w:r>
          </w:p>
        </w:tc>
        <w:tc>
          <w:tcPr>
            <w:tcW w:w="1699" w:type="dxa"/>
            <w:tcBorders>
              <w:top w:val="nil"/>
              <w:bottom w:val="nil"/>
              <w:right w:val="single" w:sz="16" w:space="0" w:color="000000"/>
            </w:tcBorders>
            <w:shd w:val="clear" w:color="auto" w:fill="FFFFFF"/>
            <w:vAlign w:val="center"/>
          </w:tcPr>
          <w:p w14:paraId="60E75F3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1,584623750809487</w:t>
            </w:r>
          </w:p>
        </w:tc>
      </w:tr>
      <w:tr w:rsidR="00017BAA" w:rsidRPr="00017BAA" w14:paraId="42984D74" w14:textId="77777777" w:rsidTr="00017BAA">
        <w:trPr>
          <w:cantSplit/>
        </w:trPr>
        <w:tc>
          <w:tcPr>
            <w:tcW w:w="709" w:type="dxa"/>
            <w:vMerge/>
            <w:tcBorders>
              <w:top w:val="nil"/>
              <w:left w:val="single" w:sz="16" w:space="0" w:color="000000"/>
              <w:right w:val="nil"/>
            </w:tcBorders>
            <w:shd w:val="clear" w:color="auto" w:fill="FFFFFF"/>
          </w:tcPr>
          <w:p w14:paraId="7F8777C7"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B0B0C86"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1843" w:type="dxa"/>
            <w:tcBorders>
              <w:top w:val="nil"/>
              <w:left w:val="single" w:sz="16" w:space="0" w:color="000000"/>
              <w:bottom w:val="nil"/>
            </w:tcBorders>
            <w:shd w:val="clear" w:color="auto" w:fill="FFFFFF"/>
            <w:vAlign w:val="center"/>
          </w:tcPr>
          <w:p w14:paraId="41EC34A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,202392164526731</w:t>
            </w:r>
          </w:p>
        </w:tc>
        <w:tc>
          <w:tcPr>
            <w:tcW w:w="1701" w:type="dxa"/>
            <w:tcBorders>
              <w:top w:val="nil"/>
              <w:bottom w:val="nil"/>
            </w:tcBorders>
            <w:shd w:val="clear" w:color="auto" w:fill="FFFFFF"/>
            <w:vAlign w:val="center"/>
          </w:tcPr>
          <w:p w14:paraId="1DAC47C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,325990111896351</w:t>
            </w:r>
          </w:p>
        </w:tc>
        <w:tc>
          <w:tcPr>
            <w:tcW w:w="709" w:type="dxa"/>
            <w:tcBorders>
              <w:top w:val="nil"/>
              <w:bottom w:val="nil"/>
            </w:tcBorders>
            <w:shd w:val="clear" w:color="auto" w:fill="FFFFFF"/>
            <w:vAlign w:val="center"/>
          </w:tcPr>
          <w:p w14:paraId="7549783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,535</w:t>
            </w:r>
          </w:p>
        </w:tc>
        <w:tc>
          <w:tcPr>
            <w:tcW w:w="1701" w:type="dxa"/>
            <w:tcBorders>
              <w:top w:val="nil"/>
              <w:bottom w:val="nil"/>
            </w:tcBorders>
            <w:shd w:val="clear" w:color="auto" w:fill="FFFFFF"/>
            <w:vAlign w:val="center"/>
          </w:tcPr>
          <w:p w14:paraId="1E961CF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-,436629799640807</w:t>
            </w:r>
          </w:p>
        </w:tc>
        <w:tc>
          <w:tcPr>
            <w:tcW w:w="1699" w:type="dxa"/>
            <w:tcBorders>
              <w:top w:val="nil"/>
              <w:bottom w:val="nil"/>
              <w:right w:val="single" w:sz="16" w:space="0" w:color="000000"/>
            </w:tcBorders>
            <w:shd w:val="clear" w:color="auto" w:fill="FFFFFF"/>
            <w:vAlign w:val="center"/>
          </w:tcPr>
          <w:p w14:paraId="7FE3008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,841414128694268</w:t>
            </w:r>
          </w:p>
        </w:tc>
      </w:tr>
      <w:tr w:rsidR="00017BAA" w:rsidRPr="00017BAA" w14:paraId="204013A8" w14:textId="77777777" w:rsidTr="00017BAA">
        <w:trPr>
          <w:cantSplit/>
        </w:trPr>
        <w:tc>
          <w:tcPr>
            <w:tcW w:w="709" w:type="dxa"/>
            <w:vMerge/>
            <w:tcBorders>
              <w:top w:val="nil"/>
              <w:left w:val="single" w:sz="16" w:space="0" w:color="000000"/>
              <w:right w:val="nil"/>
            </w:tcBorders>
            <w:shd w:val="clear" w:color="auto" w:fill="FFFFFF"/>
          </w:tcPr>
          <w:p w14:paraId="67E03248"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EF5D783"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1843" w:type="dxa"/>
            <w:tcBorders>
              <w:top w:val="nil"/>
              <w:left w:val="single" w:sz="16" w:space="0" w:color="000000"/>
              <w:bottom w:val="nil"/>
            </w:tcBorders>
            <w:shd w:val="clear" w:color="auto" w:fill="FFFFFF"/>
            <w:vAlign w:val="center"/>
          </w:tcPr>
          <w:p w14:paraId="585990E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-,199981223185943</w:t>
            </w:r>
          </w:p>
        </w:tc>
        <w:tc>
          <w:tcPr>
            <w:tcW w:w="1701" w:type="dxa"/>
            <w:tcBorders>
              <w:top w:val="nil"/>
              <w:bottom w:val="nil"/>
            </w:tcBorders>
            <w:shd w:val="clear" w:color="auto" w:fill="FFFFFF"/>
            <w:vAlign w:val="center"/>
          </w:tcPr>
          <w:p w14:paraId="7F18153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,317449362857214</w:t>
            </w:r>
          </w:p>
        </w:tc>
        <w:tc>
          <w:tcPr>
            <w:tcW w:w="709" w:type="dxa"/>
            <w:tcBorders>
              <w:top w:val="nil"/>
              <w:bottom w:val="nil"/>
            </w:tcBorders>
            <w:shd w:val="clear" w:color="auto" w:fill="FFFFFF"/>
            <w:vAlign w:val="center"/>
          </w:tcPr>
          <w:p w14:paraId="59F2435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,529</w:t>
            </w:r>
          </w:p>
        </w:tc>
        <w:tc>
          <w:tcPr>
            <w:tcW w:w="1701" w:type="dxa"/>
            <w:tcBorders>
              <w:top w:val="nil"/>
              <w:bottom w:val="nil"/>
            </w:tcBorders>
            <w:shd w:val="clear" w:color="auto" w:fill="FFFFFF"/>
            <w:vAlign w:val="center"/>
          </w:tcPr>
          <w:p w14:paraId="3E0DECD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-,822261188049568</w:t>
            </w:r>
          </w:p>
        </w:tc>
        <w:tc>
          <w:tcPr>
            <w:tcW w:w="1699" w:type="dxa"/>
            <w:tcBorders>
              <w:top w:val="nil"/>
              <w:bottom w:val="nil"/>
              <w:right w:val="single" w:sz="16" w:space="0" w:color="000000"/>
            </w:tcBorders>
            <w:shd w:val="clear" w:color="auto" w:fill="FFFFFF"/>
            <w:vAlign w:val="center"/>
          </w:tcPr>
          <w:p w14:paraId="3742FF1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,422298741677682</w:t>
            </w:r>
          </w:p>
        </w:tc>
      </w:tr>
      <w:tr w:rsidR="00017BAA" w:rsidRPr="00017BAA" w14:paraId="63239782" w14:textId="77777777" w:rsidTr="00017BAA">
        <w:trPr>
          <w:cantSplit/>
        </w:trPr>
        <w:tc>
          <w:tcPr>
            <w:tcW w:w="709" w:type="dxa"/>
            <w:vMerge/>
            <w:tcBorders>
              <w:top w:val="nil"/>
              <w:left w:val="single" w:sz="16" w:space="0" w:color="000000"/>
              <w:right w:val="nil"/>
            </w:tcBorders>
            <w:shd w:val="clear" w:color="auto" w:fill="FFFFFF"/>
          </w:tcPr>
          <w:p w14:paraId="553EDDC2"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7CE517D"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1843" w:type="dxa"/>
            <w:tcBorders>
              <w:top w:val="nil"/>
              <w:left w:val="single" w:sz="16" w:space="0" w:color="000000"/>
              <w:bottom w:val="nil"/>
            </w:tcBorders>
            <w:shd w:val="clear" w:color="auto" w:fill="FFFFFF"/>
            <w:vAlign w:val="center"/>
          </w:tcPr>
          <w:p w14:paraId="7119057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-,815068835212334</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67F3BD5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,325892282861702</w:t>
            </w:r>
          </w:p>
        </w:tc>
        <w:tc>
          <w:tcPr>
            <w:tcW w:w="709" w:type="dxa"/>
            <w:tcBorders>
              <w:top w:val="nil"/>
              <w:bottom w:val="nil"/>
            </w:tcBorders>
            <w:shd w:val="clear" w:color="auto" w:fill="FFFFFF"/>
            <w:vAlign w:val="center"/>
          </w:tcPr>
          <w:p w14:paraId="0CB45A8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,012</w:t>
            </w:r>
          </w:p>
        </w:tc>
        <w:tc>
          <w:tcPr>
            <w:tcW w:w="1701" w:type="dxa"/>
            <w:tcBorders>
              <w:top w:val="nil"/>
              <w:bottom w:val="nil"/>
            </w:tcBorders>
            <w:shd w:val="clear" w:color="auto" w:fill="FFFFFF"/>
            <w:vAlign w:val="center"/>
          </w:tcPr>
          <w:p w14:paraId="7E009F7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-1,453899030060519</w:t>
            </w:r>
          </w:p>
        </w:tc>
        <w:tc>
          <w:tcPr>
            <w:tcW w:w="1699" w:type="dxa"/>
            <w:tcBorders>
              <w:top w:val="nil"/>
              <w:bottom w:val="nil"/>
              <w:right w:val="single" w:sz="16" w:space="0" w:color="000000"/>
            </w:tcBorders>
            <w:shd w:val="clear" w:color="auto" w:fill="FFFFFF"/>
            <w:vAlign w:val="center"/>
          </w:tcPr>
          <w:p w14:paraId="78F17BB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-,176238640364149</w:t>
            </w:r>
          </w:p>
        </w:tc>
      </w:tr>
      <w:tr w:rsidR="00017BAA" w:rsidRPr="00017BAA" w14:paraId="7AE30F08" w14:textId="77777777" w:rsidTr="00017BAA">
        <w:trPr>
          <w:cantSplit/>
        </w:trPr>
        <w:tc>
          <w:tcPr>
            <w:tcW w:w="709" w:type="dxa"/>
            <w:vMerge/>
            <w:tcBorders>
              <w:top w:val="nil"/>
              <w:left w:val="single" w:sz="16" w:space="0" w:color="000000"/>
              <w:right w:val="nil"/>
            </w:tcBorders>
            <w:shd w:val="clear" w:color="auto" w:fill="FFFFFF"/>
          </w:tcPr>
          <w:p w14:paraId="67783E73"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right w:val="single" w:sz="16" w:space="0" w:color="000000"/>
            </w:tcBorders>
            <w:shd w:val="clear" w:color="auto" w:fill="FFFFFF"/>
          </w:tcPr>
          <w:p w14:paraId="0B00B505"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1843" w:type="dxa"/>
            <w:tcBorders>
              <w:top w:val="nil"/>
              <w:left w:val="single" w:sz="16" w:space="0" w:color="000000"/>
            </w:tcBorders>
            <w:shd w:val="clear" w:color="auto" w:fill="FFFFFF"/>
            <w:vAlign w:val="center"/>
          </w:tcPr>
          <w:p w14:paraId="352D423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,219405961004343</w:t>
            </w:r>
          </w:p>
        </w:tc>
        <w:tc>
          <w:tcPr>
            <w:tcW w:w="1701" w:type="dxa"/>
            <w:tcBorders>
              <w:top w:val="nil"/>
            </w:tcBorders>
            <w:shd w:val="clear" w:color="auto" w:fill="FFFFFF"/>
            <w:vAlign w:val="center"/>
          </w:tcPr>
          <w:p w14:paraId="24529AD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,266654658355268</w:t>
            </w:r>
          </w:p>
        </w:tc>
        <w:tc>
          <w:tcPr>
            <w:tcW w:w="709" w:type="dxa"/>
            <w:tcBorders>
              <w:top w:val="nil"/>
            </w:tcBorders>
            <w:shd w:val="clear" w:color="auto" w:fill="FFFFFF"/>
            <w:vAlign w:val="center"/>
          </w:tcPr>
          <w:p w14:paraId="100BEA6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,411</w:t>
            </w:r>
          </w:p>
        </w:tc>
        <w:tc>
          <w:tcPr>
            <w:tcW w:w="1701" w:type="dxa"/>
            <w:tcBorders>
              <w:top w:val="nil"/>
            </w:tcBorders>
            <w:shd w:val="clear" w:color="auto" w:fill="FFFFFF"/>
            <w:vAlign w:val="center"/>
          </w:tcPr>
          <w:p w14:paraId="342D1EC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-,303303708149014</w:t>
            </w:r>
          </w:p>
        </w:tc>
        <w:tc>
          <w:tcPr>
            <w:tcW w:w="1699" w:type="dxa"/>
            <w:tcBorders>
              <w:top w:val="nil"/>
              <w:right w:val="single" w:sz="16" w:space="0" w:color="000000"/>
            </w:tcBorders>
            <w:shd w:val="clear" w:color="auto" w:fill="FFFFFF"/>
            <w:vAlign w:val="center"/>
          </w:tcPr>
          <w:p w14:paraId="4202A79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,742115630157699</w:t>
            </w:r>
          </w:p>
        </w:tc>
      </w:tr>
      <w:tr w:rsidR="00017BAA" w:rsidRPr="00017BAA" w14:paraId="3CBBF2C9" w14:textId="77777777" w:rsidTr="00017BAA">
        <w:trPr>
          <w:cantSplit/>
        </w:trPr>
        <w:tc>
          <w:tcPr>
            <w:tcW w:w="709" w:type="dxa"/>
            <w:vMerge w:val="restart"/>
            <w:tcBorders>
              <w:top w:val="nil"/>
              <w:left w:val="single" w:sz="16" w:space="0" w:color="000000"/>
              <w:right w:val="nil"/>
            </w:tcBorders>
            <w:shd w:val="clear" w:color="auto" w:fill="FFFFFF"/>
          </w:tcPr>
          <w:p w14:paraId="73C4B04C"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567" w:type="dxa"/>
            <w:tcBorders>
              <w:top w:val="nil"/>
              <w:left w:val="nil"/>
              <w:bottom w:val="nil"/>
              <w:right w:val="single" w:sz="16" w:space="0" w:color="000000"/>
            </w:tcBorders>
            <w:shd w:val="clear" w:color="auto" w:fill="FFFFFF"/>
          </w:tcPr>
          <w:p w14:paraId="5BAC4054"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1843" w:type="dxa"/>
            <w:tcBorders>
              <w:top w:val="nil"/>
              <w:left w:val="single" w:sz="16" w:space="0" w:color="000000"/>
              <w:bottom w:val="nil"/>
            </w:tcBorders>
            <w:shd w:val="clear" w:color="auto" w:fill="FFFFFF"/>
            <w:vAlign w:val="center"/>
          </w:tcPr>
          <w:p w14:paraId="7A2CC5E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2,262015575282851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22B23F7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,313617418886852</w:t>
            </w:r>
          </w:p>
        </w:tc>
        <w:tc>
          <w:tcPr>
            <w:tcW w:w="709" w:type="dxa"/>
            <w:tcBorders>
              <w:top w:val="nil"/>
              <w:bottom w:val="nil"/>
            </w:tcBorders>
            <w:shd w:val="clear" w:color="auto" w:fill="FFFFFF"/>
            <w:vAlign w:val="center"/>
          </w:tcPr>
          <w:p w14:paraId="2B3A53F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77B4BF8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1,647247176792440</w:t>
            </w:r>
          </w:p>
        </w:tc>
        <w:tc>
          <w:tcPr>
            <w:tcW w:w="1699" w:type="dxa"/>
            <w:tcBorders>
              <w:top w:val="nil"/>
              <w:bottom w:val="nil"/>
              <w:right w:val="single" w:sz="16" w:space="0" w:color="000000"/>
            </w:tcBorders>
            <w:shd w:val="clear" w:color="auto" w:fill="FFFFFF"/>
            <w:vAlign w:val="center"/>
          </w:tcPr>
          <w:p w14:paraId="6C24040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2,876783973773262</w:t>
            </w:r>
          </w:p>
        </w:tc>
      </w:tr>
      <w:tr w:rsidR="00017BAA" w:rsidRPr="00017BAA" w14:paraId="49A333A7" w14:textId="77777777" w:rsidTr="00017BAA">
        <w:trPr>
          <w:cantSplit/>
        </w:trPr>
        <w:tc>
          <w:tcPr>
            <w:tcW w:w="709" w:type="dxa"/>
            <w:vMerge/>
            <w:tcBorders>
              <w:top w:val="nil"/>
              <w:left w:val="single" w:sz="16" w:space="0" w:color="000000"/>
              <w:right w:val="nil"/>
            </w:tcBorders>
            <w:shd w:val="clear" w:color="auto" w:fill="FFFFFF"/>
          </w:tcPr>
          <w:p w14:paraId="115DEC4D"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5B3F134C"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1843" w:type="dxa"/>
            <w:tcBorders>
              <w:top w:val="nil"/>
              <w:left w:val="single" w:sz="16" w:space="0" w:color="000000"/>
              <w:bottom w:val="nil"/>
            </w:tcBorders>
            <w:shd w:val="clear" w:color="auto" w:fill="FFFFFF"/>
            <w:vAlign w:val="center"/>
          </w:tcPr>
          <w:p w14:paraId="1DD435D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1,449727609184645</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122037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,410661702719298</w:t>
            </w:r>
          </w:p>
        </w:tc>
        <w:tc>
          <w:tcPr>
            <w:tcW w:w="709" w:type="dxa"/>
            <w:tcBorders>
              <w:top w:val="nil"/>
              <w:bottom w:val="nil"/>
            </w:tcBorders>
            <w:shd w:val="clear" w:color="auto" w:fill="FFFFFF"/>
            <w:vAlign w:val="center"/>
          </w:tcPr>
          <w:p w14:paraId="40EB08C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13BD78F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,644728198762318</w:t>
            </w:r>
          </w:p>
        </w:tc>
        <w:tc>
          <w:tcPr>
            <w:tcW w:w="1699" w:type="dxa"/>
            <w:tcBorders>
              <w:top w:val="nil"/>
              <w:bottom w:val="nil"/>
              <w:right w:val="single" w:sz="16" w:space="0" w:color="000000"/>
            </w:tcBorders>
            <w:shd w:val="clear" w:color="auto" w:fill="FFFFFF"/>
            <w:vAlign w:val="center"/>
          </w:tcPr>
          <w:p w14:paraId="66D6630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2,254727019606973</w:t>
            </w:r>
          </w:p>
        </w:tc>
      </w:tr>
      <w:tr w:rsidR="00017BAA" w:rsidRPr="00017BAA" w14:paraId="5E582389" w14:textId="77777777" w:rsidTr="00017BAA">
        <w:trPr>
          <w:cantSplit/>
        </w:trPr>
        <w:tc>
          <w:tcPr>
            <w:tcW w:w="709" w:type="dxa"/>
            <w:vMerge/>
            <w:tcBorders>
              <w:top w:val="nil"/>
              <w:left w:val="single" w:sz="16" w:space="0" w:color="000000"/>
              <w:right w:val="nil"/>
            </w:tcBorders>
            <w:shd w:val="clear" w:color="auto" w:fill="FFFFFF"/>
          </w:tcPr>
          <w:p w14:paraId="15017B84"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4EC355E"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1843" w:type="dxa"/>
            <w:tcBorders>
              <w:top w:val="nil"/>
              <w:left w:val="single" w:sz="16" w:space="0" w:color="000000"/>
              <w:bottom w:val="nil"/>
            </w:tcBorders>
            <w:shd w:val="clear" w:color="auto" w:fill="FFFFFF"/>
            <w:vAlign w:val="center"/>
          </w:tcPr>
          <w:p w14:paraId="24C83CC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1,266245994415258</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30CF774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,373355253907107</w:t>
            </w:r>
          </w:p>
        </w:tc>
        <w:tc>
          <w:tcPr>
            <w:tcW w:w="709" w:type="dxa"/>
            <w:tcBorders>
              <w:top w:val="nil"/>
              <w:bottom w:val="nil"/>
            </w:tcBorders>
            <w:shd w:val="clear" w:color="auto" w:fill="FFFFFF"/>
            <w:vAlign w:val="center"/>
          </w:tcPr>
          <w:p w14:paraId="221FBD5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,001</w:t>
            </w:r>
          </w:p>
        </w:tc>
        <w:tc>
          <w:tcPr>
            <w:tcW w:w="1701" w:type="dxa"/>
            <w:tcBorders>
              <w:top w:val="nil"/>
              <w:bottom w:val="nil"/>
            </w:tcBorders>
            <w:shd w:val="clear" w:color="auto" w:fill="FFFFFF"/>
            <w:vAlign w:val="center"/>
          </w:tcPr>
          <w:p w14:paraId="36B0086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,534376532804574</w:t>
            </w:r>
          </w:p>
        </w:tc>
        <w:tc>
          <w:tcPr>
            <w:tcW w:w="1699" w:type="dxa"/>
            <w:tcBorders>
              <w:top w:val="nil"/>
              <w:bottom w:val="nil"/>
              <w:right w:val="single" w:sz="16" w:space="0" w:color="000000"/>
            </w:tcBorders>
            <w:shd w:val="clear" w:color="auto" w:fill="FFFFFF"/>
            <w:vAlign w:val="center"/>
          </w:tcPr>
          <w:p w14:paraId="1A3E2D2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1,998115456025942</w:t>
            </w:r>
          </w:p>
        </w:tc>
      </w:tr>
      <w:tr w:rsidR="00017BAA" w:rsidRPr="00017BAA" w14:paraId="5CCB6EBC" w14:textId="77777777" w:rsidTr="00017BAA">
        <w:trPr>
          <w:cantSplit/>
        </w:trPr>
        <w:tc>
          <w:tcPr>
            <w:tcW w:w="709" w:type="dxa"/>
            <w:vMerge/>
            <w:tcBorders>
              <w:top w:val="nil"/>
              <w:left w:val="single" w:sz="16" w:space="0" w:color="000000"/>
              <w:right w:val="nil"/>
            </w:tcBorders>
            <w:shd w:val="clear" w:color="auto" w:fill="FFFFFF"/>
          </w:tcPr>
          <w:p w14:paraId="76583933"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3197521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1843" w:type="dxa"/>
            <w:tcBorders>
              <w:top w:val="nil"/>
              <w:left w:val="single" w:sz="16" w:space="0" w:color="000000"/>
              <w:bottom w:val="nil"/>
            </w:tcBorders>
            <w:shd w:val="clear" w:color="auto" w:fill="FFFFFF"/>
            <w:vAlign w:val="center"/>
          </w:tcPr>
          <w:p w14:paraId="1534F9E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,662052577790649</w:t>
            </w:r>
          </w:p>
        </w:tc>
        <w:tc>
          <w:tcPr>
            <w:tcW w:w="1701" w:type="dxa"/>
            <w:tcBorders>
              <w:top w:val="nil"/>
              <w:bottom w:val="nil"/>
            </w:tcBorders>
            <w:shd w:val="clear" w:color="auto" w:fill="FFFFFF"/>
            <w:vAlign w:val="center"/>
          </w:tcPr>
          <w:p w14:paraId="2C62BEB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,354080176309073</w:t>
            </w:r>
          </w:p>
        </w:tc>
        <w:tc>
          <w:tcPr>
            <w:tcW w:w="709" w:type="dxa"/>
            <w:tcBorders>
              <w:top w:val="nil"/>
              <w:bottom w:val="nil"/>
            </w:tcBorders>
            <w:shd w:val="clear" w:color="auto" w:fill="FFFFFF"/>
            <w:vAlign w:val="center"/>
          </w:tcPr>
          <w:p w14:paraId="633B897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,062</w:t>
            </w:r>
          </w:p>
        </w:tc>
        <w:tc>
          <w:tcPr>
            <w:tcW w:w="1701" w:type="dxa"/>
            <w:tcBorders>
              <w:top w:val="nil"/>
              <w:bottom w:val="nil"/>
            </w:tcBorders>
            <w:shd w:val="clear" w:color="auto" w:fill="FFFFFF"/>
            <w:vAlign w:val="center"/>
          </w:tcPr>
          <w:p w14:paraId="7E154DE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-,032032921985960</w:t>
            </w:r>
          </w:p>
        </w:tc>
        <w:tc>
          <w:tcPr>
            <w:tcW w:w="1699" w:type="dxa"/>
            <w:tcBorders>
              <w:top w:val="nil"/>
              <w:bottom w:val="nil"/>
              <w:right w:val="single" w:sz="16" w:space="0" w:color="000000"/>
            </w:tcBorders>
            <w:shd w:val="clear" w:color="auto" w:fill="FFFFFF"/>
            <w:vAlign w:val="center"/>
          </w:tcPr>
          <w:p w14:paraId="125B8A0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1,356138077567258</w:t>
            </w:r>
          </w:p>
        </w:tc>
      </w:tr>
      <w:tr w:rsidR="00017BAA" w:rsidRPr="00017BAA" w14:paraId="6091E9E4" w14:textId="77777777" w:rsidTr="00017BAA">
        <w:trPr>
          <w:cantSplit/>
        </w:trPr>
        <w:tc>
          <w:tcPr>
            <w:tcW w:w="709" w:type="dxa"/>
            <w:vMerge/>
            <w:tcBorders>
              <w:top w:val="nil"/>
              <w:left w:val="single" w:sz="16" w:space="0" w:color="000000"/>
              <w:right w:val="nil"/>
            </w:tcBorders>
            <w:shd w:val="clear" w:color="auto" w:fill="FFFFFF"/>
          </w:tcPr>
          <w:p w14:paraId="0363F89E"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2D45827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1843" w:type="dxa"/>
            <w:tcBorders>
              <w:top w:val="nil"/>
              <w:left w:val="single" w:sz="16" w:space="0" w:color="000000"/>
              <w:bottom w:val="nil"/>
            </w:tcBorders>
            <w:shd w:val="clear" w:color="auto" w:fill="FFFFFF"/>
            <w:vAlign w:val="center"/>
          </w:tcPr>
          <w:p w14:paraId="5EAAEA7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,701609892022331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5DF2C6C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,334262827055048</w:t>
            </w:r>
          </w:p>
        </w:tc>
        <w:tc>
          <w:tcPr>
            <w:tcW w:w="709" w:type="dxa"/>
            <w:tcBorders>
              <w:top w:val="nil"/>
              <w:bottom w:val="nil"/>
            </w:tcBorders>
            <w:shd w:val="clear" w:color="auto" w:fill="FFFFFF"/>
            <w:vAlign w:val="center"/>
          </w:tcPr>
          <w:p w14:paraId="45BFB1E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,036</w:t>
            </w:r>
          </w:p>
        </w:tc>
        <w:tc>
          <w:tcPr>
            <w:tcW w:w="1701" w:type="dxa"/>
            <w:tcBorders>
              <w:top w:val="nil"/>
              <w:bottom w:val="nil"/>
            </w:tcBorders>
            <w:shd w:val="clear" w:color="auto" w:fill="FFFFFF"/>
            <w:vAlign w:val="center"/>
          </w:tcPr>
          <w:p w14:paraId="6619CCC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,046371341839480</w:t>
            </w:r>
          </w:p>
        </w:tc>
        <w:tc>
          <w:tcPr>
            <w:tcW w:w="1699" w:type="dxa"/>
            <w:tcBorders>
              <w:top w:val="nil"/>
              <w:bottom w:val="nil"/>
              <w:right w:val="single" w:sz="16" w:space="0" w:color="000000"/>
            </w:tcBorders>
            <w:shd w:val="clear" w:color="auto" w:fill="FFFFFF"/>
            <w:vAlign w:val="center"/>
          </w:tcPr>
          <w:p w14:paraId="06D2D06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1,356848442205183</w:t>
            </w:r>
          </w:p>
        </w:tc>
      </w:tr>
      <w:tr w:rsidR="00017BAA" w:rsidRPr="00017BAA" w14:paraId="5F955E0C" w14:textId="77777777" w:rsidTr="00017BAA">
        <w:trPr>
          <w:cantSplit/>
        </w:trPr>
        <w:tc>
          <w:tcPr>
            <w:tcW w:w="709" w:type="dxa"/>
            <w:vMerge/>
            <w:tcBorders>
              <w:top w:val="nil"/>
              <w:left w:val="single" w:sz="16" w:space="0" w:color="000000"/>
              <w:right w:val="nil"/>
            </w:tcBorders>
            <w:shd w:val="clear" w:color="auto" w:fill="FFFFFF"/>
          </w:tcPr>
          <w:p w14:paraId="58C6ADF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590BAF6C"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1843" w:type="dxa"/>
            <w:tcBorders>
              <w:top w:val="nil"/>
              <w:left w:val="single" w:sz="16" w:space="0" w:color="000000"/>
              <w:bottom w:val="nil"/>
            </w:tcBorders>
            <w:shd w:val="clear" w:color="auto" w:fill="FFFFFF"/>
            <w:vAlign w:val="center"/>
          </w:tcPr>
          <w:p w14:paraId="305596E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-,202392164526731</w:t>
            </w:r>
          </w:p>
        </w:tc>
        <w:tc>
          <w:tcPr>
            <w:tcW w:w="1701" w:type="dxa"/>
            <w:tcBorders>
              <w:top w:val="nil"/>
              <w:bottom w:val="nil"/>
            </w:tcBorders>
            <w:shd w:val="clear" w:color="auto" w:fill="FFFFFF"/>
            <w:vAlign w:val="center"/>
          </w:tcPr>
          <w:p w14:paraId="5E8AFF7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,325990111896351</w:t>
            </w:r>
          </w:p>
        </w:tc>
        <w:tc>
          <w:tcPr>
            <w:tcW w:w="709" w:type="dxa"/>
            <w:tcBorders>
              <w:top w:val="nil"/>
              <w:bottom w:val="nil"/>
            </w:tcBorders>
            <w:shd w:val="clear" w:color="auto" w:fill="FFFFFF"/>
            <w:vAlign w:val="center"/>
          </w:tcPr>
          <w:p w14:paraId="1578945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,535</w:t>
            </w:r>
          </w:p>
        </w:tc>
        <w:tc>
          <w:tcPr>
            <w:tcW w:w="1701" w:type="dxa"/>
            <w:tcBorders>
              <w:top w:val="nil"/>
              <w:bottom w:val="nil"/>
            </w:tcBorders>
            <w:shd w:val="clear" w:color="auto" w:fill="FFFFFF"/>
            <w:vAlign w:val="center"/>
          </w:tcPr>
          <w:p w14:paraId="4DDF81F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-,841414128694268</w:t>
            </w:r>
          </w:p>
        </w:tc>
        <w:tc>
          <w:tcPr>
            <w:tcW w:w="1699" w:type="dxa"/>
            <w:tcBorders>
              <w:top w:val="nil"/>
              <w:bottom w:val="nil"/>
              <w:right w:val="single" w:sz="16" w:space="0" w:color="000000"/>
            </w:tcBorders>
            <w:shd w:val="clear" w:color="auto" w:fill="FFFFFF"/>
            <w:vAlign w:val="center"/>
          </w:tcPr>
          <w:p w14:paraId="128A52C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,436629799640807</w:t>
            </w:r>
          </w:p>
        </w:tc>
      </w:tr>
      <w:tr w:rsidR="00017BAA" w:rsidRPr="00017BAA" w14:paraId="45414300" w14:textId="77777777" w:rsidTr="00017BAA">
        <w:trPr>
          <w:cantSplit/>
        </w:trPr>
        <w:tc>
          <w:tcPr>
            <w:tcW w:w="709" w:type="dxa"/>
            <w:vMerge/>
            <w:tcBorders>
              <w:top w:val="nil"/>
              <w:left w:val="single" w:sz="16" w:space="0" w:color="000000"/>
              <w:right w:val="nil"/>
            </w:tcBorders>
            <w:shd w:val="clear" w:color="auto" w:fill="FFFFFF"/>
          </w:tcPr>
          <w:p w14:paraId="0045EB73"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5663C46"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1843" w:type="dxa"/>
            <w:tcBorders>
              <w:top w:val="nil"/>
              <w:left w:val="single" w:sz="16" w:space="0" w:color="000000"/>
              <w:bottom w:val="nil"/>
            </w:tcBorders>
            <w:shd w:val="clear" w:color="auto" w:fill="FFFFFF"/>
            <w:vAlign w:val="center"/>
          </w:tcPr>
          <w:p w14:paraId="0E23045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-,402373387712673</w:t>
            </w:r>
          </w:p>
        </w:tc>
        <w:tc>
          <w:tcPr>
            <w:tcW w:w="1701" w:type="dxa"/>
            <w:tcBorders>
              <w:top w:val="nil"/>
              <w:bottom w:val="nil"/>
            </w:tcBorders>
            <w:shd w:val="clear" w:color="auto" w:fill="FFFFFF"/>
            <w:vAlign w:val="center"/>
          </w:tcPr>
          <w:p w14:paraId="7069C38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,303232135023061</w:t>
            </w:r>
          </w:p>
        </w:tc>
        <w:tc>
          <w:tcPr>
            <w:tcW w:w="709" w:type="dxa"/>
            <w:tcBorders>
              <w:top w:val="nil"/>
              <w:bottom w:val="nil"/>
            </w:tcBorders>
            <w:shd w:val="clear" w:color="auto" w:fill="FFFFFF"/>
            <w:vAlign w:val="center"/>
          </w:tcPr>
          <w:p w14:paraId="247E896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,185</w:t>
            </w:r>
          </w:p>
        </w:tc>
        <w:tc>
          <w:tcPr>
            <w:tcW w:w="1701" w:type="dxa"/>
            <w:tcBorders>
              <w:top w:val="nil"/>
              <w:bottom w:val="nil"/>
            </w:tcBorders>
            <w:shd w:val="clear" w:color="auto" w:fill="FFFFFF"/>
            <w:vAlign w:val="center"/>
          </w:tcPr>
          <w:p w14:paraId="256A40C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-,996784038373030</w:t>
            </w:r>
          </w:p>
        </w:tc>
        <w:tc>
          <w:tcPr>
            <w:tcW w:w="1699" w:type="dxa"/>
            <w:tcBorders>
              <w:top w:val="nil"/>
              <w:bottom w:val="nil"/>
              <w:right w:val="single" w:sz="16" w:space="0" w:color="000000"/>
            </w:tcBorders>
            <w:shd w:val="clear" w:color="auto" w:fill="FFFFFF"/>
            <w:vAlign w:val="center"/>
          </w:tcPr>
          <w:p w14:paraId="7843347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,192037262947683</w:t>
            </w:r>
          </w:p>
        </w:tc>
      </w:tr>
      <w:tr w:rsidR="00017BAA" w:rsidRPr="00017BAA" w14:paraId="16E852C9" w14:textId="77777777" w:rsidTr="00017BAA">
        <w:trPr>
          <w:cantSplit/>
        </w:trPr>
        <w:tc>
          <w:tcPr>
            <w:tcW w:w="709" w:type="dxa"/>
            <w:vMerge/>
            <w:tcBorders>
              <w:top w:val="nil"/>
              <w:left w:val="single" w:sz="16" w:space="0" w:color="000000"/>
              <w:right w:val="nil"/>
            </w:tcBorders>
            <w:shd w:val="clear" w:color="auto" w:fill="FFFFFF"/>
          </w:tcPr>
          <w:p w14:paraId="73B43BA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460672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1843" w:type="dxa"/>
            <w:tcBorders>
              <w:top w:val="nil"/>
              <w:left w:val="single" w:sz="16" w:space="0" w:color="000000"/>
              <w:bottom w:val="nil"/>
            </w:tcBorders>
            <w:shd w:val="clear" w:color="auto" w:fill="FFFFFF"/>
            <w:vAlign w:val="center"/>
          </w:tcPr>
          <w:p w14:paraId="6162311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-1,017460999739065</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0F0204B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,312059945781262</w:t>
            </w:r>
          </w:p>
        </w:tc>
        <w:tc>
          <w:tcPr>
            <w:tcW w:w="709" w:type="dxa"/>
            <w:tcBorders>
              <w:top w:val="nil"/>
              <w:bottom w:val="nil"/>
            </w:tcBorders>
            <w:shd w:val="clear" w:color="auto" w:fill="FFFFFF"/>
            <w:vAlign w:val="center"/>
          </w:tcPr>
          <w:p w14:paraId="5B7CA82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,001</w:t>
            </w:r>
          </w:p>
        </w:tc>
        <w:tc>
          <w:tcPr>
            <w:tcW w:w="1701" w:type="dxa"/>
            <w:tcBorders>
              <w:top w:val="nil"/>
              <w:bottom w:val="nil"/>
            </w:tcBorders>
            <w:shd w:val="clear" w:color="auto" w:fill="FFFFFF"/>
            <w:vAlign w:val="center"/>
          </w:tcPr>
          <w:p w14:paraId="584B52F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-1,629176362303684</w:t>
            </w:r>
          </w:p>
        </w:tc>
        <w:tc>
          <w:tcPr>
            <w:tcW w:w="1699" w:type="dxa"/>
            <w:tcBorders>
              <w:top w:val="nil"/>
              <w:bottom w:val="nil"/>
              <w:right w:val="single" w:sz="16" w:space="0" w:color="000000"/>
            </w:tcBorders>
            <w:shd w:val="clear" w:color="auto" w:fill="FFFFFF"/>
            <w:vAlign w:val="center"/>
          </w:tcPr>
          <w:p w14:paraId="5CBB423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-,405745637174445</w:t>
            </w:r>
          </w:p>
        </w:tc>
      </w:tr>
      <w:tr w:rsidR="00017BAA" w:rsidRPr="00017BAA" w14:paraId="35EDD61B" w14:textId="77777777" w:rsidTr="00017BAA">
        <w:trPr>
          <w:cantSplit/>
        </w:trPr>
        <w:tc>
          <w:tcPr>
            <w:tcW w:w="709" w:type="dxa"/>
            <w:vMerge/>
            <w:tcBorders>
              <w:top w:val="nil"/>
              <w:left w:val="single" w:sz="16" w:space="0" w:color="000000"/>
              <w:right w:val="nil"/>
            </w:tcBorders>
            <w:shd w:val="clear" w:color="auto" w:fill="FFFFFF"/>
          </w:tcPr>
          <w:p w14:paraId="69BCA6D5"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right w:val="single" w:sz="16" w:space="0" w:color="000000"/>
            </w:tcBorders>
            <w:shd w:val="clear" w:color="auto" w:fill="FFFFFF"/>
          </w:tcPr>
          <w:p w14:paraId="055933F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1843" w:type="dxa"/>
            <w:tcBorders>
              <w:top w:val="nil"/>
              <w:left w:val="single" w:sz="16" w:space="0" w:color="000000"/>
            </w:tcBorders>
            <w:shd w:val="clear" w:color="auto" w:fill="FFFFFF"/>
            <w:vAlign w:val="center"/>
          </w:tcPr>
          <w:p w14:paraId="4A2B448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,017013796477612</w:t>
            </w:r>
          </w:p>
        </w:tc>
        <w:tc>
          <w:tcPr>
            <w:tcW w:w="1701" w:type="dxa"/>
            <w:tcBorders>
              <w:top w:val="nil"/>
            </w:tcBorders>
            <w:shd w:val="clear" w:color="auto" w:fill="FFFFFF"/>
            <w:vAlign w:val="center"/>
          </w:tcPr>
          <w:p w14:paraId="78EFBE0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,249560286413438</w:t>
            </w:r>
          </w:p>
        </w:tc>
        <w:tc>
          <w:tcPr>
            <w:tcW w:w="709" w:type="dxa"/>
            <w:tcBorders>
              <w:top w:val="nil"/>
            </w:tcBorders>
            <w:shd w:val="clear" w:color="auto" w:fill="FFFFFF"/>
            <w:vAlign w:val="center"/>
          </w:tcPr>
          <w:p w14:paraId="205B444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,946</w:t>
            </w:r>
          </w:p>
        </w:tc>
        <w:tc>
          <w:tcPr>
            <w:tcW w:w="1701" w:type="dxa"/>
            <w:tcBorders>
              <w:top w:val="nil"/>
            </w:tcBorders>
            <w:shd w:val="clear" w:color="auto" w:fill="FFFFFF"/>
            <w:vAlign w:val="center"/>
          </w:tcPr>
          <w:p w14:paraId="68582BB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-,472186638082911</w:t>
            </w:r>
          </w:p>
        </w:tc>
        <w:tc>
          <w:tcPr>
            <w:tcW w:w="1699" w:type="dxa"/>
            <w:tcBorders>
              <w:top w:val="nil"/>
              <w:right w:val="single" w:sz="16" w:space="0" w:color="000000"/>
            </w:tcBorders>
            <w:shd w:val="clear" w:color="auto" w:fill="FFFFFF"/>
            <w:vAlign w:val="center"/>
          </w:tcPr>
          <w:p w14:paraId="1992F5D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,506214231038136</w:t>
            </w:r>
          </w:p>
        </w:tc>
      </w:tr>
      <w:tr w:rsidR="00017BAA" w:rsidRPr="00017BAA" w14:paraId="59579C6A" w14:textId="77777777" w:rsidTr="00017BAA">
        <w:trPr>
          <w:cantSplit/>
        </w:trPr>
        <w:tc>
          <w:tcPr>
            <w:tcW w:w="709" w:type="dxa"/>
            <w:vMerge w:val="restart"/>
            <w:tcBorders>
              <w:top w:val="nil"/>
              <w:left w:val="single" w:sz="16" w:space="0" w:color="000000"/>
              <w:right w:val="nil"/>
            </w:tcBorders>
            <w:shd w:val="clear" w:color="auto" w:fill="FFFFFF"/>
          </w:tcPr>
          <w:p w14:paraId="003B889A"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567" w:type="dxa"/>
            <w:tcBorders>
              <w:top w:val="nil"/>
              <w:left w:val="nil"/>
              <w:bottom w:val="nil"/>
              <w:right w:val="single" w:sz="16" w:space="0" w:color="000000"/>
            </w:tcBorders>
            <w:shd w:val="clear" w:color="auto" w:fill="FFFFFF"/>
          </w:tcPr>
          <w:p w14:paraId="06F437AB"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1843" w:type="dxa"/>
            <w:tcBorders>
              <w:top w:val="nil"/>
              <w:left w:val="single" w:sz="16" w:space="0" w:color="000000"/>
              <w:bottom w:val="nil"/>
            </w:tcBorders>
            <w:shd w:val="clear" w:color="auto" w:fill="FFFFFF"/>
            <w:vAlign w:val="center"/>
          </w:tcPr>
          <w:p w14:paraId="620845A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2,664388962995524</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266130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,304730094269515</w:t>
            </w:r>
          </w:p>
        </w:tc>
        <w:tc>
          <w:tcPr>
            <w:tcW w:w="709" w:type="dxa"/>
            <w:tcBorders>
              <w:top w:val="nil"/>
              <w:bottom w:val="nil"/>
            </w:tcBorders>
            <w:shd w:val="clear" w:color="auto" w:fill="FFFFFF"/>
            <w:vAlign w:val="center"/>
          </w:tcPr>
          <w:p w14:paraId="50F48A2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50658E6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2,067041938423875</w:t>
            </w:r>
          </w:p>
        </w:tc>
        <w:tc>
          <w:tcPr>
            <w:tcW w:w="1699" w:type="dxa"/>
            <w:tcBorders>
              <w:top w:val="nil"/>
              <w:bottom w:val="nil"/>
              <w:right w:val="single" w:sz="16" w:space="0" w:color="000000"/>
            </w:tcBorders>
            <w:shd w:val="clear" w:color="auto" w:fill="FFFFFF"/>
            <w:vAlign w:val="center"/>
          </w:tcPr>
          <w:p w14:paraId="6315E0A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3,261735987567173</w:t>
            </w:r>
          </w:p>
        </w:tc>
      </w:tr>
      <w:tr w:rsidR="00017BAA" w:rsidRPr="00017BAA" w14:paraId="62B6DBAC" w14:textId="77777777" w:rsidTr="00017BAA">
        <w:trPr>
          <w:cantSplit/>
        </w:trPr>
        <w:tc>
          <w:tcPr>
            <w:tcW w:w="709" w:type="dxa"/>
            <w:vMerge/>
            <w:tcBorders>
              <w:top w:val="nil"/>
              <w:left w:val="single" w:sz="16" w:space="0" w:color="000000"/>
              <w:right w:val="nil"/>
            </w:tcBorders>
            <w:shd w:val="clear" w:color="auto" w:fill="FFFFFF"/>
          </w:tcPr>
          <w:p w14:paraId="1118682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05F5064"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1843" w:type="dxa"/>
            <w:tcBorders>
              <w:top w:val="nil"/>
              <w:left w:val="single" w:sz="16" w:space="0" w:color="000000"/>
              <w:bottom w:val="nil"/>
            </w:tcBorders>
            <w:shd w:val="clear" w:color="auto" w:fill="FFFFFF"/>
            <w:vAlign w:val="center"/>
          </w:tcPr>
          <w:p w14:paraId="139BF21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1,852100996897319</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60A2DCE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,403915311673832</w:t>
            </w:r>
          </w:p>
        </w:tc>
        <w:tc>
          <w:tcPr>
            <w:tcW w:w="709" w:type="dxa"/>
            <w:tcBorders>
              <w:top w:val="nil"/>
              <w:bottom w:val="nil"/>
            </w:tcBorders>
            <w:shd w:val="clear" w:color="auto" w:fill="FFFFFF"/>
            <w:vAlign w:val="center"/>
          </w:tcPr>
          <w:p w14:paraId="630087F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266DF67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1,060326196362197</w:t>
            </w:r>
          </w:p>
        </w:tc>
        <w:tc>
          <w:tcPr>
            <w:tcW w:w="1699" w:type="dxa"/>
            <w:tcBorders>
              <w:top w:val="nil"/>
              <w:bottom w:val="nil"/>
              <w:right w:val="single" w:sz="16" w:space="0" w:color="000000"/>
            </w:tcBorders>
            <w:shd w:val="clear" w:color="auto" w:fill="FFFFFF"/>
            <w:vAlign w:val="center"/>
          </w:tcPr>
          <w:p w14:paraId="6394E8E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2,643875797432441</w:t>
            </w:r>
          </w:p>
        </w:tc>
      </w:tr>
      <w:tr w:rsidR="00017BAA" w:rsidRPr="00017BAA" w14:paraId="053B9CD8" w14:textId="77777777" w:rsidTr="00017BAA">
        <w:trPr>
          <w:cantSplit/>
        </w:trPr>
        <w:tc>
          <w:tcPr>
            <w:tcW w:w="709" w:type="dxa"/>
            <w:vMerge/>
            <w:tcBorders>
              <w:top w:val="nil"/>
              <w:left w:val="single" w:sz="16" w:space="0" w:color="000000"/>
              <w:right w:val="nil"/>
            </w:tcBorders>
            <w:shd w:val="clear" w:color="auto" w:fill="FFFFFF"/>
          </w:tcPr>
          <w:p w14:paraId="1C1650D2"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F273B05"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1843" w:type="dxa"/>
            <w:tcBorders>
              <w:top w:val="nil"/>
              <w:left w:val="single" w:sz="16" w:space="0" w:color="000000"/>
              <w:bottom w:val="nil"/>
            </w:tcBorders>
            <w:shd w:val="clear" w:color="auto" w:fill="FFFFFF"/>
            <w:vAlign w:val="center"/>
          </w:tcPr>
          <w:p w14:paraId="3F0FE12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1,668619382127932</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5F3E0AD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,365921700018318</w:t>
            </w:r>
          </w:p>
        </w:tc>
        <w:tc>
          <w:tcPr>
            <w:tcW w:w="709" w:type="dxa"/>
            <w:tcBorders>
              <w:top w:val="nil"/>
              <w:bottom w:val="nil"/>
            </w:tcBorders>
            <w:shd w:val="clear" w:color="auto" w:fill="FFFFFF"/>
            <w:vAlign w:val="center"/>
          </w:tcPr>
          <w:p w14:paraId="6A33646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509F8C0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,951321541046244</w:t>
            </w:r>
          </w:p>
        </w:tc>
        <w:tc>
          <w:tcPr>
            <w:tcW w:w="1699" w:type="dxa"/>
            <w:tcBorders>
              <w:top w:val="nil"/>
              <w:bottom w:val="nil"/>
              <w:right w:val="single" w:sz="16" w:space="0" w:color="000000"/>
            </w:tcBorders>
            <w:shd w:val="clear" w:color="auto" w:fill="FFFFFF"/>
            <w:vAlign w:val="center"/>
          </w:tcPr>
          <w:p w14:paraId="13CB9C6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2,385917223209619</w:t>
            </w:r>
          </w:p>
        </w:tc>
      </w:tr>
      <w:tr w:rsidR="00017BAA" w:rsidRPr="00017BAA" w14:paraId="21FE2D26" w14:textId="77777777" w:rsidTr="00017BAA">
        <w:trPr>
          <w:cantSplit/>
        </w:trPr>
        <w:tc>
          <w:tcPr>
            <w:tcW w:w="709" w:type="dxa"/>
            <w:vMerge/>
            <w:tcBorders>
              <w:top w:val="nil"/>
              <w:left w:val="single" w:sz="16" w:space="0" w:color="000000"/>
              <w:right w:val="nil"/>
            </w:tcBorders>
            <w:shd w:val="clear" w:color="auto" w:fill="FFFFFF"/>
          </w:tcPr>
          <w:p w14:paraId="5AFCCF4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2FA7C0B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1843" w:type="dxa"/>
            <w:tcBorders>
              <w:top w:val="nil"/>
              <w:left w:val="single" w:sz="16" w:space="0" w:color="000000"/>
              <w:bottom w:val="nil"/>
            </w:tcBorders>
            <w:shd w:val="clear" w:color="auto" w:fill="FFFFFF"/>
            <w:vAlign w:val="center"/>
          </w:tcPr>
          <w:p w14:paraId="5198E6A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1,064425965503323</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1D4602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,346233037388577</w:t>
            </w:r>
          </w:p>
        </w:tc>
        <w:tc>
          <w:tcPr>
            <w:tcW w:w="709" w:type="dxa"/>
            <w:tcBorders>
              <w:top w:val="nil"/>
              <w:bottom w:val="nil"/>
            </w:tcBorders>
            <w:shd w:val="clear" w:color="auto" w:fill="FFFFFF"/>
            <w:vAlign w:val="center"/>
          </w:tcPr>
          <w:p w14:paraId="7B7A158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,002</w:t>
            </w:r>
          </w:p>
        </w:tc>
        <w:tc>
          <w:tcPr>
            <w:tcW w:w="1701" w:type="dxa"/>
            <w:tcBorders>
              <w:top w:val="nil"/>
              <w:bottom w:val="nil"/>
            </w:tcBorders>
            <w:shd w:val="clear" w:color="auto" w:fill="FFFFFF"/>
            <w:vAlign w:val="center"/>
          </w:tcPr>
          <w:p w14:paraId="1597E59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,385722816120411</w:t>
            </w:r>
          </w:p>
        </w:tc>
        <w:tc>
          <w:tcPr>
            <w:tcW w:w="1699" w:type="dxa"/>
            <w:tcBorders>
              <w:top w:val="nil"/>
              <w:bottom w:val="nil"/>
              <w:right w:val="single" w:sz="16" w:space="0" w:color="000000"/>
            </w:tcBorders>
            <w:shd w:val="clear" w:color="auto" w:fill="FFFFFF"/>
            <w:vAlign w:val="center"/>
          </w:tcPr>
          <w:p w14:paraId="7F4F585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1,743129114886234</w:t>
            </w:r>
          </w:p>
        </w:tc>
      </w:tr>
      <w:tr w:rsidR="00017BAA" w:rsidRPr="00017BAA" w14:paraId="417C03C8" w14:textId="77777777" w:rsidTr="00017BAA">
        <w:trPr>
          <w:cantSplit/>
        </w:trPr>
        <w:tc>
          <w:tcPr>
            <w:tcW w:w="709" w:type="dxa"/>
            <w:vMerge/>
            <w:tcBorders>
              <w:top w:val="nil"/>
              <w:left w:val="single" w:sz="16" w:space="0" w:color="000000"/>
              <w:right w:val="nil"/>
            </w:tcBorders>
            <w:shd w:val="clear" w:color="auto" w:fill="FFFFFF"/>
          </w:tcPr>
          <w:p w14:paraId="2F16CF5E"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91E0458"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1843" w:type="dxa"/>
            <w:tcBorders>
              <w:top w:val="nil"/>
              <w:left w:val="single" w:sz="16" w:space="0" w:color="000000"/>
              <w:bottom w:val="nil"/>
            </w:tcBorders>
            <w:shd w:val="clear" w:color="auto" w:fill="FFFFFF"/>
            <w:vAlign w:val="center"/>
          </w:tcPr>
          <w:p w14:paraId="2F996A7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1,103983279735004</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2B96A13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,325938924455317</w:t>
            </w:r>
          </w:p>
        </w:tc>
        <w:tc>
          <w:tcPr>
            <w:tcW w:w="709" w:type="dxa"/>
            <w:tcBorders>
              <w:top w:val="nil"/>
              <w:bottom w:val="nil"/>
            </w:tcBorders>
            <w:shd w:val="clear" w:color="auto" w:fill="FFFFFF"/>
            <w:vAlign w:val="center"/>
          </w:tcPr>
          <w:p w14:paraId="4CB46F9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,001</w:t>
            </w:r>
          </w:p>
        </w:tc>
        <w:tc>
          <w:tcPr>
            <w:tcW w:w="1701" w:type="dxa"/>
            <w:tcBorders>
              <w:top w:val="nil"/>
              <w:bottom w:val="nil"/>
            </w:tcBorders>
            <w:shd w:val="clear" w:color="auto" w:fill="FFFFFF"/>
            <w:vAlign w:val="center"/>
          </w:tcPr>
          <w:p w14:paraId="412A945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,465061655724780</w:t>
            </w:r>
          </w:p>
        </w:tc>
        <w:tc>
          <w:tcPr>
            <w:tcW w:w="1699" w:type="dxa"/>
            <w:tcBorders>
              <w:top w:val="nil"/>
              <w:bottom w:val="nil"/>
              <w:right w:val="single" w:sz="16" w:space="0" w:color="000000"/>
            </w:tcBorders>
            <w:shd w:val="clear" w:color="auto" w:fill="FFFFFF"/>
            <w:vAlign w:val="center"/>
          </w:tcPr>
          <w:p w14:paraId="1989407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1,742904903745229</w:t>
            </w:r>
          </w:p>
        </w:tc>
      </w:tr>
      <w:tr w:rsidR="00017BAA" w:rsidRPr="00017BAA" w14:paraId="15735221" w14:textId="77777777" w:rsidTr="00017BAA">
        <w:trPr>
          <w:cantSplit/>
        </w:trPr>
        <w:tc>
          <w:tcPr>
            <w:tcW w:w="709" w:type="dxa"/>
            <w:vMerge/>
            <w:tcBorders>
              <w:top w:val="nil"/>
              <w:left w:val="single" w:sz="16" w:space="0" w:color="000000"/>
              <w:right w:val="nil"/>
            </w:tcBorders>
            <w:shd w:val="clear" w:color="auto" w:fill="FFFFFF"/>
          </w:tcPr>
          <w:p w14:paraId="4DA9D99C"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80E1A3B"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1843" w:type="dxa"/>
            <w:tcBorders>
              <w:top w:val="nil"/>
              <w:left w:val="single" w:sz="16" w:space="0" w:color="000000"/>
              <w:bottom w:val="nil"/>
            </w:tcBorders>
            <w:shd w:val="clear" w:color="auto" w:fill="FFFFFF"/>
            <w:vAlign w:val="center"/>
          </w:tcPr>
          <w:p w14:paraId="2010F3C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,199981223185943</w:t>
            </w:r>
          </w:p>
        </w:tc>
        <w:tc>
          <w:tcPr>
            <w:tcW w:w="1701" w:type="dxa"/>
            <w:tcBorders>
              <w:top w:val="nil"/>
              <w:bottom w:val="nil"/>
            </w:tcBorders>
            <w:shd w:val="clear" w:color="auto" w:fill="FFFFFF"/>
            <w:vAlign w:val="center"/>
          </w:tcPr>
          <w:p w14:paraId="4564981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,317449362857214</w:t>
            </w:r>
          </w:p>
        </w:tc>
        <w:tc>
          <w:tcPr>
            <w:tcW w:w="709" w:type="dxa"/>
            <w:tcBorders>
              <w:top w:val="nil"/>
              <w:bottom w:val="nil"/>
            </w:tcBorders>
            <w:shd w:val="clear" w:color="auto" w:fill="FFFFFF"/>
            <w:vAlign w:val="center"/>
          </w:tcPr>
          <w:p w14:paraId="3F2BAE2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,529</w:t>
            </w:r>
          </w:p>
        </w:tc>
        <w:tc>
          <w:tcPr>
            <w:tcW w:w="1701" w:type="dxa"/>
            <w:tcBorders>
              <w:top w:val="nil"/>
              <w:bottom w:val="nil"/>
            </w:tcBorders>
            <w:shd w:val="clear" w:color="auto" w:fill="FFFFFF"/>
            <w:vAlign w:val="center"/>
          </w:tcPr>
          <w:p w14:paraId="09C4FB6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-,422298741677682</w:t>
            </w:r>
          </w:p>
        </w:tc>
        <w:tc>
          <w:tcPr>
            <w:tcW w:w="1699" w:type="dxa"/>
            <w:tcBorders>
              <w:top w:val="nil"/>
              <w:bottom w:val="nil"/>
              <w:right w:val="single" w:sz="16" w:space="0" w:color="000000"/>
            </w:tcBorders>
            <w:shd w:val="clear" w:color="auto" w:fill="FFFFFF"/>
            <w:vAlign w:val="center"/>
          </w:tcPr>
          <w:p w14:paraId="64EDE4E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,822261188049568</w:t>
            </w:r>
          </w:p>
        </w:tc>
      </w:tr>
      <w:tr w:rsidR="00017BAA" w:rsidRPr="00017BAA" w14:paraId="1EC36640" w14:textId="77777777" w:rsidTr="00017BAA">
        <w:trPr>
          <w:cantSplit/>
        </w:trPr>
        <w:tc>
          <w:tcPr>
            <w:tcW w:w="709" w:type="dxa"/>
            <w:vMerge/>
            <w:tcBorders>
              <w:top w:val="nil"/>
              <w:left w:val="single" w:sz="16" w:space="0" w:color="000000"/>
              <w:right w:val="nil"/>
            </w:tcBorders>
            <w:shd w:val="clear" w:color="auto" w:fill="FFFFFF"/>
          </w:tcPr>
          <w:p w14:paraId="04227829"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39686AE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1843" w:type="dxa"/>
            <w:tcBorders>
              <w:top w:val="nil"/>
              <w:left w:val="single" w:sz="16" w:space="0" w:color="000000"/>
              <w:bottom w:val="nil"/>
            </w:tcBorders>
            <w:shd w:val="clear" w:color="auto" w:fill="FFFFFF"/>
            <w:vAlign w:val="center"/>
          </w:tcPr>
          <w:p w14:paraId="75D9E79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,402373387712673</w:t>
            </w:r>
          </w:p>
        </w:tc>
        <w:tc>
          <w:tcPr>
            <w:tcW w:w="1701" w:type="dxa"/>
            <w:tcBorders>
              <w:top w:val="nil"/>
              <w:bottom w:val="nil"/>
            </w:tcBorders>
            <w:shd w:val="clear" w:color="auto" w:fill="FFFFFF"/>
            <w:vAlign w:val="center"/>
          </w:tcPr>
          <w:p w14:paraId="4397B87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,303232135023061</w:t>
            </w:r>
          </w:p>
        </w:tc>
        <w:tc>
          <w:tcPr>
            <w:tcW w:w="709" w:type="dxa"/>
            <w:tcBorders>
              <w:top w:val="nil"/>
              <w:bottom w:val="nil"/>
            </w:tcBorders>
            <w:shd w:val="clear" w:color="auto" w:fill="FFFFFF"/>
            <w:vAlign w:val="center"/>
          </w:tcPr>
          <w:p w14:paraId="2E8BC6A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,185</w:t>
            </w:r>
          </w:p>
        </w:tc>
        <w:tc>
          <w:tcPr>
            <w:tcW w:w="1701" w:type="dxa"/>
            <w:tcBorders>
              <w:top w:val="nil"/>
              <w:bottom w:val="nil"/>
            </w:tcBorders>
            <w:shd w:val="clear" w:color="auto" w:fill="FFFFFF"/>
            <w:vAlign w:val="center"/>
          </w:tcPr>
          <w:p w14:paraId="4350DB5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-,192037262947683</w:t>
            </w:r>
          </w:p>
        </w:tc>
        <w:tc>
          <w:tcPr>
            <w:tcW w:w="1699" w:type="dxa"/>
            <w:tcBorders>
              <w:top w:val="nil"/>
              <w:bottom w:val="nil"/>
              <w:right w:val="single" w:sz="16" w:space="0" w:color="000000"/>
            </w:tcBorders>
            <w:shd w:val="clear" w:color="auto" w:fill="FFFFFF"/>
            <w:vAlign w:val="center"/>
          </w:tcPr>
          <w:p w14:paraId="0FFAACC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,996784038373030</w:t>
            </w:r>
          </w:p>
        </w:tc>
      </w:tr>
      <w:tr w:rsidR="00017BAA" w:rsidRPr="00017BAA" w14:paraId="55904219" w14:textId="77777777" w:rsidTr="00017BAA">
        <w:trPr>
          <w:cantSplit/>
        </w:trPr>
        <w:tc>
          <w:tcPr>
            <w:tcW w:w="709" w:type="dxa"/>
            <w:vMerge/>
            <w:tcBorders>
              <w:top w:val="nil"/>
              <w:left w:val="single" w:sz="16" w:space="0" w:color="000000"/>
              <w:right w:val="nil"/>
            </w:tcBorders>
            <w:shd w:val="clear" w:color="auto" w:fill="FFFFFF"/>
          </w:tcPr>
          <w:p w14:paraId="493666D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471310EE"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1843" w:type="dxa"/>
            <w:tcBorders>
              <w:top w:val="nil"/>
              <w:left w:val="single" w:sz="16" w:space="0" w:color="000000"/>
              <w:bottom w:val="nil"/>
            </w:tcBorders>
            <w:shd w:val="clear" w:color="auto" w:fill="FFFFFF"/>
            <w:vAlign w:val="center"/>
          </w:tcPr>
          <w:p w14:paraId="417D4C5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-,615087612026391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EE72D5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,303126961330166</w:t>
            </w:r>
          </w:p>
        </w:tc>
        <w:tc>
          <w:tcPr>
            <w:tcW w:w="709" w:type="dxa"/>
            <w:tcBorders>
              <w:top w:val="nil"/>
              <w:bottom w:val="nil"/>
            </w:tcBorders>
            <w:shd w:val="clear" w:color="auto" w:fill="FFFFFF"/>
            <w:vAlign w:val="center"/>
          </w:tcPr>
          <w:p w14:paraId="05C3BDE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,042</w:t>
            </w:r>
          </w:p>
        </w:tc>
        <w:tc>
          <w:tcPr>
            <w:tcW w:w="1701" w:type="dxa"/>
            <w:tcBorders>
              <w:top w:val="nil"/>
              <w:bottom w:val="nil"/>
            </w:tcBorders>
            <w:shd w:val="clear" w:color="auto" w:fill="FFFFFF"/>
            <w:vAlign w:val="center"/>
          </w:tcPr>
          <w:p w14:paraId="4159D3B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-1,209292096004509</w:t>
            </w:r>
          </w:p>
        </w:tc>
        <w:tc>
          <w:tcPr>
            <w:tcW w:w="1699" w:type="dxa"/>
            <w:tcBorders>
              <w:top w:val="nil"/>
              <w:bottom w:val="nil"/>
              <w:right w:val="single" w:sz="16" w:space="0" w:color="000000"/>
            </w:tcBorders>
            <w:shd w:val="clear" w:color="auto" w:fill="FFFFFF"/>
            <w:vAlign w:val="center"/>
          </w:tcPr>
          <w:p w14:paraId="2E1ACF5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-,020883128048274</w:t>
            </w:r>
          </w:p>
        </w:tc>
      </w:tr>
      <w:tr w:rsidR="00017BAA" w:rsidRPr="00017BAA" w14:paraId="10742314" w14:textId="77777777" w:rsidTr="00017BAA">
        <w:trPr>
          <w:cantSplit/>
        </w:trPr>
        <w:tc>
          <w:tcPr>
            <w:tcW w:w="709" w:type="dxa"/>
            <w:vMerge/>
            <w:tcBorders>
              <w:top w:val="nil"/>
              <w:left w:val="single" w:sz="16" w:space="0" w:color="000000"/>
              <w:right w:val="nil"/>
            </w:tcBorders>
            <w:shd w:val="clear" w:color="auto" w:fill="FFFFFF"/>
          </w:tcPr>
          <w:p w14:paraId="1A449399"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right w:val="single" w:sz="16" w:space="0" w:color="000000"/>
            </w:tcBorders>
            <w:shd w:val="clear" w:color="auto" w:fill="FFFFFF"/>
          </w:tcPr>
          <w:p w14:paraId="53DF183E"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1843" w:type="dxa"/>
            <w:tcBorders>
              <w:top w:val="nil"/>
              <w:left w:val="single" w:sz="16" w:space="0" w:color="000000"/>
            </w:tcBorders>
            <w:shd w:val="clear" w:color="auto" w:fill="FFFFFF"/>
            <w:vAlign w:val="center"/>
          </w:tcPr>
          <w:p w14:paraId="30B1DD3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,419387184190286</w:t>
            </w:r>
          </w:p>
        </w:tc>
        <w:tc>
          <w:tcPr>
            <w:tcW w:w="1701" w:type="dxa"/>
            <w:tcBorders>
              <w:top w:val="nil"/>
            </w:tcBorders>
            <w:shd w:val="clear" w:color="auto" w:fill="FFFFFF"/>
            <w:vAlign w:val="center"/>
          </w:tcPr>
          <w:p w14:paraId="327F4C0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,238295785692935</w:t>
            </w:r>
          </w:p>
        </w:tc>
        <w:tc>
          <w:tcPr>
            <w:tcW w:w="709" w:type="dxa"/>
            <w:tcBorders>
              <w:top w:val="nil"/>
            </w:tcBorders>
            <w:shd w:val="clear" w:color="auto" w:fill="FFFFFF"/>
            <w:vAlign w:val="center"/>
          </w:tcPr>
          <w:p w14:paraId="5894C7B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,078</w:t>
            </w:r>
          </w:p>
        </w:tc>
        <w:tc>
          <w:tcPr>
            <w:tcW w:w="1701" w:type="dxa"/>
            <w:tcBorders>
              <w:top w:val="nil"/>
            </w:tcBorders>
            <w:shd w:val="clear" w:color="auto" w:fill="FFFFFF"/>
            <w:vAlign w:val="center"/>
          </w:tcPr>
          <w:p w14:paraId="5EBDA3A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-,047732018108594</w:t>
            </w:r>
          </w:p>
        </w:tc>
        <w:tc>
          <w:tcPr>
            <w:tcW w:w="1699" w:type="dxa"/>
            <w:tcBorders>
              <w:top w:val="nil"/>
              <w:right w:val="single" w:sz="16" w:space="0" w:color="000000"/>
            </w:tcBorders>
            <w:shd w:val="clear" w:color="auto" w:fill="FFFFFF"/>
            <w:vAlign w:val="center"/>
          </w:tcPr>
          <w:p w14:paraId="2C3BE2A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,886506386489166</w:t>
            </w:r>
          </w:p>
        </w:tc>
      </w:tr>
      <w:tr w:rsidR="00017BAA" w:rsidRPr="00017BAA" w14:paraId="4B32E3FD" w14:textId="77777777" w:rsidTr="00017BAA">
        <w:trPr>
          <w:cantSplit/>
        </w:trPr>
        <w:tc>
          <w:tcPr>
            <w:tcW w:w="709" w:type="dxa"/>
            <w:vMerge w:val="restart"/>
            <w:tcBorders>
              <w:top w:val="nil"/>
              <w:left w:val="single" w:sz="16" w:space="0" w:color="000000"/>
              <w:right w:val="nil"/>
            </w:tcBorders>
            <w:shd w:val="clear" w:color="auto" w:fill="FFFFFF"/>
          </w:tcPr>
          <w:p w14:paraId="52725F0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567" w:type="dxa"/>
            <w:tcBorders>
              <w:top w:val="nil"/>
              <w:left w:val="nil"/>
              <w:bottom w:val="nil"/>
              <w:right w:val="single" w:sz="16" w:space="0" w:color="000000"/>
            </w:tcBorders>
            <w:shd w:val="clear" w:color="auto" w:fill="FFFFFF"/>
          </w:tcPr>
          <w:p w14:paraId="08B46231"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1843" w:type="dxa"/>
            <w:tcBorders>
              <w:top w:val="nil"/>
              <w:left w:val="single" w:sz="16" w:space="0" w:color="000000"/>
              <w:bottom w:val="nil"/>
            </w:tcBorders>
            <w:shd w:val="clear" w:color="auto" w:fill="FFFFFF"/>
            <w:vAlign w:val="center"/>
          </w:tcPr>
          <w:p w14:paraId="0B27B2B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3,279476575021915</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0CFEEF5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,313515729117165</w:t>
            </w:r>
          </w:p>
        </w:tc>
        <w:tc>
          <w:tcPr>
            <w:tcW w:w="709" w:type="dxa"/>
            <w:tcBorders>
              <w:top w:val="nil"/>
              <w:bottom w:val="nil"/>
            </w:tcBorders>
            <w:shd w:val="clear" w:color="auto" w:fill="FFFFFF"/>
            <w:vAlign w:val="center"/>
          </w:tcPr>
          <w:p w14:paraId="2B2FC70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62F4024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2,664907513854907</w:t>
            </w:r>
          </w:p>
        </w:tc>
        <w:tc>
          <w:tcPr>
            <w:tcW w:w="1699" w:type="dxa"/>
            <w:tcBorders>
              <w:top w:val="nil"/>
              <w:bottom w:val="nil"/>
              <w:right w:val="single" w:sz="16" w:space="0" w:color="000000"/>
            </w:tcBorders>
            <w:shd w:val="clear" w:color="auto" w:fill="FFFFFF"/>
            <w:vAlign w:val="center"/>
          </w:tcPr>
          <w:p w14:paraId="460865B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3,894045636188923</w:t>
            </w:r>
          </w:p>
        </w:tc>
      </w:tr>
      <w:tr w:rsidR="00017BAA" w:rsidRPr="00017BAA" w14:paraId="67FB51A2" w14:textId="77777777" w:rsidTr="00017BAA">
        <w:trPr>
          <w:cantSplit/>
        </w:trPr>
        <w:tc>
          <w:tcPr>
            <w:tcW w:w="709" w:type="dxa"/>
            <w:vMerge/>
            <w:tcBorders>
              <w:top w:val="nil"/>
              <w:left w:val="single" w:sz="16" w:space="0" w:color="000000"/>
              <w:right w:val="nil"/>
            </w:tcBorders>
            <w:shd w:val="clear" w:color="auto" w:fill="FFFFFF"/>
          </w:tcPr>
          <w:p w14:paraId="7A6137D3"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EA78E76"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1843" w:type="dxa"/>
            <w:tcBorders>
              <w:top w:val="nil"/>
              <w:left w:val="single" w:sz="16" w:space="0" w:color="000000"/>
              <w:bottom w:val="nil"/>
            </w:tcBorders>
            <w:shd w:val="clear" w:color="auto" w:fill="FFFFFF"/>
            <w:vAlign w:val="center"/>
          </w:tcPr>
          <w:p w14:paraId="7D114BF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2,467188608923710</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B9C096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,410584048709798</w:t>
            </w:r>
          </w:p>
        </w:tc>
        <w:tc>
          <w:tcPr>
            <w:tcW w:w="709" w:type="dxa"/>
            <w:tcBorders>
              <w:top w:val="nil"/>
              <w:bottom w:val="nil"/>
            </w:tcBorders>
            <w:shd w:val="clear" w:color="auto" w:fill="FFFFFF"/>
            <w:vAlign w:val="center"/>
          </w:tcPr>
          <w:p w14:paraId="4C20FFE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2905C15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1,662341419737136</w:t>
            </w:r>
          </w:p>
        </w:tc>
        <w:tc>
          <w:tcPr>
            <w:tcW w:w="1699" w:type="dxa"/>
            <w:tcBorders>
              <w:top w:val="nil"/>
              <w:bottom w:val="nil"/>
              <w:right w:val="single" w:sz="16" w:space="0" w:color="000000"/>
            </w:tcBorders>
            <w:shd w:val="clear" w:color="auto" w:fill="FFFFFF"/>
            <w:vAlign w:val="center"/>
          </w:tcPr>
          <w:p w14:paraId="5CD8106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3,272035798110283</w:t>
            </w:r>
          </w:p>
        </w:tc>
      </w:tr>
      <w:tr w:rsidR="00017BAA" w:rsidRPr="00017BAA" w14:paraId="5E70A214" w14:textId="77777777" w:rsidTr="00017BAA">
        <w:trPr>
          <w:cantSplit/>
        </w:trPr>
        <w:tc>
          <w:tcPr>
            <w:tcW w:w="709" w:type="dxa"/>
            <w:vMerge/>
            <w:tcBorders>
              <w:top w:val="nil"/>
              <w:left w:val="single" w:sz="16" w:space="0" w:color="000000"/>
              <w:right w:val="nil"/>
            </w:tcBorders>
            <w:shd w:val="clear" w:color="auto" w:fill="FFFFFF"/>
          </w:tcPr>
          <w:p w14:paraId="2F778F7D"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8C88DDF"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1843" w:type="dxa"/>
            <w:tcBorders>
              <w:top w:val="nil"/>
              <w:left w:val="single" w:sz="16" w:space="0" w:color="000000"/>
              <w:bottom w:val="nil"/>
            </w:tcBorders>
            <w:shd w:val="clear" w:color="auto" w:fill="FFFFFF"/>
            <w:vAlign w:val="center"/>
          </w:tcPr>
          <w:p w14:paraId="60F7673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2,283706994154323</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0E3FCCE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,373269838849399</w:t>
            </w:r>
          </w:p>
        </w:tc>
        <w:tc>
          <w:tcPr>
            <w:tcW w:w="709" w:type="dxa"/>
            <w:tcBorders>
              <w:top w:val="nil"/>
              <w:bottom w:val="nil"/>
            </w:tcBorders>
            <w:shd w:val="clear" w:color="auto" w:fill="FFFFFF"/>
            <w:vAlign w:val="center"/>
          </w:tcPr>
          <w:p w14:paraId="40A5640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23FC63A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1,552004967370506</w:t>
            </w:r>
          </w:p>
        </w:tc>
        <w:tc>
          <w:tcPr>
            <w:tcW w:w="1699" w:type="dxa"/>
            <w:tcBorders>
              <w:top w:val="nil"/>
              <w:bottom w:val="nil"/>
              <w:right w:val="single" w:sz="16" w:space="0" w:color="000000"/>
            </w:tcBorders>
            <w:shd w:val="clear" w:color="auto" w:fill="FFFFFF"/>
            <w:vAlign w:val="center"/>
          </w:tcPr>
          <w:p w14:paraId="2486B23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3,015409020938139</w:t>
            </w:r>
          </w:p>
        </w:tc>
      </w:tr>
      <w:tr w:rsidR="00017BAA" w:rsidRPr="00017BAA" w14:paraId="4E0CD210" w14:textId="77777777" w:rsidTr="00017BAA">
        <w:trPr>
          <w:cantSplit/>
        </w:trPr>
        <w:tc>
          <w:tcPr>
            <w:tcW w:w="709" w:type="dxa"/>
            <w:vMerge/>
            <w:tcBorders>
              <w:top w:val="nil"/>
              <w:left w:val="single" w:sz="16" w:space="0" w:color="000000"/>
              <w:right w:val="nil"/>
            </w:tcBorders>
            <w:shd w:val="clear" w:color="auto" w:fill="FFFFFF"/>
          </w:tcPr>
          <w:p w14:paraId="2206C3E4"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895C782"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1843" w:type="dxa"/>
            <w:tcBorders>
              <w:top w:val="nil"/>
              <w:left w:val="single" w:sz="16" w:space="0" w:color="000000"/>
              <w:bottom w:val="nil"/>
            </w:tcBorders>
            <w:shd w:val="clear" w:color="auto" w:fill="FFFFFF"/>
            <w:vAlign w:val="center"/>
          </w:tcPr>
          <w:p w14:paraId="2513C39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1,679513577529714</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024300A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,353990110355756</w:t>
            </w:r>
          </w:p>
        </w:tc>
        <w:tc>
          <w:tcPr>
            <w:tcW w:w="709" w:type="dxa"/>
            <w:tcBorders>
              <w:top w:val="nil"/>
              <w:bottom w:val="nil"/>
            </w:tcBorders>
            <w:shd w:val="clear" w:color="auto" w:fill="FFFFFF"/>
            <w:vAlign w:val="center"/>
          </w:tcPr>
          <w:p w14:paraId="5F7BB74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28328DF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,985604629495912</w:t>
            </w:r>
          </w:p>
        </w:tc>
        <w:tc>
          <w:tcPr>
            <w:tcW w:w="1699" w:type="dxa"/>
            <w:tcBorders>
              <w:top w:val="nil"/>
              <w:bottom w:val="nil"/>
              <w:right w:val="single" w:sz="16" w:space="0" w:color="000000"/>
            </w:tcBorders>
            <w:shd w:val="clear" w:color="auto" w:fill="FFFFFF"/>
            <w:vAlign w:val="center"/>
          </w:tcPr>
          <w:p w14:paraId="367BFFB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2,373422525563516</w:t>
            </w:r>
          </w:p>
        </w:tc>
      </w:tr>
      <w:tr w:rsidR="00017BAA" w:rsidRPr="00017BAA" w14:paraId="0AFA9262" w14:textId="77777777" w:rsidTr="00017BAA">
        <w:trPr>
          <w:cantSplit/>
        </w:trPr>
        <w:tc>
          <w:tcPr>
            <w:tcW w:w="709" w:type="dxa"/>
            <w:vMerge/>
            <w:tcBorders>
              <w:top w:val="nil"/>
              <w:left w:val="single" w:sz="16" w:space="0" w:color="000000"/>
              <w:right w:val="nil"/>
            </w:tcBorders>
            <w:shd w:val="clear" w:color="auto" w:fill="FFFFFF"/>
          </w:tcPr>
          <w:p w14:paraId="5CE38275"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F10A9C2"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1843" w:type="dxa"/>
            <w:tcBorders>
              <w:top w:val="nil"/>
              <w:left w:val="single" w:sz="16" w:space="0" w:color="000000"/>
              <w:bottom w:val="nil"/>
            </w:tcBorders>
            <w:shd w:val="clear" w:color="auto" w:fill="FFFFFF"/>
            <w:vAlign w:val="center"/>
          </w:tcPr>
          <w:p w14:paraId="5D4D367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1,719070891761396</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630506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,334167419904229</w:t>
            </w:r>
          </w:p>
        </w:tc>
        <w:tc>
          <w:tcPr>
            <w:tcW w:w="709" w:type="dxa"/>
            <w:tcBorders>
              <w:top w:val="nil"/>
              <w:bottom w:val="nil"/>
            </w:tcBorders>
            <w:shd w:val="clear" w:color="auto" w:fill="FFFFFF"/>
            <w:vAlign w:val="center"/>
          </w:tcPr>
          <w:p w14:paraId="36891D9D"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4541F1A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1,064019363401254</w:t>
            </w:r>
          </w:p>
        </w:tc>
        <w:tc>
          <w:tcPr>
            <w:tcW w:w="1699" w:type="dxa"/>
            <w:tcBorders>
              <w:top w:val="nil"/>
              <w:bottom w:val="nil"/>
              <w:right w:val="single" w:sz="16" w:space="0" w:color="000000"/>
            </w:tcBorders>
            <w:shd w:val="clear" w:color="auto" w:fill="FFFFFF"/>
            <w:vAlign w:val="center"/>
          </w:tcPr>
          <w:p w14:paraId="0DE0FA9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2,374122420121537</w:t>
            </w:r>
          </w:p>
        </w:tc>
      </w:tr>
      <w:tr w:rsidR="00017BAA" w:rsidRPr="00017BAA" w14:paraId="3F880080" w14:textId="77777777" w:rsidTr="00017BAA">
        <w:trPr>
          <w:cantSplit/>
        </w:trPr>
        <w:tc>
          <w:tcPr>
            <w:tcW w:w="709" w:type="dxa"/>
            <w:vMerge/>
            <w:tcBorders>
              <w:top w:val="nil"/>
              <w:left w:val="single" w:sz="16" w:space="0" w:color="000000"/>
              <w:right w:val="nil"/>
            </w:tcBorders>
            <w:shd w:val="clear" w:color="auto" w:fill="FFFFFF"/>
          </w:tcPr>
          <w:p w14:paraId="49CE621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D94DCF4"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1843" w:type="dxa"/>
            <w:tcBorders>
              <w:top w:val="nil"/>
              <w:left w:val="single" w:sz="16" w:space="0" w:color="000000"/>
              <w:bottom w:val="nil"/>
            </w:tcBorders>
            <w:shd w:val="clear" w:color="auto" w:fill="FFFFFF"/>
            <w:vAlign w:val="center"/>
          </w:tcPr>
          <w:p w14:paraId="22ED27A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,815068835212334</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7F16EF2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,325892282861702</w:t>
            </w:r>
          </w:p>
        </w:tc>
        <w:tc>
          <w:tcPr>
            <w:tcW w:w="709" w:type="dxa"/>
            <w:tcBorders>
              <w:top w:val="nil"/>
              <w:bottom w:val="nil"/>
            </w:tcBorders>
            <w:shd w:val="clear" w:color="auto" w:fill="FFFFFF"/>
            <w:vAlign w:val="center"/>
          </w:tcPr>
          <w:p w14:paraId="2DE2BCC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,012</w:t>
            </w:r>
          </w:p>
        </w:tc>
        <w:tc>
          <w:tcPr>
            <w:tcW w:w="1701" w:type="dxa"/>
            <w:tcBorders>
              <w:top w:val="nil"/>
              <w:bottom w:val="nil"/>
            </w:tcBorders>
            <w:shd w:val="clear" w:color="auto" w:fill="FFFFFF"/>
            <w:vAlign w:val="center"/>
          </w:tcPr>
          <w:p w14:paraId="6E71354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,176238640364149</w:t>
            </w:r>
          </w:p>
        </w:tc>
        <w:tc>
          <w:tcPr>
            <w:tcW w:w="1699" w:type="dxa"/>
            <w:tcBorders>
              <w:top w:val="nil"/>
              <w:bottom w:val="nil"/>
              <w:right w:val="single" w:sz="16" w:space="0" w:color="000000"/>
            </w:tcBorders>
            <w:shd w:val="clear" w:color="auto" w:fill="FFFFFF"/>
            <w:vAlign w:val="center"/>
          </w:tcPr>
          <w:p w14:paraId="0815987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1,453899030060519</w:t>
            </w:r>
          </w:p>
        </w:tc>
      </w:tr>
      <w:tr w:rsidR="00017BAA" w:rsidRPr="00017BAA" w14:paraId="6558EE79" w14:textId="77777777" w:rsidTr="00017BAA">
        <w:trPr>
          <w:cantSplit/>
        </w:trPr>
        <w:tc>
          <w:tcPr>
            <w:tcW w:w="709" w:type="dxa"/>
            <w:vMerge/>
            <w:tcBorders>
              <w:top w:val="nil"/>
              <w:left w:val="single" w:sz="16" w:space="0" w:color="000000"/>
              <w:right w:val="nil"/>
            </w:tcBorders>
            <w:shd w:val="clear" w:color="auto" w:fill="FFFFFF"/>
          </w:tcPr>
          <w:p w14:paraId="5F880976"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0DFE15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1843" w:type="dxa"/>
            <w:tcBorders>
              <w:top w:val="nil"/>
              <w:left w:val="single" w:sz="16" w:space="0" w:color="000000"/>
              <w:bottom w:val="nil"/>
            </w:tcBorders>
            <w:shd w:val="clear" w:color="auto" w:fill="FFFFFF"/>
            <w:vAlign w:val="center"/>
          </w:tcPr>
          <w:p w14:paraId="27D4888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1,017460999739065</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1F87105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,312059945781262</w:t>
            </w:r>
          </w:p>
        </w:tc>
        <w:tc>
          <w:tcPr>
            <w:tcW w:w="709" w:type="dxa"/>
            <w:tcBorders>
              <w:top w:val="nil"/>
              <w:bottom w:val="nil"/>
            </w:tcBorders>
            <w:shd w:val="clear" w:color="auto" w:fill="FFFFFF"/>
            <w:vAlign w:val="center"/>
          </w:tcPr>
          <w:p w14:paraId="1B8AC8C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,001</w:t>
            </w:r>
          </w:p>
        </w:tc>
        <w:tc>
          <w:tcPr>
            <w:tcW w:w="1701" w:type="dxa"/>
            <w:tcBorders>
              <w:top w:val="nil"/>
              <w:bottom w:val="nil"/>
            </w:tcBorders>
            <w:shd w:val="clear" w:color="auto" w:fill="FFFFFF"/>
            <w:vAlign w:val="center"/>
          </w:tcPr>
          <w:p w14:paraId="3644B94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,405745637174445</w:t>
            </w:r>
          </w:p>
        </w:tc>
        <w:tc>
          <w:tcPr>
            <w:tcW w:w="1699" w:type="dxa"/>
            <w:tcBorders>
              <w:top w:val="nil"/>
              <w:bottom w:val="nil"/>
              <w:right w:val="single" w:sz="16" w:space="0" w:color="000000"/>
            </w:tcBorders>
            <w:shd w:val="clear" w:color="auto" w:fill="FFFFFF"/>
            <w:vAlign w:val="center"/>
          </w:tcPr>
          <w:p w14:paraId="0585494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1,629176362303684</w:t>
            </w:r>
          </w:p>
        </w:tc>
      </w:tr>
      <w:tr w:rsidR="00017BAA" w:rsidRPr="00017BAA" w14:paraId="33F2A4B1" w14:textId="77777777" w:rsidTr="00017BAA">
        <w:trPr>
          <w:cantSplit/>
        </w:trPr>
        <w:tc>
          <w:tcPr>
            <w:tcW w:w="709" w:type="dxa"/>
            <w:vMerge/>
            <w:tcBorders>
              <w:top w:val="nil"/>
              <w:left w:val="single" w:sz="16" w:space="0" w:color="000000"/>
              <w:right w:val="nil"/>
            </w:tcBorders>
            <w:shd w:val="clear" w:color="auto" w:fill="FFFFFF"/>
          </w:tcPr>
          <w:p w14:paraId="1FC1955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089F37B"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1843" w:type="dxa"/>
            <w:tcBorders>
              <w:top w:val="nil"/>
              <w:left w:val="single" w:sz="16" w:space="0" w:color="000000"/>
              <w:bottom w:val="nil"/>
            </w:tcBorders>
            <w:shd w:val="clear" w:color="auto" w:fill="FFFFFF"/>
            <w:vAlign w:val="center"/>
          </w:tcPr>
          <w:p w14:paraId="274E923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,615087612026391</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0C4C54B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,303126961330166</w:t>
            </w:r>
          </w:p>
        </w:tc>
        <w:tc>
          <w:tcPr>
            <w:tcW w:w="709" w:type="dxa"/>
            <w:tcBorders>
              <w:top w:val="nil"/>
              <w:bottom w:val="nil"/>
            </w:tcBorders>
            <w:shd w:val="clear" w:color="auto" w:fill="FFFFFF"/>
            <w:vAlign w:val="center"/>
          </w:tcPr>
          <w:p w14:paraId="675A0F2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,042</w:t>
            </w:r>
          </w:p>
        </w:tc>
        <w:tc>
          <w:tcPr>
            <w:tcW w:w="1701" w:type="dxa"/>
            <w:tcBorders>
              <w:top w:val="nil"/>
              <w:bottom w:val="nil"/>
            </w:tcBorders>
            <w:shd w:val="clear" w:color="auto" w:fill="FFFFFF"/>
            <w:vAlign w:val="center"/>
          </w:tcPr>
          <w:p w14:paraId="0504008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,020883128048274</w:t>
            </w:r>
          </w:p>
        </w:tc>
        <w:tc>
          <w:tcPr>
            <w:tcW w:w="1699" w:type="dxa"/>
            <w:tcBorders>
              <w:top w:val="nil"/>
              <w:bottom w:val="nil"/>
              <w:right w:val="single" w:sz="16" w:space="0" w:color="000000"/>
            </w:tcBorders>
            <w:shd w:val="clear" w:color="auto" w:fill="FFFFFF"/>
            <w:vAlign w:val="center"/>
          </w:tcPr>
          <w:p w14:paraId="0594AE6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1,209292096004509</w:t>
            </w:r>
          </w:p>
        </w:tc>
      </w:tr>
      <w:tr w:rsidR="00017BAA" w:rsidRPr="00017BAA" w14:paraId="3591AD13" w14:textId="77777777" w:rsidTr="00017BAA">
        <w:trPr>
          <w:cantSplit/>
        </w:trPr>
        <w:tc>
          <w:tcPr>
            <w:tcW w:w="709" w:type="dxa"/>
            <w:vMerge/>
            <w:tcBorders>
              <w:top w:val="nil"/>
              <w:left w:val="single" w:sz="16" w:space="0" w:color="000000"/>
              <w:right w:val="nil"/>
            </w:tcBorders>
            <w:shd w:val="clear" w:color="auto" w:fill="FFFFFF"/>
          </w:tcPr>
          <w:p w14:paraId="7EA4F1E3"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right w:val="single" w:sz="16" w:space="0" w:color="000000"/>
            </w:tcBorders>
            <w:shd w:val="clear" w:color="auto" w:fill="FFFFFF"/>
          </w:tcPr>
          <w:p w14:paraId="18E09EA2"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1843" w:type="dxa"/>
            <w:tcBorders>
              <w:top w:val="nil"/>
              <w:left w:val="single" w:sz="16" w:space="0" w:color="000000"/>
            </w:tcBorders>
            <w:shd w:val="clear" w:color="auto" w:fill="FFFFFF"/>
            <w:vAlign w:val="center"/>
          </w:tcPr>
          <w:p w14:paraId="7C32686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1,034474796216677</w:t>
            </w:r>
            <w:r w:rsidRPr="00017BAA">
              <w:rPr>
                <w:rFonts w:eastAsiaTheme="minorEastAsia" w:cs="Arial"/>
                <w:color w:val="000000"/>
                <w:sz w:val="16"/>
                <w:szCs w:val="16"/>
                <w:vertAlign w:val="superscript"/>
                <w:lang w:val="en-GB" w:eastAsia="en-GB"/>
              </w:rPr>
              <w:t>*</w:t>
            </w:r>
          </w:p>
        </w:tc>
        <w:tc>
          <w:tcPr>
            <w:tcW w:w="1701" w:type="dxa"/>
            <w:tcBorders>
              <w:top w:val="nil"/>
            </w:tcBorders>
            <w:shd w:val="clear" w:color="auto" w:fill="FFFFFF"/>
            <w:vAlign w:val="center"/>
          </w:tcPr>
          <w:p w14:paraId="34DCBA3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,249432482907446</w:t>
            </w:r>
          </w:p>
        </w:tc>
        <w:tc>
          <w:tcPr>
            <w:tcW w:w="709" w:type="dxa"/>
            <w:tcBorders>
              <w:top w:val="nil"/>
            </w:tcBorders>
            <w:shd w:val="clear" w:color="auto" w:fill="FFFFFF"/>
            <w:vAlign w:val="center"/>
          </w:tcPr>
          <w:p w14:paraId="12E0DF2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tcBorders>
            <w:shd w:val="clear" w:color="auto" w:fill="FFFFFF"/>
            <w:vAlign w:val="center"/>
          </w:tcPr>
          <w:p w14:paraId="57DE52E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,545524888418917</w:t>
            </w:r>
          </w:p>
        </w:tc>
        <w:tc>
          <w:tcPr>
            <w:tcW w:w="1699" w:type="dxa"/>
            <w:tcBorders>
              <w:top w:val="nil"/>
              <w:right w:val="single" w:sz="16" w:space="0" w:color="000000"/>
            </w:tcBorders>
            <w:shd w:val="clear" w:color="auto" w:fill="FFFFFF"/>
            <w:vAlign w:val="center"/>
          </w:tcPr>
          <w:p w14:paraId="071E6EE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1,523424704014436</w:t>
            </w:r>
          </w:p>
        </w:tc>
      </w:tr>
      <w:tr w:rsidR="00017BAA" w:rsidRPr="00017BAA" w14:paraId="6E1E262B" w14:textId="77777777" w:rsidTr="00017BAA">
        <w:trPr>
          <w:cantSplit/>
        </w:trPr>
        <w:tc>
          <w:tcPr>
            <w:tcW w:w="709" w:type="dxa"/>
            <w:vMerge w:val="restart"/>
            <w:tcBorders>
              <w:top w:val="nil"/>
              <w:left w:val="single" w:sz="16" w:space="0" w:color="000000"/>
              <w:bottom w:val="single" w:sz="16" w:space="0" w:color="000000"/>
              <w:right w:val="nil"/>
            </w:tcBorders>
            <w:shd w:val="clear" w:color="auto" w:fill="FFFFFF"/>
          </w:tcPr>
          <w:p w14:paraId="30A96FDF"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10,0</w:t>
            </w:r>
          </w:p>
        </w:tc>
        <w:tc>
          <w:tcPr>
            <w:tcW w:w="567" w:type="dxa"/>
            <w:tcBorders>
              <w:top w:val="nil"/>
              <w:left w:val="nil"/>
              <w:bottom w:val="nil"/>
              <w:right w:val="single" w:sz="16" w:space="0" w:color="000000"/>
            </w:tcBorders>
            <w:shd w:val="clear" w:color="auto" w:fill="FFFFFF"/>
          </w:tcPr>
          <w:p w14:paraId="6F3579CD"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w:t>
            </w:r>
          </w:p>
        </w:tc>
        <w:tc>
          <w:tcPr>
            <w:tcW w:w="1843" w:type="dxa"/>
            <w:tcBorders>
              <w:top w:val="nil"/>
              <w:left w:val="single" w:sz="16" w:space="0" w:color="000000"/>
              <w:bottom w:val="nil"/>
            </w:tcBorders>
            <w:shd w:val="clear" w:color="auto" w:fill="FFFFFF"/>
            <w:vAlign w:val="center"/>
          </w:tcPr>
          <w:p w14:paraId="718EABB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2,245001778805238</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095EDAF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,251378279088749</w:t>
            </w:r>
          </w:p>
        </w:tc>
        <w:tc>
          <w:tcPr>
            <w:tcW w:w="709" w:type="dxa"/>
            <w:tcBorders>
              <w:top w:val="nil"/>
              <w:bottom w:val="nil"/>
            </w:tcBorders>
            <w:shd w:val="clear" w:color="auto" w:fill="FFFFFF"/>
            <w:vAlign w:val="center"/>
          </w:tcPr>
          <w:p w14:paraId="1702C17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5FC5EC7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1,752237624954394</w:t>
            </w:r>
          </w:p>
        </w:tc>
        <w:tc>
          <w:tcPr>
            <w:tcW w:w="1699" w:type="dxa"/>
            <w:tcBorders>
              <w:top w:val="nil"/>
              <w:bottom w:val="nil"/>
              <w:right w:val="single" w:sz="16" w:space="0" w:color="000000"/>
            </w:tcBorders>
            <w:shd w:val="clear" w:color="auto" w:fill="FFFFFF"/>
            <w:vAlign w:val="center"/>
          </w:tcPr>
          <w:p w14:paraId="470D8E6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2,737765932656083</w:t>
            </w:r>
          </w:p>
        </w:tc>
      </w:tr>
      <w:tr w:rsidR="00017BAA" w:rsidRPr="00017BAA" w14:paraId="58DCECE2" w14:textId="77777777" w:rsidTr="00017BAA">
        <w:trPr>
          <w:cantSplit/>
        </w:trPr>
        <w:tc>
          <w:tcPr>
            <w:tcW w:w="709" w:type="dxa"/>
            <w:vMerge/>
            <w:tcBorders>
              <w:top w:val="nil"/>
              <w:left w:val="single" w:sz="16" w:space="0" w:color="000000"/>
              <w:bottom w:val="single" w:sz="16" w:space="0" w:color="000000"/>
              <w:right w:val="nil"/>
            </w:tcBorders>
            <w:shd w:val="clear" w:color="auto" w:fill="FFFFFF"/>
          </w:tcPr>
          <w:p w14:paraId="15AB2467"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61A042BB"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2,0</w:t>
            </w:r>
          </w:p>
        </w:tc>
        <w:tc>
          <w:tcPr>
            <w:tcW w:w="1843" w:type="dxa"/>
            <w:tcBorders>
              <w:top w:val="nil"/>
              <w:left w:val="single" w:sz="16" w:space="0" w:color="000000"/>
              <w:bottom w:val="nil"/>
            </w:tcBorders>
            <w:shd w:val="clear" w:color="auto" w:fill="FFFFFF"/>
            <w:vAlign w:val="center"/>
          </w:tcPr>
          <w:p w14:paraId="5C2CEC6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1,432713812707033</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4277126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,365346668041030</w:t>
            </w:r>
          </w:p>
        </w:tc>
        <w:tc>
          <w:tcPr>
            <w:tcW w:w="709" w:type="dxa"/>
            <w:tcBorders>
              <w:top w:val="nil"/>
              <w:bottom w:val="nil"/>
            </w:tcBorders>
            <w:shd w:val="clear" w:color="auto" w:fill="FFFFFF"/>
            <w:vAlign w:val="center"/>
          </w:tcPr>
          <w:p w14:paraId="6D09B61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289C2EF5"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,716543177789509</w:t>
            </w:r>
          </w:p>
        </w:tc>
        <w:tc>
          <w:tcPr>
            <w:tcW w:w="1699" w:type="dxa"/>
            <w:tcBorders>
              <w:top w:val="nil"/>
              <w:bottom w:val="nil"/>
              <w:right w:val="single" w:sz="16" w:space="0" w:color="000000"/>
            </w:tcBorders>
            <w:shd w:val="clear" w:color="auto" w:fill="FFFFFF"/>
            <w:vAlign w:val="center"/>
          </w:tcPr>
          <w:p w14:paraId="0AC23E4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2,148884447624557</w:t>
            </w:r>
          </w:p>
        </w:tc>
      </w:tr>
      <w:tr w:rsidR="00017BAA" w:rsidRPr="00017BAA" w14:paraId="16721DF3" w14:textId="77777777" w:rsidTr="00017BAA">
        <w:trPr>
          <w:cantSplit/>
        </w:trPr>
        <w:tc>
          <w:tcPr>
            <w:tcW w:w="709" w:type="dxa"/>
            <w:vMerge/>
            <w:tcBorders>
              <w:top w:val="nil"/>
              <w:left w:val="single" w:sz="16" w:space="0" w:color="000000"/>
              <w:bottom w:val="single" w:sz="16" w:space="0" w:color="000000"/>
              <w:right w:val="nil"/>
            </w:tcBorders>
            <w:shd w:val="clear" w:color="auto" w:fill="FFFFFF"/>
          </w:tcPr>
          <w:p w14:paraId="2E787CEF"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5F5DA6B4"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w:t>
            </w:r>
          </w:p>
        </w:tc>
        <w:tc>
          <w:tcPr>
            <w:tcW w:w="1843" w:type="dxa"/>
            <w:tcBorders>
              <w:top w:val="nil"/>
              <w:left w:val="single" w:sz="16" w:space="0" w:color="000000"/>
              <w:bottom w:val="nil"/>
            </w:tcBorders>
            <w:shd w:val="clear" w:color="auto" w:fill="FFFFFF"/>
            <w:vAlign w:val="center"/>
          </w:tcPr>
          <w:p w14:paraId="26D124F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1,249232197937646</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40845FA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,322845627798193</w:t>
            </w:r>
          </w:p>
        </w:tc>
        <w:tc>
          <w:tcPr>
            <w:tcW w:w="709" w:type="dxa"/>
            <w:tcBorders>
              <w:top w:val="nil"/>
              <w:bottom w:val="nil"/>
            </w:tcBorders>
            <w:shd w:val="clear" w:color="auto" w:fill="FFFFFF"/>
            <w:vAlign w:val="center"/>
          </w:tcPr>
          <w:p w14:paraId="3155E1B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nil"/>
            </w:tcBorders>
            <w:shd w:val="clear" w:color="auto" w:fill="FFFFFF"/>
            <w:vAlign w:val="center"/>
          </w:tcPr>
          <w:p w14:paraId="46C1A3E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,616374207250805</w:t>
            </w:r>
          </w:p>
        </w:tc>
        <w:tc>
          <w:tcPr>
            <w:tcW w:w="1699" w:type="dxa"/>
            <w:tcBorders>
              <w:top w:val="nil"/>
              <w:bottom w:val="nil"/>
              <w:right w:val="single" w:sz="16" w:space="0" w:color="000000"/>
            </w:tcBorders>
            <w:shd w:val="clear" w:color="auto" w:fill="FFFFFF"/>
            <w:vAlign w:val="center"/>
          </w:tcPr>
          <w:p w14:paraId="0DB93D5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1,882090188624487</w:t>
            </w:r>
          </w:p>
        </w:tc>
      </w:tr>
      <w:tr w:rsidR="00017BAA" w:rsidRPr="00017BAA" w14:paraId="557A91A1" w14:textId="77777777" w:rsidTr="00017BAA">
        <w:trPr>
          <w:cantSplit/>
        </w:trPr>
        <w:tc>
          <w:tcPr>
            <w:tcW w:w="709" w:type="dxa"/>
            <w:vMerge/>
            <w:tcBorders>
              <w:top w:val="nil"/>
              <w:left w:val="single" w:sz="16" w:space="0" w:color="000000"/>
              <w:bottom w:val="single" w:sz="16" w:space="0" w:color="000000"/>
              <w:right w:val="nil"/>
            </w:tcBorders>
            <w:shd w:val="clear" w:color="auto" w:fill="FFFFFF"/>
          </w:tcPr>
          <w:p w14:paraId="32F3BEBB"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4BE8E267"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4,0</w:t>
            </w:r>
          </w:p>
        </w:tc>
        <w:tc>
          <w:tcPr>
            <w:tcW w:w="1843" w:type="dxa"/>
            <w:tcBorders>
              <w:top w:val="nil"/>
              <w:left w:val="single" w:sz="16" w:space="0" w:color="000000"/>
              <w:bottom w:val="nil"/>
            </w:tcBorders>
            <w:shd w:val="clear" w:color="auto" w:fill="FFFFFF"/>
            <w:vAlign w:val="center"/>
          </w:tcPr>
          <w:p w14:paraId="4042546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,645038781313037</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4BAD864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,300346341784669</w:t>
            </w:r>
          </w:p>
        </w:tc>
        <w:tc>
          <w:tcPr>
            <w:tcW w:w="709" w:type="dxa"/>
            <w:tcBorders>
              <w:top w:val="nil"/>
              <w:bottom w:val="nil"/>
            </w:tcBorders>
            <w:shd w:val="clear" w:color="auto" w:fill="FFFFFF"/>
            <w:vAlign w:val="center"/>
          </w:tcPr>
          <w:p w14:paraId="5B044F5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,032</w:t>
            </w:r>
          </w:p>
        </w:tc>
        <w:tc>
          <w:tcPr>
            <w:tcW w:w="1701" w:type="dxa"/>
            <w:tcBorders>
              <w:top w:val="nil"/>
              <w:bottom w:val="nil"/>
            </w:tcBorders>
            <w:shd w:val="clear" w:color="auto" w:fill="FFFFFF"/>
            <w:vAlign w:val="center"/>
          </w:tcPr>
          <w:p w14:paraId="4F64B3BE"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,056285005496678</w:t>
            </w:r>
          </w:p>
        </w:tc>
        <w:tc>
          <w:tcPr>
            <w:tcW w:w="1699" w:type="dxa"/>
            <w:tcBorders>
              <w:top w:val="nil"/>
              <w:bottom w:val="nil"/>
              <w:right w:val="single" w:sz="16" w:space="0" w:color="000000"/>
            </w:tcBorders>
            <w:shd w:val="clear" w:color="auto" w:fill="FFFFFF"/>
            <w:vAlign w:val="center"/>
          </w:tcPr>
          <w:p w14:paraId="65505284"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1,233792557129396</w:t>
            </w:r>
          </w:p>
        </w:tc>
      </w:tr>
      <w:tr w:rsidR="00017BAA" w:rsidRPr="00017BAA" w14:paraId="18D02700" w14:textId="77777777" w:rsidTr="00017BAA">
        <w:trPr>
          <w:cantSplit/>
        </w:trPr>
        <w:tc>
          <w:tcPr>
            <w:tcW w:w="709" w:type="dxa"/>
            <w:vMerge/>
            <w:tcBorders>
              <w:top w:val="nil"/>
              <w:left w:val="single" w:sz="16" w:space="0" w:color="000000"/>
              <w:bottom w:val="single" w:sz="16" w:space="0" w:color="000000"/>
              <w:right w:val="nil"/>
            </w:tcBorders>
            <w:shd w:val="clear" w:color="auto" w:fill="FFFFFF"/>
          </w:tcPr>
          <w:p w14:paraId="5A31BB1B"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40E3F10C"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w:t>
            </w:r>
          </w:p>
        </w:tc>
        <w:tc>
          <w:tcPr>
            <w:tcW w:w="1843" w:type="dxa"/>
            <w:tcBorders>
              <w:top w:val="nil"/>
              <w:left w:val="single" w:sz="16" w:space="0" w:color="000000"/>
              <w:bottom w:val="nil"/>
            </w:tcBorders>
            <w:shd w:val="clear" w:color="auto" w:fill="FFFFFF"/>
            <w:vAlign w:val="center"/>
          </w:tcPr>
          <w:p w14:paraId="03A324F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,684596095544719</w:t>
            </w:r>
            <w:r w:rsidRPr="00017BAA">
              <w:rPr>
                <w:rFonts w:eastAsiaTheme="minorEastAsia" w:cs="Arial"/>
                <w:color w:val="000000"/>
                <w:sz w:val="16"/>
                <w:szCs w:val="16"/>
                <w:vertAlign w:val="superscript"/>
                <w:lang w:val="en-GB" w:eastAsia="en-GB"/>
              </w:rPr>
              <w:t>*</w:t>
            </w:r>
          </w:p>
        </w:tc>
        <w:tc>
          <w:tcPr>
            <w:tcW w:w="1701" w:type="dxa"/>
            <w:tcBorders>
              <w:top w:val="nil"/>
              <w:bottom w:val="nil"/>
            </w:tcBorders>
            <w:shd w:val="clear" w:color="auto" w:fill="FFFFFF"/>
            <w:vAlign w:val="center"/>
          </w:tcPr>
          <w:p w14:paraId="24CDD5C6"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,276707049637703</w:t>
            </w:r>
          </w:p>
        </w:tc>
        <w:tc>
          <w:tcPr>
            <w:tcW w:w="709" w:type="dxa"/>
            <w:tcBorders>
              <w:top w:val="nil"/>
              <w:bottom w:val="nil"/>
            </w:tcBorders>
            <w:shd w:val="clear" w:color="auto" w:fill="FFFFFF"/>
            <w:vAlign w:val="center"/>
          </w:tcPr>
          <w:p w14:paraId="078ECFB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,013</w:t>
            </w:r>
          </w:p>
        </w:tc>
        <w:tc>
          <w:tcPr>
            <w:tcW w:w="1701" w:type="dxa"/>
            <w:tcBorders>
              <w:top w:val="nil"/>
              <w:bottom w:val="nil"/>
            </w:tcBorders>
            <w:shd w:val="clear" w:color="auto" w:fill="FFFFFF"/>
            <w:vAlign w:val="center"/>
          </w:tcPr>
          <w:p w14:paraId="0CC28D1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,142181231088001</w:t>
            </w:r>
          </w:p>
        </w:tc>
        <w:tc>
          <w:tcPr>
            <w:tcW w:w="1699" w:type="dxa"/>
            <w:tcBorders>
              <w:top w:val="nil"/>
              <w:bottom w:val="nil"/>
              <w:right w:val="single" w:sz="16" w:space="0" w:color="000000"/>
            </w:tcBorders>
            <w:shd w:val="clear" w:color="auto" w:fill="FFFFFF"/>
            <w:vAlign w:val="center"/>
          </w:tcPr>
          <w:p w14:paraId="1EAAC83A"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1,227010960001436</w:t>
            </w:r>
          </w:p>
        </w:tc>
      </w:tr>
      <w:tr w:rsidR="00017BAA" w:rsidRPr="00017BAA" w14:paraId="7C3DA72D" w14:textId="77777777" w:rsidTr="00017BAA">
        <w:trPr>
          <w:cantSplit/>
        </w:trPr>
        <w:tc>
          <w:tcPr>
            <w:tcW w:w="709" w:type="dxa"/>
            <w:vMerge/>
            <w:tcBorders>
              <w:top w:val="nil"/>
              <w:left w:val="single" w:sz="16" w:space="0" w:color="000000"/>
              <w:bottom w:val="single" w:sz="16" w:space="0" w:color="000000"/>
              <w:right w:val="nil"/>
            </w:tcBorders>
            <w:shd w:val="clear" w:color="auto" w:fill="FFFFFF"/>
          </w:tcPr>
          <w:p w14:paraId="0474DAE2"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11FDC634"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6,0</w:t>
            </w:r>
          </w:p>
        </w:tc>
        <w:tc>
          <w:tcPr>
            <w:tcW w:w="1843" w:type="dxa"/>
            <w:tcBorders>
              <w:top w:val="nil"/>
              <w:left w:val="single" w:sz="16" w:space="0" w:color="000000"/>
              <w:bottom w:val="nil"/>
            </w:tcBorders>
            <w:shd w:val="clear" w:color="auto" w:fill="FFFFFF"/>
            <w:vAlign w:val="center"/>
          </w:tcPr>
          <w:p w14:paraId="4FA971E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-,219405961004343</w:t>
            </w:r>
          </w:p>
        </w:tc>
        <w:tc>
          <w:tcPr>
            <w:tcW w:w="1701" w:type="dxa"/>
            <w:tcBorders>
              <w:top w:val="nil"/>
              <w:bottom w:val="nil"/>
            </w:tcBorders>
            <w:shd w:val="clear" w:color="auto" w:fill="FFFFFF"/>
            <w:vAlign w:val="center"/>
          </w:tcPr>
          <w:p w14:paraId="3283DA4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,266654658355268</w:t>
            </w:r>
          </w:p>
        </w:tc>
        <w:tc>
          <w:tcPr>
            <w:tcW w:w="709" w:type="dxa"/>
            <w:tcBorders>
              <w:top w:val="nil"/>
              <w:bottom w:val="nil"/>
            </w:tcBorders>
            <w:shd w:val="clear" w:color="auto" w:fill="FFFFFF"/>
            <w:vAlign w:val="center"/>
          </w:tcPr>
          <w:p w14:paraId="0758A497"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,411</w:t>
            </w:r>
          </w:p>
        </w:tc>
        <w:tc>
          <w:tcPr>
            <w:tcW w:w="1701" w:type="dxa"/>
            <w:tcBorders>
              <w:top w:val="nil"/>
              <w:bottom w:val="nil"/>
            </w:tcBorders>
            <w:shd w:val="clear" w:color="auto" w:fill="FFFFFF"/>
            <w:vAlign w:val="center"/>
          </w:tcPr>
          <w:p w14:paraId="6EAEF870"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-,742115630157699</w:t>
            </w:r>
          </w:p>
        </w:tc>
        <w:tc>
          <w:tcPr>
            <w:tcW w:w="1699" w:type="dxa"/>
            <w:tcBorders>
              <w:top w:val="nil"/>
              <w:bottom w:val="nil"/>
              <w:right w:val="single" w:sz="16" w:space="0" w:color="000000"/>
            </w:tcBorders>
            <w:shd w:val="clear" w:color="auto" w:fill="FFFFFF"/>
            <w:vAlign w:val="center"/>
          </w:tcPr>
          <w:p w14:paraId="497DDAB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,303303708149014</w:t>
            </w:r>
          </w:p>
        </w:tc>
      </w:tr>
      <w:tr w:rsidR="00017BAA" w:rsidRPr="00017BAA" w14:paraId="02DE01D3" w14:textId="77777777" w:rsidTr="00017BAA">
        <w:trPr>
          <w:cantSplit/>
        </w:trPr>
        <w:tc>
          <w:tcPr>
            <w:tcW w:w="709" w:type="dxa"/>
            <w:vMerge/>
            <w:tcBorders>
              <w:top w:val="nil"/>
              <w:left w:val="single" w:sz="16" w:space="0" w:color="000000"/>
              <w:bottom w:val="single" w:sz="16" w:space="0" w:color="000000"/>
              <w:right w:val="nil"/>
            </w:tcBorders>
            <w:shd w:val="clear" w:color="auto" w:fill="FFFFFF"/>
          </w:tcPr>
          <w:p w14:paraId="644368B9"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09157952"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7,0</w:t>
            </w:r>
          </w:p>
        </w:tc>
        <w:tc>
          <w:tcPr>
            <w:tcW w:w="1843" w:type="dxa"/>
            <w:tcBorders>
              <w:top w:val="nil"/>
              <w:left w:val="single" w:sz="16" w:space="0" w:color="000000"/>
              <w:bottom w:val="nil"/>
            </w:tcBorders>
            <w:shd w:val="clear" w:color="auto" w:fill="FFFFFF"/>
            <w:vAlign w:val="center"/>
          </w:tcPr>
          <w:p w14:paraId="17DBF8C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-,017013796477612</w:t>
            </w:r>
          </w:p>
        </w:tc>
        <w:tc>
          <w:tcPr>
            <w:tcW w:w="1701" w:type="dxa"/>
            <w:tcBorders>
              <w:top w:val="nil"/>
              <w:bottom w:val="nil"/>
            </w:tcBorders>
            <w:shd w:val="clear" w:color="auto" w:fill="FFFFFF"/>
            <w:vAlign w:val="center"/>
          </w:tcPr>
          <w:p w14:paraId="6CE4011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,249560286413438</w:t>
            </w:r>
          </w:p>
        </w:tc>
        <w:tc>
          <w:tcPr>
            <w:tcW w:w="709" w:type="dxa"/>
            <w:tcBorders>
              <w:top w:val="nil"/>
              <w:bottom w:val="nil"/>
            </w:tcBorders>
            <w:shd w:val="clear" w:color="auto" w:fill="FFFFFF"/>
            <w:vAlign w:val="center"/>
          </w:tcPr>
          <w:p w14:paraId="020BF4C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,946</w:t>
            </w:r>
          </w:p>
        </w:tc>
        <w:tc>
          <w:tcPr>
            <w:tcW w:w="1701" w:type="dxa"/>
            <w:tcBorders>
              <w:top w:val="nil"/>
              <w:bottom w:val="nil"/>
            </w:tcBorders>
            <w:shd w:val="clear" w:color="auto" w:fill="FFFFFF"/>
            <w:vAlign w:val="center"/>
          </w:tcPr>
          <w:p w14:paraId="1FB9589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-,506214231038136</w:t>
            </w:r>
          </w:p>
        </w:tc>
        <w:tc>
          <w:tcPr>
            <w:tcW w:w="1699" w:type="dxa"/>
            <w:tcBorders>
              <w:top w:val="nil"/>
              <w:bottom w:val="nil"/>
              <w:right w:val="single" w:sz="16" w:space="0" w:color="000000"/>
            </w:tcBorders>
            <w:shd w:val="clear" w:color="auto" w:fill="FFFFFF"/>
            <w:vAlign w:val="center"/>
          </w:tcPr>
          <w:p w14:paraId="2487A552"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,472186638082911</w:t>
            </w:r>
          </w:p>
        </w:tc>
      </w:tr>
      <w:tr w:rsidR="00017BAA" w:rsidRPr="00017BAA" w14:paraId="37A382B4" w14:textId="77777777" w:rsidTr="00017BAA">
        <w:trPr>
          <w:cantSplit/>
        </w:trPr>
        <w:tc>
          <w:tcPr>
            <w:tcW w:w="709" w:type="dxa"/>
            <w:vMerge/>
            <w:tcBorders>
              <w:top w:val="nil"/>
              <w:left w:val="single" w:sz="16" w:space="0" w:color="000000"/>
              <w:bottom w:val="single" w:sz="16" w:space="0" w:color="000000"/>
              <w:right w:val="nil"/>
            </w:tcBorders>
            <w:shd w:val="clear" w:color="auto" w:fill="FFFFFF"/>
          </w:tcPr>
          <w:p w14:paraId="19F8B6A0"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nil"/>
              <w:right w:val="single" w:sz="16" w:space="0" w:color="000000"/>
            </w:tcBorders>
            <w:shd w:val="clear" w:color="auto" w:fill="FFFFFF"/>
          </w:tcPr>
          <w:p w14:paraId="7582C9BA"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8,0</w:t>
            </w:r>
          </w:p>
        </w:tc>
        <w:tc>
          <w:tcPr>
            <w:tcW w:w="1843" w:type="dxa"/>
            <w:tcBorders>
              <w:top w:val="nil"/>
              <w:left w:val="single" w:sz="16" w:space="0" w:color="000000"/>
              <w:bottom w:val="nil"/>
            </w:tcBorders>
            <w:shd w:val="clear" w:color="auto" w:fill="FFFFFF"/>
            <w:vAlign w:val="center"/>
          </w:tcPr>
          <w:p w14:paraId="3581DEDB"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-,419387184190286</w:t>
            </w:r>
          </w:p>
        </w:tc>
        <w:tc>
          <w:tcPr>
            <w:tcW w:w="1701" w:type="dxa"/>
            <w:tcBorders>
              <w:top w:val="nil"/>
              <w:bottom w:val="nil"/>
            </w:tcBorders>
            <w:shd w:val="clear" w:color="auto" w:fill="FFFFFF"/>
            <w:vAlign w:val="center"/>
          </w:tcPr>
          <w:p w14:paraId="524F3BD1"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,238295785692935</w:t>
            </w:r>
          </w:p>
        </w:tc>
        <w:tc>
          <w:tcPr>
            <w:tcW w:w="709" w:type="dxa"/>
            <w:tcBorders>
              <w:top w:val="nil"/>
              <w:bottom w:val="nil"/>
            </w:tcBorders>
            <w:shd w:val="clear" w:color="auto" w:fill="FFFFFF"/>
            <w:vAlign w:val="center"/>
          </w:tcPr>
          <w:p w14:paraId="44B6ACF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,078</w:t>
            </w:r>
          </w:p>
        </w:tc>
        <w:tc>
          <w:tcPr>
            <w:tcW w:w="1701" w:type="dxa"/>
            <w:tcBorders>
              <w:top w:val="nil"/>
              <w:bottom w:val="nil"/>
            </w:tcBorders>
            <w:shd w:val="clear" w:color="auto" w:fill="FFFFFF"/>
            <w:vAlign w:val="center"/>
          </w:tcPr>
          <w:p w14:paraId="2F16A37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-,886506386489166</w:t>
            </w:r>
          </w:p>
        </w:tc>
        <w:tc>
          <w:tcPr>
            <w:tcW w:w="1699" w:type="dxa"/>
            <w:tcBorders>
              <w:top w:val="nil"/>
              <w:bottom w:val="nil"/>
              <w:right w:val="single" w:sz="16" w:space="0" w:color="000000"/>
            </w:tcBorders>
            <w:shd w:val="clear" w:color="auto" w:fill="FFFFFF"/>
            <w:vAlign w:val="center"/>
          </w:tcPr>
          <w:p w14:paraId="12894833"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,047732018108594</w:t>
            </w:r>
          </w:p>
        </w:tc>
      </w:tr>
      <w:tr w:rsidR="00017BAA" w:rsidRPr="00017BAA" w14:paraId="6C486DC6" w14:textId="77777777" w:rsidTr="00017BAA">
        <w:trPr>
          <w:cantSplit/>
        </w:trPr>
        <w:tc>
          <w:tcPr>
            <w:tcW w:w="709" w:type="dxa"/>
            <w:vMerge/>
            <w:tcBorders>
              <w:top w:val="nil"/>
              <w:left w:val="single" w:sz="16" w:space="0" w:color="000000"/>
              <w:bottom w:val="single" w:sz="16" w:space="0" w:color="000000"/>
              <w:right w:val="nil"/>
            </w:tcBorders>
            <w:shd w:val="clear" w:color="auto" w:fill="FFFFFF"/>
          </w:tcPr>
          <w:p w14:paraId="16D9F362" w14:textId="77777777" w:rsidR="00017BAA" w:rsidRPr="00017BAA" w:rsidRDefault="00017BAA" w:rsidP="00017BAA">
            <w:pPr>
              <w:widowControl w:val="0"/>
              <w:autoSpaceDE w:val="0"/>
              <w:autoSpaceDN w:val="0"/>
              <w:adjustRightInd w:val="0"/>
              <w:spacing w:after="0" w:line="240" w:lineRule="auto"/>
              <w:rPr>
                <w:rFonts w:eastAsiaTheme="minorEastAsia" w:cs="Arial"/>
                <w:color w:val="000000"/>
                <w:sz w:val="16"/>
                <w:szCs w:val="16"/>
                <w:lang w:val="en-GB" w:eastAsia="en-GB"/>
              </w:rPr>
            </w:pPr>
          </w:p>
        </w:tc>
        <w:tc>
          <w:tcPr>
            <w:tcW w:w="567" w:type="dxa"/>
            <w:tcBorders>
              <w:top w:val="nil"/>
              <w:left w:val="nil"/>
              <w:bottom w:val="single" w:sz="16" w:space="0" w:color="000000"/>
              <w:right w:val="single" w:sz="16" w:space="0" w:color="000000"/>
            </w:tcBorders>
            <w:shd w:val="clear" w:color="auto" w:fill="FFFFFF"/>
          </w:tcPr>
          <w:p w14:paraId="425AAEB9" w14:textId="77777777" w:rsidR="00017BAA" w:rsidRPr="00017BAA" w:rsidRDefault="00017BAA" w:rsidP="00017BAA">
            <w:pPr>
              <w:widowControl w:val="0"/>
              <w:autoSpaceDE w:val="0"/>
              <w:autoSpaceDN w:val="0"/>
              <w:adjustRightInd w:val="0"/>
              <w:spacing w:after="0" w:line="240" w:lineRule="auto"/>
              <w:ind w:left="60" w:right="60"/>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9,0</w:t>
            </w:r>
          </w:p>
        </w:tc>
        <w:tc>
          <w:tcPr>
            <w:tcW w:w="1843" w:type="dxa"/>
            <w:tcBorders>
              <w:top w:val="nil"/>
              <w:left w:val="single" w:sz="16" w:space="0" w:color="000000"/>
              <w:bottom w:val="single" w:sz="16" w:space="0" w:color="000000"/>
            </w:tcBorders>
            <w:shd w:val="clear" w:color="auto" w:fill="FFFFFF"/>
            <w:vAlign w:val="center"/>
          </w:tcPr>
          <w:p w14:paraId="2BEDCAE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-1,034474796216677</w:t>
            </w:r>
            <w:r w:rsidRPr="00017BAA">
              <w:rPr>
                <w:rFonts w:eastAsiaTheme="minorEastAsia" w:cs="Arial"/>
                <w:color w:val="000000"/>
                <w:sz w:val="16"/>
                <w:szCs w:val="16"/>
                <w:vertAlign w:val="superscript"/>
                <w:lang w:val="en-GB" w:eastAsia="en-GB"/>
              </w:rPr>
              <w:t>*</w:t>
            </w:r>
          </w:p>
        </w:tc>
        <w:tc>
          <w:tcPr>
            <w:tcW w:w="1701" w:type="dxa"/>
            <w:tcBorders>
              <w:top w:val="nil"/>
              <w:bottom w:val="single" w:sz="16" w:space="0" w:color="000000"/>
            </w:tcBorders>
            <w:shd w:val="clear" w:color="auto" w:fill="FFFFFF"/>
            <w:vAlign w:val="center"/>
          </w:tcPr>
          <w:p w14:paraId="5C8E7FCC"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,249432482907446</w:t>
            </w:r>
          </w:p>
        </w:tc>
        <w:tc>
          <w:tcPr>
            <w:tcW w:w="709" w:type="dxa"/>
            <w:tcBorders>
              <w:top w:val="nil"/>
              <w:bottom w:val="single" w:sz="16" w:space="0" w:color="000000"/>
            </w:tcBorders>
            <w:shd w:val="clear" w:color="auto" w:fill="FFFFFF"/>
            <w:vAlign w:val="center"/>
          </w:tcPr>
          <w:p w14:paraId="61C99A8F"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,000</w:t>
            </w:r>
          </w:p>
        </w:tc>
        <w:tc>
          <w:tcPr>
            <w:tcW w:w="1701" w:type="dxa"/>
            <w:tcBorders>
              <w:top w:val="nil"/>
              <w:bottom w:val="single" w:sz="16" w:space="0" w:color="000000"/>
            </w:tcBorders>
            <w:shd w:val="clear" w:color="auto" w:fill="FFFFFF"/>
            <w:vAlign w:val="center"/>
          </w:tcPr>
          <w:p w14:paraId="0E3B5DE8"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-1,523424704014436</w:t>
            </w:r>
          </w:p>
        </w:tc>
        <w:tc>
          <w:tcPr>
            <w:tcW w:w="1699" w:type="dxa"/>
            <w:tcBorders>
              <w:top w:val="nil"/>
              <w:bottom w:val="single" w:sz="16" w:space="0" w:color="000000"/>
              <w:right w:val="single" w:sz="16" w:space="0" w:color="000000"/>
            </w:tcBorders>
            <w:shd w:val="clear" w:color="auto" w:fill="FFFFFF"/>
            <w:vAlign w:val="center"/>
          </w:tcPr>
          <w:p w14:paraId="168E4DB9" w14:textId="77777777" w:rsidR="00017BAA" w:rsidRPr="00017BAA" w:rsidRDefault="00017BAA" w:rsidP="00017BAA">
            <w:pPr>
              <w:widowControl w:val="0"/>
              <w:autoSpaceDE w:val="0"/>
              <w:autoSpaceDN w:val="0"/>
              <w:adjustRightInd w:val="0"/>
              <w:spacing w:after="0" w:line="240" w:lineRule="auto"/>
              <w:ind w:left="60" w:right="60"/>
              <w:jc w:val="right"/>
              <w:rPr>
                <w:rFonts w:eastAsiaTheme="minorEastAsia" w:cs="Arial"/>
                <w:color w:val="000000"/>
                <w:sz w:val="16"/>
                <w:szCs w:val="16"/>
                <w:lang w:val="en-GB" w:eastAsia="en-GB"/>
              </w:rPr>
            </w:pPr>
            <w:r w:rsidRPr="00017BAA">
              <w:rPr>
                <w:rFonts w:eastAsiaTheme="minorEastAsia" w:cs="Arial"/>
                <w:color w:val="000000"/>
                <w:sz w:val="16"/>
                <w:szCs w:val="16"/>
                <w:lang w:val="en-GB" w:eastAsia="en-GB"/>
              </w:rPr>
              <w:t>-,545524888418917</w:t>
            </w:r>
          </w:p>
        </w:tc>
      </w:tr>
    </w:tbl>
    <w:p w14:paraId="0BA33E69" w14:textId="30D07A7B" w:rsidR="001E6FFC" w:rsidRDefault="001E6FFC" w:rsidP="004545E0">
      <w:pPr>
        <w:rPr>
          <w:rFonts w:asciiTheme="majorHAnsi" w:eastAsiaTheme="majorEastAsia" w:hAnsiTheme="majorHAnsi" w:cstheme="majorBidi"/>
          <w:b/>
          <w:bCs/>
          <w:color w:val="4F81BD" w:themeColor="accent1"/>
          <w:sz w:val="26"/>
          <w:szCs w:val="26"/>
          <w:lang w:val="en-GB"/>
        </w:rPr>
      </w:pPr>
      <w:r>
        <w:rPr>
          <w:rFonts w:asciiTheme="majorHAnsi" w:eastAsiaTheme="majorEastAsia" w:hAnsiTheme="majorHAnsi" w:cstheme="majorBidi"/>
          <w:b/>
          <w:bCs/>
          <w:color w:val="4F81BD" w:themeColor="accent1"/>
          <w:sz w:val="26"/>
          <w:szCs w:val="26"/>
          <w:lang w:val="en-GB"/>
        </w:rPr>
        <w:br w:type="page"/>
      </w:r>
    </w:p>
    <w:p w14:paraId="4DEA6CF9" w14:textId="733D1E96" w:rsidR="008E59D3" w:rsidRPr="008E59D3" w:rsidRDefault="008E59D3" w:rsidP="00A726AB">
      <w:pPr>
        <w:pStyle w:val="Kop5"/>
      </w:pPr>
      <w:r w:rsidRPr="008E59D3">
        <w:lastRenderedPageBreak/>
        <w:t xml:space="preserve">Table </w:t>
      </w:r>
      <w:r>
        <w:fldChar w:fldCharType="begin"/>
      </w:r>
      <w:r w:rsidRPr="008E59D3">
        <w:instrText xml:space="preserve"> SEQ Table \* ARABIC </w:instrText>
      </w:r>
      <w:r>
        <w:fldChar w:fldCharType="separate"/>
      </w:r>
      <w:r w:rsidR="004043A1">
        <w:rPr>
          <w:noProof/>
        </w:rPr>
        <w:t>13</w:t>
      </w:r>
      <w:r>
        <w:fldChar w:fldCharType="end"/>
      </w:r>
      <w:r w:rsidR="003F4802">
        <w:t>: M</w:t>
      </w:r>
      <w:r w:rsidRPr="008E59D3">
        <w:t>utual relations hypothesis 2b1</w:t>
      </w:r>
    </w:p>
    <w:tbl>
      <w:tblPr>
        <w:tblW w:w="854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
        <w:gridCol w:w="1092"/>
        <w:gridCol w:w="1476"/>
        <w:gridCol w:w="1076"/>
        <w:gridCol w:w="1029"/>
        <w:gridCol w:w="1414"/>
        <w:gridCol w:w="1414"/>
      </w:tblGrid>
      <w:tr w:rsidR="009E03E3" w:rsidRPr="008E59D3" w14:paraId="6B5434E1" w14:textId="77777777" w:rsidTr="008E59D3">
        <w:trPr>
          <w:cantSplit/>
        </w:trPr>
        <w:tc>
          <w:tcPr>
            <w:tcW w:w="1046" w:type="dxa"/>
            <w:vMerge w:val="restart"/>
            <w:tcBorders>
              <w:top w:val="single" w:sz="16" w:space="0" w:color="000000"/>
              <w:left w:val="single" w:sz="16" w:space="0" w:color="000000"/>
              <w:bottom w:val="nil"/>
              <w:right w:val="nil"/>
            </w:tcBorders>
            <w:shd w:val="clear" w:color="auto" w:fill="FFFFFF"/>
            <w:vAlign w:val="bottom"/>
          </w:tcPr>
          <w:p w14:paraId="126056FF"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(I) Decile</w:t>
            </w:r>
          </w:p>
        </w:tc>
        <w:tc>
          <w:tcPr>
            <w:tcW w:w="1092" w:type="dxa"/>
            <w:vMerge w:val="restart"/>
            <w:tcBorders>
              <w:top w:val="single" w:sz="16" w:space="0" w:color="000000"/>
              <w:left w:val="nil"/>
              <w:bottom w:val="nil"/>
              <w:right w:val="single" w:sz="16" w:space="0" w:color="000000"/>
            </w:tcBorders>
            <w:shd w:val="clear" w:color="auto" w:fill="FFFFFF"/>
            <w:vAlign w:val="bottom"/>
          </w:tcPr>
          <w:p w14:paraId="14F6341B"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(J) Decile</w:t>
            </w:r>
          </w:p>
        </w:tc>
        <w:tc>
          <w:tcPr>
            <w:tcW w:w="1476" w:type="dxa"/>
            <w:vMerge w:val="restart"/>
            <w:tcBorders>
              <w:top w:val="single" w:sz="16" w:space="0" w:color="000000"/>
              <w:left w:val="single" w:sz="16" w:space="0" w:color="000000"/>
            </w:tcBorders>
            <w:shd w:val="clear" w:color="auto" w:fill="FFFFFF"/>
            <w:vAlign w:val="bottom"/>
          </w:tcPr>
          <w:p w14:paraId="44399D84" w14:textId="77777777" w:rsidR="009E03E3" w:rsidRPr="008E59D3" w:rsidRDefault="009E03E3"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Mean Difference (I-J)</w:t>
            </w:r>
          </w:p>
        </w:tc>
        <w:tc>
          <w:tcPr>
            <w:tcW w:w="1076" w:type="dxa"/>
            <w:vMerge w:val="restart"/>
            <w:tcBorders>
              <w:top w:val="single" w:sz="16" w:space="0" w:color="000000"/>
            </w:tcBorders>
            <w:shd w:val="clear" w:color="auto" w:fill="FFFFFF"/>
            <w:vAlign w:val="bottom"/>
          </w:tcPr>
          <w:p w14:paraId="715CA326" w14:textId="77777777" w:rsidR="009E03E3" w:rsidRPr="008E59D3" w:rsidRDefault="009E03E3"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Std. Error</w:t>
            </w:r>
          </w:p>
        </w:tc>
        <w:tc>
          <w:tcPr>
            <w:tcW w:w="1029" w:type="dxa"/>
            <w:vMerge w:val="restart"/>
            <w:tcBorders>
              <w:top w:val="single" w:sz="16" w:space="0" w:color="000000"/>
            </w:tcBorders>
            <w:shd w:val="clear" w:color="auto" w:fill="FFFFFF"/>
            <w:vAlign w:val="bottom"/>
          </w:tcPr>
          <w:p w14:paraId="09EBCC9D" w14:textId="77777777" w:rsidR="009E03E3" w:rsidRPr="008E59D3" w:rsidRDefault="009E03E3"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Sig.</w:t>
            </w:r>
          </w:p>
        </w:tc>
        <w:tc>
          <w:tcPr>
            <w:tcW w:w="2828" w:type="dxa"/>
            <w:gridSpan w:val="2"/>
            <w:tcBorders>
              <w:top w:val="single" w:sz="16" w:space="0" w:color="000000"/>
              <w:right w:val="single" w:sz="16" w:space="0" w:color="000000"/>
            </w:tcBorders>
            <w:shd w:val="clear" w:color="auto" w:fill="FFFFFF"/>
            <w:vAlign w:val="bottom"/>
          </w:tcPr>
          <w:p w14:paraId="3615546A" w14:textId="77777777" w:rsidR="009E03E3" w:rsidRPr="008E59D3" w:rsidRDefault="009E03E3"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95% Confidence Interval</w:t>
            </w:r>
          </w:p>
        </w:tc>
      </w:tr>
      <w:tr w:rsidR="009E03E3" w:rsidRPr="008E59D3" w14:paraId="191F0DC4" w14:textId="77777777" w:rsidTr="008E59D3">
        <w:trPr>
          <w:cantSplit/>
        </w:trPr>
        <w:tc>
          <w:tcPr>
            <w:tcW w:w="1046" w:type="dxa"/>
            <w:vMerge/>
            <w:tcBorders>
              <w:top w:val="single" w:sz="16" w:space="0" w:color="000000"/>
              <w:left w:val="single" w:sz="16" w:space="0" w:color="000000"/>
              <w:bottom w:val="nil"/>
              <w:right w:val="nil"/>
            </w:tcBorders>
            <w:shd w:val="clear" w:color="auto" w:fill="FFFFFF"/>
            <w:vAlign w:val="bottom"/>
          </w:tcPr>
          <w:p w14:paraId="187D9BCB"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vMerge/>
            <w:tcBorders>
              <w:top w:val="single" w:sz="16" w:space="0" w:color="000000"/>
              <w:left w:val="nil"/>
              <w:bottom w:val="nil"/>
              <w:right w:val="single" w:sz="16" w:space="0" w:color="000000"/>
            </w:tcBorders>
            <w:shd w:val="clear" w:color="auto" w:fill="FFFFFF"/>
            <w:vAlign w:val="bottom"/>
          </w:tcPr>
          <w:p w14:paraId="25CE7E8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476" w:type="dxa"/>
            <w:vMerge/>
            <w:tcBorders>
              <w:top w:val="single" w:sz="16" w:space="0" w:color="000000"/>
              <w:left w:val="single" w:sz="16" w:space="0" w:color="000000"/>
            </w:tcBorders>
            <w:shd w:val="clear" w:color="auto" w:fill="FFFFFF"/>
            <w:vAlign w:val="bottom"/>
          </w:tcPr>
          <w:p w14:paraId="7DD9F62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76" w:type="dxa"/>
            <w:vMerge/>
            <w:tcBorders>
              <w:top w:val="single" w:sz="16" w:space="0" w:color="000000"/>
            </w:tcBorders>
            <w:shd w:val="clear" w:color="auto" w:fill="FFFFFF"/>
            <w:vAlign w:val="bottom"/>
          </w:tcPr>
          <w:p w14:paraId="2DC658CB"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29" w:type="dxa"/>
            <w:vMerge/>
            <w:tcBorders>
              <w:top w:val="single" w:sz="16" w:space="0" w:color="000000"/>
            </w:tcBorders>
            <w:shd w:val="clear" w:color="auto" w:fill="FFFFFF"/>
            <w:vAlign w:val="bottom"/>
          </w:tcPr>
          <w:p w14:paraId="2D4936FE"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414" w:type="dxa"/>
            <w:tcBorders>
              <w:bottom w:val="single" w:sz="16" w:space="0" w:color="000000"/>
            </w:tcBorders>
            <w:shd w:val="clear" w:color="auto" w:fill="FFFFFF"/>
            <w:vAlign w:val="bottom"/>
          </w:tcPr>
          <w:p w14:paraId="6CCF808B" w14:textId="77777777" w:rsidR="009E03E3" w:rsidRPr="008E59D3" w:rsidRDefault="009E03E3"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Lower Bound</w:t>
            </w:r>
          </w:p>
        </w:tc>
        <w:tc>
          <w:tcPr>
            <w:tcW w:w="1414" w:type="dxa"/>
            <w:tcBorders>
              <w:bottom w:val="single" w:sz="16" w:space="0" w:color="000000"/>
              <w:right w:val="single" w:sz="16" w:space="0" w:color="000000"/>
            </w:tcBorders>
            <w:shd w:val="clear" w:color="auto" w:fill="FFFFFF"/>
            <w:vAlign w:val="bottom"/>
          </w:tcPr>
          <w:p w14:paraId="6F833F44" w14:textId="77777777" w:rsidR="009E03E3" w:rsidRPr="008E59D3" w:rsidRDefault="009E03E3"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Upper Bound</w:t>
            </w:r>
          </w:p>
        </w:tc>
      </w:tr>
      <w:tr w:rsidR="009E03E3" w:rsidRPr="008E59D3" w14:paraId="74581AE7" w14:textId="77777777" w:rsidTr="008E59D3">
        <w:trPr>
          <w:cantSplit/>
        </w:trPr>
        <w:tc>
          <w:tcPr>
            <w:tcW w:w="1046" w:type="dxa"/>
            <w:vMerge w:val="restart"/>
            <w:tcBorders>
              <w:top w:val="single" w:sz="16" w:space="0" w:color="000000"/>
              <w:left w:val="single" w:sz="16" w:space="0" w:color="000000"/>
              <w:right w:val="nil"/>
            </w:tcBorders>
            <w:shd w:val="clear" w:color="auto" w:fill="FFFFFF"/>
          </w:tcPr>
          <w:p w14:paraId="575FC7A2"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092" w:type="dxa"/>
            <w:tcBorders>
              <w:top w:val="single" w:sz="16" w:space="0" w:color="000000"/>
              <w:left w:val="nil"/>
              <w:bottom w:val="nil"/>
              <w:right w:val="single" w:sz="16" w:space="0" w:color="000000"/>
            </w:tcBorders>
            <w:shd w:val="clear" w:color="auto" w:fill="FFFFFF"/>
          </w:tcPr>
          <w:p w14:paraId="107A6ADF"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single" w:sz="16" w:space="0" w:color="000000"/>
              <w:left w:val="single" w:sz="16" w:space="0" w:color="000000"/>
              <w:bottom w:val="nil"/>
            </w:tcBorders>
            <w:shd w:val="clear" w:color="auto" w:fill="FFFFFF"/>
            <w:vAlign w:val="center"/>
          </w:tcPr>
          <w:p w14:paraId="4362986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,0004</w:t>
            </w:r>
          </w:p>
        </w:tc>
        <w:tc>
          <w:tcPr>
            <w:tcW w:w="1076" w:type="dxa"/>
            <w:tcBorders>
              <w:top w:val="single" w:sz="16" w:space="0" w:color="000000"/>
              <w:bottom w:val="nil"/>
            </w:tcBorders>
            <w:shd w:val="clear" w:color="auto" w:fill="FFFFFF"/>
            <w:vAlign w:val="center"/>
          </w:tcPr>
          <w:p w14:paraId="387D3B0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,0193</w:t>
            </w:r>
          </w:p>
        </w:tc>
        <w:tc>
          <w:tcPr>
            <w:tcW w:w="1029" w:type="dxa"/>
            <w:tcBorders>
              <w:top w:val="single" w:sz="16" w:space="0" w:color="000000"/>
              <w:bottom w:val="nil"/>
            </w:tcBorders>
            <w:shd w:val="clear" w:color="auto" w:fill="FFFFFF"/>
            <w:vAlign w:val="center"/>
          </w:tcPr>
          <w:p w14:paraId="374F2BD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,982</w:t>
            </w:r>
          </w:p>
        </w:tc>
        <w:tc>
          <w:tcPr>
            <w:tcW w:w="1414" w:type="dxa"/>
            <w:tcBorders>
              <w:top w:val="single" w:sz="16" w:space="0" w:color="000000"/>
              <w:bottom w:val="nil"/>
            </w:tcBorders>
            <w:shd w:val="clear" w:color="auto" w:fill="FFFFFF"/>
            <w:vAlign w:val="center"/>
          </w:tcPr>
          <w:p w14:paraId="7351302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-,037</w:t>
            </w:r>
          </w:p>
        </w:tc>
        <w:tc>
          <w:tcPr>
            <w:tcW w:w="1414" w:type="dxa"/>
            <w:tcBorders>
              <w:top w:val="single" w:sz="16" w:space="0" w:color="000000"/>
              <w:bottom w:val="nil"/>
              <w:right w:val="single" w:sz="16" w:space="0" w:color="000000"/>
            </w:tcBorders>
            <w:shd w:val="clear" w:color="auto" w:fill="FFFFFF"/>
            <w:vAlign w:val="center"/>
          </w:tcPr>
          <w:p w14:paraId="0CB0C3E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,038</w:t>
            </w:r>
          </w:p>
        </w:tc>
      </w:tr>
      <w:tr w:rsidR="009E03E3" w:rsidRPr="008E59D3" w14:paraId="4D35DD50" w14:textId="77777777" w:rsidTr="008E59D3">
        <w:trPr>
          <w:cantSplit/>
        </w:trPr>
        <w:tc>
          <w:tcPr>
            <w:tcW w:w="1046" w:type="dxa"/>
            <w:vMerge/>
            <w:tcBorders>
              <w:top w:val="single" w:sz="16" w:space="0" w:color="000000"/>
              <w:left w:val="single" w:sz="16" w:space="0" w:color="000000"/>
              <w:right w:val="nil"/>
            </w:tcBorders>
            <w:shd w:val="clear" w:color="auto" w:fill="FFFFFF"/>
          </w:tcPr>
          <w:p w14:paraId="730D13A4"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7B76101"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311148E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,0094</w:t>
            </w:r>
          </w:p>
        </w:tc>
        <w:tc>
          <w:tcPr>
            <w:tcW w:w="1076" w:type="dxa"/>
            <w:tcBorders>
              <w:top w:val="nil"/>
              <w:bottom w:val="nil"/>
            </w:tcBorders>
            <w:shd w:val="clear" w:color="auto" w:fill="FFFFFF"/>
            <w:vAlign w:val="center"/>
          </w:tcPr>
          <w:p w14:paraId="7F26316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,0171</w:t>
            </w:r>
          </w:p>
        </w:tc>
        <w:tc>
          <w:tcPr>
            <w:tcW w:w="1029" w:type="dxa"/>
            <w:tcBorders>
              <w:top w:val="nil"/>
              <w:bottom w:val="nil"/>
            </w:tcBorders>
            <w:shd w:val="clear" w:color="auto" w:fill="FFFFFF"/>
            <w:vAlign w:val="center"/>
          </w:tcPr>
          <w:p w14:paraId="774185A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,584</w:t>
            </w:r>
          </w:p>
        </w:tc>
        <w:tc>
          <w:tcPr>
            <w:tcW w:w="1414" w:type="dxa"/>
            <w:tcBorders>
              <w:top w:val="nil"/>
              <w:bottom w:val="nil"/>
            </w:tcBorders>
            <w:shd w:val="clear" w:color="auto" w:fill="FFFFFF"/>
            <w:vAlign w:val="center"/>
          </w:tcPr>
          <w:p w14:paraId="27B0ED5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-,024</w:t>
            </w:r>
          </w:p>
        </w:tc>
        <w:tc>
          <w:tcPr>
            <w:tcW w:w="1414" w:type="dxa"/>
            <w:tcBorders>
              <w:top w:val="nil"/>
              <w:bottom w:val="nil"/>
              <w:right w:val="single" w:sz="16" w:space="0" w:color="000000"/>
            </w:tcBorders>
            <w:shd w:val="clear" w:color="auto" w:fill="FFFFFF"/>
            <w:vAlign w:val="center"/>
          </w:tcPr>
          <w:p w14:paraId="498D4FA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,043</w:t>
            </w:r>
          </w:p>
        </w:tc>
      </w:tr>
      <w:tr w:rsidR="009E03E3" w:rsidRPr="008E59D3" w14:paraId="74D4680A" w14:textId="77777777" w:rsidTr="008E59D3">
        <w:trPr>
          <w:cantSplit/>
        </w:trPr>
        <w:tc>
          <w:tcPr>
            <w:tcW w:w="1046" w:type="dxa"/>
            <w:vMerge/>
            <w:tcBorders>
              <w:top w:val="single" w:sz="16" w:space="0" w:color="000000"/>
              <w:left w:val="single" w:sz="16" w:space="0" w:color="000000"/>
              <w:right w:val="nil"/>
            </w:tcBorders>
            <w:shd w:val="clear" w:color="auto" w:fill="FFFFFF"/>
          </w:tcPr>
          <w:p w14:paraId="26781484"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7B7C63F"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103D44D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,0136</w:t>
            </w:r>
          </w:p>
        </w:tc>
        <w:tc>
          <w:tcPr>
            <w:tcW w:w="1076" w:type="dxa"/>
            <w:tcBorders>
              <w:top w:val="nil"/>
              <w:bottom w:val="nil"/>
            </w:tcBorders>
            <w:shd w:val="clear" w:color="auto" w:fill="FFFFFF"/>
            <w:vAlign w:val="center"/>
          </w:tcPr>
          <w:p w14:paraId="1987B44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,0161</w:t>
            </w:r>
          </w:p>
        </w:tc>
        <w:tc>
          <w:tcPr>
            <w:tcW w:w="1029" w:type="dxa"/>
            <w:tcBorders>
              <w:top w:val="nil"/>
              <w:bottom w:val="nil"/>
            </w:tcBorders>
            <w:shd w:val="clear" w:color="auto" w:fill="FFFFFF"/>
            <w:vAlign w:val="center"/>
          </w:tcPr>
          <w:p w14:paraId="061C6B3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,400</w:t>
            </w:r>
          </w:p>
        </w:tc>
        <w:tc>
          <w:tcPr>
            <w:tcW w:w="1414" w:type="dxa"/>
            <w:tcBorders>
              <w:top w:val="nil"/>
              <w:bottom w:val="nil"/>
            </w:tcBorders>
            <w:shd w:val="clear" w:color="auto" w:fill="FFFFFF"/>
            <w:vAlign w:val="center"/>
          </w:tcPr>
          <w:p w14:paraId="0B49681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p>
        </w:tc>
        <w:tc>
          <w:tcPr>
            <w:tcW w:w="1414" w:type="dxa"/>
            <w:tcBorders>
              <w:top w:val="nil"/>
              <w:bottom w:val="nil"/>
              <w:right w:val="single" w:sz="16" w:space="0" w:color="000000"/>
            </w:tcBorders>
            <w:shd w:val="clear" w:color="auto" w:fill="FFFFFF"/>
            <w:vAlign w:val="center"/>
          </w:tcPr>
          <w:p w14:paraId="1A2ABE5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,045</w:t>
            </w:r>
          </w:p>
        </w:tc>
      </w:tr>
      <w:tr w:rsidR="009E03E3" w:rsidRPr="008E59D3" w14:paraId="15810285" w14:textId="77777777" w:rsidTr="008E59D3">
        <w:trPr>
          <w:cantSplit/>
        </w:trPr>
        <w:tc>
          <w:tcPr>
            <w:tcW w:w="1046" w:type="dxa"/>
            <w:vMerge/>
            <w:tcBorders>
              <w:top w:val="single" w:sz="16" w:space="0" w:color="000000"/>
              <w:left w:val="single" w:sz="16" w:space="0" w:color="000000"/>
              <w:right w:val="nil"/>
            </w:tcBorders>
            <w:shd w:val="clear" w:color="auto" w:fill="FFFFFF"/>
          </w:tcPr>
          <w:p w14:paraId="13A84B6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A62A848"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75DEAC8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,0024</w:t>
            </w:r>
          </w:p>
        </w:tc>
        <w:tc>
          <w:tcPr>
            <w:tcW w:w="1076" w:type="dxa"/>
            <w:tcBorders>
              <w:top w:val="nil"/>
              <w:bottom w:val="nil"/>
            </w:tcBorders>
            <w:shd w:val="clear" w:color="auto" w:fill="FFFFFF"/>
            <w:vAlign w:val="center"/>
          </w:tcPr>
          <w:p w14:paraId="7A8D466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,0154</w:t>
            </w:r>
          </w:p>
        </w:tc>
        <w:tc>
          <w:tcPr>
            <w:tcW w:w="1029" w:type="dxa"/>
            <w:tcBorders>
              <w:top w:val="nil"/>
              <w:bottom w:val="nil"/>
            </w:tcBorders>
            <w:shd w:val="clear" w:color="auto" w:fill="FFFFFF"/>
            <w:vAlign w:val="center"/>
          </w:tcPr>
          <w:p w14:paraId="18D2C06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,874</w:t>
            </w:r>
          </w:p>
        </w:tc>
        <w:tc>
          <w:tcPr>
            <w:tcW w:w="1414" w:type="dxa"/>
            <w:tcBorders>
              <w:top w:val="nil"/>
              <w:bottom w:val="nil"/>
            </w:tcBorders>
            <w:shd w:val="clear" w:color="auto" w:fill="FFFFFF"/>
            <w:vAlign w:val="center"/>
          </w:tcPr>
          <w:p w14:paraId="682BE0F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-,028</w:t>
            </w:r>
          </w:p>
        </w:tc>
        <w:tc>
          <w:tcPr>
            <w:tcW w:w="1414" w:type="dxa"/>
            <w:tcBorders>
              <w:top w:val="nil"/>
              <w:bottom w:val="nil"/>
              <w:right w:val="single" w:sz="16" w:space="0" w:color="000000"/>
            </w:tcBorders>
            <w:shd w:val="clear" w:color="auto" w:fill="FFFFFF"/>
            <w:vAlign w:val="center"/>
          </w:tcPr>
          <w:p w14:paraId="7661803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r>
      <w:tr w:rsidR="009E03E3" w:rsidRPr="008E59D3" w14:paraId="03C0841A" w14:textId="77777777" w:rsidTr="008E59D3">
        <w:trPr>
          <w:cantSplit/>
        </w:trPr>
        <w:tc>
          <w:tcPr>
            <w:tcW w:w="1046" w:type="dxa"/>
            <w:vMerge/>
            <w:tcBorders>
              <w:top w:val="single" w:sz="16" w:space="0" w:color="000000"/>
              <w:left w:val="single" w:sz="16" w:space="0" w:color="000000"/>
              <w:right w:val="nil"/>
            </w:tcBorders>
            <w:shd w:val="clear" w:color="auto" w:fill="FFFFFF"/>
          </w:tcPr>
          <w:p w14:paraId="114A6CE1"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F3FAEE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7926CD5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,0060</w:t>
            </w:r>
          </w:p>
        </w:tc>
        <w:tc>
          <w:tcPr>
            <w:tcW w:w="1076" w:type="dxa"/>
            <w:tcBorders>
              <w:top w:val="nil"/>
              <w:bottom w:val="nil"/>
            </w:tcBorders>
            <w:shd w:val="clear" w:color="auto" w:fill="FFFFFF"/>
            <w:vAlign w:val="center"/>
          </w:tcPr>
          <w:p w14:paraId="60A00CD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,0148</w:t>
            </w:r>
          </w:p>
        </w:tc>
        <w:tc>
          <w:tcPr>
            <w:tcW w:w="1029" w:type="dxa"/>
            <w:tcBorders>
              <w:top w:val="nil"/>
              <w:bottom w:val="nil"/>
            </w:tcBorders>
            <w:shd w:val="clear" w:color="auto" w:fill="FFFFFF"/>
            <w:vAlign w:val="center"/>
          </w:tcPr>
          <w:p w14:paraId="771A9C8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,684</w:t>
            </w:r>
          </w:p>
        </w:tc>
        <w:tc>
          <w:tcPr>
            <w:tcW w:w="1414" w:type="dxa"/>
            <w:tcBorders>
              <w:top w:val="nil"/>
              <w:bottom w:val="nil"/>
            </w:tcBorders>
            <w:shd w:val="clear" w:color="auto" w:fill="FFFFFF"/>
            <w:vAlign w:val="center"/>
          </w:tcPr>
          <w:p w14:paraId="52F2E45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w:t>
            </w:r>
          </w:p>
        </w:tc>
        <w:tc>
          <w:tcPr>
            <w:tcW w:w="1414" w:type="dxa"/>
            <w:tcBorders>
              <w:top w:val="nil"/>
              <w:bottom w:val="nil"/>
              <w:right w:val="single" w:sz="16" w:space="0" w:color="000000"/>
            </w:tcBorders>
            <w:shd w:val="clear" w:color="auto" w:fill="FFFFFF"/>
            <w:vAlign w:val="center"/>
          </w:tcPr>
          <w:p w14:paraId="4B2FCC6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,035</w:t>
            </w:r>
          </w:p>
        </w:tc>
      </w:tr>
      <w:tr w:rsidR="009E03E3" w:rsidRPr="008E59D3" w14:paraId="36388BD4" w14:textId="77777777" w:rsidTr="008E59D3">
        <w:trPr>
          <w:cantSplit/>
        </w:trPr>
        <w:tc>
          <w:tcPr>
            <w:tcW w:w="1046" w:type="dxa"/>
            <w:vMerge/>
            <w:tcBorders>
              <w:top w:val="single" w:sz="16" w:space="0" w:color="000000"/>
              <w:left w:val="single" w:sz="16" w:space="0" w:color="000000"/>
              <w:right w:val="nil"/>
            </w:tcBorders>
            <w:shd w:val="clear" w:color="auto" w:fill="FFFFFF"/>
          </w:tcPr>
          <w:p w14:paraId="0B988B47"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623CE40"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56AC549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-,0230</w:t>
            </w:r>
          </w:p>
        </w:tc>
        <w:tc>
          <w:tcPr>
            <w:tcW w:w="1076" w:type="dxa"/>
            <w:tcBorders>
              <w:top w:val="nil"/>
              <w:bottom w:val="nil"/>
            </w:tcBorders>
            <w:shd w:val="clear" w:color="auto" w:fill="FFFFFF"/>
            <w:vAlign w:val="center"/>
          </w:tcPr>
          <w:p w14:paraId="2C3577D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,0143</w:t>
            </w:r>
          </w:p>
        </w:tc>
        <w:tc>
          <w:tcPr>
            <w:tcW w:w="1029" w:type="dxa"/>
            <w:tcBorders>
              <w:top w:val="nil"/>
              <w:bottom w:val="nil"/>
            </w:tcBorders>
            <w:shd w:val="clear" w:color="auto" w:fill="FFFFFF"/>
            <w:vAlign w:val="center"/>
          </w:tcPr>
          <w:p w14:paraId="1A42AD2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,109</w:t>
            </w:r>
          </w:p>
        </w:tc>
        <w:tc>
          <w:tcPr>
            <w:tcW w:w="1414" w:type="dxa"/>
            <w:tcBorders>
              <w:top w:val="nil"/>
              <w:bottom w:val="nil"/>
            </w:tcBorders>
            <w:shd w:val="clear" w:color="auto" w:fill="FFFFFF"/>
            <w:vAlign w:val="center"/>
          </w:tcPr>
          <w:p w14:paraId="0AF8657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-,051</w:t>
            </w:r>
          </w:p>
        </w:tc>
        <w:tc>
          <w:tcPr>
            <w:tcW w:w="1414" w:type="dxa"/>
            <w:tcBorders>
              <w:top w:val="nil"/>
              <w:bottom w:val="nil"/>
              <w:right w:val="single" w:sz="16" w:space="0" w:color="000000"/>
            </w:tcBorders>
            <w:shd w:val="clear" w:color="auto" w:fill="FFFFFF"/>
            <w:vAlign w:val="center"/>
          </w:tcPr>
          <w:p w14:paraId="7658581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w:t>
            </w:r>
          </w:p>
        </w:tc>
      </w:tr>
      <w:tr w:rsidR="009E03E3" w:rsidRPr="008E59D3" w14:paraId="0A53AB85" w14:textId="77777777" w:rsidTr="008E59D3">
        <w:trPr>
          <w:cantSplit/>
        </w:trPr>
        <w:tc>
          <w:tcPr>
            <w:tcW w:w="1046" w:type="dxa"/>
            <w:vMerge/>
            <w:tcBorders>
              <w:top w:val="single" w:sz="16" w:space="0" w:color="000000"/>
              <w:left w:val="single" w:sz="16" w:space="0" w:color="000000"/>
              <w:right w:val="nil"/>
            </w:tcBorders>
            <w:shd w:val="clear" w:color="auto" w:fill="FFFFFF"/>
          </w:tcPr>
          <w:p w14:paraId="32590847"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C9F517B"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27058C5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-,0061</w:t>
            </w:r>
          </w:p>
        </w:tc>
        <w:tc>
          <w:tcPr>
            <w:tcW w:w="1076" w:type="dxa"/>
            <w:tcBorders>
              <w:top w:val="nil"/>
              <w:bottom w:val="nil"/>
            </w:tcBorders>
            <w:shd w:val="clear" w:color="auto" w:fill="FFFFFF"/>
            <w:vAlign w:val="center"/>
          </w:tcPr>
          <w:p w14:paraId="1AE4AE7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,0139</w:t>
            </w:r>
          </w:p>
        </w:tc>
        <w:tc>
          <w:tcPr>
            <w:tcW w:w="1029" w:type="dxa"/>
            <w:tcBorders>
              <w:top w:val="nil"/>
              <w:bottom w:val="nil"/>
            </w:tcBorders>
            <w:shd w:val="clear" w:color="auto" w:fill="FFFFFF"/>
            <w:vAlign w:val="center"/>
          </w:tcPr>
          <w:p w14:paraId="5206813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,661</w:t>
            </w:r>
          </w:p>
        </w:tc>
        <w:tc>
          <w:tcPr>
            <w:tcW w:w="1414" w:type="dxa"/>
            <w:tcBorders>
              <w:top w:val="nil"/>
              <w:bottom w:val="nil"/>
            </w:tcBorders>
            <w:shd w:val="clear" w:color="auto" w:fill="FFFFFF"/>
            <w:vAlign w:val="center"/>
          </w:tcPr>
          <w:p w14:paraId="5E9827B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c>
          <w:tcPr>
            <w:tcW w:w="1414" w:type="dxa"/>
            <w:tcBorders>
              <w:top w:val="nil"/>
              <w:bottom w:val="nil"/>
              <w:right w:val="single" w:sz="16" w:space="0" w:color="000000"/>
            </w:tcBorders>
            <w:shd w:val="clear" w:color="auto" w:fill="FFFFFF"/>
            <w:vAlign w:val="center"/>
          </w:tcPr>
          <w:p w14:paraId="0E37B62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w:t>
            </w:r>
          </w:p>
        </w:tc>
      </w:tr>
      <w:tr w:rsidR="009E03E3" w:rsidRPr="008E59D3" w14:paraId="5A3B1E23" w14:textId="77777777" w:rsidTr="008E59D3">
        <w:trPr>
          <w:cantSplit/>
        </w:trPr>
        <w:tc>
          <w:tcPr>
            <w:tcW w:w="1046" w:type="dxa"/>
            <w:vMerge/>
            <w:tcBorders>
              <w:top w:val="single" w:sz="16" w:space="0" w:color="000000"/>
              <w:left w:val="single" w:sz="16" w:space="0" w:color="000000"/>
              <w:right w:val="nil"/>
            </w:tcBorders>
            <w:shd w:val="clear" w:color="auto" w:fill="FFFFFF"/>
          </w:tcPr>
          <w:p w14:paraId="46E7CD61"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5BEE7B1"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47CB48E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-,0101</w:t>
            </w:r>
          </w:p>
        </w:tc>
        <w:tc>
          <w:tcPr>
            <w:tcW w:w="1076" w:type="dxa"/>
            <w:tcBorders>
              <w:top w:val="nil"/>
              <w:bottom w:val="nil"/>
            </w:tcBorders>
            <w:shd w:val="clear" w:color="auto" w:fill="FFFFFF"/>
            <w:vAlign w:val="center"/>
          </w:tcPr>
          <w:p w14:paraId="5CB839A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,0144</w:t>
            </w:r>
          </w:p>
        </w:tc>
        <w:tc>
          <w:tcPr>
            <w:tcW w:w="1029" w:type="dxa"/>
            <w:tcBorders>
              <w:top w:val="nil"/>
              <w:bottom w:val="nil"/>
            </w:tcBorders>
            <w:shd w:val="clear" w:color="auto" w:fill="FFFFFF"/>
            <w:vAlign w:val="center"/>
          </w:tcPr>
          <w:p w14:paraId="2287B76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,481</w:t>
            </w:r>
          </w:p>
        </w:tc>
        <w:tc>
          <w:tcPr>
            <w:tcW w:w="1414" w:type="dxa"/>
            <w:tcBorders>
              <w:top w:val="nil"/>
              <w:bottom w:val="nil"/>
            </w:tcBorders>
            <w:shd w:val="clear" w:color="auto" w:fill="FFFFFF"/>
            <w:vAlign w:val="center"/>
          </w:tcPr>
          <w:p w14:paraId="4B946D3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-,038</w:t>
            </w:r>
          </w:p>
        </w:tc>
        <w:tc>
          <w:tcPr>
            <w:tcW w:w="1414" w:type="dxa"/>
            <w:tcBorders>
              <w:top w:val="nil"/>
              <w:bottom w:val="nil"/>
              <w:right w:val="single" w:sz="16" w:space="0" w:color="000000"/>
            </w:tcBorders>
            <w:shd w:val="clear" w:color="auto" w:fill="FFFFFF"/>
            <w:vAlign w:val="center"/>
          </w:tcPr>
          <w:p w14:paraId="182EE60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p>
        </w:tc>
      </w:tr>
      <w:tr w:rsidR="009E03E3" w:rsidRPr="008E59D3" w14:paraId="220674D5" w14:textId="77777777" w:rsidTr="008E59D3">
        <w:trPr>
          <w:cantSplit/>
        </w:trPr>
        <w:tc>
          <w:tcPr>
            <w:tcW w:w="1046" w:type="dxa"/>
            <w:vMerge/>
            <w:tcBorders>
              <w:top w:val="single" w:sz="16" w:space="0" w:color="000000"/>
              <w:left w:val="single" w:sz="16" w:space="0" w:color="000000"/>
              <w:right w:val="nil"/>
            </w:tcBorders>
            <w:shd w:val="clear" w:color="auto" w:fill="FFFFFF"/>
          </w:tcPr>
          <w:p w14:paraId="29001A21"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03F72FAB"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3CEC782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-,0206</w:t>
            </w:r>
          </w:p>
        </w:tc>
        <w:tc>
          <w:tcPr>
            <w:tcW w:w="1076" w:type="dxa"/>
            <w:tcBorders>
              <w:top w:val="nil"/>
            </w:tcBorders>
            <w:shd w:val="clear" w:color="auto" w:fill="FFFFFF"/>
            <w:vAlign w:val="center"/>
          </w:tcPr>
          <w:p w14:paraId="56C96EF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,0113</w:t>
            </w:r>
          </w:p>
        </w:tc>
        <w:tc>
          <w:tcPr>
            <w:tcW w:w="1029" w:type="dxa"/>
            <w:tcBorders>
              <w:top w:val="nil"/>
            </w:tcBorders>
            <w:shd w:val="clear" w:color="auto" w:fill="FFFFFF"/>
            <w:vAlign w:val="center"/>
          </w:tcPr>
          <w:p w14:paraId="08B3DA6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,069</w:t>
            </w:r>
          </w:p>
        </w:tc>
        <w:tc>
          <w:tcPr>
            <w:tcW w:w="1414" w:type="dxa"/>
            <w:tcBorders>
              <w:top w:val="nil"/>
            </w:tcBorders>
            <w:shd w:val="clear" w:color="auto" w:fill="FFFFFF"/>
            <w:vAlign w:val="center"/>
          </w:tcPr>
          <w:p w14:paraId="76CF140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-,043</w:t>
            </w:r>
          </w:p>
        </w:tc>
        <w:tc>
          <w:tcPr>
            <w:tcW w:w="1414" w:type="dxa"/>
            <w:tcBorders>
              <w:top w:val="nil"/>
              <w:right w:val="single" w:sz="16" w:space="0" w:color="000000"/>
            </w:tcBorders>
            <w:shd w:val="clear" w:color="auto" w:fill="FFFFFF"/>
            <w:vAlign w:val="center"/>
          </w:tcPr>
          <w:p w14:paraId="01407CF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r>
      <w:tr w:rsidR="009E03E3" w:rsidRPr="008E59D3" w14:paraId="7F64EC5E" w14:textId="77777777" w:rsidTr="008E59D3">
        <w:trPr>
          <w:cantSplit/>
        </w:trPr>
        <w:tc>
          <w:tcPr>
            <w:tcW w:w="1046" w:type="dxa"/>
            <w:vMerge w:val="restart"/>
            <w:tcBorders>
              <w:top w:val="nil"/>
              <w:left w:val="single" w:sz="16" w:space="0" w:color="000000"/>
              <w:right w:val="nil"/>
            </w:tcBorders>
            <w:shd w:val="clear" w:color="auto" w:fill="FFFFFF"/>
          </w:tcPr>
          <w:p w14:paraId="6CBCE133"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092" w:type="dxa"/>
            <w:tcBorders>
              <w:top w:val="nil"/>
              <w:left w:val="nil"/>
              <w:bottom w:val="nil"/>
              <w:right w:val="single" w:sz="16" w:space="0" w:color="000000"/>
            </w:tcBorders>
            <w:shd w:val="clear" w:color="auto" w:fill="FFFFFF"/>
          </w:tcPr>
          <w:p w14:paraId="2518545B"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3168FBC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-,0004</w:t>
            </w:r>
          </w:p>
        </w:tc>
        <w:tc>
          <w:tcPr>
            <w:tcW w:w="1076" w:type="dxa"/>
            <w:tcBorders>
              <w:top w:val="nil"/>
              <w:bottom w:val="nil"/>
            </w:tcBorders>
            <w:shd w:val="clear" w:color="auto" w:fill="FFFFFF"/>
            <w:vAlign w:val="center"/>
          </w:tcPr>
          <w:p w14:paraId="2390D20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,0193</w:t>
            </w:r>
          </w:p>
        </w:tc>
        <w:tc>
          <w:tcPr>
            <w:tcW w:w="1029" w:type="dxa"/>
            <w:tcBorders>
              <w:top w:val="nil"/>
              <w:bottom w:val="nil"/>
            </w:tcBorders>
            <w:shd w:val="clear" w:color="auto" w:fill="FFFFFF"/>
            <w:vAlign w:val="center"/>
          </w:tcPr>
          <w:p w14:paraId="05D5EEE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,982</w:t>
            </w:r>
          </w:p>
        </w:tc>
        <w:tc>
          <w:tcPr>
            <w:tcW w:w="1414" w:type="dxa"/>
            <w:tcBorders>
              <w:top w:val="nil"/>
              <w:bottom w:val="nil"/>
            </w:tcBorders>
            <w:shd w:val="clear" w:color="auto" w:fill="FFFFFF"/>
            <w:vAlign w:val="center"/>
          </w:tcPr>
          <w:p w14:paraId="7B3AA24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-,038</w:t>
            </w:r>
          </w:p>
        </w:tc>
        <w:tc>
          <w:tcPr>
            <w:tcW w:w="1414" w:type="dxa"/>
            <w:tcBorders>
              <w:top w:val="nil"/>
              <w:bottom w:val="nil"/>
              <w:right w:val="single" w:sz="16" w:space="0" w:color="000000"/>
            </w:tcBorders>
            <w:shd w:val="clear" w:color="auto" w:fill="FFFFFF"/>
            <w:vAlign w:val="center"/>
          </w:tcPr>
          <w:p w14:paraId="13715F6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,037</w:t>
            </w:r>
          </w:p>
        </w:tc>
      </w:tr>
      <w:tr w:rsidR="009E03E3" w:rsidRPr="008E59D3" w14:paraId="0C393E55" w14:textId="77777777" w:rsidTr="008E59D3">
        <w:trPr>
          <w:cantSplit/>
        </w:trPr>
        <w:tc>
          <w:tcPr>
            <w:tcW w:w="1046" w:type="dxa"/>
            <w:vMerge/>
            <w:tcBorders>
              <w:top w:val="nil"/>
              <w:left w:val="single" w:sz="16" w:space="0" w:color="000000"/>
              <w:right w:val="nil"/>
            </w:tcBorders>
            <w:shd w:val="clear" w:color="auto" w:fill="FFFFFF"/>
          </w:tcPr>
          <w:p w14:paraId="5DCCD413"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5F0B58C"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4E716AC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,0089</w:t>
            </w:r>
          </w:p>
        </w:tc>
        <w:tc>
          <w:tcPr>
            <w:tcW w:w="1076" w:type="dxa"/>
            <w:tcBorders>
              <w:top w:val="nil"/>
              <w:bottom w:val="nil"/>
            </w:tcBorders>
            <w:shd w:val="clear" w:color="auto" w:fill="FFFFFF"/>
            <w:vAlign w:val="center"/>
          </w:tcPr>
          <w:p w14:paraId="7019AFC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,0216</w:t>
            </w:r>
          </w:p>
        </w:tc>
        <w:tc>
          <w:tcPr>
            <w:tcW w:w="1029" w:type="dxa"/>
            <w:tcBorders>
              <w:top w:val="nil"/>
              <w:bottom w:val="nil"/>
            </w:tcBorders>
            <w:shd w:val="clear" w:color="auto" w:fill="FFFFFF"/>
            <w:vAlign w:val="center"/>
          </w:tcPr>
          <w:p w14:paraId="247A3A1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,679</w:t>
            </w:r>
          </w:p>
        </w:tc>
        <w:tc>
          <w:tcPr>
            <w:tcW w:w="1414" w:type="dxa"/>
            <w:tcBorders>
              <w:top w:val="nil"/>
              <w:bottom w:val="nil"/>
            </w:tcBorders>
            <w:shd w:val="clear" w:color="auto" w:fill="FFFFFF"/>
            <w:vAlign w:val="center"/>
          </w:tcPr>
          <w:p w14:paraId="00127BE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c>
          <w:tcPr>
            <w:tcW w:w="1414" w:type="dxa"/>
            <w:tcBorders>
              <w:top w:val="nil"/>
              <w:bottom w:val="nil"/>
              <w:right w:val="single" w:sz="16" w:space="0" w:color="000000"/>
            </w:tcBorders>
            <w:shd w:val="clear" w:color="auto" w:fill="FFFFFF"/>
            <w:vAlign w:val="center"/>
          </w:tcPr>
          <w:p w14:paraId="60287C6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,051</w:t>
            </w:r>
          </w:p>
        </w:tc>
      </w:tr>
      <w:tr w:rsidR="009E03E3" w:rsidRPr="008E59D3" w14:paraId="5E1554CD" w14:textId="77777777" w:rsidTr="008E59D3">
        <w:trPr>
          <w:cantSplit/>
        </w:trPr>
        <w:tc>
          <w:tcPr>
            <w:tcW w:w="1046" w:type="dxa"/>
            <w:vMerge/>
            <w:tcBorders>
              <w:top w:val="nil"/>
              <w:left w:val="single" w:sz="16" w:space="0" w:color="000000"/>
              <w:right w:val="nil"/>
            </w:tcBorders>
            <w:shd w:val="clear" w:color="auto" w:fill="FFFFFF"/>
          </w:tcPr>
          <w:p w14:paraId="0B190BDD"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AE8CD9D"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3024DFF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,0131</w:t>
            </w:r>
          </w:p>
        </w:tc>
        <w:tc>
          <w:tcPr>
            <w:tcW w:w="1076" w:type="dxa"/>
            <w:tcBorders>
              <w:top w:val="nil"/>
              <w:bottom w:val="nil"/>
            </w:tcBorders>
            <w:shd w:val="clear" w:color="auto" w:fill="FFFFFF"/>
            <w:vAlign w:val="center"/>
          </w:tcPr>
          <w:p w14:paraId="11B00D9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,0208</w:t>
            </w:r>
          </w:p>
        </w:tc>
        <w:tc>
          <w:tcPr>
            <w:tcW w:w="1029" w:type="dxa"/>
            <w:tcBorders>
              <w:top w:val="nil"/>
              <w:bottom w:val="nil"/>
            </w:tcBorders>
            <w:shd w:val="clear" w:color="auto" w:fill="FFFFFF"/>
            <w:vAlign w:val="center"/>
          </w:tcPr>
          <w:p w14:paraId="2A057EE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,529</w:t>
            </w:r>
          </w:p>
        </w:tc>
        <w:tc>
          <w:tcPr>
            <w:tcW w:w="1414" w:type="dxa"/>
            <w:tcBorders>
              <w:top w:val="nil"/>
              <w:bottom w:val="nil"/>
            </w:tcBorders>
            <w:shd w:val="clear" w:color="auto" w:fill="FFFFFF"/>
            <w:vAlign w:val="center"/>
          </w:tcPr>
          <w:p w14:paraId="2FE1DD6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-,028</w:t>
            </w:r>
          </w:p>
        </w:tc>
        <w:tc>
          <w:tcPr>
            <w:tcW w:w="1414" w:type="dxa"/>
            <w:tcBorders>
              <w:top w:val="nil"/>
              <w:bottom w:val="nil"/>
              <w:right w:val="single" w:sz="16" w:space="0" w:color="000000"/>
            </w:tcBorders>
            <w:shd w:val="clear" w:color="auto" w:fill="FFFFFF"/>
            <w:vAlign w:val="center"/>
          </w:tcPr>
          <w:p w14:paraId="06F7737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,054</w:t>
            </w:r>
          </w:p>
        </w:tc>
      </w:tr>
      <w:tr w:rsidR="009E03E3" w:rsidRPr="008E59D3" w14:paraId="76B2EA69" w14:textId="77777777" w:rsidTr="008E59D3">
        <w:trPr>
          <w:cantSplit/>
        </w:trPr>
        <w:tc>
          <w:tcPr>
            <w:tcW w:w="1046" w:type="dxa"/>
            <w:vMerge/>
            <w:tcBorders>
              <w:top w:val="nil"/>
              <w:left w:val="single" w:sz="16" w:space="0" w:color="000000"/>
              <w:right w:val="nil"/>
            </w:tcBorders>
            <w:shd w:val="clear" w:color="auto" w:fill="FFFFFF"/>
          </w:tcPr>
          <w:p w14:paraId="73631BA1"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C27E38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61517FF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,0020</w:t>
            </w:r>
          </w:p>
        </w:tc>
        <w:tc>
          <w:tcPr>
            <w:tcW w:w="1076" w:type="dxa"/>
            <w:tcBorders>
              <w:top w:val="nil"/>
              <w:bottom w:val="nil"/>
            </w:tcBorders>
            <w:shd w:val="clear" w:color="auto" w:fill="FFFFFF"/>
            <w:vAlign w:val="center"/>
          </w:tcPr>
          <w:p w14:paraId="0EA8496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,0203</w:t>
            </w:r>
          </w:p>
        </w:tc>
        <w:tc>
          <w:tcPr>
            <w:tcW w:w="1029" w:type="dxa"/>
            <w:tcBorders>
              <w:top w:val="nil"/>
              <w:bottom w:val="nil"/>
            </w:tcBorders>
            <w:shd w:val="clear" w:color="auto" w:fill="FFFFFF"/>
            <w:vAlign w:val="center"/>
          </w:tcPr>
          <w:p w14:paraId="6915DB1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,921</w:t>
            </w:r>
          </w:p>
        </w:tc>
        <w:tc>
          <w:tcPr>
            <w:tcW w:w="1414" w:type="dxa"/>
            <w:tcBorders>
              <w:top w:val="nil"/>
              <w:bottom w:val="nil"/>
            </w:tcBorders>
            <w:shd w:val="clear" w:color="auto" w:fill="FFFFFF"/>
            <w:vAlign w:val="center"/>
          </w:tcPr>
          <w:p w14:paraId="06833BA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-,038</w:t>
            </w:r>
          </w:p>
        </w:tc>
        <w:tc>
          <w:tcPr>
            <w:tcW w:w="1414" w:type="dxa"/>
            <w:tcBorders>
              <w:top w:val="nil"/>
              <w:bottom w:val="nil"/>
              <w:right w:val="single" w:sz="16" w:space="0" w:color="000000"/>
            </w:tcBorders>
            <w:shd w:val="clear" w:color="auto" w:fill="FFFFFF"/>
            <w:vAlign w:val="center"/>
          </w:tcPr>
          <w:p w14:paraId="7393586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,042</w:t>
            </w:r>
          </w:p>
        </w:tc>
      </w:tr>
      <w:tr w:rsidR="009E03E3" w:rsidRPr="008E59D3" w14:paraId="3048DF68" w14:textId="77777777" w:rsidTr="008E59D3">
        <w:trPr>
          <w:cantSplit/>
        </w:trPr>
        <w:tc>
          <w:tcPr>
            <w:tcW w:w="1046" w:type="dxa"/>
            <w:vMerge/>
            <w:tcBorders>
              <w:top w:val="nil"/>
              <w:left w:val="single" w:sz="16" w:space="0" w:color="000000"/>
              <w:right w:val="nil"/>
            </w:tcBorders>
            <w:shd w:val="clear" w:color="auto" w:fill="FFFFFF"/>
          </w:tcPr>
          <w:p w14:paraId="48D7C889"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9351C7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2592D6C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,0056</w:t>
            </w:r>
          </w:p>
        </w:tc>
        <w:tc>
          <w:tcPr>
            <w:tcW w:w="1076" w:type="dxa"/>
            <w:tcBorders>
              <w:top w:val="nil"/>
              <w:bottom w:val="nil"/>
            </w:tcBorders>
            <w:shd w:val="clear" w:color="auto" w:fill="FFFFFF"/>
            <w:vAlign w:val="center"/>
          </w:tcPr>
          <w:p w14:paraId="0D4580C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,0199</w:t>
            </w:r>
          </w:p>
        </w:tc>
        <w:tc>
          <w:tcPr>
            <w:tcW w:w="1029" w:type="dxa"/>
            <w:tcBorders>
              <w:top w:val="nil"/>
              <w:bottom w:val="nil"/>
            </w:tcBorders>
            <w:shd w:val="clear" w:color="auto" w:fill="FFFFFF"/>
            <w:vAlign w:val="center"/>
          </w:tcPr>
          <w:p w14:paraId="3E6B3EB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,778</w:t>
            </w:r>
          </w:p>
        </w:tc>
        <w:tc>
          <w:tcPr>
            <w:tcW w:w="1414" w:type="dxa"/>
            <w:tcBorders>
              <w:top w:val="nil"/>
              <w:bottom w:val="nil"/>
            </w:tcBorders>
            <w:shd w:val="clear" w:color="auto" w:fill="FFFFFF"/>
            <w:vAlign w:val="center"/>
          </w:tcPr>
          <w:p w14:paraId="3352EC0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c>
          <w:tcPr>
            <w:tcW w:w="1414" w:type="dxa"/>
            <w:tcBorders>
              <w:top w:val="nil"/>
              <w:bottom w:val="nil"/>
              <w:right w:val="single" w:sz="16" w:space="0" w:color="000000"/>
            </w:tcBorders>
            <w:shd w:val="clear" w:color="auto" w:fill="FFFFFF"/>
            <w:vAlign w:val="center"/>
          </w:tcPr>
          <w:p w14:paraId="0F3646D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,045</w:t>
            </w:r>
          </w:p>
        </w:tc>
      </w:tr>
      <w:tr w:rsidR="009E03E3" w:rsidRPr="008E59D3" w14:paraId="476F48F6" w14:textId="77777777" w:rsidTr="008E59D3">
        <w:trPr>
          <w:cantSplit/>
        </w:trPr>
        <w:tc>
          <w:tcPr>
            <w:tcW w:w="1046" w:type="dxa"/>
            <w:vMerge/>
            <w:tcBorders>
              <w:top w:val="nil"/>
              <w:left w:val="single" w:sz="16" w:space="0" w:color="000000"/>
              <w:right w:val="nil"/>
            </w:tcBorders>
            <w:shd w:val="clear" w:color="auto" w:fill="FFFFFF"/>
          </w:tcPr>
          <w:p w14:paraId="76AF53D2"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F2FA496"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21C9EDB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-,0234</w:t>
            </w:r>
          </w:p>
        </w:tc>
        <w:tc>
          <w:tcPr>
            <w:tcW w:w="1076" w:type="dxa"/>
            <w:tcBorders>
              <w:top w:val="nil"/>
              <w:bottom w:val="nil"/>
            </w:tcBorders>
            <w:shd w:val="clear" w:color="auto" w:fill="FFFFFF"/>
            <w:vAlign w:val="center"/>
          </w:tcPr>
          <w:p w14:paraId="5AB1CD3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,0195</w:t>
            </w:r>
          </w:p>
        </w:tc>
        <w:tc>
          <w:tcPr>
            <w:tcW w:w="1029" w:type="dxa"/>
            <w:tcBorders>
              <w:top w:val="nil"/>
              <w:bottom w:val="nil"/>
            </w:tcBorders>
            <w:shd w:val="clear" w:color="auto" w:fill="FFFFFF"/>
            <w:vAlign w:val="center"/>
          </w:tcPr>
          <w:p w14:paraId="721B80B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,230</w:t>
            </w:r>
          </w:p>
        </w:tc>
        <w:tc>
          <w:tcPr>
            <w:tcW w:w="1414" w:type="dxa"/>
            <w:tcBorders>
              <w:top w:val="nil"/>
              <w:bottom w:val="nil"/>
            </w:tcBorders>
            <w:shd w:val="clear" w:color="auto" w:fill="FFFFFF"/>
            <w:vAlign w:val="center"/>
          </w:tcPr>
          <w:p w14:paraId="2426BBD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-,062</w:t>
            </w:r>
          </w:p>
        </w:tc>
        <w:tc>
          <w:tcPr>
            <w:tcW w:w="1414" w:type="dxa"/>
            <w:tcBorders>
              <w:top w:val="nil"/>
              <w:bottom w:val="nil"/>
              <w:right w:val="single" w:sz="16" w:space="0" w:color="000000"/>
            </w:tcBorders>
            <w:shd w:val="clear" w:color="auto" w:fill="FFFFFF"/>
            <w:vAlign w:val="center"/>
          </w:tcPr>
          <w:p w14:paraId="7D01C1A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w:t>
            </w:r>
          </w:p>
        </w:tc>
      </w:tr>
      <w:tr w:rsidR="009E03E3" w:rsidRPr="008E59D3" w14:paraId="4C7B2B71" w14:textId="77777777" w:rsidTr="008E59D3">
        <w:trPr>
          <w:cantSplit/>
        </w:trPr>
        <w:tc>
          <w:tcPr>
            <w:tcW w:w="1046" w:type="dxa"/>
            <w:vMerge/>
            <w:tcBorders>
              <w:top w:val="nil"/>
              <w:left w:val="single" w:sz="16" w:space="0" w:color="000000"/>
              <w:right w:val="nil"/>
            </w:tcBorders>
            <w:shd w:val="clear" w:color="auto" w:fill="FFFFFF"/>
          </w:tcPr>
          <w:p w14:paraId="134ED3D2"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220D995"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51480F1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-,0065</w:t>
            </w:r>
          </w:p>
        </w:tc>
        <w:tc>
          <w:tcPr>
            <w:tcW w:w="1076" w:type="dxa"/>
            <w:tcBorders>
              <w:top w:val="nil"/>
              <w:bottom w:val="nil"/>
            </w:tcBorders>
            <w:shd w:val="clear" w:color="auto" w:fill="FFFFFF"/>
            <w:vAlign w:val="center"/>
          </w:tcPr>
          <w:p w14:paraId="547860D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,0192</w:t>
            </w:r>
          </w:p>
        </w:tc>
        <w:tc>
          <w:tcPr>
            <w:tcW w:w="1029" w:type="dxa"/>
            <w:tcBorders>
              <w:top w:val="nil"/>
              <w:bottom w:val="nil"/>
            </w:tcBorders>
            <w:shd w:val="clear" w:color="auto" w:fill="FFFFFF"/>
            <w:vAlign w:val="center"/>
          </w:tcPr>
          <w:p w14:paraId="2926FBE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,734</w:t>
            </w:r>
          </w:p>
        </w:tc>
        <w:tc>
          <w:tcPr>
            <w:tcW w:w="1414" w:type="dxa"/>
            <w:tcBorders>
              <w:top w:val="nil"/>
              <w:bottom w:val="nil"/>
            </w:tcBorders>
            <w:shd w:val="clear" w:color="auto" w:fill="FFFFFF"/>
            <w:vAlign w:val="center"/>
          </w:tcPr>
          <w:p w14:paraId="5799CB4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-,044</w:t>
            </w:r>
          </w:p>
        </w:tc>
        <w:tc>
          <w:tcPr>
            <w:tcW w:w="1414" w:type="dxa"/>
            <w:tcBorders>
              <w:top w:val="nil"/>
              <w:bottom w:val="nil"/>
              <w:right w:val="single" w:sz="16" w:space="0" w:color="000000"/>
            </w:tcBorders>
            <w:shd w:val="clear" w:color="auto" w:fill="FFFFFF"/>
            <w:vAlign w:val="center"/>
          </w:tcPr>
          <w:p w14:paraId="4218CCF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,031</w:t>
            </w:r>
          </w:p>
        </w:tc>
      </w:tr>
      <w:tr w:rsidR="009E03E3" w:rsidRPr="008E59D3" w14:paraId="4CAF52C9" w14:textId="77777777" w:rsidTr="008E59D3">
        <w:trPr>
          <w:cantSplit/>
        </w:trPr>
        <w:tc>
          <w:tcPr>
            <w:tcW w:w="1046" w:type="dxa"/>
            <w:vMerge/>
            <w:tcBorders>
              <w:top w:val="nil"/>
              <w:left w:val="single" w:sz="16" w:space="0" w:color="000000"/>
              <w:right w:val="nil"/>
            </w:tcBorders>
            <w:shd w:val="clear" w:color="auto" w:fill="FFFFFF"/>
          </w:tcPr>
          <w:p w14:paraId="2C3E6B7D"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1AE614A"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49D74DA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-,0106</w:t>
            </w:r>
          </w:p>
        </w:tc>
        <w:tc>
          <w:tcPr>
            <w:tcW w:w="1076" w:type="dxa"/>
            <w:tcBorders>
              <w:top w:val="nil"/>
              <w:bottom w:val="nil"/>
            </w:tcBorders>
            <w:shd w:val="clear" w:color="auto" w:fill="FFFFFF"/>
            <w:vAlign w:val="center"/>
          </w:tcPr>
          <w:p w14:paraId="63CA6CD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,0195</w:t>
            </w:r>
          </w:p>
        </w:tc>
        <w:tc>
          <w:tcPr>
            <w:tcW w:w="1029" w:type="dxa"/>
            <w:tcBorders>
              <w:top w:val="nil"/>
              <w:bottom w:val="nil"/>
            </w:tcBorders>
            <w:shd w:val="clear" w:color="auto" w:fill="FFFFFF"/>
            <w:vAlign w:val="center"/>
          </w:tcPr>
          <w:p w14:paraId="67BF1D6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,589</w:t>
            </w:r>
          </w:p>
        </w:tc>
        <w:tc>
          <w:tcPr>
            <w:tcW w:w="1414" w:type="dxa"/>
            <w:tcBorders>
              <w:top w:val="nil"/>
              <w:bottom w:val="nil"/>
            </w:tcBorders>
            <w:shd w:val="clear" w:color="auto" w:fill="FFFFFF"/>
            <w:vAlign w:val="center"/>
          </w:tcPr>
          <w:p w14:paraId="29D8887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-,049</w:t>
            </w:r>
          </w:p>
        </w:tc>
        <w:tc>
          <w:tcPr>
            <w:tcW w:w="1414" w:type="dxa"/>
            <w:tcBorders>
              <w:top w:val="nil"/>
              <w:bottom w:val="nil"/>
              <w:right w:val="single" w:sz="16" w:space="0" w:color="000000"/>
            </w:tcBorders>
            <w:shd w:val="clear" w:color="auto" w:fill="FFFFFF"/>
            <w:vAlign w:val="center"/>
          </w:tcPr>
          <w:p w14:paraId="72F8C52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,028</w:t>
            </w:r>
          </w:p>
        </w:tc>
      </w:tr>
      <w:tr w:rsidR="009E03E3" w:rsidRPr="008E59D3" w14:paraId="21630A2D" w14:textId="77777777" w:rsidTr="008E59D3">
        <w:trPr>
          <w:cantSplit/>
        </w:trPr>
        <w:tc>
          <w:tcPr>
            <w:tcW w:w="1046" w:type="dxa"/>
            <w:vMerge/>
            <w:tcBorders>
              <w:top w:val="nil"/>
              <w:left w:val="single" w:sz="16" w:space="0" w:color="000000"/>
              <w:right w:val="nil"/>
            </w:tcBorders>
            <w:shd w:val="clear" w:color="auto" w:fill="FFFFFF"/>
          </w:tcPr>
          <w:p w14:paraId="7D07D417"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306065DA"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7D301A7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-,0210</w:t>
            </w:r>
          </w:p>
        </w:tc>
        <w:tc>
          <w:tcPr>
            <w:tcW w:w="1076" w:type="dxa"/>
            <w:tcBorders>
              <w:top w:val="nil"/>
            </w:tcBorders>
            <w:shd w:val="clear" w:color="auto" w:fill="FFFFFF"/>
            <w:vAlign w:val="center"/>
          </w:tcPr>
          <w:p w14:paraId="3973F88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,0174</w:t>
            </w:r>
          </w:p>
        </w:tc>
        <w:tc>
          <w:tcPr>
            <w:tcW w:w="1029" w:type="dxa"/>
            <w:tcBorders>
              <w:top w:val="nil"/>
            </w:tcBorders>
            <w:shd w:val="clear" w:color="auto" w:fill="FFFFFF"/>
            <w:vAlign w:val="center"/>
          </w:tcPr>
          <w:p w14:paraId="3112675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,228</w:t>
            </w:r>
          </w:p>
        </w:tc>
        <w:tc>
          <w:tcPr>
            <w:tcW w:w="1414" w:type="dxa"/>
            <w:tcBorders>
              <w:top w:val="nil"/>
            </w:tcBorders>
            <w:shd w:val="clear" w:color="auto" w:fill="FFFFFF"/>
            <w:vAlign w:val="center"/>
          </w:tcPr>
          <w:p w14:paraId="2A12C6E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-,055</w:t>
            </w:r>
          </w:p>
        </w:tc>
        <w:tc>
          <w:tcPr>
            <w:tcW w:w="1414" w:type="dxa"/>
            <w:tcBorders>
              <w:top w:val="nil"/>
              <w:right w:val="single" w:sz="16" w:space="0" w:color="000000"/>
            </w:tcBorders>
            <w:shd w:val="clear" w:color="auto" w:fill="FFFFFF"/>
            <w:vAlign w:val="center"/>
          </w:tcPr>
          <w:p w14:paraId="2D65470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p>
        </w:tc>
      </w:tr>
      <w:tr w:rsidR="009E03E3" w:rsidRPr="008E59D3" w14:paraId="12A93F4D" w14:textId="77777777" w:rsidTr="008E59D3">
        <w:trPr>
          <w:cantSplit/>
        </w:trPr>
        <w:tc>
          <w:tcPr>
            <w:tcW w:w="1046" w:type="dxa"/>
            <w:vMerge w:val="restart"/>
            <w:tcBorders>
              <w:top w:val="nil"/>
              <w:left w:val="single" w:sz="16" w:space="0" w:color="000000"/>
              <w:right w:val="nil"/>
            </w:tcBorders>
            <w:shd w:val="clear" w:color="auto" w:fill="FFFFFF"/>
          </w:tcPr>
          <w:p w14:paraId="6F8A1505"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092" w:type="dxa"/>
            <w:tcBorders>
              <w:top w:val="nil"/>
              <w:left w:val="nil"/>
              <w:bottom w:val="nil"/>
              <w:right w:val="single" w:sz="16" w:space="0" w:color="000000"/>
            </w:tcBorders>
            <w:shd w:val="clear" w:color="auto" w:fill="FFFFFF"/>
          </w:tcPr>
          <w:p w14:paraId="1F555542"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27B482F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-,0094</w:t>
            </w:r>
          </w:p>
        </w:tc>
        <w:tc>
          <w:tcPr>
            <w:tcW w:w="1076" w:type="dxa"/>
            <w:tcBorders>
              <w:top w:val="nil"/>
              <w:bottom w:val="nil"/>
            </w:tcBorders>
            <w:shd w:val="clear" w:color="auto" w:fill="FFFFFF"/>
            <w:vAlign w:val="center"/>
          </w:tcPr>
          <w:p w14:paraId="531039B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,0171</w:t>
            </w:r>
          </w:p>
        </w:tc>
        <w:tc>
          <w:tcPr>
            <w:tcW w:w="1029" w:type="dxa"/>
            <w:tcBorders>
              <w:top w:val="nil"/>
              <w:bottom w:val="nil"/>
            </w:tcBorders>
            <w:shd w:val="clear" w:color="auto" w:fill="FFFFFF"/>
            <w:vAlign w:val="center"/>
          </w:tcPr>
          <w:p w14:paraId="3082ACA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,584</w:t>
            </w:r>
          </w:p>
        </w:tc>
        <w:tc>
          <w:tcPr>
            <w:tcW w:w="1414" w:type="dxa"/>
            <w:tcBorders>
              <w:top w:val="nil"/>
              <w:bottom w:val="nil"/>
            </w:tcBorders>
            <w:shd w:val="clear" w:color="auto" w:fill="FFFFFF"/>
            <w:vAlign w:val="center"/>
          </w:tcPr>
          <w:p w14:paraId="2026124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-,043</w:t>
            </w:r>
          </w:p>
        </w:tc>
        <w:tc>
          <w:tcPr>
            <w:tcW w:w="1414" w:type="dxa"/>
            <w:tcBorders>
              <w:top w:val="nil"/>
              <w:bottom w:val="nil"/>
              <w:right w:val="single" w:sz="16" w:space="0" w:color="000000"/>
            </w:tcBorders>
            <w:shd w:val="clear" w:color="auto" w:fill="FFFFFF"/>
            <w:vAlign w:val="center"/>
          </w:tcPr>
          <w:p w14:paraId="6F97190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,024</w:t>
            </w:r>
          </w:p>
        </w:tc>
      </w:tr>
      <w:tr w:rsidR="009E03E3" w:rsidRPr="008E59D3" w14:paraId="1A9AB533" w14:textId="77777777" w:rsidTr="008E59D3">
        <w:trPr>
          <w:cantSplit/>
        </w:trPr>
        <w:tc>
          <w:tcPr>
            <w:tcW w:w="1046" w:type="dxa"/>
            <w:vMerge/>
            <w:tcBorders>
              <w:top w:val="nil"/>
              <w:left w:val="single" w:sz="16" w:space="0" w:color="000000"/>
              <w:right w:val="nil"/>
            </w:tcBorders>
            <w:shd w:val="clear" w:color="auto" w:fill="FFFFFF"/>
          </w:tcPr>
          <w:p w14:paraId="01EE215A"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7822BE6"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47DAE4D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-,0089</w:t>
            </w:r>
          </w:p>
        </w:tc>
        <w:tc>
          <w:tcPr>
            <w:tcW w:w="1076" w:type="dxa"/>
            <w:tcBorders>
              <w:top w:val="nil"/>
              <w:bottom w:val="nil"/>
            </w:tcBorders>
            <w:shd w:val="clear" w:color="auto" w:fill="FFFFFF"/>
            <w:vAlign w:val="center"/>
          </w:tcPr>
          <w:p w14:paraId="338A8F4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,0216</w:t>
            </w:r>
          </w:p>
        </w:tc>
        <w:tc>
          <w:tcPr>
            <w:tcW w:w="1029" w:type="dxa"/>
            <w:tcBorders>
              <w:top w:val="nil"/>
              <w:bottom w:val="nil"/>
            </w:tcBorders>
            <w:shd w:val="clear" w:color="auto" w:fill="FFFFFF"/>
            <w:vAlign w:val="center"/>
          </w:tcPr>
          <w:p w14:paraId="65A7A24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,679</w:t>
            </w:r>
          </w:p>
        </w:tc>
        <w:tc>
          <w:tcPr>
            <w:tcW w:w="1414" w:type="dxa"/>
            <w:tcBorders>
              <w:top w:val="nil"/>
              <w:bottom w:val="nil"/>
            </w:tcBorders>
            <w:shd w:val="clear" w:color="auto" w:fill="FFFFFF"/>
            <w:vAlign w:val="center"/>
          </w:tcPr>
          <w:p w14:paraId="6B0A92C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-,051</w:t>
            </w:r>
          </w:p>
        </w:tc>
        <w:tc>
          <w:tcPr>
            <w:tcW w:w="1414" w:type="dxa"/>
            <w:tcBorders>
              <w:top w:val="nil"/>
              <w:bottom w:val="nil"/>
              <w:right w:val="single" w:sz="16" w:space="0" w:color="000000"/>
            </w:tcBorders>
            <w:shd w:val="clear" w:color="auto" w:fill="FFFFFF"/>
            <w:vAlign w:val="center"/>
          </w:tcPr>
          <w:p w14:paraId="0FADD39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r>
      <w:tr w:rsidR="009E03E3" w:rsidRPr="008E59D3" w14:paraId="05777132" w14:textId="77777777" w:rsidTr="008E59D3">
        <w:trPr>
          <w:cantSplit/>
        </w:trPr>
        <w:tc>
          <w:tcPr>
            <w:tcW w:w="1046" w:type="dxa"/>
            <w:vMerge/>
            <w:tcBorders>
              <w:top w:val="nil"/>
              <w:left w:val="single" w:sz="16" w:space="0" w:color="000000"/>
              <w:right w:val="nil"/>
            </w:tcBorders>
            <w:shd w:val="clear" w:color="auto" w:fill="FFFFFF"/>
          </w:tcPr>
          <w:p w14:paraId="3C26369A"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10979F4"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03984E7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,0042</w:t>
            </w:r>
          </w:p>
        </w:tc>
        <w:tc>
          <w:tcPr>
            <w:tcW w:w="1076" w:type="dxa"/>
            <w:tcBorders>
              <w:top w:val="nil"/>
              <w:bottom w:val="nil"/>
            </w:tcBorders>
            <w:shd w:val="clear" w:color="auto" w:fill="FFFFFF"/>
            <w:vAlign w:val="center"/>
          </w:tcPr>
          <w:p w14:paraId="050740B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,0189</w:t>
            </w:r>
          </w:p>
        </w:tc>
        <w:tc>
          <w:tcPr>
            <w:tcW w:w="1029" w:type="dxa"/>
            <w:tcBorders>
              <w:top w:val="nil"/>
              <w:bottom w:val="nil"/>
            </w:tcBorders>
            <w:shd w:val="clear" w:color="auto" w:fill="FFFFFF"/>
            <w:vAlign w:val="center"/>
          </w:tcPr>
          <w:p w14:paraId="024A6E4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,825</w:t>
            </w:r>
          </w:p>
        </w:tc>
        <w:tc>
          <w:tcPr>
            <w:tcW w:w="1414" w:type="dxa"/>
            <w:tcBorders>
              <w:top w:val="nil"/>
              <w:bottom w:val="nil"/>
            </w:tcBorders>
            <w:shd w:val="clear" w:color="auto" w:fill="FFFFFF"/>
            <w:vAlign w:val="center"/>
          </w:tcPr>
          <w:p w14:paraId="7C7512F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c>
          <w:tcPr>
            <w:tcW w:w="1414" w:type="dxa"/>
            <w:tcBorders>
              <w:top w:val="nil"/>
              <w:bottom w:val="nil"/>
              <w:right w:val="single" w:sz="16" w:space="0" w:color="000000"/>
            </w:tcBorders>
            <w:shd w:val="clear" w:color="auto" w:fill="FFFFFF"/>
            <w:vAlign w:val="center"/>
          </w:tcPr>
          <w:p w14:paraId="3265C65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,041</w:t>
            </w:r>
          </w:p>
        </w:tc>
      </w:tr>
      <w:tr w:rsidR="009E03E3" w:rsidRPr="008E59D3" w14:paraId="22CB560A" w14:textId="77777777" w:rsidTr="008E59D3">
        <w:trPr>
          <w:cantSplit/>
        </w:trPr>
        <w:tc>
          <w:tcPr>
            <w:tcW w:w="1046" w:type="dxa"/>
            <w:vMerge/>
            <w:tcBorders>
              <w:top w:val="nil"/>
              <w:left w:val="single" w:sz="16" w:space="0" w:color="000000"/>
              <w:right w:val="nil"/>
            </w:tcBorders>
            <w:shd w:val="clear" w:color="auto" w:fill="FFFFFF"/>
          </w:tcPr>
          <w:p w14:paraId="523E405D"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9380847"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35A2532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-,0069</w:t>
            </w:r>
          </w:p>
        </w:tc>
        <w:tc>
          <w:tcPr>
            <w:tcW w:w="1076" w:type="dxa"/>
            <w:tcBorders>
              <w:top w:val="nil"/>
              <w:bottom w:val="nil"/>
            </w:tcBorders>
            <w:shd w:val="clear" w:color="auto" w:fill="FFFFFF"/>
            <w:vAlign w:val="center"/>
          </w:tcPr>
          <w:p w14:paraId="2F5BC97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,0183</w:t>
            </w:r>
          </w:p>
        </w:tc>
        <w:tc>
          <w:tcPr>
            <w:tcW w:w="1029" w:type="dxa"/>
            <w:tcBorders>
              <w:top w:val="nil"/>
              <w:bottom w:val="nil"/>
            </w:tcBorders>
            <w:shd w:val="clear" w:color="auto" w:fill="FFFFFF"/>
            <w:vAlign w:val="center"/>
          </w:tcPr>
          <w:p w14:paraId="6F4CC81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,704</w:t>
            </w:r>
          </w:p>
        </w:tc>
        <w:tc>
          <w:tcPr>
            <w:tcW w:w="1414" w:type="dxa"/>
            <w:tcBorders>
              <w:top w:val="nil"/>
              <w:bottom w:val="nil"/>
            </w:tcBorders>
            <w:shd w:val="clear" w:color="auto" w:fill="FFFFFF"/>
            <w:vAlign w:val="center"/>
          </w:tcPr>
          <w:p w14:paraId="6FA465A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-,043</w:t>
            </w:r>
          </w:p>
        </w:tc>
        <w:tc>
          <w:tcPr>
            <w:tcW w:w="1414" w:type="dxa"/>
            <w:tcBorders>
              <w:top w:val="nil"/>
              <w:bottom w:val="nil"/>
              <w:right w:val="single" w:sz="16" w:space="0" w:color="000000"/>
            </w:tcBorders>
            <w:shd w:val="clear" w:color="auto" w:fill="FFFFFF"/>
            <w:vAlign w:val="center"/>
          </w:tcPr>
          <w:p w14:paraId="10DDA9E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,029</w:t>
            </w:r>
          </w:p>
        </w:tc>
      </w:tr>
      <w:tr w:rsidR="009E03E3" w:rsidRPr="008E59D3" w14:paraId="3BE694D8" w14:textId="77777777" w:rsidTr="008E59D3">
        <w:trPr>
          <w:cantSplit/>
        </w:trPr>
        <w:tc>
          <w:tcPr>
            <w:tcW w:w="1046" w:type="dxa"/>
            <w:vMerge/>
            <w:tcBorders>
              <w:top w:val="nil"/>
              <w:left w:val="single" w:sz="16" w:space="0" w:color="000000"/>
              <w:right w:val="nil"/>
            </w:tcBorders>
            <w:shd w:val="clear" w:color="auto" w:fill="FFFFFF"/>
          </w:tcPr>
          <w:p w14:paraId="6DB078AD"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61263C9"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2A8ACEE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-,0033</w:t>
            </w:r>
          </w:p>
        </w:tc>
        <w:tc>
          <w:tcPr>
            <w:tcW w:w="1076" w:type="dxa"/>
            <w:tcBorders>
              <w:top w:val="nil"/>
              <w:bottom w:val="nil"/>
            </w:tcBorders>
            <w:shd w:val="clear" w:color="auto" w:fill="FFFFFF"/>
            <w:vAlign w:val="center"/>
          </w:tcPr>
          <w:p w14:paraId="2A2FD58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,0178</w:t>
            </w:r>
          </w:p>
        </w:tc>
        <w:tc>
          <w:tcPr>
            <w:tcW w:w="1029" w:type="dxa"/>
            <w:tcBorders>
              <w:top w:val="nil"/>
              <w:bottom w:val="nil"/>
            </w:tcBorders>
            <w:shd w:val="clear" w:color="auto" w:fill="FFFFFF"/>
            <w:vAlign w:val="center"/>
          </w:tcPr>
          <w:p w14:paraId="081E4CB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,851</w:t>
            </w:r>
          </w:p>
        </w:tc>
        <w:tc>
          <w:tcPr>
            <w:tcW w:w="1414" w:type="dxa"/>
            <w:tcBorders>
              <w:top w:val="nil"/>
              <w:bottom w:val="nil"/>
            </w:tcBorders>
            <w:shd w:val="clear" w:color="auto" w:fill="FFFFFF"/>
            <w:vAlign w:val="center"/>
          </w:tcPr>
          <w:p w14:paraId="0D71F1A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-,038</w:t>
            </w:r>
          </w:p>
        </w:tc>
        <w:tc>
          <w:tcPr>
            <w:tcW w:w="1414" w:type="dxa"/>
            <w:tcBorders>
              <w:top w:val="nil"/>
              <w:bottom w:val="nil"/>
              <w:right w:val="single" w:sz="16" w:space="0" w:color="000000"/>
            </w:tcBorders>
            <w:shd w:val="clear" w:color="auto" w:fill="FFFFFF"/>
            <w:vAlign w:val="center"/>
          </w:tcPr>
          <w:p w14:paraId="67517AF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,032</w:t>
            </w:r>
          </w:p>
        </w:tc>
      </w:tr>
      <w:tr w:rsidR="009E03E3" w:rsidRPr="008E59D3" w14:paraId="5F0C22EE" w14:textId="77777777" w:rsidTr="008E59D3">
        <w:trPr>
          <w:cantSplit/>
        </w:trPr>
        <w:tc>
          <w:tcPr>
            <w:tcW w:w="1046" w:type="dxa"/>
            <w:vMerge/>
            <w:tcBorders>
              <w:top w:val="nil"/>
              <w:left w:val="single" w:sz="16" w:space="0" w:color="000000"/>
              <w:right w:val="nil"/>
            </w:tcBorders>
            <w:shd w:val="clear" w:color="auto" w:fill="FFFFFF"/>
          </w:tcPr>
          <w:p w14:paraId="17E8F0C6"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E698849"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119E46B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-,0323</w:t>
            </w:r>
          </w:p>
        </w:tc>
        <w:tc>
          <w:tcPr>
            <w:tcW w:w="1076" w:type="dxa"/>
            <w:tcBorders>
              <w:top w:val="nil"/>
              <w:bottom w:val="nil"/>
            </w:tcBorders>
            <w:shd w:val="clear" w:color="auto" w:fill="FFFFFF"/>
            <w:vAlign w:val="center"/>
          </w:tcPr>
          <w:p w14:paraId="000CA1E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,0174</w:t>
            </w:r>
          </w:p>
        </w:tc>
        <w:tc>
          <w:tcPr>
            <w:tcW w:w="1029" w:type="dxa"/>
            <w:tcBorders>
              <w:top w:val="nil"/>
              <w:bottom w:val="nil"/>
            </w:tcBorders>
            <w:shd w:val="clear" w:color="auto" w:fill="FFFFFF"/>
            <w:vAlign w:val="center"/>
          </w:tcPr>
          <w:p w14:paraId="7FAC855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,063</w:t>
            </w:r>
          </w:p>
        </w:tc>
        <w:tc>
          <w:tcPr>
            <w:tcW w:w="1414" w:type="dxa"/>
            <w:tcBorders>
              <w:top w:val="nil"/>
              <w:bottom w:val="nil"/>
            </w:tcBorders>
            <w:shd w:val="clear" w:color="auto" w:fill="FFFFFF"/>
            <w:vAlign w:val="center"/>
          </w:tcPr>
          <w:p w14:paraId="18854E8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-,066</w:t>
            </w:r>
          </w:p>
        </w:tc>
        <w:tc>
          <w:tcPr>
            <w:tcW w:w="1414" w:type="dxa"/>
            <w:tcBorders>
              <w:top w:val="nil"/>
              <w:bottom w:val="nil"/>
              <w:right w:val="single" w:sz="16" w:space="0" w:color="000000"/>
            </w:tcBorders>
            <w:shd w:val="clear" w:color="auto" w:fill="FFFFFF"/>
            <w:vAlign w:val="center"/>
          </w:tcPr>
          <w:p w14:paraId="4D2351F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r>
      <w:tr w:rsidR="009E03E3" w:rsidRPr="008E59D3" w14:paraId="567BFF31" w14:textId="77777777" w:rsidTr="008E59D3">
        <w:trPr>
          <w:cantSplit/>
        </w:trPr>
        <w:tc>
          <w:tcPr>
            <w:tcW w:w="1046" w:type="dxa"/>
            <w:vMerge/>
            <w:tcBorders>
              <w:top w:val="nil"/>
              <w:left w:val="single" w:sz="16" w:space="0" w:color="000000"/>
              <w:right w:val="nil"/>
            </w:tcBorders>
            <w:shd w:val="clear" w:color="auto" w:fill="FFFFFF"/>
          </w:tcPr>
          <w:p w14:paraId="6FA4F91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6F61359"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4951053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-,0155</w:t>
            </w:r>
          </w:p>
        </w:tc>
        <w:tc>
          <w:tcPr>
            <w:tcW w:w="1076" w:type="dxa"/>
            <w:tcBorders>
              <w:top w:val="nil"/>
              <w:bottom w:val="nil"/>
            </w:tcBorders>
            <w:shd w:val="clear" w:color="auto" w:fill="FFFFFF"/>
            <w:vAlign w:val="center"/>
          </w:tcPr>
          <w:p w14:paraId="4440E3B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,0170</w:t>
            </w:r>
          </w:p>
        </w:tc>
        <w:tc>
          <w:tcPr>
            <w:tcW w:w="1029" w:type="dxa"/>
            <w:tcBorders>
              <w:top w:val="nil"/>
              <w:bottom w:val="nil"/>
            </w:tcBorders>
            <w:shd w:val="clear" w:color="auto" w:fill="FFFFFF"/>
            <w:vAlign w:val="center"/>
          </w:tcPr>
          <w:p w14:paraId="086BF4A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,364</w:t>
            </w:r>
          </w:p>
        </w:tc>
        <w:tc>
          <w:tcPr>
            <w:tcW w:w="1414" w:type="dxa"/>
            <w:tcBorders>
              <w:top w:val="nil"/>
              <w:bottom w:val="nil"/>
            </w:tcBorders>
            <w:shd w:val="clear" w:color="auto" w:fill="FFFFFF"/>
            <w:vAlign w:val="center"/>
          </w:tcPr>
          <w:p w14:paraId="3095DEC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-,049</w:t>
            </w:r>
          </w:p>
        </w:tc>
        <w:tc>
          <w:tcPr>
            <w:tcW w:w="1414" w:type="dxa"/>
            <w:tcBorders>
              <w:top w:val="nil"/>
              <w:bottom w:val="nil"/>
              <w:right w:val="single" w:sz="16" w:space="0" w:color="000000"/>
            </w:tcBorders>
            <w:shd w:val="clear" w:color="auto" w:fill="FFFFFF"/>
            <w:vAlign w:val="center"/>
          </w:tcPr>
          <w:p w14:paraId="0091051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p>
        </w:tc>
      </w:tr>
      <w:tr w:rsidR="009E03E3" w:rsidRPr="008E59D3" w14:paraId="6CDE1587" w14:textId="77777777" w:rsidTr="008E59D3">
        <w:trPr>
          <w:cantSplit/>
        </w:trPr>
        <w:tc>
          <w:tcPr>
            <w:tcW w:w="1046" w:type="dxa"/>
            <w:vMerge/>
            <w:tcBorders>
              <w:top w:val="nil"/>
              <w:left w:val="single" w:sz="16" w:space="0" w:color="000000"/>
              <w:right w:val="nil"/>
            </w:tcBorders>
            <w:shd w:val="clear" w:color="auto" w:fill="FFFFFF"/>
          </w:tcPr>
          <w:p w14:paraId="6DF9E679"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70B95F0"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0283D3E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-,0195</w:t>
            </w:r>
          </w:p>
        </w:tc>
        <w:tc>
          <w:tcPr>
            <w:tcW w:w="1076" w:type="dxa"/>
            <w:tcBorders>
              <w:top w:val="nil"/>
              <w:bottom w:val="nil"/>
            </w:tcBorders>
            <w:shd w:val="clear" w:color="auto" w:fill="FFFFFF"/>
            <w:vAlign w:val="center"/>
          </w:tcPr>
          <w:p w14:paraId="16653C3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,0174</w:t>
            </w:r>
          </w:p>
        </w:tc>
        <w:tc>
          <w:tcPr>
            <w:tcW w:w="1029" w:type="dxa"/>
            <w:tcBorders>
              <w:top w:val="nil"/>
              <w:bottom w:val="nil"/>
            </w:tcBorders>
            <w:shd w:val="clear" w:color="auto" w:fill="FFFFFF"/>
            <w:vAlign w:val="center"/>
          </w:tcPr>
          <w:p w14:paraId="44C3775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,263</w:t>
            </w:r>
          </w:p>
        </w:tc>
        <w:tc>
          <w:tcPr>
            <w:tcW w:w="1414" w:type="dxa"/>
            <w:tcBorders>
              <w:top w:val="nil"/>
              <w:bottom w:val="nil"/>
            </w:tcBorders>
            <w:shd w:val="clear" w:color="auto" w:fill="FFFFFF"/>
            <w:vAlign w:val="center"/>
          </w:tcPr>
          <w:p w14:paraId="19C5933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-,054</w:t>
            </w:r>
          </w:p>
        </w:tc>
        <w:tc>
          <w:tcPr>
            <w:tcW w:w="1414" w:type="dxa"/>
            <w:tcBorders>
              <w:top w:val="nil"/>
              <w:bottom w:val="nil"/>
              <w:right w:val="single" w:sz="16" w:space="0" w:color="000000"/>
            </w:tcBorders>
            <w:shd w:val="clear" w:color="auto" w:fill="FFFFFF"/>
            <w:vAlign w:val="center"/>
          </w:tcPr>
          <w:p w14:paraId="4BADFD5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w:t>
            </w:r>
          </w:p>
        </w:tc>
      </w:tr>
      <w:tr w:rsidR="009E03E3" w:rsidRPr="008E59D3" w14:paraId="103B2F3C" w14:textId="77777777" w:rsidTr="008E59D3">
        <w:trPr>
          <w:cantSplit/>
        </w:trPr>
        <w:tc>
          <w:tcPr>
            <w:tcW w:w="1046" w:type="dxa"/>
            <w:vMerge/>
            <w:tcBorders>
              <w:top w:val="nil"/>
              <w:left w:val="single" w:sz="16" w:space="0" w:color="000000"/>
              <w:right w:val="nil"/>
            </w:tcBorders>
            <w:shd w:val="clear" w:color="auto" w:fill="FFFFFF"/>
          </w:tcPr>
          <w:p w14:paraId="1EECCB17"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7D37EC52"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6572041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-,0299</w:t>
            </w:r>
            <w:r w:rsidRPr="008E59D3">
              <w:rPr>
                <w:rFonts w:cs="Arial"/>
                <w:color w:val="000000"/>
                <w:sz w:val="16"/>
                <w:szCs w:val="16"/>
                <w:vertAlign w:val="superscript"/>
                <w:lang w:val="en-GB"/>
              </w:rPr>
              <w:t>*</w:t>
            </w:r>
          </w:p>
        </w:tc>
        <w:tc>
          <w:tcPr>
            <w:tcW w:w="1076" w:type="dxa"/>
            <w:tcBorders>
              <w:top w:val="nil"/>
            </w:tcBorders>
            <w:shd w:val="clear" w:color="auto" w:fill="FFFFFF"/>
            <w:vAlign w:val="center"/>
          </w:tcPr>
          <w:p w14:paraId="6214D65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,0150</w:t>
            </w:r>
          </w:p>
        </w:tc>
        <w:tc>
          <w:tcPr>
            <w:tcW w:w="1029" w:type="dxa"/>
            <w:tcBorders>
              <w:top w:val="nil"/>
            </w:tcBorders>
            <w:shd w:val="clear" w:color="auto" w:fill="FFFFFF"/>
            <w:vAlign w:val="center"/>
          </w:tcPr>
          <w:p w14:paraId="546F2FC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,046</w:t>
            </w:r>
          </w:p>
        </w:tc>
        <w:tc>
          <w:tcPr>
            <w:tcW w:w="1414" w:type="dxa"/>
            <w:tcBorders>
              <w:top w:val="nil"/>
            </w:tcBorders>
            <w:shd w:val="clear" w:color="auto" w:fill="FFFFFF"/>
            <w:vAlign w:val="center"/>
          </w:tcPr>
          <w:p w14:paraId="4888C84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-,059</w:t>
            </w:r>
          </w:p>
        </w:tc>
        <w:tc>
          <w:tcPr>
            <w:tcW w:w="1414" w:type="dxa"/>
            <w:tcBorders>
              <w:top w:val="nil"/>
              <w:right w:val="single" w:sz="16" w:space="0" w:color="000000"/>
            </w:tcBorders>
            <w:shd w:val="clear" w:color="auto" w:fill="FFFFFF"/>
            <w:vAlign w:val="center"/>
          </w:tcPr>
          <w:p w14:paraId="4277FD3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r>
      <w:tr w:rsidR="009E03E3" w:rsidRPr="008E59D3" w14:paraId="661BB0BB" w14:textId="77777777" w:rsidTr="008E59D3">
        <w:trPr>
          <w:cantSplit/>
        </w:trPr>
        <w:tc>
          <w:tcPr>
            <w:tcW w:w="1046" w:type="dxa"/>
            <w:vMerge w:val="restart"/>
            <w:tcBorders>
              <w:top w:val="nil"/>
              <w:left w:val="single" w:sz="16" w:space="0" w:color="000000"/>
              <w:right w:val="nil"/>
            </w:tcBorders>
            <w:shd w:val="clear" w:color="auto" w:fill="FFFFFF"/>
          </w:tcPr>
          <w:p w14:paraId="498FC000"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092" w:type="dxa"/>
            <w:tcBorders>
              <w:top w:val="nil"/>
              <w:left w:val="nil"/>
              <w:bottom w:val="nil"/>
              <w:right w:val="single" w:sz="16" w:space="0" w:color="000000"/>
            </w:tcBorders>
            <w:shd w:val="clear" w:color="auto" w:fill="FFFFFF"/>
          </w:tcPr>
          <w:p w14:paraId="2AC5AA7A"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7C29C21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-,0136</w:t>
            </w:r>
          </w:p>
        </w:tc>
        <w:tc>
          <w:tcPr>
            <w:tcW w:w="1076" w:type="dxa"/>
            <w:tcBorders>
              <w:top w:val="nil"/>
              <w:bottom w:val="nil"/>
            </w:tcBorders>
            <w:shd w:val="clear" w:color="auto" w:fill="FFFFFF"/>
            <w:vAlign w:val="center"/>
          </w:tcPr>
          <w:p w14:paraId="6906E56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,0161</w:t>
            </w:r>
          </w:p>
        </w:tc>
        <w:tc>
          <w:tcPr>
            <w:tcW w:w="1029" w:type="dxa"/>
            <w:tcBorders>
              <w:top w:val="nil"/>
              <w:bottom w:val="nil"/>
            </w:tcBorders>
            <w:shd w:val="clear" w:color="auto" w:fill="FFFFFF"/>
            <w:vAlign w:val="center"/>
          </w:tcPr>
          <w:p w14:paraId="489BC1E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,400</w:t>
            </w:r>
          </w:p>
        </w:tc>
        <w:tc>
          <w:tcPr>
            <w:tcW w:w="1414" w:type="dxa"/>
            <w:tcBorders>
              <w:top w:val="nil"/>
              <w:bottom w:val="nil"/>
            </w:tcBorders>
            <w:shd w:val="clear" w:color="auto" w:fill="FFFFFF"/>
            <w:vAlign w:val="center"/>
          </w:tcPr>
          <w:p w14:paraId="1A6A0C0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-,045</w:t>
            </w:r>
          </w:p>
        </w:tc>
        <w:tc>
          <w:tcPr>
            <w:tcW w:w="1414" w:type="dxa"/>
            <w:tcBorders>
              <w:top w:val="nil"/>
              <w:bottom w:val="nil"/>
              <w:right w:val="single" w:sz="16" w:space="0" w:color="000000"/>
            </w:tcBorders>
            <w:shd w:val="clear" w:color="auto" w:fill="FFFFFF"/>
            <w:vAlign w:val="center"/>
          </w:tcPr>
          <w:p w14:paraId="715BB42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p>
        </w:tc>
      </w:tr>
      <w:tr w:rsidR="009E03E3" w:rsidRPr="008E59D3" w14:paraId="7051C7B7" w14:textId="77777777" w:rsidTr="008E59D3">
        <w:trPr>
          <w:cantSplit/>
        </w:trPr>
        <w:tc>
          <w:tcPr>
            <w:tcW w:w="1046" w:type="dxa"/>
            <w:vMerge/>
            <w:tcBorders>
              <w:top w:val="nil"/>
              <w:left w:val="single" w:sz="16" w:space="0" w:color="000000"/>
              <w:right w:val="nil"/>
            </w:tcBorders>
            <w:shd w:val="clear" w:color="auto" w:fill="FFFFFF"/>
          </w:tcPr>
          <w:p w14:paraId="4F57F157"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BD276A9"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541F2C5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-,0131</w:t>
            </w:r>
          </w:p>
        </w:tc>
        <w:tc>
          <w:tcPr>
            <w:tcW w:w="1076" w:type="dxa"/>
            <w:tcBorders>
              <w:top w:val="nil"/>
              <w:bottom w:val="nil"/>
            </w:tcBorders>
            <w:shd w:val="clear" w:color="auto" w:fill="FFFFFF"/>
            <w:vAlign w:val="center"/>
          </w:tcPr>
          <w:p w14:paraId="4AF5556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,0208</w:t>
            </w:r>
          </w:p>
        </w:tc>
        <w:tc>
          <w:tcPr>
            <w:tcW w:w="1029" w:type="dxa"/>
            <w:tcBorders>
              <w:top w:val="nil"/>
              <w:bottom w:val="nil"/>
            </w:tcBorders>
            <w:shd w:val="clear" w:color="auto" w:fill="FFFFFF"/>
            <w:vAlign w:val="center"/>
          </w:tcPr>
          <w:p w14:paraId="40D95E8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,529</w:t>
            </w:r>
          </w:p>
        </w:tc>
        <w:tc>
          <w:tcPr>
            <w:tcW w:w="1414" w:type="dxa"/>
            <w:tcBorders>
              <w:top w:val="nil"/>
              <w:bottom w:val="nil"/>
            </w:tcBorders>
            <w:shd w:val="clear" w:color="auto" w:fill="FFFFFF"/>
            <w:vAlign w:val="center"/>
          </w:tcPr>
          <w:p w14:paraId="6E0C374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-,054</w:t>
            </w:r>
          </w:p>
        </w:tc>
        <w:tc>
          <w:tcPr>
            <w:tcW w:w="1414" w:type="dxa"/>
            <w:tcBorders>
              <w:top w:val="nil"/>
              <w:bottom w:val="nil"/>
              <w:right w:val="single" w:sz="16" w:space="0" w:color="000000"/>
            </w:tcBorders>
            <w:shd w:val="clear" w:color="auto" w:fill="FFFFFF"/>
            <w:vAlign w:val="center"/>
          </w:tcPr>
          <w:p w14:paraId="65B1C7F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,028</w:t>
            </w:r>
          </w:p>
        </w:tc>
      </w:tr>
      <w:tr w:rsidR="009E03E3" w:rsidRPr="008E59D3" w14:paraId="7A4041E0" w14:textId="77777777" w:rsidTr="008E59D3">
        <w:trPr>
          <w:cantSplit/>
        </w:trPr>
        <w:tc>
          <w:tcPr>
            <w:tcW w:w="1046" w:type="dxa"/>
            <w:vMerge/>
            <w:tcBorders>
              <w:top w:val="nil"/>
              <w:left w:val="single" w:sz="16" w:space="0" w:color="000000"/>
              <w:right w:val="nil"/>
            </w:tcBorders>
            <w:shd w:val="clear" w:color="auto" w:fill="FFFFFF"/>
          </w:tcPr>
          <w:p w14:paraId="0C67A807"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FA5C16C"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14FA44D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-,0042</w:t>
            </w:r>
          </w:p>
        </w:tc>
        <w:tc>
          <w:tcPr>
            <w:tcW w:w="1076" w:type="dxa"/>
            <w:tcBorders>
              <w:top w:val="nil"/>
              <w:bottom w:val="nil"/>
            </w:tcBorders>
            <w:shd w:val="clear" w:color="auto" w:fill="FFFFFF"/>
            <w:vAlign w:val="center"/>
          </w:tcPr>
          <w:p w14:paraId="6030E39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,0189</w:t>
            </w:r>
          </w:p>
        </w:tc>
        <w:tc>
          <w:tcPr>
            <w:tcW w:w="1029" w:type="dxa"/>
            <w:tcBorders>
              <w:top w:val="nil"/>
              <w:bottom w:val="nil"/>
            </w:tcBorders>
            <w:shd w:val="clear" w:color="auto" w:fill="FFFFFF"/>
            <w:vAlign w:val="center"/>
          </w:tcPr>
          <w:p w14:paraId="4E97399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,825</w:t>
            </w:r>
          </w:p>
        </w:tc>
        <w:tc>
          <w:tcPr>
            <w:tcW w:w="1414" w:type="dxa"/>
            <w:tcBorders>
              <w:top w:val="nil"/>
              <w:bottom w:val="nil"/>
            </w:tcBorders>
            <w:shd w:val="clear" w:color="auto" w:fill="FFFFFF"/>
            <w:vAlign w:val="center"/>
          </w:tcPr>
          <w:p w14:paraId="1A89691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-,041</w:t>
            </w:r>
          </w:p>
        </w:tc>
        <w:tc>
          <w:tcPr>
            <w:tcW w:w="1414" w:type="dxa"/>
            <w:tcBorders>
              <w:top w:val="nil"/>
              <w:bottom w:val="nil"/>
              <w:right w:val="single" w:sz="16" w:space="0" w:color="000000"/>
            </w:tcBorders>
            <w:shd w:val="clear" w:color="auto" w:fill="FFFFFF"/>
            <w:vAlign w:val="center"/>
          </w:tcPr>
          <w:p w14:paraId="24916E4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r>
      <w:tr w:rsidR="009E03E3" w:rsidRPr="008E59D3" w14:paraId="3A3E5DF4" w14:textId="77777777" w:rsidTr="008E59D3">
        <w:trPr>
          <w:cantSplit/>
        </w:trPr>
        <w:tc>
          <w:tcPr>
            <w:tcW w:w="1046" w:type="dxa"/>
            <w:vMerge/>
            <w:tcBorders>
              <w:top w:val="nil"/>
              <w:left w:val="single" w:sz="16" w:space="0" w:color="000000"/>
              <w:right w:val="nil"/>
            </w:tcBorders>
            <w:shd w:val="clear" w:color="auto" w:fill="FFFFFF"/>
          </w:tcPr>
          <w:p w14:paraId="0E2C3566"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10949D1"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6C61C6D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-,0111</w:t>
            </w:r>
          </w:p>
        </w:tc>
        <w:tc>
          <w:tcPr>
            <w:tcW w:w="1076" w:type="dxa"/>
            <w:tcBorders>
              <w:top w:val="nil"/>
              <w:bottom w:val="nil"/>
            </w:tcBorders>
            <w:shd w:val="clear" w:color="auto" w:fill="FFFFFF"/>
            <w:vAlign w:val="center"/>
          </w:tcPr>
          <w:p w14:paraId="7E171AB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,0173</w:t>
            </w:r>
          </w:p>
        </w:tc>
        <w:tc>
          <w:tcPr>
            <w:tcW w:w="1029" w:type="dxa"/>
            <w:tcBorders>
              <w:top w:val="nil"/>
              <w:bottom w:val="nil"/>
            </w:tcBorders>
            <w:shd w:val="clear" w:color="auto" w:fill="FFFFFF"/>
            <w:vAlign w:val="center"/>
          </w:tcPr>
          <w:p w14:paraId="5769109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,521</w:t>
            </w:r>
          </w:p>
        </w:tc>
        <w:tc>
          <w:tcPr>
            <w:tcW w:w="1414" w:type="dxa"/>
            <w:tcBorders>
              <w:top w:val="nil"/>
              <w:bottom w:val="nil"/>
            </w:tcBorders>
            <w:shd w:val="clear" w:color="auto" w:fill="FFFFFF"/>
            <w:vAlign w:val="center"/>
          </w:tcPr>
          <w:p w14:paraId="74AE1B3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-,045</w:t>
            </w:r>
          </w:p>
        </w:tc>
        <w:tc>
          <w:tcPr>
            <w:tcW w:w="1414" w:type="dxa"/>
            <w:tcBorders>
              <w:top w:val="nil"/>
              <w:bottom w:val="nil"/>
              <w:right w:val="single" w:sz="16" w:space="0" w:color="000000"/>
            </w:tcBorders>
            <w:shd w:val="clear" w:color="auto" w:fill="FFFFFF"/>
            <w:vAlign w:val="center"/>
          </w:tcPr>
          <w:p w14:paraId="5655F25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w:t>
            </w:r>
          </w:p>
        </w:tc>
      </w:tr>
      <w:tr w:rsidR="009E03E3" w:rsidRPr="008E59D3" w14:paraId="2EFEEE40" w14:textId="77777777" w:rsidTr="008E59D3">
        <w:trPr>
          <w:cantSplit/>
        </w:trPr>
        <w:tc>
          <w:tcPr>
            <w:tcW w:w="1046" w:type="dxa"/>
            <w:vMerge/>
            <w:tcBorders>
              <w:top w:val="nil"/>
              <w:left w:val="single" w:sz="16" w:space="0" w:color="000000"/>
              <w:right w:val="nil"/>
            </w:tcBorders>
            <w:shd w:val="clear" w:color="auto" w:fill="FFFFFF"/>
          </w:tcPr>
          <w:p w14:paraId="05A72087"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7978812"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0B4C211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-,0075</w:t>
            </w:r>
          </w:p>
        </w:tc>
        <w:tc>
          <w:tcPr>
            <w:tcW w:w="1076" w:type="dxa"/>
            <w:tcBorders>
              <w:top w:val="nil"/>
              <w:bottom w:val="nil"/>
            </w:tcBorders>
            <w:shd w:val="clear" w:color="auto" w:fill="FFFFFF"/>
            <w:vAlign w:val="center"/>
          </w:tcPr>
          <w:p w14:paraId="029F11B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,0168</w:t>
            </w:r>
          </w:p>
        </w:tc>
        <w:tc>
          <w:tcPr>
            <w:tcW w:w="1029" w:type="dxa"/>
            <w:tcBorders>
              <w:top w:val="nil"/>
              <w:bottom w:val="nil"/>
            </w:tcBorders>
            <w:shd w:val="clear" w:color="auto" w:fill="FFFFFF"/>
            <w:vAlign w:val="center"/>
          </w:tcPr>
          <w:p w14:paraId="2B76FAC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,655</w:t>
            </w:r>
          </w:p>
        </w:tc>
        <w:tc>
          <w:tcPr>
            <w:tcW w:w="1414" w:type="dxa"/>
            <w:tcBorders>
              <w:top w:val="nil"/>
              <w:bottom w:val="nil"/>
            </w:tcBorders>
            <w:shd w:val="clear" w:color="auto" w:fill="FFFFFF"/>
            <w:vAlign w:val="center"/>
          </w:tcPr>
          <w:p w14:paraId="0E7ED28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-,040</w:t>
            </w:r>
          </w:p>
        </w:tc>
        <w:tc>
          <w:tcPr>
            <w:tcW w:w="1414" w:type="dxa"/>
            <w:tcBorders>
              <w:top w:val="nil"/>
              <w:bottom w:val="nil"/>
              <w:right w:val="single" w:sz="16" w:space="0" w:color="000000"/>
            </w:tcBorders>
            <w:shd w:val="clear" w:color="auto" w:fill="FFFFFF"/>
            <w:vAlign w:val="center"/>
          </w:tcPr>
          <w:p w14:paraId="32602F2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,025</w:t>
            </w:r>
          </w:p>
        </w:tc>
      </w:tr>
      <w:tr w:rsidR="009E03E3" w:rsidRPr="008E59D3" w14:paraId="63BD2A09" w14:textId="77777777" w:rsidTr="008E59D3">
        <w:trPr>
          <w:cantSplit/>
        </w:trPr>
        <w:tc>
          <w:tcPr>
            <w:tcW w:w="1046" w:type="dxa"/>
            <w:vMerge/>
            <w:tcBorders>
              <w:top w:val="nil"/>
              <w:left w:val="single" w:sz="16" w:space="0" w:color="000000"/>
              <w:right w:val="nil"/>
            </w:tcBorders>
            <w:shd w:val="clear" w:color="auto" w:fill="FFFFFF"/>
          </w:tcPr>
          <w:p w14:paraId="0506CE5E"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12799B4"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1740790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-,0365</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1F6F543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,0164</w:t>
            </w:r>
          </w:p>
        </w:tc>
        <w:tc>
          <w:tcPr>
            <w:tcW w:w="1029" w:type="dxa"/>
            <w:tcBorders>
              <w:top w:val="nil"/>
              <w:bottom w:val="nil"/>
            </w:tcBorders>
            <w:shd w:val="clear" w:color="auto" w:fill="FFFFFF"/>
            <w:vAlign w:val="center"/>
          </w:tcPr>
          <w:p w14:paraId="0CFE799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,026</w:t>
            </w:r>
          </w:p>
        </w:tc>
        <w:tc>
          <w:tcPr>
            <w:tcW w:w="1414" w:type="dxa"/>
            <w:tcBorders>
              <w:top w:val="nil"/>
              <w:bottom w:val="nil"/>
            </w:tcBorders>
            <w:shd w:val="clear" w:color="auto" w:fill="FFFFFF"/>
            <w:vAlign w:val="center"/>
          </w:tcPr>
          <w:p w14:paraId="198AF41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-,069</w:t>
            </w:r>
          </w:p>
        </w:tc>
        <w:tc>
          <w:tcPr>
            <w:tcW w:w="1414" w:type="dxa"/>
            <w:tcBorders>
              <w:top w:val="nil"/>
              <w:bottom w:val="nil"/>
              <w:right w:val="single" w:sz="16" w:space="0" w:color="000000"/>
            </w:tcBorders>
            <w:shd w:val="clear" w:color="auto" w:fill="FFFFFF"/>
            <w:vAlign w:val="center"/>
          </w:tcPr>
          <w:p w14:paraId="02C1E6B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r>
      <w:tr w:rsidR="009E03E3" w:rsidRPr="008E59D3" w14:paraId="3278D434" w14:textId="77777777" w:rsidTr="008E59D3">
        <w:trPr>
          <w:cantSplit/>
        </w:trPr>
        <w:tc>
          <w:tcPr>
            <w:tcW w:w="1046" w:type="dxa"/>
            <w:vMerge/>
            <w:tcBorders>
              <w:top w:val="nil"/>
              <w:left w:val="single" w:sz="16" w:space="0" w:color="000000"/>
              <w:right w:val="nil"/>
            </w:tcBorders>
            <w:shd w:val="clear" w:color="auto" w:fill="FFFFFF"/>
          </w:tcPr>
          <w:p w14:paraId="6B028B83"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BAF152D"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66CC517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-,0196</w:t>
            </w:r>
          </w:p>
        </w:tc>
        <w:tc>
          <w:tcPr>
            <w:tcW w:w="1076" w:type="dxa"/>
            <w:tcBorders>
              <w:top w:val="nil"/>
              <w:bottom w:val="nil"/>
            </w:tcBorders>
            <w:shd w:val="clear" w:color="auto" w:fill="FFFFFF"/>
            <w:vAlign w:val="center"/>
          </w:tcPr>
          <w:p w14:paraId="475E0E3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,0160</w:t>
            </w:r>
          </w:p>
        </w:tc>
        <w:tc>
          <w:tcPr>
            <w:tcW w:w="1029" w:type="dxa"/>
            <w:tcBorders>
              <w:top w:val="nil"/>
              <w:bottom w:val="nil"/>
            </w:tcBorders>
            <w:shd w:val="clear" w:color="auto" w:fill="FFFFFF"/>
            <w:vAlign w:val="center"/>
          </w:tcPr>
          <w:p w14:paraId="7E53E82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,220</w:t>
            </w:r>
          </w:p>
        </w:tc>
        <w:tc>
          <w:tcPr>
            <w:tcW w:w="1414" w:type="dxa"/>
            <w:tcBorders>
              <w:top w:val="nil"/>
              <w:bottom w:val="nil"/>
            </w:tcBorders>
            <w:shd w:val="clear" w:color="auto" w:fill="FFFFFF"/>
            <w:vAlign w:val="center"/>
          </w:tcPr>
          <w:p w14:paraId="73FD5B3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-,051</w:t>
            </w:r>
          </w:p>
        </w:tc>
        <w:tc>
          <w:tcPr>
            <w:tcW w:w="1414" w:type="dxa"/>
            <w:tcBorders>
              <w:top w:val="nil"/>
              <w:bottom w:val="nil"/>
              <w:right w:val="single" w:sz="16" w:space="0" w:color="000000"/>
            </w:tcBorders>
            <w:shd w:val="clear" w:color="auto" w:fill="FFFFFF"/>
            <w:vAlign w:val="center"/>
          </w:tcPr>
          <w:p w14:paraId="59A1E27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r>
      <w:tr w:rsidR="009E03E3" w:rsidRPr="008E59D3" w14:paraId="04F235A6" w14:textId="77777777" w:rsidTr="008E59D3">
        <w:trPr>
          <w:cantSplit/>
        </w:trPr>
        <w:tc>
          <w:tcPr>
            <w:tcW w:w="1046" w:type="dxa"/>
            <w:vMerge/>
            <w:tcBorders>
              <w:top w:val="nil"/>
              <w:left w:val="single" w:sz="16" w:space="0" w:color="000000"/>
              <w:right w:val="nil"/>
            </w:tcBorders>
            <w:shd w:val="clear" w:color="auto" w:fill="FFFFFF"/>
          </w:tcPr>
          <w:p w14:paraId="6071AFD9"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473F353"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6F4A624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-,0237</w:t>
            </w:r>
          </w:p>
        </w:tc>
        <w:tc>
          <w:tcPr>
            <w:tcW w:w="1076" w:type="dxa"/>
            <w:tcBorders>
              <w:top w:val="nil"/>
              <w:bottom w:val="nil"/>
            </w:tcBorders>
            <w:shd w:val="clear" w:color="auto" w:fill="FFFFFF"/>
            <w:vAlign w:val="center"/>
          </w:tcPr>
          <w:p w14:paraId="13AA628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,0164</w:t>
            </w:r>
          </w:p>
        </w:tc>
        <w:tc>
          <w:tcPr>
            <w:tcW w:w="1029" w:type="dxa"/>
            <w:tcBorders>
              <w:top w:val="nil"/>
              <w:bottom w:val="nil"/>
            </w:tcBorders>
            <w:shd w:val="clear" w:color="auto" w:fill="FFFFFF"/>
            <w:vAlign w:val="center"/>
          </w:tcPr>
          <w:p w14:paraId="0A92388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,149</w:t>
            </w:r>
          </w:p>
        </w:tc>
        <w:tc>
          <w:tcPr>
            <w:tcW w:w="1414" w:type="dxa"/>
            <w:tcBorders>
              <w:top w:val="nil"/>
              <w:bottom w:val="nil"/>
            </w:tcBorders>
            <w:shd w:val="clear" w:color="auto" w:fill="FFFFFF"/>
            <w:vAlign w:val="center"/>
          </w:tcPr>
          <w:p w14:paraId="268E321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-,056</w:t>
            </w:r>
          </w:p>
        </w:tc>
        <w:tc>
          <w:tcPr>
            <w:tcW w:w="1414" w:type="dxa"/>
            <w:tcBorders>
              <w:top w:val="nil"/>
              <w:bottom w:val="nil"/>
              <w:right w:val="single" w:sz="16" w:space="0" w:color="000000"/>
            </w:tcBorders>
            <w:shd w:val="clear" w:color="auto" w:fill="FFFFFF"/>
            <w:vAlign w:val="center"/>
          </w:tcPr>
          <w:p w14:paraId="38252B1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r>
      <w:tr w:rsidR="009E03E3" w:rsidRPr="008E59D3" w14:paraId="3C61DEBB" w14:textId="77777777" w:rsidTr="008E59D3">
        <w:trPr>
          <w:cantSplit/>
        </w:trPr>
        <w:tc>
          <w:tcPr>
            <w:tcW w:w="1046" w:type="dxa"/>
            <w:vMerge/>
            <w:tcBorders>
              <w:top w:val="nil"/>
              <w:left w:val="single" w:sz="16" w:space="0" w:color="000000"/>
              <w:right w:val="nil"/>
            </w:tcBorders>
            <w:shd w:val="clear" w:color="auto" w:fill="FFFFFF"/>
          </w:tcPr>
          <w:p w14:paraId="5B00C831"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480CE40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3195C84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-,0341</w:t>
            </w:r>
            <w:r w:rsidRPr="008E59D3">
              <w:rPr>
                <w:rFonts w:cs="Arial"/>
                <w:color w:val="000000"/>
                <w:sz w:val="16"/>
                <w:szCs w:val="16"/>
                <w:vertAlign w:val="superscript"/>
                <w:lang w:val="en-GB"/>
              </w:rPr>
              <w:t>*</w:t>
            </w:r>
          </w:p>
        </w:tc>
        <w:tc>
          <w:tcPr>
            <w:tcW w:w="1076" w:type="dxa"/>
            <w:tcBorders>
              <w:top w:val="nil"/>
            </w:tcBorders>
            <w:shd w:val="clear" w:color="auto" w:fill="FFFFFF"/>
            <w:vAlign w:val="center"/>
          </w:tcPr>
          <w:p w14:paraId="5A31017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,0138</w:t>
            </w:r>
          </w:p>
        </w:tc>
        <w:tc>
          <w:tcPr>
            <w:tcW w:w="1029" w:type="dxa"/>
            <w:tcBorders>
              <w:top w:val="nil"/>
            </w:tcBorders>
            <w:shd w:val="clear" w:color="auto" w:fill="FFFFFF"/>
            <w:vAlign w:val="center"/>
          </w:tcPr>
          <w:p w14:paraId="251127F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w:t>
            </w:r>
          </w:p>
        </w:tc>
        <w:tc>
          <w:tcPr>
            <w:tcW w:w="1414" w:type="dxa"/>
            <w:tcBorders>
              <w:top w:val="nil"/>
            </w:tcBorders>
            <w:shd w:val="clear" w:color="auto" w:fill="FFFFFF"/>
            <w:vAlign w:val="center"/>
          </w:tcPr>
          <w:p w14:paraId="1E37E9E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-,061</w:t>
            </w:r>
          </w:p>
        </w:tc>
        <w:tc>
          <w:tcPr>
            <w:tcW w:w="1414" w:type="dxa"/>
            <w:tcBorders>
              <w:top w:val="nil"/>
              <w:right w:val="single" w:sz="16" w:space="0" w:color="000000"/>
            </w:tcBorders>
            <w:shd w:val="clear" w:color="auto" w:fill="FFFFFF"/>
            <w:vAlign w:val="center"/>
          </w:tcPr>
          <w:p w14:paraId="621435D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r>
      <w:tr w:rsidR="009E03E3" w:rsidRPr="008E59D3" w14:paraId="672ADE2F" w14:textId="77777777" w:rsidTr="008E59D3">
        <w:trPr>
          <w:cantSplit/>
        </w:trPr>
        <w:tc>
          <w:tcPr>
            <w:tcW w:w="1046" w:type="dxa"/>
            <w:vMerge w:val="restart"/>
            <w:tcBorders>
              <w:top w:val="nil"/>
              <w:left w:val="single" w:sz="16" w:space="0" w:color="000000"/>
              <w:right w:val="nil"/>
            </w:tcBorders>
            <w:shd w:val="clear" w:color="auto" w:fill="FFFFFF"/>
          </w:tcPr>
          <w:p w14:paraId="11AA882C"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092" w:type="dxa"/>
            <w:tcBorders>
              <w:top w:val="nil"/>
              <w:left w:val="nil"/>
              <w:bottom w:val="nil"/>
              <w:right w:val="single" w:sz="16" w:space="0" w:color="000000"/>
            </w:tcBorders>
            <w:shd w:val="clear" w:color="auto" w:fill="FFFFFF"/>
          </w:tcPr>
          <w:p w14:paraId="5636CA76"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0F01FFD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-,0024</w:t>
            </w:r>
          </w:p>
        </w:tc>
        <w:tc>
          <w:tcPr>
            <w:tcW w:w="1076" w:type="dxa"/>
            <w:tcBorders>
              <w:top w:val="nil"/>
              <w:bottom w:val="nil"/>
            </w:tcBorders>
            <w:shd w:val="clear" w:color="auto" w:fill="FFFFFF"/>
            <w:vAlign w:val="center"/>
          </w:tcPr>
          <w:p w14:paraId="5AC08EF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,0154</w:t>
            </w:r>
          </w:p>
        </w:tc>
        <w:tc>
          <w:tcPr>
            <w:tcW w:w="1029" w:type="dxa"/>
            <w:tcBorders>
              <w:top w:val="nil"/>
              <w:bottom w:val="nil"/>
            </w:tcBorders>
            <w:shd w:val="clear" w:color="auto" w:fill="FFFFFF"/>
            <w:vAlign w:val="center"/>
          </w:tcPr>
          <w:p w14:paraId="28391B2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,874</w:t>
            </w:r>
          </w:p>
        </w:tc>
        <w:tc>
          <w:tcPr>
            <w:tcW w:w="1414" w:type="dxa"/>
            <w:tcBorders>
              <w:top w:val="nil"/>
              <w:bottom w:val="nil"/>
            </w:tcBorders>
            <w:shd w:val="clear" w:color="auto" w:fill="FFFFFF"/>
            <w:vAlign w:val="center"/>
          </w:tcPr>
          <w:p w14:paraId="31D3925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c>
          <w:tcPr>
            <w:tcW w:w="1414" w:type="dxa"/>
            <w:tcBorders>
              <w:top w:val="nil"/>
              <w:bottom w:val="nil"/>
              <w:right w:val="single" w:sz="16" w:space="0" w:color="000000"/>
            </w:tcBorders>
            <w:shd w:val="clear" w:color="auto" w:fill="FFFFFF"/>
            <w:vAlign w:val="center"/>
          </w:tcPr>
          <w:p w14:paraId="1CA0FD8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,028</w:t>
            </w:r>
          </w:p>
        </w:tc>
      </w:tr>
      <w:tr w:rsidR="009E03E3" w:rsidRPr="008E59D3" w14:paraId="0729F0E4" w14:textId="77777777" w:rsidTr="008E59D3">
        <w:trPr>
          <w:cantSplit/>
        </w:trPr>
        <w:tc>
          <w:tcPr>
            <w:tcW w:w="1046" w:type="dxa"/>
            <w:vMerge/>
            <w:tcBorders>
              <w:top w:val="nil"/>
              <w:left w:val="single" w:sz="16" w:space="0" w:color="000000"/>
              <w:right w:val="nil"/>
            </w:tcBorders>
            <w:shd w:val="clear" w:color="auto" w:fill="FFFFFF"/>
          </w:tcPr>
          <w:p w14:paraId="729AAF7A"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34AC592"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568A3B6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-,0020</w:t>
            </w:r>
          </w:p>
        </w:tc>
        <w:tc>
          <w:tcPr>
            <w:tcW w:w="1076" w:type="dxa"/>
            <w:tcBorders>
              <w:top w:val="nil"/>
              <w:bottom w:val="nil"/>
            </w:tcBorders>
            <w:shd w:val="clear" w:color="auto" w:fill="FFFFFF"/>
            <w:vAlign w:val="center"/>
          </w:tcPr>
          <w:p w14:paraId="101564D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,0203</w:t>
            </w:r>
          </w:p>
        </w:tc>
        <w:tc>
          <w:tcPr>
            <w:tcW w:w="1029" w:type="dxa"/>
            <w:tcBorders>
              <w:top w:val="nil"/>
              <w:bottom w:val="nil"/>
            </w:tcBorders>
            <w:shd w:val="clear" w:color="auto" w:fill="FFFFFF"/>
            <w:vAlign w:val="center"/>
          </w:tcPr>
          <w:p w14:paraId="1FCB3D9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,921</w:t>
            </w:r>
          </w:p>
        </w:tc>
        <w:tc>
          <w:tcPr>
            <w:tcW w:w="1414" w:type="dxa"/>
            <w:tcBorders>
              <w:top w:val="nil"/>
              <w:bottom w:val="nil"/>
            </w:tcBorders>
            <w:shd w:val="clear" w:color="auto" w:fill="FFFFFF"/>
            <w:vAlign w:val="center"/>
          </w:tcPr>
          <w:p w14:paraId="5306926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-,042</w:t>
            </w:r>
          </w:p>
        </w:tc>
        <w:tc>
          <w:tcPr>
            <w:tcW w:w="1414" w:type="dxa"/>
            <w:tcBorders>
              <w:top w:val="nil"/>
              <w:bottom w:val="nil"/>
              <w:right w:val="single" w:sz="16" w:space="0" w:color="000000"/>
            </w:tcBorders>
            <w:shd w:val="clear" w:color="auto" w:fill="FFFFFF"/>
            <w:vAlign w:val="center"/>
          </w:tcPr>
          <w:p w14:paraId="3E2AB33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,038</w:t>
            </w:r>
          </w:p>
        </w:tc>
      </w:tr>
      <w:tr w:rsidR="009E03E3" w:rsidRPr="008E59D3" w14:paraId="4A40FB98" w14:textId="77777777" w:rsidTr="008E59D3">
        <w:trPr>
          <w:cantSplit/>
        </w:trPr>
        <w:tc>
          <w:tcPr>
            <w:tcW w:w="1046" w:type="dxa"/>
            <w:vMerge/>
            <w:tcBorders>
              <w:top w:val="nil"/>
              <w:left w:val="single" w:sz="16" w:space="0" w:color="000000"/>
              <w:right w:val="nil"/>
            </w:tcBorders>
            <w:shd w:val="clear" w:color="auto" w:fill="FFFFFF"/>
          </w:tcPr>
          <w:p w14:paraId="6F0B1F3C"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8BA3AC8"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3B6DD96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,0069</w:t>
            </w:r>
          </w:p>
        </w:tc>
        <w:tc>
          <w:tcPr>
            <w:tcW w:w="1076" w:type="dxa"/>
            <w:tcBorders>
              <w:top w:val="nil"/>
              <w:bottom w:val="nil"/>
            </w:tcBorders>
            <w:shd w:val="clear" w:color="auto" w:fill="FFFFFF"/>
            <w:vAlign w:val="center"/>
          </w:tcPr>
          <w:p w14:paraId="003A40F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,0183</w:t>
            </w:r>
          </w:p>
        </w:tc>
        <w:tc>
          <w:tcPr>
            <w:tcW w:w="1029" w:type="dxa"/>
            <w:tcBorders>
              <w:top w:val="nil"/>
              <w:bottom w:val="nil"/>
            </w:tcBorders>
            <w:shd w:val="clear" w:color="auto" w:fill="FFFFFF"/>
            <w:vAlign w:val="center"/>
          </w:tcPr>
          <w:p w14:paraId="55DA7FC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,704</w:t>
            </w:r>
          </w:p>
        </w:tc>
        <w:tc>
          <w:tcPr>
            <w:tcW w:w="1414" w:type="dxa"/>
            <w:tcBorders>
              <w:top w:val="nil"/>
              <w:bottom w:val="nil"/>
            </w:tcBorders>
            <w:shd w:val="clear" w:color="auto" w:fill="FFFFFF"/>
            <w:vAlign w:val="center"/>
          </w:tcPr>
          <w:p w14:paraId="3A648C1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-,029</w:t>
            </w:r>
          </w:p>
        </w:tc>
        <w:tc>
          <w:tcPr>
            <w:tcW w:w="1414" w:type="dxa"/>
            <w:tcBorders>
              <w:top w:val="nil"/>
              <w:bottom w:val="nil"/>
              <w:right w:val="single" w:sz="16" w:space="0" w:color="000000"/>
            </w:tcBorders>
            <w:shd w:val="clear" w:color="auto" w:fill="FFFFFF"/>
            <w:vAlign w:val="center"/>
          </w:tcPr>
          <w:p w14:paraId="3E5E7F2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,043</w:t>
            </w:r>
          </w:p>
        </w:tc>
      </w:tr>
      <w:tr w:rsidR="009E03E3" w:rsidRPr="008E59D3" w14:paraId="11651E75" w14:textId="77777777" w:rsidTr="008E59D3">
        <w:trPr>
          <w:cantSplit/>
        </w:trPr>
        <w:tc>
          <w:tcPr>
            <w:tcW w:w="1046" w:type="dxa"/>
            <w:vMerge/>
            <w:tcBorders>
              <w:top w:val="nil"/>
              <w:left w:val="single" w:sz="16" w:space="0" w:color="000000"/>
              <w:right w:val="nil"/>
            </w:tcBorders>
            <w:shd w:val="clear" w:color="auto" w:fill="FFFFFF"/>
          </w:tcPr>
          <w:p w14:paraId="3A00DCCC"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E234B23"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3B064D1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,0111</w:t>
            </w:r>
          </w:p>
        </w:tc>
        <w:tc>
          <w:tcPr>
            <w:tcW w:w="1076" w:type="dxa"/>
            <w:tcBorders>
              <w:top w:val="nil"/>
              <w:bottom w:val="nil"/>
            </w:tcBorders>
            <w:shd w:val="clear" w:color="auto" w:fill="FFFFFF"/>
            <w:vAlign w:val="center"/>
          </w:tcPr>
          <w:p w14:paraId="7BC7465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,0173</w:t>
            </w:r>
          </w:p>
        </w:tc>
        <w:tc>
          <w:tcPr>
            <w:tcW w:w="1029" w:type="dxa"/>
            <w:tcBorders>
              <w:top w:val="nil"/>
              <w:bottom w:val="nil"/>
            </w:tcBorders>
            <w:shd w:val="clear" w:color="auto" w:fill="FFFFFF"/>
            <w:vAlign w:val="center"/>
          </w:tcPr>
          <w:p w14:paraId="26E338A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,521</w:t>
            </w:r>
          </w:p>
        </w:tc>
        <w:tc>
          <w:tcPr>
            <w:tcW w:w="1414" w:type="dxa"/>
            <w:tcBorders>
              <w:top w:val="nil"/>
              <w:bottom w:val="nil"/>
            </w:tcBorders>
            <w:shd w:val="clear" w:color="auto" w:fill="FFFFFF"/>
            <w:vAlign w:val="center"/>
          </w:tcPr>
          <w:p w14:paraId="7602050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w:t>
            </w:r>
          </w:p>
        </w:tc>
        <w:tc>
          <w:tcPr>
            <w:tcW w:w="1414" w:type="dxa"/>
            <w:tcBorders>
              <w:top w:val="nil"/>
              <w:bottom w:val="nil"/>
              <w:right w:val="single" w:sz="16" w:space="0" w:color="000000"/>
            </w:tcBorders>
            <w:shd w:val="clear" w:color="auto" w:fill="FFFFFF"/>
            <w:vAlign w:val="center"/>
          </w:tcPr>
          <w:p w14:paraId="468903D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,045</w:t>
            </w:r>
          </w:p>
        </w:tc>
      </w:tr>
      <w:tr w:rsidR="009E03E3" w:rsidRPr="008E59D3" w14:paraId="38F04BD5" w14:textId="77777777" w:rsidTr="008E59D3">
        <w:trPr>
          <w:cantSplit/>
        </w:trPr>
        <w:tc>
          <w:tcPr>
            <w:tcW w:w="1046" w:type="dxa"/>
            <w:vMerge/>
            <w:tcBorders>
              <w:top w:val="nil"/>
              <w:left w:val="single" w:sz="16" w:space="0" w:color="000000"/>
              <w:right w:val="nil"/>
            </w:tcBorders>
            <w:shd w:val="clear" w:color="auto" w:fill="FFFFFF"/>
          </w:tcPr>
          <w:p w14:paraId="6F4E2FB0"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5887431"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7EDE3C0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,0036</w:t>
            </w:r>
          </w:p>
        </w:tc>
        <w:tc>
          <w:tcPr>
            <w:tcW w:w="1076" w:type="dxa"/>
            <w:tcBorders>
              <w:top w:val="nil"/>
              <w:bottom w:val="nil"/>
            </w:tcBorders>
            <w:shd w:val="clear" w:color="auto" w:fill="FFFFFF"/>
            <w:vAlign w:val="center"/>
          </w:tcPr>
          <w:p w14:paraId="2EB1327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,0161</w:t>
            </w:r>
          </w:p>
        </w:tc>
        <w:tc>
          <w:tcPr>
            <w:tcW w:w="1029" w:type="dxa"/>
            <w:tcBorders>
              <w:top w:val="nil"/>
              <w:bottom w:val="nil"/>
            </w:tcBorders>
            <w:shd w:val="clear" w:color="auto" w:fill="FFFFFF"/>
            <w:vAlign w:val="center"/>
          </w:tcPr>
          <w:p w14:paraId="5EEA680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,824</w:t>
            </w:r>
          </w:p>
        </w:tc>
        <w:tc>
          <w:tcPr>
            <w:tcW w:w="1414" w:type="dxa"/>
            <w:tcBorders>
              <w:top w:val="nil"/>
              <w:bottom w:val="nil"/>
            </w:tcBorders>
            <w:shd w:val="clear" w:color="auto" w:fill="FFFFFF"/>
            <w:vAlign w:val="center"/>
          </w:tcPr>
          <w:p w14:paraId="61A5E27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-,028</w:t>
            </w:r>
          </w:p>
        </w:tc>
        <w:tc>
          <w:tcPr>
            <w:tcW w:w="1414" w:type="dxa"/>
            <w:tcBorders>
              <w:top w:val="nil"/>
              <w:bottom w:val="nil"/>
              <w:right w:val="single" w:sz="16" w:space="0" w:color="000000"/>
            </w:tcBorders>
            <w:shd w:val="clear" w:color="auto" w:fill="FFFFFF"/>
            <w:vAlign w:val="center"/>
          </w:tcPr>
          <w:p w14:paraId="33ED7D6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,035</w:t>
            </w:r>
          </w:p>
        </w:tc>
      </w:tr>
      <w:tr w:rsidR="009E03E3" w:rsidRPr="008E59D3" w14:paraId="4382001D" w14:textId="77777777" w:rsidTr="008E59D3">
        <w:trPr>
          <w:cantSplit/>
        </w:trPr>
        <w:tc>
          <w:tcPr>
            <w:tcW w:w="1046" w:type="dxa"/>
            <w:vMerge/>
            <w:tcBorders>
              <w:top w:val="nil"/>
              <w:left w:val="single" w:sz="16" w:space="0" w:color="000000"/>
              <w:right w:val="nil"/>
            </w:tcBorders>
            <w:shd w:val="clear" w:color="auto" w:fill="FFFFFF"/>
          </w:tcPr>
          <w:p w14:paraId="7599F06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DA9CC29"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660A01D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-,0254</w:t>
            </w:r>
          </w:p>
        </w:tc>
        <w:tc>
          <w:tcPr>
            <w:tcW w:w="1076" w:type="dxa"/>
            <w:tcBorders>
              <w:top w:val="nil"/>
              <w:bottom w:val="nil"/>
            </w:tcBorders>
            <w:shd w:val="clear" w:color="auto" w:fill="FFFFFF"/>
            <w:vAlign w:val="center"/>
          </w:tcPr>
          <w:p w14:paraId="28F61AE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,0157</w:t>
            </w:r>
          </w:p>
        </w:tc>
        <w:tc>
          <w:tcPr>
            <w:tcW w:w="1029" w:type="dxa"/>
            <w:tcBorders>
              <w:top w:val="nil"/>
              <w:bottom w:val="nil"/>
            </w:tcBorders>
            <w:shd w:val="clear" w:color="auto" w:fill="FFFFFF"/>
            <w:vAlign w:val="center"/>
          </w:tcPr>
          <w:p w14:paraId="047302C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,105</w:t>
            </w:r>
          </w:p>
        </w:tc>
        <w:tc>
          <w:tcPr>
            <w:tcW w:w="1414" w:type="dxa"/>
            <w:tcBorders>
              <w:top w:val="nil"/>
              <w:bottom w:val="nil"/>
            </w:tcBorders>
            <w:shd w:val="clear" w:color="auto" w:fill="FFFFFF"/>
            <w:vAlign w:val="center"/>
          </w:tcPr>
          <w:p w14:paraId="4B3E9DF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-,056</w:t>
            </w:r>
          </w:p>
        </w:tc>
        <w:tc>
          <w:tcPr>
            <w:tcW w:w="1414" w:type="dxa"/>
            <w:tcBorders>
              <w:top w:val="nil"/>
              <w:bottom w:val="nil"/>
              <w:right w:val="single" w:sz="16" w:space="0" w:color="000000"/>
            </w:tcBorders>
            <w:shd w:val="clear" w:color="auto" w:fill="FFFFFF"/>
            <w:vAlign w:val="center"/>
          </w:tcPr>
          <w:p w14:paraId="3C3E77A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w:t>
            </w:r>
          </w:p>
        </w:tc>
      </w:tr>
      <w:tr w:rsidR="009E03E3" w:rsidRPr="008E59D3" w14:paraId="016C51BB" w14:textId="77777777" w:rsidTr="008E59D3">
        <w:trPr>
          <w:cantSplit/>
        </w:trPr>
        <w:tc>
          <w:tcPr>
            <w:tcW w:w="1046" w:type="dxa"/>
            <w:vMerge/>
            <w:tcBorders>
              <w:top w:val="nil"/>
              <w:left w:val="single" w:sz="16" w:space="0" w:color="000000"/>
              <w:right w:val="nil"/>
            </w:tcBorders>
            <w:shd w:val="clear" w:color="auto" w:fill="FFFFFF"/>
          </w:tcPr>
          <w:p w14:paraId="6D4B3153"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8B0205B"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17D62FC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-,0085</w:t>
            </w:r>
          </w:p>
        </w:tc>
        <w:tc>
          <w:tcPr>
            <w:tcW w:w="1076" w:type="dxa"/>
            <w:tcBorders>
              <w:top w:val="nil"/>
              <w:bottom w:val="nil"/>
            </w:tcBorders>
            <w:shd w:val="clear" w:color="auto" w:fill="FFFFFF"/>
            <w:vAlign w:val="center"/>
          </w:tcPr>
          <w:p w14:paraId="0EF3D4B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,0153</w:t>
            </w:r>
          </w:p>
        </w:tc>
        <w:tc>
          <w:tcPr>
            <w:tcW w:w="1029" w:type="dxa"/>
            <w:tcBorders>
              <w:top w:val="nil"/>
              <w:bottom w:val="nil"/>
            </w:tcBorders>
            <w:shd w:val="clear" w:color="auto" w:fill="FFFFFF"/>
            <w:vAlign w:val="center"/>
          </w:tcPr>
          <w:p w14:paraId="3B3427C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,577</w:t>
            </w:r>
          </w:p>
        </w:tc>
        <w:tc>
          <w:tcPr>
            <w:tcW w:w="1414" w:type="dxa"/>
            <w:tcBorders>
              <w:top w:val="nil"/>
              <w:bottom w:val="nil"/>
            </w:tcBorders>
            <w:shd w:val="clear" w:color="auto" w:fill="FFFFFF"/>
            <w:vAlign w:val="center"/>
          </w:tcPr>
          <w:p w14:paraId="5AE6D91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-,039</w:t>
            </w:r>
          </w:p>
        </w:tc>
        <w:tc>
          <w:tcPr>
            <w:tcW w:w="1414" w:type="dxa"/>
            <w:tcBorders>
              <w:top w:val="nil"/>
              <w:bottom w:val="nil"/>
              <w:right w:val="single" w:sz="16" w:space="0" w:color="000000"/>
            </w:tcBorders>
            <w:shd w:val="clear" w:color="auto" w:fill="FFFFFF"/>
            <w:vAlign w:val="center"/>
          </w:tcPr>
          <w:p w14:paraId="6522C1A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w:t>
            </w:r>
          </w:p>
        </w:tc>
      </w:tr>
      <w:tr w:rsidR="009E03E3" w:rsidRPr="008E59D3" w14:paraId="73E51E54" w14:textId="77777777" w:rsidTr="008E59D3">
        <w:trPr>
          <w:cantSplit/>
        </w:trPr>
        <w:tc>
          <w:tcPr>
            <w:tcW w:w="1046" w:type="dxa"/>
            <w:vMerge/>
            <w:tcBorders>
              <w:top w:val="nil"/>
              <w:left w:val="single" w:sz="16" w:space="0" w:color="000000"/>
              <w:right w:val="nil"/>
            </w:tcBorders>
            <w:shd w:val="clear" w:color="auto" w:fill="FFFFFF"/>
          </w:tcPr>
          <w:p w14:paraId="3388248A"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8EE7F0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408CEE8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-,0126</w:t>
            </w:r>
          </w:p>
        </w:tc>
        <w:tc>
          <w:tcPr>
            <w:tcW w:w="1076" w:type="dxa"/>
            <w:tcBorders>
              <w:top w:val="nil"/>
              <w:bottom w:val="nil"/>
            </w:tcBorders>
            <w:shd w:val="clear" w:color="auto" w:fill="FFFFFF"/>
            <w:vAlign w:val="center"/>
          </w:tcPr>
          <w:p w14:paraId="79A86AB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,0157</w:t>
            </w:r>
          </w:p>
        </w:tc>
        <w:tc>
          <w:tcPr>
            <w:tcW w:w="1029" w:type="dxa"/>
            <w:tcBorders>
              <w:top w:val="nil"/>
              <w:bottom w:val="nil"/>
            </w:tcBorders>
            <w:shd w:val="clear" w:color="auto" w:fill="FFFFFF"/>
            <w:vAlign w:val="center"/>
          </w:tcPr>
          <w:p w14:paraId="4D135F7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,424</w:t>
            </w:r>
          </w:p>
        </w:tc>
        <w:tc>
          <w:tcPr>
            <w:tcW w:w="1414" w:type="dxa"/>
            <w:tcBorders>
              <w:top w:val="nil"/>
              <w:bottom w:val="nil"/>
            </w:tcBorders>
            <w:shd w:val="clear" w:color="auto" w:fill="FFFFFF"/>
            <w:vAlign w:val="center"/>
          </w:tcPr>
          <w:p w14:paraId="7B419E9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-,043</w:t>
            </w:r>
          </w:p>
        </w:tc>
        <w:tc>
          <w:tcPr>
            <w:tcW w:w="1414" w:type="dxa"/>
            <w:tcBorders>
              <w:top w:val="nil"/>
              <w:bottom w:val="nil"/>
              <w:right w:val="single" w:sz="16" w:space="0" w:color="000000"/>
            </w:tcBorders>
            <w:shd w:val="clear" w:color="auto" w:fill="FFFFFF"/>
            <w:vAlign w:val="center"/>
          </w:tcPr>
          <w:p w14:paraId="1F6EACB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p>
        </w:tc>
      </w:tr>
      <w:tr w:rsidR="009E03E3" w:rsidRPr="008E59D3" w14:paraId="2527FA0A" w14:textId="77777777" w:rsidTr="008E59D3">
        <w:trPr>
          <w:cantSplit/>
        </w:trPr>
        <w:tc>
          <w:tcPr>
            <w:tcW w:w="1046" w:type="dxa"/>
            <w:vMerge/>
            <w:tcBorders>
              <w:top w:val="nil"/>
              <w:left w:val="single" w:sz="16" w:space="0" w:color="000000"/>
              <w:right w:val="nil"/>
            </w:tcBorders>
            <w:shd w:val="clear" w:color="auto" w:fill="FFFFFF"/>
          </w:tcPr>
          <w:p w14:paraId="37C976A6"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46D99B24"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25218FF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-,0230</w:t>
            </w:r>
          </w:p>
        </w:tc>
        <w:tc>
          <w:tcPr>
            <w:tcW w:w="1076" w:type="dxa"/>
            <w:tcBorders>
              <w:top w:val="nil"/>
            </w:tcBorders>
            <w:shd w:val="clear" w:color="auto" w:fill="FFFFFF"/>
            <w:vAlign w:val="center"/>
          </w:tcPr>
          <w:p w14:paraId="139BDE8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,0130</w:t>
            </w:r>
          </w:p>
        </w:tc>
        <w:tc>
          <w:tcPr>
            <w:tcW w:w="1029" w:type="dxa"/>
            <w:tcBorders>
              <w:top w:val="nil"/>
            </w:tcBorders>
            <w:shd w:val="clear" w:color="auto" w:fill="FFFFFF"/>
            <w:vAlign w:val="center"/>
          </w:tcPr>
          <w:p w14:paraId="5DB5A46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,076</w:t>
            </w:r>
          </w:p>
        </w:tc>
        <w:tc>
          <w:tcPr>
            <w:tcW w:w="1414" w:type="dxa"/>
            <w:tcBorders>
              <w:top w:val="nil"/>
            </w:tcBorders>
            <w:shd w:val="clear" w:color="auto" w:fill="FFFFFF"/>
            <w:vAlign w:val="center"/>
          </w:tcPr>
          <w:p w14:paraId="1C720EA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-,048</w:t>
            </w:r>
          </w:p>
        </w:tc>
        <w:tc>
          <w:tcPr>
            <w:tcW w:w="1414" w:type="dxa"/>
            <w:tcBorders>
              <w:top w:val="nil"/>
              <w:right w:val="single" w:sz="16" w:space="0" w:color="000000"/>
            </w:tcBorders>
            <w:shd w:val="clear" w:color="auto" w:fill="FFFFFF"/>
            <w:vAlign w:val="center"/>
          </w:tcPr>
          <w:p w14:paraId="5EA96F8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r>
      <w:tr w:rsidR="009E03E3" w:rsidRPr="008E59D3" w14:paraId="5EFD2624" w14:textId="77777777" w:rsidTr="008E59D3">
        <w:trPr>
          <w:cantSplit/>
        </w:trPr>
        <w:tc>
          <w:tcPr>
            <w:tcW w:w="1046" w:type="dxa"/>
            <w:vMerge w:val="restart"/>
            <w:tcBorders>
              <w:top w:val="nil"/>
              <w:left w:val="single" w:sz="16" w:space="0" w:color="000000"/>
              <w:right w:val="nil"/>
            </w:tcBorders>
            <w:shd w:val="clear" w:color="auto" w:fill="FFFFFF"/>
          </w:tcPr>
          <w:p w14:paraId="09B0185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092" w:type="dxa"/>
            <w:tcBorders>
              <w:top w:val="nil"/>
              <w:left w:val="nil"/>
              <w:bottom w:val="nil"/>
              <w:right w:val="single" w:sz="16" w:space="0" w:color="000000"/>
            </w:tcBorders>
            <w:shd w:val="clear" w:color="auto" w:fill="FFFFFF"/>
          </w:tcPr>
          <w:p w14:paraId="43A3939B"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756289C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-,0060</w:t>
            </w:r>
          </w:p>
        </w:tc>
        <w:tc>
          <w:tcPr>
            <w:tcW w:w="1076" w:type="dxa"/>
            <w:tcBorders>
              <w:top w:val="nil"/>
              <w:bottom w:val="nil"/>
            </w:tcBorders>
            <w:shd w:val="clear" w:color="auto" w:fill="FFFFFF"/>
            <w:vAlign w:val="center"/>
          </w:tcPr>
          <w:p w14:paraId="604BB94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,0148</w:t>
            </w:r>
          </w:p>
        </w:tc>
        <w:tc>
          <w:tcPr>
            <w:tcW w:w="1029" w:type="dxa"/>
            <w:tcBorders>
              <w:top w:val="nil"/>
              <w:bottom w:val="nil"/>
            </w:tcBorders>
            <w:shd w:val="clear" w:color="auto" w:fill="FFFFFF"/>
            <w:vAlign w:val="center"/>
          </w:tcPr>
          <w:p w14:paraId="540EF47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,684</w:t>
            </w:r>
          </w:p>
        </w:tc>
        <w:tc>
          <w:tcPr>
            <w:tcW w:w="1414" w:type="dxa"/>
            <w:tcBorders>
              <w:top w:val="nil"/>
              <w:bottom w:val="nil"/>
            </w:tcBorders>
            <w:shd w:val="clear" w:color="auto" w:fill="FFFFFF"/>
            <w:vAlign w:val="center"/>
          </w:tcPr>
          <w:p w14:paraId="5CC54AC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-,035</w:t>
            </w:r>
          </w:p>
        </w:tc>
        <w:tc>
          <w:tcPr>
            <w:tcW w:w="1414" w:type="dxa"/>
            <w:tcBorders>
              <w:top w:val="nil"/>
              <w:bottom w:val="nil"/>
              <w:right w:val="single" w:sz="16" w:space="0" w:color="000000"/>
            </w:tcBorders>
            <w:shd w:val="clear" w:color="auto" w:fill="FFFFFF"/>
            <w:vAlign w:val="center"/>
          </w:tcPr>
          <w:p w14:paraId="17D1999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w:t>
            </w:r>
          </w:p>
        </w:tc>
      </w:tr>
      <w:tr w:rsidR="009E03E3" w:rsidRPr="008E59D3" w14:paraId="6F79B2E7" w14:textId="77777777" w:rsidTr="008E59D3">
        <w:trPr>
          <w:cantSplit/>
        </w:trPr>
        <w:tc>
          <w:tcPr>
            <w:tcW w:w="1046" w:type="dxa"/>
            <w:vMerge/>
            <w:tcBorders>
              <w:top w:val="nil"/>
              <w:left w:val="single" w:sz="16" w:space="0" w:color="000000"/>
              <w:right w:val="nil"/>
            </w:tcBorders>
            <w:shd w:val="clear" w:color="auto" w:fill="FFFFFF"/>
          </w:tcPr>
          <w:p w14:paraId="30AD2472"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D5BFC6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4CF0120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-,0056</w:t>
            </w:r>
          </w:p>
        </w:tc>
        <w:tc>
          <w:tcPr>
            <w:tcW w:w="1076" w:type="dxa"/>
            <w:tcBorders>
              <w:top w:val="nil"/>
              <w:bottom w:val="nil"/>
            </w:tcBorders>
            <w:shd w:val="clear" w:color="auto" w:fill="FFFFFF"/>
            <w:vAlign w:val="center"/>
          </w:tcPr>
          <w:p w14:paraId="30F173E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,0199</w:t>
            </w:r>
          </w:p>
        </w:tc>
        <w:tc>
          <w:tcPr>
            <w:tcW w:w="1029" w:type="dxa"/>
            <w:tcBorders>
              <w:top w:val="nil"/>
              <w:bottom w:val="nil"/>
            </w:tcBorders>
            <w:shd w:val="clear" w:color="auto" w:fill="FFFFFF"/>
            <w:vAlign w:val="center"/>
          </w:tcPr>
          <w:p w14:paraId="39F9714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,778</w:t>
            </w:r>
          </w:p>
        </w:tc>
        <w:tc>
          <w:tcPr>
            <w:tcW w:w="1414" w:type="dxa"/>
            <w:tcBorders>
              <w:top w:val="nil"/>
              <w:bottom w:val="nil"/>
            </w:tcBorders>
            <w:shd w:val="clear" w:color="auto" w:fill="FFFFFF"/>
            <w:vAlign w:val="center"/>
          </w:tcPr>
          <w:p w14:paraId="317BF91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-,045</w:t>
            </w:r>
          </w:p>
        </w:tc>
        <w:tc>
          <w:tcPr>
            <w:tcW w:w="1414" w:type="dxa"/>
            <w:tcBorders>
              <w:top w:val="nil"/>
              <w:bottom w:val="nil"/>
              <w:right w:val="single" w:sz="16" w:space="0" w:color="000000"/>
            </w:tcBorders>
            <w:shd w:val="clear" w:color="auto" w:fill="FFFFFF"/>
            <w:vAlign w:val="center"/>
          </w:tcPr>
          <w:p w14:paraId="7C0F3BE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r>
      <w:tr w:rsidR="009E03E3" w:rsidRPr="008E59D3" w14:paraId="06E1D56B" w14:textId="77777777" w:rsidTr="008E59D3">
        <w:trPr>
          <w:cantSplit/>
        </w:trPr>
        <w:tc>
          <w:tcPr>
            <w:tcW w:w="1046" w:type="dxa"/>
            <w:vMerge/>
            <w:tcBorders>
              <w:top w:val="nil"/>
              <w:left w:val="single" w:sz="16" w:space="0" w:color="000000"/>
              <w:right w:val="nil"/>
            </w:tcBorders>
            <w:shd w:val="clear" w:color="auto" w:fill="FFFFFF"/>
          </w:tcPr>
          <w:p w14:paraId="2AD14BB8"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A5298CD"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0DBCCAD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,0033</w:t>
            </w:r>
          </w:p>
        </w:tc>
        <w:tc>
          <w:tcPr>
            <w:tcW w:w="1076" w:type="dxa"/>
            <w:tcBorders>
              <w:top w:val="nil"/>
              <w:bottom w:val="nil"/>
            </w:tcBorders>
            <w:shd w:val="clear" w:color="auto" w:fill="FFFFFF"/>
            <w:vAlign w:val="center"/>
          </w:tcPr>
          <w:p w14:paraId="1EBE4FD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,0178</w:t>
            </w:r>
          </w:p>
        </w:tc>
        <w:tc>
          <w:tcPr>
            <w:tcW w:w="1029" w:type="dxa"/>
            <w:tcBorders>
              <w:top w:val="nil"/>
              <w:bottom w:val="nil"/>
            </w:tcBorders>
            <w:shd w:val="clear" w:color="auto" w:fill="FFFFFF"/>
            <w:vAlign w:val="center"/>
          </w:tcPr>
          <w:p w14:paraId="06095AE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,851</w:t>
            </w:r>
          </w:p>
        </w:tc>
        <w:tc>
          <w:tcPr>
            <w:tcW w:w="1414" w:type="dxa"/>
            <w:tcBorders>
              <w:top w:val="nil"/>
              <w:bottom w:val="nil"/>
            </w:tcBorders>
            <w:shd w:val="clear" w:color="auto" w:fill="FFFFFF"/>
            <w:vAlign w:val="center"/>
          </w:tcPr>
          <w:p w14:paraId="2FF1E09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-,032</w:t>
            </w:r>
          </w:p>
        </w:tc>
        <w:tc>
          <w:tcPr>
            <w:tcW w:w="1414" w:type="dxa"/>
            <w:tcBorders>
              <w:top w:val="nil"/>
              <w:bottom w:val="nil"/>
              <w:right w:val="single" w:sz="16" w:space="0" w:color="000000"/>
            </w:tcBorders>
            <w:shd w:val="clear" w:color="auto" w:fill="FFFFFF"/>
            <w:vAlign w:val="center"/>
          </w:tcPr>
          <w:p w14:paraId="6D418D9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,038</w:t>
            </w:r>
          </w:p>
        </w:tc>
      </w:tr>
      <w:tr w:rsidR="009E03E3" w:rsidRPr="008E59D3" w14:paraId="5D7135B8" w14:textId="77777777" w:rsidTr="008E59D3">
        <w:trPr>
          <w:cantSplit/>
        </w:trPr>
        <w:tc>
          <w:tcPr>
            <w:tcW w:w="1046" w:type="dxa"/>
            <w:vMerge/>
            <w:tcBorders>
              <w:top w:val="nil"/>
              <w:left w:val="single" w:sz="16" w:space="0" w:color="000000"/>
              <w:right w:val="nil"/>
            </w:tcBorders>
            <w:shd w:val="clear" w:color="auto" w:fill="FFFFFF"/>
          </w:tcPr>
          <w:p w14:paraId="20C50B37"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24C104D"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7B1A333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,0075</w:t>
            </w:r>
          </w:p>
        </w:tc>
        <w:tc>
          <w:tcPr>
            <w:tcW w:w="1076" w:type="dxa"/>
            <w:tcBorders>
              <w:top w:val="nil"/>
              <w:bottom w:val="nil"/>
            </w:tcBorders>
            <w:shd w:val="clear" w:color="auto" w:fill="FFFFFF"/>
            <w:vAlign w:val="center"/>
          </w:tcPr>
          <w:p w14:paraId="372B854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,0168</w:t>
            </w:r>
          </w:p>
        </w:tc>
        <w:tc>
          <w:tcPr>
            <w:tcW w:w="1029" w:type="dxa"/>
            <w:tcBorders>
              <w:top w:val="nil"/>
              <w:bottom w:val="nil"/>
            </w:tcBorders>
            <w:shd w:val="clear" w:color="auto" w:fill="FFFFFF"/>
            <w:vAlign w:val="center"/>
          </w:tcPr>
          <w:p w14:paraId="1BA47C3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,655</w:t>
            </w:r>
          </w:p>
        </w:tc>
        <w:tc>
          <w:tcPr>
            <w:tcW w:w="1414" w:type="dxa"/>
            <w:tcBorders>
              <w:top w:val="nil"/>
              <w:bottom w:val="nil"/>
            </w:tcBorders>
            <w:shd w:val="clear" w:color="auto" w:fill="FFFFFF"/>
            <w:vAlign w:val="center"/>
          </w:tcPr>
          <w:p w14:paraId="103DFCC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-,025</w:t>
            </w:r>
          </w:p>
        </w:tc>
        <w:tc>
          <w:tcPr>
            <w:tcW w:w="1414" w:type="dxa"/>
            <w:tcBorders>
              <w:top w:val="nil"/>
              <w:bottom w:val="nil"/>
              <w:right w:val="single" w:sz="16" w:space="0" w:color="000000"/>
            </w:tcBorders>
            <w:shd w:val="clear" w:color="auto" w:fill="FFFFFF"/>
            <w:vAlign w:val="center"/>
          </w:tcPr>
          <w:p w14:paraId="3517645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,040</w:t>
            </w:r>
          </w:p>
        </w:tc>
      </w:tr>
      <w:tr w:rsidR="009E03E3" w:rsidRPr="008E59D3" w14:paraId="23F10524" w14:textId="77777777" w:rsidTr="008E59D3">
        <w:trPr>
          <w:cantSplit/>
        </w:trPr>
        <w:tc>
          <w:tcPr>
            <w:tcW w:w="1046" w:type="dxa"/>
            <w:vMerge/>
            <w:tcBorders>
              <w:top w:val="nil"/>
              <w:left w:val="single" w:sz="16" w:space="0" w:color="000000"/>
              <w:right w:val="nil"/>
            </w:tcBorders>
            <w:shd w:val="clear" w:color="auto" w:fill="FFFFFF"/>
          </w:tcPr>
          <w:p w14:paraId="5B26C50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962BBE5"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5BCF2C2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-,0036</w:t>
            </w:r>
          </w:p>
        </w:tc>
        <w:tc>
          <w:tcPr>
            <w:tcW w:w="1076" w:type="dxa"/>
            <w:tcBorders>
              <w:top w:val="nil"/>
              <w:bottom w:val="nil"/>
            </w:tcBorders>
            <w:shd w:val="clear" w:color="auto" w:fill="FFFFFF"/>
            <w:vAlign w:val="center"/>
          </w:tcPr>
          <w:p w14:paraId="35DE175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,0161</w:t>
            </w:r>
          </w:p>
        </w:tc>
        <w:tc>
          <w:tcPr>
            <w:tcW w:w="1029" w:type="dxa"/>
            <w:tcBorders>
              <w:top w:val="nil"/>
              <w:bottom w:val="nil"/>
            </w:tcBorders>
            <w:shd w:val="clear" w:color="auto" w:fill="FFFFFF"/>
            <w:vAlign w:val="center"/>
          </w:tcPr>
          <w:p w14:paraId="2432DE9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,824</w:t>
            </w:r>
          </w:p>
        </w:tc>
        <w:tc>
          <w:tcPr>
            <w:tcW w:w="1414" w:type="dxa"/>
            <w:tcBorders>
              <w:top w:val="nil"/>
              <w:bottom w:val="nil"/>
            </w:tcBorders>
            <w:shd w:val="clear" w:color="auto" w:fill="FFFFFF"/>
            <w:vAlign w:val="center"/>
          </w:tcPr>
          <w:p w14:paraId="4E9138B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-,035</w:t>
            </w:r>
          </w:p>
        </w:tc>
        <w:tc>
          <w:tcPr>
            <w:tcW w:w="1414" w:type="dxa"/>
            <w:tcBorders>
              <w:top w:val="nil"/>
              <w:bottom w:val="nil"/>
              <w:right w:val="single" w:sz="16" w:space="0" w:color="000000"/>
            </w:tcBorders>
            <w:shd w:val="clear" w:color="auto" w:fill="FFFFFF"/>
            <w:vAlign w:val="center"/>
          </w:tcPr>
          <w:p w14:paraId="3439AEB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,028</w:t>
            </w:r>
          </w:p>
        </w:tc>
      </w:tr>
      <w:tr w:rsidR="009E03E3" w:rsidRPr="008E59D3" w14:paraId="26B581D0" w14:textId="77777777" w:rsidTr="008E59D3">
        <w:trPr>
          <w:cantSplit/>
        </w:trPr>
        <w:tc>
          <w:tcPr>
            <w:tcW w:w="1046" w:type="dxa"/>
            <w:vMerge/>
            <w:tcBorders>
              <w:top w:val="nil"/>
              <w:left w:val="single" w:sz="16" w:space="0" w:color="000000"/>
              <w:right w:val="nil"/>
            </w:tcBorders>
            <w:shd w:val="clear" w:color="auto" w:fill="FFFFFF"/>
          </w:tcPr>
          <w:p w14:paraId="705EFB4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6DBFF9D"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40E9CB8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-,0290</w:t>
            </w:r>
          </w:p>
        </w:tc>
        <w:tc>
          <w:tcPr>
            <w:tcW w:w="1076" w:type="dxa"/>
            <w:tcBorders>
              <w:top w:val="nil"/>
              <w:bottom w:val="nil"/>
            </w:tcBorders>
            <w:shd w:val="clear" w:color="auto" w:fill="FFFFFF"/>
            <w:vAlign w:val="center"/>
          </w:tcPr>
          <w:p w14:paraId="6431DB4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,0151</w:t>
            </w:r>
          </w:p>
        </w:tc>
        <w:tc>
          <w:tcPr>
            <w:tcW w:w="1029" w:type="dxa"/>
            <w:tcBorders>
              <w:top w:val="nil"/>
              <w:bottom w:val="nil"/>
            </w:tcBorders>
            <w:shd w:val="clear" w:color="auto" w:fill="FFFFFF"/>
            <w:vAlign w:val="center"/>
          </w:tcPr>
          <w:p w14:paraId="67B6E9F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,055</w:t>
            </w:r>
          </w:p>
        </w:tc>
        <w:tc>
          <w:tcPr>
            <w:tcW w:w="1414" w:type="dxa"/>
            <w:tcBorders>
              <w:top w:val="nil"/>
              <w:bottom w:val="nil"/>
            </w:tcBorders>
            <w:shd w:val="clear" w:color="auto" w:fill="FFFFFF"/>
            <w:vAlign w:val="center"/>
          </w:tcPr>
          <w:p w14:paraId="6F3AB67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-,059</w:t>
            </w:r>
          </w:p>
        </w:tc>
        <w:tc>
          <w:tcPr>
            <w:tcW w:w="1414" w:type="dxa"/>
            <w:tcBorders>
              <w:top w:val="nil"/>
              <w:bottom w:val="nil"/>
              <w:right w:val="single" w:sz="16" w:space="0" w:color="000000"/>
            </w:tcBorders>
            <w:shd w:val="clear" w:color="auto" w:fill="FFFFFF"/>
            <w:vAlign w:val="center"/>
          </w:tcPr>
          <w:p w14:paraId="3A77F31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r>
      <w:tr w:rsidR="009E03E3" w:rsidRPr="008E59D3" w14:paraId="7D2D198D" w14:textId="77777777" w:rsidTr="008E59D3">
        <w:trPr>
          <w:cantSplit/>
        </w:trPr>
        <w:tc>
          <w:tcPr>
            <w:tcW w:w="1046" w:type="dxa"/>
            <w:vMerge/>
            <w:tcBorders>
              <w:top w:val="nil"/>
              <w:left w:val="single" w:sz="16" w:space="0" w:color="000000"/>
              <w:right w:val="nil"/>
            </w:tcBorders>
            <w:shd w:val="clear" w:color="auto" w:fill="FFFFFF"/>
          </w:tcPr>
          <w:p w14:paraId="1C41D4D8"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48F1280"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1FC57C8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-,0121</w:t>
            </w:r>
          </w:p>
        </w:tc>
        <w:tc>
          <w:tcPr>
            <w:tcW w:w="1076" w:type="dxa"/>
            <w:tcBorders>
              <w:top w:val="nil"/>
              <w:bottom w:val="nil"/>
            </w:tcBorders>
            <w:shd w:val="clear" w:color="auto" w:fill="FFFFFF"/>
            <w:vAlign w:val="center"/>
          </w:tcPr>
          <w:p w14:paraId="76476AE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,0147</w:t>
            </w:r>
          </w:p>
        </w:tc>
        <w:tc>
          <w:tcPr>
            <w:tcW w:w="1029" w:type="dxa"/>
            <w:tcBorders>
              <w:top w:val="nil"/>
              <w:bottom w:val="nil"/>
            </w:tcBorders>
            <w:shd w:val="clear" w:color="auto" w:fill="FFFFFF"/>
            <w:vAlign w:val="center"/>
          </w:tcPr>
          <w:p w14:paraId="2CDD500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,410</w:t>
            </w:r>
          </w:p>
        </w:tc>
        <w:tc>
          <w:tcPr>
            <w:tcW w:w="1414" w:type="dxa"/>
            <w:tcBorders>
              <w:top w:val="nil"/>
              <w:bottom w:val="nil"/>
            </w:tcBorders>
            <w:shd w:val="clear" w:color="auto" w:fill="FFFFFF"/>
            <w:vAlign w:val="center"/>
          </w:tcPr>
          <w:p w14:paraId="4152E47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-,041</w:t>
            </w:r>
          </w:p>
        </w:tc>
        <w:tc>
          <w:tcPr>
            <w:tcW w:w="1414" w:type="dxa"/>
            <w:tcBorders>
              <w:top w:val="nil"/>
              <w:bottom w:val="nil"/>
              <w:right w:val="single" w:sz="16" w:space="0" w:color="000000"/>
            </w:tcBorders>
            <w:shd w:val="clear" w:color="auto" w:fill="FFFFFF"/>
            <w:vAlign w:val="center"/>
          </w:tcPr>
          <w:p w14:paraId="2412B81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w:t>
            </w:r>
          </w:p>
        </w:tc>
      </w:tr>
      <w:tr w:rsidR="009E03E3" w:rsidRPr="008E59D3" w14:paraId="5DD340BA" w14:textId="77777777" w:rsidTr="008E59D3">
        <w:trPr>
          <w:cantSplit/>
        </w:trPr>
        <w:tc>
          <w:tcPr>
            <w:tcW w:w="1046" w:type="dxa"/>
            <w:vMerge/>
            <w:tcBorders>
              <w:top w:val="nil"/>
              <w:left w:val="single" w:sz="16" w:space="0" w:color="000000"/>
              <w:right w:val="nil"/>
            </w:tcBorders>
            <w:shd w:val="clear" w:color="auto" w:fill="FFFFFF"/>
          </w:tcPr>
          <w:p w14:paraId="463A3633"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23E25A8"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653783C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-,0162</w:t>
            </w:r>
          </w:p>
        </w:tc>
        <w:tc>
          <w:tcPr>
            <w:tcW w:w="1076" w:type="dxa"/>
            <w:tcBorders>
              <w:top w:val="nil"/>
              <w:bottom w:val="nil"/>
            </w:tcBorders>
            <w:shd w:val="clear" w:color="auto" w:fill="FFFFFF"/>
            <w:vAlign w:val="center"/>
          </w:tcPr>
          <w:p w14:paraId="1DC7832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,0152</w:t>
            </w:r>
          </w:p>
        </w:tc>
        <w:tc>
          <w:tcPr>
            <w:tcW w:w="1029" w:type="dxa"/>
            <w:tcBorders>
              <w:top w:val="nil"/>
              <w:bottom w:val="nil"/>
            </w:tcBorders>
            <w:shd w:val="clear" w:color="auto" w:fill="FFFFFF"/>
            <w:vAlign w:val="center"/>
          </w:tcPr>
          <w:p w14:paraId="09FE129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,287</w:t>
            </w:r>
          </w:p>
        </w:tc>
        <w:tc>
          <w:tcPr>
            <w:tcW w:w="1414" w:type="dxa"/>
            <w:tcBorders>
              <w:top w:val="nil"/>
              <w:bottom w:val="nil"/>
            </w:tcBorders>
            <w:shd w:val="clear" w:color="auto" w:fill="FFFFFF"/>
            <w:vAlign w:val="center"/>
          </w:tcPr>
          <w:p w14:paraId="731B9B3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-,046</w:t>
            </w:r>
          </w:p>
        </w:tc>
        <w:tc>
          <w:tcPr>
            <w:tcW w:w="1414" w:type="dxa"/>
            <w:tcBorders>
              <w:top w:val="nil"/>
              <w:bottom w:val="nil"/>
              <w:right w:val="single" w:sz="16" w:space="0" w:color="000000"/>
            </w:tcBorders>
            <w:shd w:val="clear" w:color="auto" w:fill="FFFFFF"/>
            <w:vAlign w:val="center"/>
          </w:tcPr>
          <w:p w14:paraId="051DA86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w:t>
            </w:r>
          </w:p>
        </w:tc>
      </w:tr>
      <w:tr w:rsidR="009E03E3" w:rsidRPr="008E59D3" w14:paraId="499670CB" w14:textId="77777777" w:rsidTr="008E59D3">
        <w:trPr>
          <w:cantSplit/>
        </w:trPr>
        <w:tc>
          <w:tcPr>
            <w:tcW w:w="1046" w:type="dxa"/>
            <w:vMerge/>
            <w:tcBorders>
              <w:top w:val="nil"/>
              <w:left w:val="single" w:sz="16" w:space="0" w:color="000000"/>
              <w:right w:val="nil"/>
            </w:tcBorders>
            <w:shd w:val="clear" w:color="auto" w:fill="FFFFFF"/>
          </w:tcPr>
          <w:p w14:paraId="0C670554"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67440E40"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38E3A9E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-,0266</w:t>
            </w:r>
            <w:r w:rsidRPr="008E59D3">
              <w:rPr>
                <w:rFonts w:cs="Arial"/>
                <w:color w:val="000000"/>
                <w:sz w:val="16"/>
                <w:szCs w:val="16"/>
                <w:vertAlign w:val="superscript"/>
                <w:lang w:val="en-GB"/>
              </w:rPr>
              <w:t>*</w:t>
            </w:r>
          </w:p>
        </w:tc>
        <w:tc>
          <w:tcPr>
            <w:tcW w:w="1076" w:type="dxa"/>
            <w:tcBorders>
              <w:top w:val="nil"/>
            </w:tcBorders>
            <w:shd w:val="clear" w:color="auto" w:fill="FFFFFF"/>
            <w:vAlign w:val="center"/>
          </w:tcPr>
          <w:p w14:paraId="10FAF2E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,0123</w:t>
            </w:r>
          </w:p>
        </w:tc>
        <w:tc>
          <w:tcPr>
            <w:tcW w:w="1029" w:type="dxa"/>
            <w:tcBorders>
              <w:top w:val="nil"/>
            </w:tcBorders>
            <w:shd w:val="clear" w:color="auto" w:fill="FFFFFF"/>
            <w:vAlign w:val="center"/>
          </w:tcPr>
          <w:p w14:paraId="0644F01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,031</w:t>
            </w:r>
          </w:p>
        </w:tc>
        <w:tc>
          <w:tcPr>
            <w:tcW w:w="1414" w:type="dxa"/>
            <w:tcBorders>
              <w:top w:val="nil"/>
            </w:tcBorders>
            <w:shd w:val="clear" w:color="auto" w:fill="FFFFFF"/>
            <w:vAlign w:val="center"/>
          </w:tcPr>
          <w:p w14:paraId="1DBB855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-,051</w:t>
            </w:r>
          </w:p>
        </w:tc>
        <w:tc>
          <w:tcPr>
            <w:tcW w:w="1414" w:type="dxa"/>
            <w:tcBorders>
              <w:top w:val="nil"/>
              <w:right w:val="single" w:sz="16" w:space="0" w:color="000000"/>
            </w:tcBorders>
            <w:shd w:val="clear" w:color="auto" w:fill="FFFFFF"/>
            <w:vAlign w:val="center"/>
          </w:tcPr>
          <w:p w14:paraId="3DF70C0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r>
      <w:tr w:rsidR="009E03E3" w:rsidRPr="008E59D3" w14:paraId="0C21EFE1" w14:textId="77777777" w:rsidTr="008E59D3">
        <w:trPr>
          <w:cantSplit/>
        </w:trPr>
        <w:tc>
          <w:tcPr>
            <w:tcW w:w="1046" w:type="dxa"/>
            <w:vMerge w:val="restart"/>
            <w:tcBorders>
              <w:top w:val="nil"/>
              <w:left w:val="single" w:sz="16" w:space="0" w:color="000000"/>
              <w:right w:val="nil"/>
            </w:tcBorders>
            <w:shd w:val="clear" w:color="auto" w:fill="FFFFFF"/>
          </w:tcPr>
          <w:p w14:paraId="2B71F151"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092" w:type="dxa"/>
            <w:tcBorders>
              <w:top w:val="nil"/>
              <w:left w:val="nil"/>
              <w:bottom w:val="nil"/>
              <w:right w:val="single" w:sz="16" w:space="0" w:color="000000"/>
            </w:tcBorders>
            <w:shd w:val="clear" w:color="auto" w:fill="FFFFFF"/>
          </w:tcPr>
          <w:p w14:paraId="4D437489"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2FDA89E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,0230</w:t>
            </w:r>
          </w:p>
        </w:tc>
        <w:tc>
          <w:tcPr>
            <w:tcW w:w="1076" w:type="dxa"/>
            <w:tcBorders>
              <w:top w:val="nil"/>
              <w:bottom w:val="nil"/>
            </w:tcBorders>
            <w:shd w:val="clear" w:color="auto" w:fill="FFFFFF"/>
            <w:vAlign w:val="center"/>
          </w:tcPr>
          <w:p w14:paraId="6DE85BF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,0143</w:t>
            </w:r>
          </w:p>
        </w:tc>
        <w:tc>
          <w:tcPr>
            <w:tcW w:w="1029" w:type="dxa"/>
            <w:tcBorders>
              <w:top w:val="nil"/>
              <w:bottom w:val="nil"/>
            </w:tcBorders>
            <w:shd w:val="clear" w:color="auto" w:fill="FFFFFF"/>
            <w:vAlign w:val="center"/>
          </w:tcPr>
          <w:p w14:paraId="061D342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,109</w:t>
            </w:r>
          </w:p>
        </w:tc>
        <w:tc>
          <w:tcPr>
            <w:tcW w:w="1414" w:type="dxa"/>
            <w:tcBorders>
              <w:top w:val="nil"/>
              <w:bottom w:val="nil"/>
            </w:tcBorders>
            <w:shd w:val="clear" w:color="auto" w:fill="FFFFFF"/>
            <w:vAlign w:val="center"/>
          </w:tcPr>
          <w:p w14:paraId="2965935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w:t>
            </w:r>
          </w:p>
        </w:tc>
        <w:tc>
          <w:tcPr>
            <w:tcW w:w="1414" w:type="dxa"/>
            <w:tcBorders>
              <w:top w:val="nil"/>
              <w:bottom w:val="nil"/>
              <w:right w:val="single" w:sz="16" w:space="0" w:color="000000"/>
            </w:tcBorders>
            <w:shd w:val="clear" w:color="auto" w:fill="FFFFFF"/>
            <w:vAlign w:val="center"/>
          </w:tcPr>
          <w:p w14:paraId="38D2DAD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,051</w:t>
            </w:r>
          </w:p>
        </w:tc>
      </w:tr>
      <w:tr w:rsidR="009E03E3" w:rsidRPr="008E59D3" w14:paraId="1EE68675" w14:textId="77777777" w:rsidTr="008E59D3">
        <w:trPr>
          <w:cantSplit/>
        </w:trPr>
        <w:tc>
          <w:tcPr>
            <w:tcW w:w="1046" w:type="dxa"/>
            <w:vMerge/>
            <w:tcBorders>
              <w:top w:val="nil"/>
              <w:left w:val="single" w:sz="16" w:space="0" w:color="000000"/>
              <w:right w:val="nil"/>
            </w:tcBorders>
            <w:shd w:val="clear" w:color="auto" w:fill="FFFFFF"/>
          </w:tcPr>
          <w:p w14:paraId="0CFC3DB1"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3D7768F"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3BEC1BD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,0234</w:t>
            </w:r>
          </w:p>
        </w:tc>
        <w:tc>
          <w:tcPr>
            <w:tcW w:w="1076" w:type="dxa"/>
            <w:tcBorders>
              <w:top w:val="nil"/>
              <w:bottom w:val="nil"/>
            </w:tcBorders>
            <w:shd w:val="clear" w:color="auto" w:fill="FFFFFF"/>
            <w:vAlign w:val="center"/>
          </w:tcPr>
          <w:p w14:paraId="6BF4394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,0195</w:t>
            </w:r>
          </w:p>
        </w:tc>
        <w:tc>
          <w:tcPr>
            <w:tcW w:w="1029" w:type="dxa"/>
            <w:tcBorders>
              <w:top w:val="nil"/>
              <w:bottom w:val="nil"/>
            </w:tcBorders>
            <w:shd w:val="clear" w:color="auto" w:fill="FFFFFF"/>
            <w:vAlign w:val="center"/>
          </w:tcPr>
          <w:p w14:paraId="1345570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,230</w:t>
            </w:r>
          </w:p>
        </w:tc>
        <w:tc>
          <w:tcPr>
            <w:tcW w:w="1414" w:type="dxa"/>
            <w:tcBorders>
              <w:top w:val="nil"/>
              <w:bottom w:val="nil"/>
            </w:tcBorders>
            <w:shd w:val="clear" w:color="auto" w:fill="FFFFFF"/>
            <w:vAlign w:val="center"/>
          </w:tcPr>
          <w:p w14:paraId="66281D9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w:t>
            </w:r>
          </w:p>
        </w:tc>
        <w:tc>
          <w:tcPr>
            <w:tcW w:w="1414" w:type="dxa"/>
            <w:tcBorders>
              <w:top w:val="nil"/>
              <w:bottom w:val="nil"/>
              <w:right w:val="single" w:sz="16" w:space="0" w:color="000000"/>
            </w:tcBorders>
            <w:shd w:val="clear" w:color="auto" w:fill="FFFFFF"/>
            <w:vAlign w:val="center"/>
          </w:tcPr>
          <w:p w14:paraId="2C038A8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,062</w:t>
            </w:r>
          </w:p>
        </w:tc>
      </w:tr>
      <w:tr w:rsidR="009E03E3" w:rsidRPr="008E59D3" w14:paraId="1F154601" w14:textId="77777777" w:rsidTr="008E59D3">
        <w:trPr>
          <w:cantSplit/>
        </w:trPr>
        <w:tc>
          <w:tcPr>
            <w:tcW w:w="1046" w:type="dxa"/>
            <w:vMerge/>
            <w:tcBorders>
              <w:top w:val="nil"/>
              <w:left w:val="single" w:sz="16" w:space="0" w:color="000000"/>
              <w:right w:val="nil"/>
            </w:tcBorders>
            <w:shd w:val="clear" w:color="auto" w:fill="FFFFFF"/>
          </w:tcPr>
          <w:p w14:paraId="0CC1046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3D3C634"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4E67955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,0323</w:t>
            </w:r>
          </w:p>
        </w:tc>
        <w:tc>
          <w:tcPr>
            <w:tcW w:w="1076" w:type="dxa"/>
            <w:tcBorders>
              <w:top w:val="nil"/>
              <w:bottom w:val="nil"/>
            </w:tcBorders>
            <w:shd w:val="clear" w:color="auto" w:fill="FFFFFF"/>
            <w:vAlign w:val="center"/>
          </w:tcPr>
          <w:p w14:paraId="76D97D1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,0174</w:t>
            </w:r>
          </w:p>
        </w:tc>
        <w:tc>
          <w:tcPr>
            <w:tcW w:w="1029" w:type="dxa"/>
            <w:tcBorders>
              <w:top w:val="nil"/>
              <w:bottom w:val="nil"/>
            </w:tcBorders>
            <w:shd w:val="clear" w:color="auto" w:fill="FFFFFF"/>
            <w:vAlign w:val="center"/>
          </w:tcPr>
          <w:p w14:paraId="10A04AE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,063</w:t>
            </w:r>
          </w:p>
        </w:tc>
        <w:tc>
          <w:tcPr>
            <w:tcW w:w="1414" w:type="dxa"/>
            <w:tcBorders>
              <w:top w:val="nil"/>
              <w:bottom w:val="nil"/>
            </w:tcBorders>
            <w:shd w:val="clear" w:color="auto" w:fill="FFFFFF"/>
            <w:vAlign w:val="center"/>
          </w:tcPr>
          <w:p w14:paraId="7065285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414" w:type="dxa"/>
            <w:tcBorders>
              <w:top w:val="nil"/>
              <w:bottom w:val="nil"/>
              <w:right w:val="single" w:sz="16" w:space="0" w:color="000000"/>
            </w:tcBorders>
            <w:shd w:val="clear" w:color="auto" w:fill="FFFFFF"/>
            <w:vAlign w:val="center"/>
          </w:tcPr>
          <w:p w14:paraId="73C9C84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,066</w:t>
            </w:r>
          </w:p>
        </w:tc>
      </w:tr>
      <w:tr w:rsidR="009E03E3" w:rsidRPr="008E59D3" w14:paraId="6D3D94E4" w14:textId="77777777" w:rsidTr="008E59D3">
        <w:trPr>
          <w:cantSplit/>
        </w:trPr>
        <w:tc>
          <w:tcPr>
            <w:tcW w:w="1046" w:type="dxa"/>
            <w:vMerge/>
            <w:tcBorders>
              <w:top w:val="nil"/>
              <w:left w:val="single" w:sz="16" w:space="0" w:color="000000"/>
              <w:right w:val="nil"/>
            </w:tcBorders>
            <w:shd w:val="clear" w:color="auto" w:fill="FFFFFF"/>
          </w:tcPr>
          <w:p w14:paraId="0E2B51BC"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EEB43B5"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1291494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,0365</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6AB3F59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,0164</w:t>
            </w:r>
          </w:p>
        </w:tc>
        <w:tc>
          <w:tcPr>
            <w:tcW w:w="1029" w:type="dxa"/>
            <w:tcBorders>
              <w:top w:val="nil"/>
              <w:bottom w:val="nil"/>
            </w:tcBorders>
            <w:shd w:val="clear" w:color="auto" w:fill="FFFFFF"/>
            <w:vAlign w:val="center"/>
          </w:tcPr>
          <w:p w14:paraId="14E082E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,026</w:t>
            </w:r>
          </w:p>
        </w:tc>
        <w:tc>
          <w:tcPr>
            <w:tcW w:w="1414" w:type="dxa"/>
            <w:tcBorders>
              <w:top w:val="nil"/>
              <w:bottom w:val="nil"/>
            </w:tcBorders>
            <w:shd w:val="clear" w:color="auto" w:fill="FFFFFF"/>
            <w:vAlign w:val="center"/>
          </w:tcPr>
          <w:p w14:paraId="040BDAB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414" w:type="dxa"/>
            <w:tcBorders>
              <w:top w:val="nil"/>
              <w:bottom w:val="nil"/>
              <w:right w:val="single" w:sz="16" w:space="0" w:color="000000"/>
            </w:tcBorders>
            <w:shd w:val="clear" w:color="auto" w:fill="FFFFFF"/>
            <w:vAlign w:val="center"/>
          </w:tcPr>
          <w:p w14:paraId="55D1D0A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,069</w:t>
            </w:r>
          </w:p>
        </w:tc>
      </w:tr>
      <w:tr w:rsidR="009E03E3" w:rsidRPr="008E59D3" w14:paraId="6E95A1B2" w14:textId="77777777" w:rsidTr="008E59D3">
        <w:trPr>
          <w:cantSplit/>
        </w:trPr>
        <w:tc>
          <w:tcPr>
            <w:tcW w:w="1046" w:type="dxa"/>
            <w:vMerge/>
            <w:tcBorders>
              <w:top w:val="nil"/>
              <w:left w:val="single" w:sz="16" w:space="0" w:color="000000"/>
              <w:right w:val="nil"/>
            </w:tcBorders>
            <w:shd w:val="clear" w:color="auto" w:fill="FFFFFF"/>
          </w:tcPr>
          <w:p w14:paraId="6E85D7F3"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FBA7F7D"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50B99BC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,0254</w:t>
            </w:r>
          </w:p>
        </w:tc>
        <w:tc>
          <w:tcPr>
            <w:tcW w:w="1076" w:type="dxa"/>
            <w:tcBorders>
              <w:top w:val="nil"/>
              <w:bottom w:val="nil"/>
            </w:tcBorders>
            <w:shd w:val="clear" w:color="auto" w:fill="FFFFFF"/>
            <w:vAlign w:val="center"/>
          </w:tcPr>
          <w:p w14:paraId="7B99F21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,0157</w:t>
            </w:r>
          </w:p>
        </w:tc>
        <w:tc>
          <w:tcPr>
            <w:tcW w:w="1029" w:type="dxa"/>
            <w:tcBorders>
              <w:top w:val="nil"/>
              <w:bottom w:val="nil"/>
            </w:tcBorders>
            <w:shd w:val="clear" w:color="auto" w:fill="FFFFFF"/>
            <w:vAlign w:val="center"/>
          </w:tcPr>
          <w:p w14:paraId="5BE848A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,105</w:t>
            </w:r>
          </w:p>
        </w:tc>
        <w:tc>
          <w:tcPr>
            <w:tcW w:w="1414" w:type="dxa"/>
            <w:tcBorders>
              <w:top w:val="nil"/>
              <w:bottom w:val="nil"/>
            </w:tcBorders>
            <w:shd w:val="clear" w:color="auto" w:fill="FFFFFF"/>
            <w:vAlign w:val="center"/>
          </w:tcPr>
          <w:p w14:paraId="7938C7D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w:t>
            </w:r>
          </w:p>
        </w:tc>
        <w:tc>
          <w:tcPr>
            <w:tcW w:w="1414" w:type="dxa"/>
            <w:tcBorders>
              <w:top w:val="nil"/>
              <w:bottom w:val="nil"/>
              <w:right w:val="single" w:sz="16" w:space="0" w:color="000000"/>
            </w:tcBorders>
            <w:shd w:val="clear" w:color="auto" w:fill="FFFFFF"/>
            <w:vAlign w:val="center"/>
          </w:tcPr>
          <w:p w14:paraId="1258AA9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,056</w:t>
            </w:r>
          </w:p>
        </w:tc>
      </w:tr>
      <w:tr w:rsidR="009E03E3" w:rsidRPr="008E59D3" w14:paraId="14B7EB10" w14:textId="77777777" w:rsidTr="008E59D3">
        <w:trPr>
          <w:cantSplit/>
        </w:trPr>
        <w:tc>
          <w:tcPr>
            <w:tcW w:w="1046" w:type="dxa"/>
            <w:vMerge/>
            <w:tcBorders>
              <w:top w:val="nil"/>
              <w:left w:val="single" w:sz="16" w:space="0" w:color="000000"/>
              <w:right w:val="nil"/>
            </w:tcBorders>
            <w:shd w:val="clear" w:color="auto" w:fill="FFFFFF"/>
          </w:tcPr>
          <w:p w14:paraId="7D691C00"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4643365"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53148C3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,0290</w:t>
            </w:r>
          </w:p>
        </w:tc>
        <w:tc>
          <w:tcPr>
            <w:tcW w:w="1076" w:type="dxa"/>
            <w:tcBorders>
              <w:top w:val="nil"/>
              <w:bottom w:val="nil"/>
            </w:tcBorders>
            <w:shd w:val="clear" w:color="auto" w:fill="FFFFFF"/>
            <w:vAlign w:val="center"/>
          </w:tcPr>
          <w:p w14:paraId="56543B1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,0151</w:t>
            </w:r>
          </w:p>
        </w:tc>
        <w:tc>
          <w:tcPr>
            <w:tcW w:w="1029" w:type="dxa"/>
            <w:tcBorders>
              <w:top w:val="nil"/>
              <w:bottom w:val="nil"/>
            </w:tcBorders>
            <w:shd w:val="clear" w:color="auto" w:fill="FFFFFF"/>
            <w:vAlign w:val="center"/>
          </w:tcPr>
          <w:p w14:paraId="786B35F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,055</w:t>
            </w:r>
          </w:p>
        </w:tc>
        <w:tc>
          <w:tcPr>
            <w:tcW w:w="1414" w:type="dxa"/>
            <w:tcBorders>
              <w:top w:val="nil"/>
              <w:bottom w:val="nil"/>
            </w:tcBorders>
            <w:shd w:val="clear" w:color="auto" w:fill="FFFFFF"/>
            <w:vAlign w:val="center"/>
          </w:tcPr>
          <w:p w14:paraId="440264C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414" w:type="dxa"/>
            <w:tcBorders>
              <w:top w:val="nil"/>
              <w:bottom w:val="nil"/>
              <w:right w:val="single" w:sz="16" w:space="0" w:color="000000"/>
            </w:tcBorders>
            <w:shd w:val="clear" w:color="auto" w:fill="FFFFFF"/>
            <w:vAlign w:val="center"/>
          </w:tcPr>
          <w:p w14:paraId="2AE0FF8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,059</w:t>
            </w:r>
          </w:p>
        </w:tc>
      </w:tr>
      <w:tr w:rsidR="009E03E3" w:rsidRPr="008E59D3" w14:paraId="4427318D" w14:textId="77777777" w:rsidTr="008E59D3">
        <w:trPr>
          <w:cantSplit/>
        </w:trPr>
        <w:tc>
          <w:tcPr>
            <w:tcW w:w="1046" w:type="dxa"/>
            <w:vMerge/>
            <w:tcBorders>
              <w:top w:val="nil"/>
              <w:left w:val="single" w:sz="16" w:space="0" w:color="000000"/>
              <w:right w:val="nil"/>
            </w:tcBorders>
            <w:shd w:val="clear" w:color="auto" w:fill="FFFFFF"/>
          </w:tcPr>
          <w:p w14:paraId="6EC17271"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E504AA5"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394C5D8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,0169</w:t>
            </w:r>
          </w:p>
        </w:tc>
        <w:tc>
          <w:tcPr>
            <w:tcW w:w="1076" w:type="dxa"/>
            <w:tcBorders>
              <w:top w:val="nil"/>
              <w:bottom w:val="nil"/>
            </w:tcBorders>
            <w:shd w:val="clear" w:color="auto" w:fill="FFFFFF"/>
            <w:vAlign w:val="center"/>
          </w:tcPr>
          <w:p w14:paraId="41ABF53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,0142</w:t>
            </w:r>
          </w:p>
        </w:tc>
        <w:tc>
          <w:tcPr>
            <w:tcW w:w="1029" w:type="dxa"/>
            <w:tcBorders>
              <w:top w:val="nil"/>
              <w:bottom w:val="nil"/>
            </w:tcBorders>
            <w:shd w:val="clear" w:color="auto" w:fill="FFFFFF"/>
            <w:vAlign w:val="center"/>
          </w:tcPr>
          <w:p w14:paraId="7CEBAA5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,235</w:t>
            </w:r>
          </w:p>
        </w:tc>
        <w:tc>
          <w:tcPr>
            <w:tcW w:w="1414" w:type="dxa"/>
            <w:tcBorders>
              <w:top w:val="nil"/>
              <w:bottom w:val="nil"/>
            </w:tcBorders>
            <w:shd w:val="clear" w:color="auto" w:fill="FFFFFF"/>
            <w:vAlign w:val="center"/>
          </w:tcPr>
          <w:p w14:paraId="77F246C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414" w:type="dxa"/>
            <w:tcBorders>
              <w:top w:val="nil"/>
              <w:bottom w:val="nil"/>
              <w:right w:val="single" w:sz="16" w:space="0" w:color="000000"/>
            </w:tcBorders>
            <w:shd w:val="clear" w:color="auto" w:fill="FFFFFF"/>
            <w:vAlign w:val="center"/>
          </w:tcPr>
          <w:p w14:paraId="24935B6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,045</w:t>
            </w:r>
          </w:p>
        </w:tc>
      </w:tr>
      <w:tr w:rsidR="009E03E3" w:rsidRPr="008E59D3" w14:paraId="4DED3AA3" w14:textId="77777777" w:rsidTr="008E59D3">
        <w:trPr>
          <w:cantSplit/>
        </w:trPr>
        <w:tc>
          <w:tcPr>
            <w:tcW w:w="1046" w:type="dxa"/>
            <w:vMerge/>
            <w:tcBorders>
              <w:top w:val="nil"/>
              <w:left w:val="single" w:sz="16" w:space="0" w:color="000000"/>
              <w:right w:val="nil"/>
            </w:tcBorders>
            <w:shd w:val="clear" w:color="auto" w:fill="FFFFFF"/>
          </w:tcPr>
          <w:p w14:paraId="2EA4B69B"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FFE1D9D"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52C310E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,0128</w:t>
            </w:r>
          </w:p>
        </w:tc>
        <w:tc>
          <w:tcPr>
            <w:tcW w:w="1076" w:type="dxa"/>
            <w:tcBorders>
              <w:top w:val="nil"/>
              <w:bottom w:val="nil"/>
            </w:tcBorders>
            <w:shd w:val="clear" w:color="auto" w:fill="FFFFFF"/>
            <w:vAlign w:val="center"/>
          </w:tcPr>
          <w:p w14:paraId="206CA4A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,0147</w:t>
            </w:r>
          </w:p>
        </w:tc>
        <w:tc>
          <w:tcPr>
            <w:tcW w:w="1029" w:type="dxa"/>
            <w:tcBorders>
              <w:top w:val="nil"/>
              <w:bottom w:val="nil"/>
            </w:tcBorders>
            <w:shd w:val="clear" w:color="auto" w:fill="FFFFFF"/>
            <w:vAlign w:val="center"/>
          </w:tcPr>
          <w:p w14:paraId="02F60EC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,382</w:t>
            </w:r>
          </w:p>
        </w:tc>
        <w:tc>
          <w:tcPr>
            <w:tcW w:w="1414" w:type="dxa"/>
            <w:tcBorders>
              <w:top w:val="nil"/>
              <w:bottom w:val="nil"/>
            </w:tcBorders>
            <w:shd w:val="clear" w:color="auto" w:fill="FFFFFF"/>
            <w:vAlign w:val="center"/>
          </w:tcPr>
          <w:p w14:paraId="34A2069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w:t>
            </w:r>
          </w:p>
        </w:tc>
        <w:tc>
          <w:tcPr>
            <w:tcW w:w="1414" w:type="dxa"/>
            <w:tcBorders>
              <w:top w:val="nil"/>
              <w:bottom w:val="nil"/>
              <w:right w:val="single" w:sz="16" w:space="0" w:color="000000"/>
            </w:tcBorders>
            <w:shd w:val="clear" w:color="auto" w:fill="FFFFFF"/>
            <w:vAlign w:val="center"/>
          </w:tcPr>
          <w:p w14:paraId="46E4ADD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,042</w:t>
            </w:r>
          </w:p>
        </w:tc>
      </w:tr>
      <w:tr w:rsidR="009E03E3" w:rsidRPr="008E59D3" w14:paraId="3D2D8C54" w14:textId="77777777" w:rsidTr="008E59D3">
        <w:trPr>
          <w:cantSplit/>
        </w:trPr>
        <w:tc>
          <w:tcPr>
            <w:tcW w:w="1046" w:type="dxa"/>
            <w:vMerge/>
            <w:tcBorders>
              <w:top w:val="nil"/>
              <w:left w:val="single" w:sz="16" w:space="0" w:color="000000"/>
              <w:right w:val="nil"/>
            </w:tcBorders>
            <w:shd w:val="clear" w:color="auto" w:fill="FFFFFF"/>
          </w:tcPr>
          <w:p w14:paraId="20EF67E4"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1B716627"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6868B53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,0024</w:t>
            </w:r>
          </w:p>
        </w:tc>
        <w:tc>
          <w:tcPr>
            <w:tcW w:w="1076" w:type="dxa"/>
            <w:tcBorders>
              <w:top w:val="nil"/>
            </w:tcBorders>
            <w:shd w:val="clear" w:color="auto" w:fill="FFFFFF"/>
            <w:vAlign w:val="center"/>
          </w:tcPr>
          <w:p w14:paraId="13FCF10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,0117</w:t>
            </w:r>
          </w:p>
        </w:tc>
        <w:tc>
          <w:tcPr>
            <w:tcW w:w="1029" w:type="dxa"/>
            <w:tcBorders>
              <w:top w:val="nil"/>
            </w:tcBorders>
            <w:shd w:val="clear" w:color="auto" w:fill="FFFFFF"/>
            <w:vAlign w:val="center"/>
          </w:tcPr>
          <w:p w14:paraId="69B7383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,839</w:t>
            </w:r>
          </w:p>
        </w:tc>
        <w:tc>
          <w:tcPr>
            <w:tcW w:w="1414" w:type="dxa"/>
            <w:tcBorders>
              <w:top w:val="nil"/>
            </w:tcBorders>
            <w:shd w:val="clear" w:color="auto" w:fill="FFFFFF"/>
            <w:vAlign w:val="center"/>
          </w:tcPr>
          <w:p w14:paraId="34F36E7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w:t>
            </w:r>
          </w:p>
        </w:tc>
        <w:tc>
          <w:tcPr>
            <w:tcW w:w="1414" w:type="dxa"/>
            <w:tcBorders>
              <w:top w:val="nil"/>
              <w:right w:val="single" w:sz="16" w:space="0" w:color="000000"/>
            </w:tcBorders>
            <w:shd w:val="clear" w:color="auto" w:fill="FFFFFF"/>
            <w:vAlign w:val="center"/>
          </w:tcPr>
          <w:p w14:paraId="79E0B93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,025</w:t>
            </w:r>
          </w:p>
        </w:tc>
      </w:tr>
      <w:tr w:rsidR="009E03E3" w:rsidRPr="008E59D3" w14:paraId="35DD8FCB" w14:textId="77777777" w:rsidTr="008E59D3">
        <w:trPr>
          <w:cantSplit/>
        </w:trPr>
        <w:tc>
          <w:tcPr>
            <w:tcW w:w="1046" w:type="dxa"/>
            <w:vMerge w:val="restart"/>
            <w:tcBorders>
              <w:top w:val="nil"/>
              <w:left w:val="single" w:sz="16" w:space="0" w:color="000000"/>
              <w:right w:val="nil"/>
            </w:tcBorders>
            <w:shd w:val="clear" w:color="auto" w:fill="FFFFFF"/>
          </w:tcPr>
          <w:p w14:paraId="176D525A"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092" w:type="dxa"/>
            <w:tcBorders>
              <w:top w:val="nil"/>
              <w:left w:val="nil"/>
              <w:bottom w:val="nil"/>
              <w:right w:val="single" w:sz="16" w:space="0" w:color="000000"/>
            </w:tcBorders>
            <w:shd w:val="clear" w:color="auto" w:fill="FFFFFF"/>
          </w:tcPr>
          <w:p w14:paraId="57FD0662"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20EAC69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,0061</w:t>
            </w:r>
          </w:p>
        </w:tc>
        <w:tc>
          <w:tcPr>
            <w:tcW w:w="1076" w:type="dxa"/>
            <w:tcBorders>
              <w:top w:val="nil"/>
              <w:bottom w:val="nil"/>
            </w:tcBorders>
            <w:shd w:val="clear" w:color="auto" w:fill="FFFFFF"/>
            <w:vAlign w:val="center"/>
          </w:tcPr>
          <w:p w14:paraId="69D0E19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,0139</w:t>
            </w:r>
          </w:p>
        </w:tc>
        <w:tc>
          <w:tcPr>
            <w:tcW w:w="1029" w:type="dxa"/>
            <w:tcBorders>
              <w:top w:val="nil"/>
              <w:bottom w:val="nil"/>
            </w:tcBorders>
            <w:shd w:val="clear" w:color="auto" w:fill="FFFFFF"/>
            <w:vAlign w:val="center"/>
          </w:tcPr>
          <w:p w14:paraId="0D6B8F8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,661</w:t>
            </w:r>
          </w:p>
        </w:tc>
        <w:tc>
          <w:tcPr>
            <w:tcW w:w="1414" w:type="dxa"/>
            <w:tcBorders>
              <w:top w:val="nil"/>
              <w:bottom w:val="nil"/>
            </w:tcBorders>
            <w:shd w:val="clear" w:color="auto" w:fill="FFFFFF"/>
            <w:vAlign w:val="center"/>
          </w:tcPr>
          <w:p w14:paraId="726D61C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w:t>
            </w:r>
          </w:p>
        </w:tc>
        <w:tc>
          <w:tcPr>
            <w:tcW w:w="1414" w:type="dxa"/>
            <w:tcBorders>
              <w:top w:val="nil"/>
              <w:bottom w:val="nil"/>
              <w:right w:val="single" w:sz="16" w:space="0" w:color="000000"/>
            </w:tcBorders>
            <w:shd w:val="clear" w:color="auto" w:fill="FFFFFF"/>
            <w:vAlign w:val="center"/>
          </w:tcPr>
          <w:p w14:paraId="694C797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,033</w:t>
            </w:r>
          </w:p>
        </w:tc>
      </w:tr>
      <w:tr w:rsidR="009E03E3" w:rsidRPr="008E59D3" w14:paraId="2360D274" w14:textId="77777777" w:rsidTr="008E59D3">
        <w:trPr>
          <w:cantSplit/>
        </w:trPr>
        <w:tc>
          <w:tcPr>
            <w:tcW w:w="1046" w:type="dxa"/>
            <w:vMerge/>
            <w:tcBorders>
              <w:top w:val="nil"/>
              <w:left w:val="single" w:sz="16" w:space="0" w:color="000000"/>
              <w:right w:val="nil"/>
            </w:tcBorders>
            <w:shd w:val="clear" w:color="auto" w:fill="FFFFFF"/>
          </w:tcPr>
          <w:p w14:paraId="0FE2415B"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5F1F508"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5E521DD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,0065</w:t>
            </w:r>
          </w:p>
        </w:tc>
        <w:tc>
          <w:tcPr>
            <w:tcW w:w="1076" w:type="dxa"/>
            <w:tcBorders>
              <w:top w:val="nil"/>
              <w:bottom w:val="nil"/>
            </w:tcBorders>
            <w:shd w:val="clear" w:color="auto" w:fill="FFFFFF"/>
            <w:vAlign w:val="center"/>
          </w:tcPr>
          <w:p w14:paraId="0F502E6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,0192</w:t>
            </w:r>
          </w:p>
        </w:tc>
        <w:tc>
          <w:tcPr>
            <w:tcW w:w="1029" w:type="dxa"/>
            <w:tcBorders>
              <w:top w:val="nil"/>
              <w:bottom w:val="nil"/>
            </w:tcBorders>
            <w:shd w:val="clear" w:color="auto" w:fill="FFFFFF"/>
            <w:vAlign w:val="center"/>
          </w:tcPr>
          <w:p w14:paraId="1211091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,734</w:t>
            </w:r>
          </w:p>
        </w:tc>
        <w:tc>
          <w:tcPr>
            <w:tcW w:w="1414" w:type="dxa"/>
            <w:tcBorders>
              <w:top w:val="nil"/>
              <w:bottom w:val="nil"/>
            </w:tcBorders>
            <w:shd w:val="clear" w:color="auto" w:fill="FFFFFF"/>
            <w:vAlign w:val="center"/>
          </w:tcPr>
          <w:p w14:paraId="3295E7B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-,031</w:t>
            </w:r>
          </w:p>
        </w:tc>
        <w:tc>
          <w:tcPr>
            <w:tcW w:w="1414" w:type="dxa"/>
            <w:tcBorders>
              <w:top w:val="nil"/>
              <w:bottom w:val="nil"/>
              <w:right w:val="single" w:sz="16" w:space="0" w:color="000000"/>
            </w:tcBorders>
            <w:shd w:val="clear" w:color="auto" w:fill="FFFFFF"/>
            <w:vAlign w:val="center"/>
          </w:tcPr>
          <w:p w14:paraId="3BE6E15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,044</w:t>
            </w:r>
          </w:p>
        </w:tc>
      </w:tr>
      <w:tr w:rsidR="009E03E3" w:rsidRPr="008E59D3" w14:paraId="1F7F2AA8" w14:textId="77777777" w:rsidTr="008E59D3">
        <w:trPr>
          <w:cantSplit/>
        </w:trPr>
        <w:tc>
          <w:tcPr>
            <w:tcW w:w="1046" w:type="dxa"/>
            <w:vMerge/>
            <w:tcBorders>
              <w:top w:val="nil"/>
              <w:left w:val="single" w:sz="16" w:space="0" w:color="000000"/>
              <w:right w:val="nil"/>
            </w:tcBorders>
            <w:shd w:val="clear" w:color="auto" w:fill="FFFFFF"/>
          </w:tcPr>
          <w:p w14:paraId="547676EB"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FBCF9D9"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6FC9E9E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,0155</w:t>
            </w:r>
          </w:p>
        </w:tc>
        <w:tc>
          <w:tcPr>
            <w:tcW w:w="1076" w:type="dxa"/>
            <w:tcBorders>
              <w:top w:val="nil"/>
              <w:bottom w:val="nil"/>
            </w:tcBorders>
            <w:shd w:val="clear" w:color="auto" w:fill="FFFFFF"/>
            <w:vAlign w:val="center"/>
          </w:tcPr>
          <w:p w14:paraId="301FF8B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,0170</w:t>
            </w:r>
          </w:p>
        </w:tc>
        <w:tc>
          <w:tcPr>
            <w:tcW w:w="1029" w:type="dxa"/>
            <w:tcBorders>
              <w:top w:val="nil"/>
              <w:bottom w:val="nil"/>
            </w:tcBorders>
            <w:shd w:val="clear" w:color="auto" w:fill="FFFFFF"/>
            <w:vAlign w:val="center"/>
          </w:tcPr>
          <w:p w14:paraId="5596948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,364</w:t>
            </w:r>
          </w:p>
        </w:tc>
        <w:tc>
          <w:tcPr>
            <w:tcW w:w="1414" w:type="dxa"/>
            <w:tcBorders>
              <w:top w:val="nil"/>
              <w:bottom w:val="nil"/>
            </w:tcBorders>
            <w:shd w:val="clear" w:color="auto" w:fill="FFFFFF"/>
            <w:vAlign w:val="center"/>
          </w:tcPr>
          <w:p w14:paraId="0CCCAA0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p>
        </w:tc>
        <w:tc>
          <w:tcPr>
            <w:tcW w:w="1414" w:type="dxa"/>
            <w:tcBorders>
              <w:top w:val="nil"/>
              <w:bottom w:val="nil"/>
              <w:right w:val="single" w:sz="16" w:space="0" w:color="000000"/>
            </w:tcBorders>
            <w:shd w:val="clear" w:color="auto" w:fill="FFFFFF"/>
            <w:vAlign w:val="center"/>
          </w:tcPr>
          <w:p w14:paraId="22A4989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,049</w:t>
            </w:r>
          </w:p>
        </w:tc>
      </w:tr>
      <w:tr w:rsidR="009E03E3" w:rsidRPr="008E59D3" w14:paraId="3F26FE82" w14:textId="77777777" w:rsidTr="008E59D3">
        <w:trPr>
          <w:cantSplit/>
        </w:trPr>
        <w:tc>
          <w:tcPr>
            <w:tcW w:w="1046" w:type="dxa"/>
            <w:vMerge/>
            <w:tcBorders>
              <w:top w:val="nil"/>
              <w:left w:val="single" w:sz="16" w:space="0" w:color="000000"/>
              <w:right w:val="nil"/>
            </w:tcBorders>
            <w:shd w:val="clear" w:color="auto" w:fill="FFFFFF"/>
          </w:tcPr>
          <w:p w14:paraId="6C943948"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D667F96"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30395DD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,0196</w:t>
            </w:r>
          </w:p>
        </w:tc>
        <w:tc>
          <w:tcPr>
            <w:tcW w:w="1076" w:type="dxa"/>
            <w:tcBorders>
              <w:top w:val="nil"/>
              <w:bottom w:val="nil"/>
            </w:tcBorders>
            <w:shd w:val="clear" w:color="auto" w:fill="FFFFFF"/>
            <w:vAlign w:val="center"/>
          </w:tcPr>
          <w:p w14:paraId="23D2758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,0160</w:t>
            </w:r>
          </w:p>
        </w:tc>
        <w:tc>
          <w:tcPr>
            <w:tcW w:w="1029" w:type="dxa"/>
            <w:tcBorders>
              <w:top w:val="nil"/>
              <w:bottom w:val="nil"/>
            </w:tcBorders>
            <w:shd w:val="clear" w:color="auto" w:fill="FFFFFF"/>
            <w:vAlign w:val="center"/>
          </w:tcPr>
          <w:p w14:paraId="5BF35CC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,220</w:t>
            </w:r>
          </w:p>
        </w:tc>
        <w:tc>
          <w:tcPr>
            <w:tcW w:w="1414" w:type="dxa"/>
            <w:tcBorders>
              <w:top w:val="nil"/>
              <w:bottom w:val="nil"/>
            </w:tcBorders>
            <w:shd w:val="clear" w:color="auto" w:fill="FFFFFF"/>
            <w:vAlign w:val="center"/>
          </w:tcPr>
          <w:p w14:paraId="223B735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c>
          <w:tcPr>
            <w:tcW w:w="1414" w:type="dxa"/>
            <w:tcBorders>
              <w:top w:val="nil"/>
              <w:bottom w:val="nil"/>
              <w:right w:val="single" w:sz="16" w:space="0" w:color="000000"/>
            </w:tcBorders>
            <w:shd w:val="clear" w:color="auto" w:fill="FFFFFF"/>
            <w:vAlign w:val="center"/>
          </w:tcPr>
          <w:p w14:paraId="5DC3E4A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,051</w:t>
            </w:r>
          </w:p>
        </w:tc>
      </w:tr>
      <w:tr w:rsidR="009E03E3" w:rsidRPr="008E59D3" w14:paraId="7C129741" w14:textId="77777777" w:rsidTr="008E59D3">
        <w:trPr>
          <w:cantSplit/>
        </w:trPr>
        <w:tc>
          <w:tcPr>
            <w:tcW w:w="1046" w:type="dxa"/>
            <w:vMerge/>
            <w:tcBorders>
              <w:top w:val="nil"/>
              <w:left w:val="single" w:sz="16" w:space="0" w:color="000000"/>
              <w:right w:val="nil"/>
            </w:tcBorders>
            <w:shd w:val="clear" w:color="auto" w:fill="FFFFFF"/>
          </w:tcPr>
          <w:p w14:paraId="55FE8B08"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1288887"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2B0A559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,0085</w:t>
            </w:r>
          </w:p>
        </w:tc>
        <w:tc>
          <w:tcPr>
            <w:tcW w:w="1076" w:type="dxa"/>
            <w:tcBorders>
              <w:top w:val="nil"/>
              <w:bottom w:val="nil"/>
            </w:tcBorders>
            <w:shd w:val="clear" w:color="auto" w:fill="FFFFFF"/>
            <w:vAlign w:val="center"/>
          </w:tcPr>
          <w:p w14:paraId="46837F8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,0153</w:t>
            </w:r>
          </w:p>
        </w:tc>
        <w:tc>
          <w:tcPr>
            <w:tcW w:w="1029" w:type="dxa"/>
            <w:tcBorders>
              <w:top w:val="nil"/>
              <w:bottom w:val="nil"/>
            </w:tcBorders>
            <w:shd w:val="clear" w:color="auto" w:fill="FFFFFF"/>
            <w:vAlign w:val="center"/>
          </w:tcPr>
          <w:p w14:paraId="3DC0B59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,577</w:t>
            </w:r>
          </w:p>
        </w:tc>
        <w:tc>
          <w:tcPr>
            <w:tcW w:w="1414" w:type="dxa"/>
            <w:tcBorders>
              <w:top w:val="nil"/>
              <w:bottom w:val="nil"/>
            </w:tcBorders>
            <w:shd w:val="clear" w:color="auto" w:fill="FFFFFF"/>
            <w:vAlign w:val="center"/>
          </w:tcPr>
          <w:p w14:paraId="250411C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w:t>
            </w:r>
          </w:p>
        </w:tc>
        <w:tc>
          <w:tcPr>
            <w:tcW w:w="1414" w:type="dxa"/>
            <w:tcBorders>
              <w:top w:val="nil"/>
              <w:bottom w:val="nil"/>
              <w:right w:val="single" w:sz="16" w:space="0" w:color="000000"/>
            </w:tcBorders>
            <w:shd w:val="clear" w:color="auto" w:fill="FFFFFF"/>
            <w:vAlign w:val="center"/>
          </w:tcPr>
          <w:p w14:paraId="282A5BD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,039</w:t>
            </w:r>
          </w:p>
        </w:tc>
      </w:tr>
      <w:tr w:rsidR="009E03E3" w:rsidRPr="008E59D3" w14:paraId="0BD81275" w14:textId="77777777" w:rsidTr="008E59D3">
        <w:trPr>
          <w:cantSplit/>
        </w:trPr>
        <w:tc>
          <w:tcPr>
            <w:tcW w:w="1046" w:type="dxa"/>
            <w:vMerge/>
            <w:tcBorders>
              <w:top w:val="nil"/>
              <w:left w:val="single" w:sz="16" w:space="0" w:color="000000"/>
              <w:right w:val="nil"/>
            </w:tcBorders>
            <w:shd w:val="clear" w:color="auto" w:fill="FFFFFF"/>
          </w:tcPr>
          <w:p w14:paraId="70418961"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D403651"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4370807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,0121</w:t>
            </w:r>
          </w:p>
        </w:tc>
        <w:tc>
          <w:tcPr>
            <w:tcW w:w="1076" w:type="dxa"/>
            <w:tcBorders>
              <w:top w:val="nil"/>
              <w:bottom w:val="nil"/>
            </w:tcBorders>
            <w:shd w:val="clear" w:color="auto" w:fill="FFFFFF"/>
            <w:vAlign w:val="center"/>
          </w:tcPr>
          <w:p w14:paraId="4DFC3FA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,0147</w:t>
            </w:r>
          </w:p>
        </w:tc>
        <w:tc>
          <w:tcPr>
            <w:tcW w:w="1029" w:type="dxa"/>
            <w:tcBorders>
              <w:top w:val="nil"/>
              <w:bottom w:val="nil"/>
            </w:tcBorders>
            <w:shd w:val="clear" w:color="auto" w:fill="FFFFFF"/>
            <w:vAlign w:val="center"/>
          </w:tcPr>
          <w:p w14:paraId="6123946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,410</w:t>
            </w:r>
          </w:p>
        </w:tc>
        <w:tc>
          <w:tcPr>
            <w:tcW w:w="1414" w:type="dxa"/>
            <w:tcBorders>
              <w:top w:val="nil"/>
              <w:bottom w:val="nil"/>
            </w:tcBorders>
            <w:shd w:val="clear" w:color="auto" w:fill="FFFFFF"/>
            <w:vAlign w:val="center"/>
          </w:tcPr>
          <w:p w14:paraId="2D013B5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w:t>
            </w:r>
          </w:p>
        </w:tc>
        <w:tc>
          <w:tcPr>
            <w:tcW w:w="1414" w:type="dxa"/>
            <w:tcBorders>
              <w:top w:val="nil"/>
              <w:bottom w:val="nil"/>
              <w:right w:val="single" w:sz="16" w:space="0" w:color="000000"/>
            </w:tcBorders>
            <w:shd w:val="clear" w:color="auto" w:fill="FFFFFF"/>
            <w:vAlign w:val="center"/>
          </w:tcPr>
          <w:p w14:paraId="234E3F1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,041</w:t>
            </w:r>
          </w:p>
        </w:tc>
      </w:tr>
      <w:tr w:rsidR="009E03E3" w:rsidRPr="008E59D3" w14:paraId="229759E8" w14:textId="77777777" w:rsidTr="008E59D3">
        <w:trPr>
          <w:cantSplit/>
        </w:trPr>
        <w:tc>
          <w:tcPr>
            <w:tcW w:w="1046" w:type="dxa"/>
            <w:vMerge/>
            <w:tcBorders>
              <w:top w:val="nil"/>
              <w:left w:val="single" w:sz="16" w:space="0" w:color="000000"/>
              <w:right w:val="nil"/>
            </w:tcBorders>
            <w:shd w:val="clear" w:color="auto" w:fill="FFFFFF"/>
          </w:tcPr>
          <w:p w14:paraId="7B48BA96"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02B1384"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7F986EB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-,0169</w:t>
            </w:r>
          </w:p>
        </w:tc>
        <w:tc>
          <w:tcPr>
            <w:tcW w:w="1076" w:type="dxa"/>
            <w:tcBorders>
              <w:top w:val="nil"/>
              <w:bottom w:val="nil"/>
            </w:tcBorders>
            <w:shd w:val="clear" w:color="auto" w:fill="FFFFFF"/>
            <w:vAlign w:val="center"/>
          </w:tcPr>
          <w:p w14:paraId="15DC526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,0142</w:t>
            </w:r>
          </w:p>
        </w:tc>
        <w:tc>
          <w:tcPr>
            <w:tcW w:w="1029" w:type="dxa"/>
            <w:tcBorders>
              <w:top w:val="nil"/>
              <w:bottom w:val="nil"/>
            </w:tcBorders>
            <w:shd w:val="clear" w:color="auto" w:fill="FFFFFF"/>
            <w:vAlign w:val="center"/>
          </w:tcPr>
          <w:p w14:paraId="4052E17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,235</w:t>
            </w:r>
          </w:p>
        </w:tc>
        <w:tc>
          <w:tcPr>
            <w:tcW w:w="1414" w:type="dxa"/>
            <w:tcBorders>
              <w:top w:val="nil"/>
              <w:bottom w:val="nil"/>
            </w:tcBorders>
            <w:shd w:val="clear" w:color="auto" w:fill="FFFFFF"/>
            <w:vAlign w:val="center"/>
          </w:tcPr>
          <w:p w14:paraId="46A038B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-,045</w:t>
            </w:r>
          </w:p>
        </w:tc>
        <w:tc>
          <w:tcPr>
            <w:tcW w:w="1414" w:type="dxa"/>
            <w:tcBorders>
              <w:top w:val="nil"/>
              <w:bottom w:val="nil"/>
              <w:right w:val="single" w:sz="16" w:space="0" w:color="000000"/>
            </w:tcBorders>
            <w:shd w:val="clear" w:color="auto" w:fill="FFFFFF"/>
            <w:vAlign w:val="center"/>
          </w:tcPr>
          <w:p w14:paraId="0BADB8C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r>
      <w:tr w:rsidR="009E03E3" w:rsidRPr="008E59D3" w14:paraId="3F4F8B03" w14:textId="77777777" w:rsidTr="008E59D3">
        <w:trPr>
          <w:cantSplit/>
        </w:trPr>
        <w:tc>
          <w:tcPr>
            <w:tcW w:w="1046" w:type="dxa"/>
            <w:vMerge/>
            <w:tcBorders>
              <w:top w:val="nil"/>
              <w:left w:val="single" w:sz="16" w:space="0" w:color="000000"/>
              <w:right w:val="nil"/>
            </w:tcBorders>
            <w:shd w:val="clear" w:color="auto" w:fill="FFFFFF"/>
          </w:tcPr>
          <w:p w14:paraId="2360CD0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3A77FA1"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5BD832C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-,0040</w:t>
            </w:r>
          </w:p>
        </w:tc>
        <w:tc>
          <w:tcPr>
            <w:tcW w:w="1076" w:type="dxa"/>
            <w:tcBorders>
              <w:top w:val="nil"/>
              <w:bottom w:val="nil"/>
            </w:tcBorders>
            <w:shd w:val="clear" w:color="auto" w:fill="FFFFFF"/>
            <w:vAlign w:val="center"/>
          </w:tcPr>
          <w:p w14:paraId="10200C3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,0143</w:t>
            </w:r>
          </w:p>
        </w:tc>
        <w:tc>
          <w:tcPr>
            <w:tcW w:w="1029" w:type="dxa"/>
            <w:tcBorders>
              <w:top w:val="nil"/>
              <w:bottom w:val="nil"/>
            </w:tcBorders>
            <w:shd w:val="clear" w:color="auto" w:fill="FFFFFF"/>
            <w:vAlign w:val="center"/>
          </w:tcPr>
          <w:p w14:paraId="3880E48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,777</w:t>
            </w:r>
          </w:p>
        </w:tc>
        <w:tc>
          <w:tcPr>
            <w:tcW w:w="1414" w:type="dxa"/>
            <w:tcBorders>
              <w:top w:val="nil"/>
              <w:bottom w:val="nil"/>
            </w:tcBorders>
            <w:shd w:val="clear" w:color="auto" w:fill="FFFFFF"/>
            <w:vAlign w:val="center"/>
          </w:tcPr>
          <w:p w14:paraId="43CD083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-,032</w:t>
            </w:r>
          </w:p>
        </w:tc>
        <w:tc>
          <w:tcPr>
            <w:tcW w:w="1414" w:type="dxa"/>
            <w:tcBorders>
              <w:top w:val="nil"/>
              <w:bottom w:val="nil"/>
              <w:right w:val="single" w:sz="16" w:space="0" w:color="000000"/>
            </w:tcBorders>
            <w:shd w:val="clear" w:color="auto" w:fill="FFFFFF"/>
            <w:vAlign w:val="center"/>
          </w:tcPr>
          <w:p w14:paraId="2BC1A7C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,024</w:t>
            </w:r>
          </w:p>
        </w:tc>
      </w:tr>
      <w:tr w:rsidR="009E03E3" w:rsidRPr="008E59D3" w14:paraId="4BC06FD3" w14:textId="77777777" w:rsidTr="008E59D3">
        <w:trPr>
          <w:cantSplit/>
        </w:trPr>
        <w:tc>
          <w:tcPr>
            <w:tcW w:w="1046" w:type="dxa"/>
            <w:vMerge/>
            <w:tcBorders>
              <w:top w:val="nil"/>
              <w:left w:val="single" w:sz="16" w:space="0" w:color="000000"/>
              <w:right w:val="nil"/>
            </w:tcBorders>
            <w:shd w:val="clear" w:color="auto" w:fill="FFFFFF"/>
          </w:tcPr>
          <w:p w14:paraId="6994D19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0D3AB14F"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1FB0D06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-,0145</w:t>
            </w:r>
          </w:p>
        </w:tc>
        <w:tc>
          <w:tcPr>
            <w:tcW w:w="1076" w:type="dxa"/>
            <w:tcBorders>
              <w:top w:val="nil"/>
            </w:tcBorders>
            <w:shd w:val="clear" w:color="auto" w:fill="FFFFFF"/>
            <w:vAlign w:val="center"/>
          </w:tcPr>
          <w:p w14:paraId="5D38F6A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,0112</w:t>
            </w:r>
          </w:p>
        </w:tc>
        <w:tc>
          <w:tcPr>
            <w:tcW w:w="1029" w:type="dxa"/>
            <w:tcBorders>
              <w:top w:val="nil"/>
            </w:tcBorders>
            <w:shd w:val="clear" w:color="auto" w:fill="FFFFFF"/>
            <w:vAlign w:val="center"/>
          </w:tcPr>
          <w:p w14:paraId="6D5B7E0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,195</w:t>
            </w:r>
          </w:p>
        </w:tc>
        <w:tc>
          <w:tcPr>
            <w:tcW w:w="1414" w:type="dxa"/>
            <w:tcBorders>
              <w:top w:val="nil"/>
            </w:tcBorders>
            <w:shd w:val="clear" w:color="auto" w:fill="FFFFFF"/>
            <w:vAlign w:val="center"/>
          </w:tcPr>
          <w:p w14:paraId="69FF653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-,036</w:t>
            </w:r>
          </w:p>
        </w:tc>
        <w:tc>
          <w:tcPr>
            <w:tcW w:w="1414" w:type="dxa"/>
            <w:tcBorders>
              <w:top w:val="nil"/>
              <w:right w:val="single" w:sz="16" w:space="0" w:color="000000"/>
            </w:tcBorders>
            <w:shd w:val="clear" w:color="auto" w:fill="FFFFFF"/>
            <w:vAlign w:val="center"/>
          </w:tcPr>
          <w:p w14:paraId="05DB5E6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r>
      <w:tr w:rsidR="009E03E3" w:rsidRPr="008E59D3" w14:paraId="0E142F82" w14:textId="77777777" w:rsidTr="008E59D3">
        <w:trPr>
          <w:cantSplit/>
        </w:trPr>
        <w:tc>
          <w:tcPr>
            <w:tcW w:w="1046" w:type="dxa"/>
            <w:vMerge w:val="restart"/>
            <w:tcBorders>
              <w:top w:val="nil"/>
              <w:left w:val="single" w:sz="16" w:space="0" w:color="000000"/>
              <w:right w:val="nil"/>
            </w:tcBorders>
            <w:shd w:val="clear" w:color="auto" w:fill="FFFFFF"/>
          </w:tcPr>
          <w:p w14:paraId="308EE186"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092" w:type="dxa"/>
            <w:tcBorders>
              <w:top w:val="nil"/>
              <w:left w:val="nil"/>
              <w:bottom w:val="nil"/>
              <w:right w:val="single" w:sz="16" w:space="0" w:color="000000"/>
            </w:tcBorders>
            <w:shd w:val="clear" w:color="auto" w:fill="FFFFFF"/>
          </w:tcPr>
          <w:p w14:paraId="746E8C6C"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500DF4A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,0101</w:t>
            </w:r>
          </w:p>
        </w:tc>
        <w:tc>
          <w:tcPr>
            <w:tcW w:w="1076" w:type="dxa"/>
            <w:tcBorders>
              <w:top w:val="nil"/>
              <w:bottom w:val="nil"/>
            </w:tcBorders>
            <w:shd w:val="clear" w:color="auto" w:fill="FFFFFF"/>
            <w:vAlign w:val="center"/>
          </w:tcPr>
          <w:p w14:paraId="426FC0C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,0144</w:t>
            </w:r>
          </w:p>
        </w:tc>
        <w:tc>
          <w:tcPr>
            <w:tcW w:w="1029" w:type="dxa"/>
            <w:tcBorders>
              <w:top w:val="nil"/>
              <w:bottom w:val="nil"/>
            </w:tcBorders>
            <w:shd w:val="clear" w:color="auto" w:fill="FFFFFF"/>
            <w:vAlign w:val="center"/>
          </w:tcPr>
          <w:p w14:paraId="544258E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,481</w:t>
            </w:r>
          </w:p>
        </w:tc>
        <w:tc>
          <w:tcPr>
            <w:tcW w:w="1414" w:type="dxa"/>
            <w:tcBorders>
              <w:top w:val="nil"/>
              <w:bottom w:val="nil"/>
            </w:tcBorders>
            <w:shd w:val="clear" w:color="auto" w:fill="FFFFFF"/>
            <w:vAlign w:val="center"/>
          </w:tcPr>
          <w:p w14:paraId="105A210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p>
        </w:tc>
        <w:tc>
          <w:tcPr>
            <w:tcW w:w="1414" w:type="dxa"/>
            <w:tcBorders>
              <w:top w:val="nil"/>
              <w:bottom w:val="nil"/>
              <w:right w:val="single" w:sz="16" w:space="0" w:color="000000"/>
            </w:tcBorders>
            <w:shd w:val="clear" w:color="auto" w:fill="FFFFFF"/>
            <w:vAlign w:val="center"/>
          </w:tcPr>
          <w:p w14:paraId="6CB2452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,038</w:t>
            </w:r>
          </w:p>
        </w:tc>
      </w:tr>
      <w:tr w:rsidR="009E03E3" w:rsidRPr="008E59D3" w14:paraId="173D50AE" w14:textId="77777777" w:rsidTr="008E59D3">
        <w:trPr>
          <w:cantSplit/>
        </w:trPr>
        <w:tc>
          <w:tcPr>
            <w:tcW w:w="1046" w:type="dxa"/>
            <w:vMerge/>
            <w:tcBorders>
              <w:top w:val="nil"/>
              <w:left w:val="single" w:sz="16" w:space="0" w:color="000000"/>
              <w:right w:val="nil"/>
            </w:tcBorders>
            <w:shd w:val="clear" w:color="auto" w:fill="FFFFFF"/>
          </w:tcPr>
          <w:p w14:paraId="376F3A36"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118F4FF"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757BAA2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,0106</w:t>
            </w:r>
          </w:p>
        </w:tc>
        <w:tc>
          <w:tcPr>
            <w:tcW w:w="1076" w:type="dxa"/>
            <w:tcBorders>
              <w:top w:val="nil"/>
              <w:bottom w:val="nil"/>
            </w:tcBorders>
            <w:shd w:val="clear" w:color="auto" w:fill="FFFFFF"/>
            <w:vAlign w:val="center"/>
          </w:tcPr>
          <w:p w14:paraId="243ACFD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,0195</w:t>
            </w:r>
          </w:p>
        </w:tc>
        <w:tc>
          <w:tcPr>
            <w:tcW w:w="1029" w:type="dxa"/>
            <w:tcBorders>
              <w:top w:val="nil"/>
              <w:bottom w:val="nil"/>
            </w:tcBorders>
            <w:shd w:val="clear" w:color="auto" w:fill="FFFFFF"/>
            <w:vAlign w:val="center"/>
          </w:tcPr>
          <w:p w14:paraId="7F443DB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,589</w:t>
            </w:r>
          </w:p>
        </w:tc>
        <w:tc>
          <w:tcPr>
            <w:tcW w:w="1414" w:type="dxa"/>
            <w:tcBorders>
              <w:top w:val="nil"/>
              <w:bottom w:val="nil"/>
            </w:tcBorders>
            <w:shd w:val="clear" w:color="auto" w:fill="FFFFFF"/>
            <w:vAlign w:val="center"/>
          </w:tcPr>
          <w:p w14:paraId="7801D60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-,028</w:t>
            </w:r>
          </w:p>
        </w:tc>
        <w:tc>
          <w:tcPr>
            <w:tcW w:w="1414" w:type="dxa"/>
            <w:tcBorders>
              <w:top w:val="nil"/>
              <w:bottom w:val="nil"/>
              <w:right w:val="single" w:sz="16" w:space="0" w:color="000000"/>
            </w:tcBorders>
            <w:shd w:val="clear" w:color="auto" w:fill="FFFFFF"/>
            <w:vAlign w:val="center"/>
          </w:tcPr>
          <w:p w14:paraId="797BA38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,049</w:t>
            </w:r>
          </w:p>
        </w:tc>
      </w:tr>
      <w:tr w:rsidR="009E03E3" w:rsidRPr="008E59D3" w14:paraId="6C1D04C7" w14:textId="77777777" w:rsidTr="008E59D3">
        <w:trPr>
          <w:cantSplit/>
        </w:trPr>
        <w:tc>
          <w:tcPr>
            <w:tcW w:w="1046" w:type="dxa"/>
            <w:vMerge/>
            <w:tcBorders>
              <w:top w:val="nil"/>
              <w:left w:val="single" w:sz="16" w:space="0" w:color="000000"/>
              <w:right w:val="nil"/>
            </w:tcBorders>
            <w:shd w:val="clear" w:color="auto" w:fill="FFFFFF"/>
          </w:tcPr>
          <w:p w14:paraId="264CE693"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F365431"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1248BDE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,0195</w:t>
            </w:r>
          </w:p>
        </w:tc>
        <w:tc>
          <w:tcPr>
            <w:tcW w:w="1076" w:type="dxa"/>
            <w:tcBorders>
              <w:top w:val="nil"/>
              <w:bottom w:val="nil"/>
            </w:tcBorders>
            <w:shd w:val="clear" w:color="auto" w:fill="FFFFFF"/>
            <w:vAlign w:val="center"/>
          </w:tcPr>
          <w:p w14:paraId="0BA9581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,0174</w:t>
            </w:r>
          </w:p>
        </w:tc>
        <w:tc>
          <w:tcPr>
            <w:tcW w:w="1029" w:type="dxa"/>
            <w:tcBorders>
              <w:top w:val="nil"/>
              <w:bottom w:val="nil"/>
            </w:tcBorders>
            <w:shd w:val="clear" w:color="auto" w:fill="FFFFFF"/>
            <w:vAlign w:val="center"/>
          </w:tcPr>
          <w:p w14:paraId="7AA59E7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,263</w:t>
            </w:r>
          </w:p>
        </w:tc>
        <w:tc>
          <w:tcPr>
            <w:tcW w:w="1414" w:type="dxa"/>
            <w:tcBorders>
              <w:top w:val="nil"/>
              <w:bottom w:val="nil"/>
            </w:tcBorders>
            <w:shd w:val="clear" w:color="auto" w:fill="FFFFFF"/>
            <w:vAlign w:val="center"/>
          </w:tcPr>
          <w:p w14:paraId="3EBDC80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w:t>
            </w:r>
          </w:p>
        </w:tc>
        <w:tc>
          <w:tcPr>
            <w:tcW w:w="1414" w:type="dxa"/>
            <w:tcBorders>
              <w:top w:val="nil"/>
              <w:bottom w:val="nil"/>
              <w:right w:val="single" w:sz="16" w:space="0" w:color="000000"/>
            </w:tcBorders>
            <w:shd w:val="clear" w:color="auto" w:fill="FFFFFF"/>
            <w:vAlign w:val="center"/>
          </w:tcPr>
          <w:p w14:paraId="11AE707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,054</w:t>
            </w:r>
          </w:p>
        </w:tc>
      </w:tr>
      <w:tr w:rsidR="009E03E3" w:rsidRPr="008E59D3" w14:paraId="3DCEB464" w14:textId="77777777" w:rsidTr="008E59D3">
        <w:trPr>
          <w:cantSplit/>
        </w:trPr>
        <w:tc>
          <w:tcPr>
            <w:tcW w:w="1046" w:type="dxa"/>
            <w:vMerge/>
            <w:tcBorders>
              <w:top w:val="nil"/>
              <w:left w:val="single" w:sz="16" w:space="0" w:color="000000"/>
              <w:right w:val="nil"/>
            </w:tcBorders>
            <w:shd w:val="clear" w:color="auto" w:fill="FFFFFF"/>
          </w:tcPr>
          <w:p w14:paraId="304D430D"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F120DD6"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12A9827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,0237</w:t>
            </w:r>
          </w:p>
        </w:tc>
        <w:tc>
          <w:tcPr>
            <w:tcW w:w="1076" w:type="dxa"/>
            <w:tcBorders>
              <w:top w:val="nil"/>
              <w:bottom w:val="nil"/>
            </w:tcBorders>
            <w:shd w:val="clear" w:color="auto" w:fill="FFFFFF"/>
            <w:vAlign w:val="center"/>
          </w:tcPr>
          <w:p w14:paraId="0BFFD4A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,0164</w:t>
            </w:r>
          </w:p>
        </w:tc>
        <w:tc>
          <w:tcPr>
            <w:tcW w:w="1029" w:type="dxa"/>
            <w:tcBorders>
              <w:top w:val="nil"/>
              <w:bottom w:val="nil"/>
            </w:tcBorders>
            <w:shd w:val="clear" w:color="auto" w:fill="FFFFFF"/>
            <w:vAlign w:val="center"/>
          </w:tcPr>
          <w:p w14:paraId="708D929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,149</w:t>
            </w:r>
          </w:p>
        </w:tc>
        <w:tc>
          <w:tcPr>
            <w:tcW w:w="1414" w:type="dxa"/>
            <w:tcBorders>
              <w:top w:val="nil"/>
              <w:bottom w:val="nil"/>
            </w:tcBorders>
            <w:shd w:val="clear" w:color="auto" w:fill="FFFFFF"/>
            <w:vAlign w:val="center"/>
          </w:tcPr>
          <w:p w14:paraId="023E4E4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414" w:type="dxa"/>
            <w:tcBorders>
              <w:top w:val="nil"/>
              <w:bottom w:val="nil"/>
              <w:right w:val="single" w:sz="16" w:space="0" w:color="000000"/>
            </w:tcBorders>
            <w:shd w:val="clear" w:color="auto" w:fill="FFFFFF"/>
            <w:vAlign w:val="center"/>
          </w:tcPr>
          <w:p w14:paraId="2B4CD68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,056</w:t>
            </w:r>
          </w:p>
        </w:tc>
      </w:tr>
      <w:tr w:rsidR="009E03E3" w:rsidRPr="008E59D3" w14:paraId="7FFB335B" w14:textId="77777777" w:rsidTr="008E59D3">
        <w:trPr>
          <w:cantSplit/>
        </w:trPr>
        <w:tc>
          <w:tcPr>
            <w:tcW w:w="1046" w:type="dxa"/>
            <w:vMerge/>
            <w:tcBorders>
              <w:top w:val="nil"/>
              <w:left w:val="single" w:sz="16" w:space="0" w:color="000000"/>
              <w:right w:val="nil"/>
            </w:tcBorders>
            <w:shd w:val="clear" w:color="auto" w:fill="FFFFFF"/>
          </w:tcPr>
          <w:p w14:paraId="3DEB256A"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107191F"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085B63E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,0126</w:t>
            </w:r>
          </w:p>
        </w:tc>
        <w:tc>
          <w:tcPr>
            <w:tcW w:w="1076" w:type="dxa"/>
            <w:tcBorders>
              <w:top w:val="nil"/>
              <w:bottom w:val="nil"/>
            </w:tcBorders>
            <w:shd w:val="clear" w:color="auto" w:fill="FFFFFF"/>
            <w:vAlign w:val="center"/>
          </w:tcPr>
          <w:p w14:paraId="35152E4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,0157</w:t>
            </w:r>
          </w:p>
        </w:tc>
        <w:tc>
          <w:tcPr>
            <w:tcW w:w="1029" w:type="dxa"/>
            <w:tcBorders>
              <w:top w:val="nil"/>
              <w:bottom w:val="nil"/>
            </w:tcBorders>
            <w:shd w:val="clear" w:color="auto" w:fill="FFFFFF"/>
            <w:vAlign w:val="center"/>
          </w:tcPr>
          <w:p w14:paraId="089D1B1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,424</w:t>
            </w:r>
          </w:p>
        </w:tc>
        <w:tc>
          <w:tcPr>
            <w:tcW w:w="1414" w:type="dxa"/>
            <w:tcBorders>
              <w:top w:val="nil"/>
              <w:bottom w:val="nil"/>
            </w:tcBorders>
            <w:shd w:val="clear" w:color="auto" w:fill="FFFFFF"/>
            <w:vAlign w:val="center"/>
          </w:tcPr>
          <w:p w14:paraId="0E2539E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p>
        </w:tc>
        <w:tc>
          <w:tcPr>
            <w:tcW w:w="1414" w:type="dxa"/>
            <w:tcBorders>
              <w:top w:val="nil"/>
              <w:bottom w:val="nil"/>
              <w:right w:val="single" w:sz="16" w:space="0" w:color="000000"/>
            </w:tcBorders>
            <w:shd w:val="clear" w:color="auto" w:fill="FFFFFF"/>
            <w:vAlign w:val="center"/>
          </w:tcPr>
          <w:p w14:paraId="452A39E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,043</w:t>
            </w:r>
          </w:p>
        </w:tc>
      </w:tr>
      <w:tr w:rsidR="009E03E3" w:rsidRPr="008E59D3" w14:paraId="60869ED2" w14:textId="77777777" w:rsidTr="008E59D3">
        <w:trPr>
          <w:cantSplit/>
        </w:trPr>
        <w:tc>
          <w:tcPr>
            <w:tcW w:w="1046" w:type="dxa"/>
            <w:vMerge/>
            <w:tcBorders>
              <w:top w:val="nil"/>
              <w:left w:val="single" w:sz="16" w:space="0" w:color="000000"/>
              <w:right w:val="nil"/>
            </w:tcBorders>
            <w:shd w:val="clear" w:color="auto" w:fill="FFFFFF"/>
          </w:tcPr>
          <w:p w14:paraId="62EE1EA5"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41A920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6A62156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,0162</w:t>
            </w:r>
          </w:p>
        </w:tc>
        <w:tc>
          <w:tcPr>
            <w:tcW w:w="1076" w:type="dxa"/>
            <w:tcBorders>
              <w:top w:val="nil"/>
              <w:bottom w:val="nil"/>
            </w:tcBorders>
            <w:shd w:val="clear" w:color="auto" w:fill="FFFFFF"/>
            <w:vAlign w:val="center"/>
          </w:tcPr>
          <w:p w14:paraId="4FDCD77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,0152</w:t>
            </w:r>
          </w:p>
        </w:tc>
        <w:tc>
          <w:tcPr>
            <w:tcW w:w="1029" w:type="dxa"/>
            <w:tcBorders>
              <w:top w:val="nil"/>
              <w:bottom w:val="nil"/>
            </w:tcBorders>
            <w:shd w:val="clear" w:color="auto" w:fill="FFFFFF"/>
            <w:vAlign w:val="center"/>
          </w:tcPr>
          <w:p w14:paraId="66435E3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,287</w:t>
            </w:r>
          </w:p>
        </w:tc>
        <w:tc>
          <w:tcPr>
            <w:tcW w:w="1414" w:type="dxa"/>
            <w:tcBorders>
              <w:top w:val="nil"/>
              <w:bottom w:val="nil"/>
            </w:tcBorders>
            <w:shd w:val="clear" w:color="auto" w:fill="FFFFFF"/>
            <w:vAlign w:val="center"/>
          </w:tcPr>
          <w:p w14:paraId="4181C68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w:t>
            </w:r>
          </w:p>
        </w:tc>
        <w:tc>
          <w:tcPr>
            <w:tcW w:w="1414" w:type="dxa"/>
            <w:tcBorders>
              <w:top w:val="nil"/>
              <w:bottom w:val="nil"/>
              <w:right w:val="single" w:sz="16" w:space="0" w:color="000000"/>
            </w:tcBorders>
            <w:shd w:val="clear" w:color="auto" w:fill="FFFFFF"/>
            <w:vAlign w:val="center"/>
          </w:tcPr>
          <w:p w14:paraId="2AAA40D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,046</w:t>
            </w:r>
          </w:p>
        </w:tc>
      </w:tr>
      <w:tr w:rsidR="009E03E3" w:rsidRPr="008E59D3" w14:paraId="671B7A57" w14:textId="77777777" w:rsidTr="008E59D3">
        <w:trPr>
          <w:cantSplit/>
        </w:trPr>
        <w:tc>
          <w:tcPr>
            <w:tcW w:w="1046" w:type="dxa"/>
            <w:vMerge/>
            <w:tcBorders>
              <w:top w:val="nil"/>
              <w:left w:val="single" w:sz="16" w:space="0" w:color="000000"/>
              <w:right w:val="nil"/>
            </w:tcBorders>
            <w:shd w:val="clear" w:color="auto" w:fill="FFFFFF"/>
          </w:tcPr>
          <w:p w14:paraId="2787BDE6"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D8CF1B4"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4321555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-,0128</w:t>
            </w:r>
          </w:p>
        </w:tc>
        <w:tc>
          <w:tcPr>
            <w:tcW w:w="1076" w:type="dxa"/>
            <w:tcBorders>
              <w:top w:val="nil"/>
              <w:bottom w:val="nil"/>
            </w:tcBorders>
            <w:shd w:val="clear" w:color="auto" w:fill="FFFFFF"/>
            <w:vAlign w:val="center"/>
          </w:tcPr>
          <w:p w14:paraId="70D4BBD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,0147</w:t>
            </w:r>
          </w:p>
        </w:tc>
        <w:tc>
          <w:tcPr>
            <w:tcW w:w="1029" w:type="dxa"/>
            <w:tcBorders>
              <w:top w:val="nil"/>
              <w:bottom w:val="nil"/>
            </w:tcBorders>
            <w:shd w:val="clear" w:color="auto" w:fill="FFFFFF"/>
            <w:vAlign w:val="center"/>
          </w:tcPr>
          <w:p w14:paraId="2C37B00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,382</w:t>
            </w:r>
          </w:p>
        </w:tc>
        <w:tc>
          <w:tcPr>
            <w:tcW w:w="1414" w:type="dxa"/>
            <w:tcBorders>
              <w:top w:val="nil"/>
              <w:bottom w:val="nil"/>
            </w:tcBorders>
            <w:shd w:val="clear" w:color="auto" w:fill="FFFFFF"/>
            <w:vAlign w:val="center"/>
          </w:tcPr>
          <w:p w14:paraId="6F69C75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-,042</w:t>
            </w:r>
          </w:p>
        </w:tc>
        <w:tc>
          <w:tcPr>
            <w:tcW w:w="1414" w:type="dxa"/>
            <w:tcBorders>
              <w:top w:val="nil"/>
              <w:bottom w:val="nil"/>
              <w:right w:val="single" w:sz="16" w:space="0" w:color="000000"/>
            </w:tcBorders>
            <w:shd w:val="clear" w:color="auto" w:fill="FFFFFF"/>
            <w:vAlign w:val="center"/>
          </w:tcPr>
          <w:p w14:paraId="48119F5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w:t>
            </w:r>
          </w:p>
        </w:tc>
      </w:tr>
      <w:tr w:rsidR="009E03E3" w:rsidRPr="008E59D3" w14:paraId="6CA70228" w14:textId="77777777" w:rsidTr="008E59D3">
        <w:trPr>
          <w:cantSplit/>
        </w:trPr>
        <w:tc>
          <w:tcPr>
            <w:tcW w:w="1046" w:type="dxa"/>
            <w:vMerge/>
            <w:tcBorders>
              <w:top w:val="nil"/>
              <w:left w:val="single" w:sz="16" w:space="0" w:color="000000"/>
              <w:right w:val="nil"/>
            </w:tcBorders>
            <w:shd w:val="clear" w:color="auto" w:fill="FFFFFF"/>
          </w:tcPr>
          <w:p w14:paraId="2431475B"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18B292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22B7894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,0040</w:t>
            </w:r>
          </w:p>
        </w:tc>
        <w:tc>
          <w:tcPr>
            <w:tcW w:w="1076" w:type="dxa"/>
            <w:tcBorders>
              <w:top w:val="nil"/>
              <w:bottom w:val="nil"/>
            </w:tcBorders>
            <w:shd w:val="clear" w:color="auto" w:fill="FFFFFF"/>
            <w:vAlign w:val="center"/>
          </w:tcPr>
          <w:p w14:paraId="7619374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,0143</w:t>
            </w:r>
          </w:p>
        </w:tc>
        <w:tc>
          <w:tcPr>
            <w:tcW w:w="1029" w:type="dxa"/>
            <w:tcBorders>
              <w:top w:val="nil"/>
              <w:bottom w:val="nil"/>
            </w:tcBorders>
            <w:shd w:val="clear" w:color="auto" w:fill="FFFFFF"/>
            <w:vAlign w:val="center"/>
          </w:tcPr>
          <w:p w14:paraId="406ADFF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,777</w:t>
            </w:r>
          </w:p>
        </w:tc>
        <w:tc>
          <w:tcPr>
            <w:tcW w:w="1414" w:type="dxa"/>
            <w:tcBorders>
              <w:top w:val="nil"/>
              <w:bottom w:val="nil"/>
            </w:tcBorders>
            <w:shd w:val="clear" w:color="auto" w:fill="FFFFFF"/>
            <w:vAlign w:val="center"/>
          </w:tcPr>
          <w:p w14:paraId="5F1E9E5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-,024</w:t>
            </w:r>
          </w:p>
        </w:tc>
        <w:tc>
          <w:tcPr>
            <w:tcW w:w="1414" w:type="dxa"/>
            <w:tcBorders>
              <w:top w:val="nil"/>
              <w:bottom w:val="nil"/>
              <w:right w:val="single" w:sz="16" w:space="0" w:color="000000"/>
            </w:tcBorders>
            <w:shd w:val="clear" w:color="auto" w:fill="FFFFFF"/>
            <w:vAlign w:val="center"/>
          </w:tcPr>
          <w:p w14:paraId="34AD050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,032</w:t>
            </w:r>
          </w:p>
        </w:tc>
      </w:tr>
      <w:tr w:rsidR="009E03E3" w:rsidRPr="008E59D3" w14:paraId="06D8A372" w14:textId="77777777" w:rsidTr="008E59D3">
        <w:trPr>
          <w:cantSplit/>
        </w:trPr>
        <w:tc>
          <w:tcPr>
            <w:tcW w:w="1046" w:type="dxa"/>
            <w:vMerge/>
            <w:tcBorders>
              <w:top w:val="nil"/>
              <w:left w:val="single" w:sz="16" w:space="0" w:color="000000"/>
              <w:right w:val="nil"/>
            </w:tcBorders>
            <w:shd w:val="clear" w:color="auto" w:fill="FFFFFF"/>
          </w:tcPr>
          <w:p w14:paraId="5E0ABB34"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5CBCB1B3"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4DFA0AE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-,0104</w:t>
            </w:r>
          </w:p>
        </w:tc>
        <w:tc>
          <w:tcPr>
            <w:tcW w:w="1076" w:type="dxa"/>
            <w:tcBorders>
              <w:top w:val="nil"/>
            </w:tcBorders>
            <w:shd w:val="clear" w:color="auto" w:fill="FFFFFF"/>
            <w:vAlign w:val="center"/>
          </w:tcPr>
          <w:p w14:paraId="0C800DF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,0118</w:t>
            </w:r>
          </w:p>
        </w:tc>
        <w:tc>
          <w:tcPr>
            <w:tcW w:w="1029" w:type="dxa"/>
            <w:tcBorders>
              <w:top w:val="nil"/>
            </w:tcBorders>
            <w:shd w:val="clear" w:color="auto" w:fill="FFFFFF"/>
            <w:vAlign w:val="center"/>
          </w:tcPr>
          <w:p w14:paraId="27A4875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,375</w:t>
            </w:r>
          </w:p>
        </w:tc>
        <w:tc>
          <w:tcPr>
            <w:tcW w:w="1414" w:type="dxa"/>
            <w:tcBorders>
              <w:top w:val="nil"/>
            </w:tcBorders>
            <w:shd w:val="clear" w:color="auto" w:fill="FFFFFF"/>
            <w:vAlign w:val="center"/>
          </w:tcPr>
          <w:p w14:paraId="6DE9AAF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-,034</w:t>
            </w:r>
          </w:p>
        </w:tc>
        <w:tc>
          <w:tcPr>
            <w:tcW w:w="1414" w:type="dxa"/>
            <w:tcBorders>
              <w:top w:val="nil"/>
              <w:right w:val="single" w:sz="16" w:space="0" w:color="000000"/>
            </w:tcBorders>
            <w:shd w:val="clear" w:color="auto" w:fill="FFFFFF"/>
            <w:vAlign w:val="center"/>
          </w:tcPr>
          <w:p w14:paraId="385097B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p>
        </w:tc>
      </w:tr>
      <w:tr w:rsidR="009E03E3" w:rsidRPr="008E59D3" w14:paraId="1293E826" w14:textId="77777777" w:rsidTr="008E59D3">
        <w:trPr>
          <w:cantSplit/>
        </w:trPr>
        <w:tc>
          <w:tcPr>
            <w:tcW w:w="1046" w:type="dxa"/>
            <w:vMerge w:val="restart"/>
            <w:tcBorders>
              <w:top w:val="nil"/>
              <w:left w:val="single" w:sz="16" w:space="0" w:color="000000"/>
              <w:bottom w:val="single" w:sz="16" w:space="0" w:color="000000"/>
              <w:right w:val="nil"/>
            </w:tcBorders>
            <w:shd w:val="clear" w:color="auto" w:fill="FFFFFF"/>
          </w:tcPr>
          <w:p w14:paraId="4002F1BB"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092" w:type="dxa"/>
            <w:tcBorders>
              <w:top w:val="nil"/>
              <w:left w:val="nil"/>
              <w:bottom w:val="nil"/>
              <w:right w:val="single" w:sz="16" w:space="0" w:color="000000"/>
            </w:tcBorders>
            <w:shd w:val="clear" w:color="auto" w:fill="FFFFFF"/>
          </w:tcPr>
          <w:p w14:paraId="4C0057F1"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443A9D8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,0206</w:t>
            </w:r>
          </w:p>
        </w:tc>
        <w:tc>
          <w:tcPr>
            <w:tcW w:w="1076" w:type="dxa"/>
            <w:tcBorders>
              <w:top w:val="nil"/>
              <w:bottom w:val="nil"/>
            </w:tcBorders>
            <w:shd w:val="clear" w:color="auto" w:fill="FFFFFF"/>
            <w:vAlign w:val="center"/>
          </w:tcPr>
          <w:p w14:paraId="17BB24B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,0113</w:t>
            </w:r>
          </w:p>
        </w:tc>
        <w:tc>
          <w:tcPr>
            <w:tcW w:w="1029" w:type="dxa"/>
            <w:tcBorders>
              <w:top w:val="nil"/>
              <w:bottom w:val="nil"/>
            </w:tcBorders>
            <w:shd w:val="clear" w:color="auto" w:fill="FFFFFF"/>
            <w:vAlign w:val="center"/>
          </w:tcPr>
          <w:p w14:paraId="017CF31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,069</w:t>
            </w:r>
          </w:p>
        </w:tc>
        <w:tc>
          <w:tcPr>
            <w:tcW w:w="1414" w:type="dxa"/>
            <w:tcBorders>
              <w:top w:val="nil"/>
              <w:bottom w:val="nil"/>
            </w:tcBorders>
            <w:shd w:val="clear" w:color="auto" w:fill="FFFFFF"/>
            <w:vAlign w:val="center"/>
          </w:tcPr>
          <w:p w14:paraId="3186E5C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414" w:type="dxa"/>
            <w:tcBorders>
              <w:top w:val="nil"/>
              <w:bottom w:val="nil"/>
              <w:right w:val="single" w:sz="16" w:space="0" w:color="000000"/>
            </w:tcBorders>
            <w:shd w:val="clear" w:color="auto" w:fill="FFFFFF"/>
            <w:vAlign w:val="center"/>
          </w:tcPr>
          <w:p w14:paraId="1F296853"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,043</w:t>
            </w:r>
          </w:p>
        </w:tc>
      </w:tr>
      <w:tr w:rsidR="009E03E3" w:rsidRPr="008E59D3" w14:paraId="69BB0450"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4F3DA72C"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B432F5F"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2B7D0C5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,0210</w:t>
            </w:r>
          </w:p>
        </w:tc>
        <w:tc>
          <w:tcPr>
            <w:tcW w:w="1076" w:type="dxa"/>
            <w:tcBorders>
              <w:top w:val="nil"/>
              <w:bottom w:val="nil"/>
            </w:tcBorders>
            <w:shd w:val="clear" w:color="auto" w:fill="FFFFFF"/>
            <w:vAlign w:val="center"/>
          </w:tcPr>
          <w:p w14:paraId="774FC56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,0174</w:t>
            </w:r>
          </w:p>
        </w:tc>
        <w:tc>
          <w:tcPr>
            <w:tcW w:w="1029" w:type="dxa"/>
            <w:tcBorders>
              <w:top w:val="nil"/>
              <w:bottom w:val="nil"/>
            </w:tcBorders>
            <w:shd w:val="clear" w:color="auto" w:fill="FFFFFF"/>
            <w:vAlign w:val="center"/>
          </w:tcPr>
          <w:p w14:paraId="4A5562D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,228</w:t>
            </w:r>
          </w:p>
        </w:tc>
        <w:tc>
          <w:tcPr>
            <w:tcW w:w="1414" w:type="dxa"/>
            <w:tcBorders>
              <w:top w:val="nil"/>
              <w:bottom w:val="nil"/>
            </w:tcBorders>
            <w:shd w:val="clear" w:color="auto" w:fill="FFFFFF"/>
            <w:vAlign w:val="center"/>
          </w:tcPr>
          <w:p w14:paraId="48BE1C0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p>
        </w:tc>
        <w:tc>
          <w:tcPr>
            <w:tcW w:w="1414" w:type="dxa"/>
            <w:tcBorders>
              <w:top w:val="nil"/>
              <w:bottom w:val="nil"/>
              <w:right w:val="single" w:sz="16" w:space="0" w:color="000000"/>
            </w:tcBorders>
            <w:shd w:val="clear" w:color="auto" w:fill="FFFFFF"/>
            <w:vAlign w:val="center"/>
          </w:tcPr>
          <w:p w14:paraId="4046731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,055</w:t>
            </w:r>
          </w:p>
        </w:tc>
      </w:tr>
      <w:tr w:rsidR="009E03E3" w:rsidRPr="008E59D3" w14:paraId="6665A848"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46A156AA"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6869D49"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654CD81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,0299</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500A59F2"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,0150</w:t>
            </w:r>
          </w:p>
        </w:tc>
        <w:tc>
          <w:tcPr>
            <w:tcW w:w="1029" w:type="dxa"/>
            <w:tcBorders>
              <w:top w:val="nil"/>
              <w:bottom w:val="nil"/>
            </w:tcBorders>
            <w:shd w:val="clear" w:color="auto" w:fill="FFFFFF"/>
            <w:vAlign w:val="center"/>
          </w:tcPr>
          <w:p w14:paraId="38297B3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,046</w:t>
            </w:r>
          </w:p>
        </w:tc>
        <w:tc>
          <w:tcPr>
            <w:tcW w:w="1414" w:type="dxa"/>
            <w:tcBorders>
              <w:top w:val="nil"/>
              <w:bottom w:val="nil"/>
            </w:tcBorders>
            <w:shd w:val="clear" w:color="auto" w:fill="FFFFFF"/>
            <w:vAlign w:val="center"/>
          </w:tcPr>
          <w:p w14:paraId="2A68F92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414" w:type="dxa"/>
            <w:tcBorders>
              <w:top w:val="nil"/>
              <w:bottom w:val="nil"/>
              <w:right w:val="single" w:sz="16" w:space="0" w:color="000000"/>
            </w:tcBorders>
            <w:shd w:val="clear" w:color="auto" w:fill="FFFFFF"/>
            <w:vAlign w:val="center"/>
          </w:tcPr>
          <w:p w14:paraId="182BE10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,059</w:t>
            </w:r>
          </w:p>
        </w:tc>
      </w:tr>
      <w:tr w:rsidR="009E03E3" w:rsidRPr="008E59D3" w14:paraId="47CFD119"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64F5B5F5"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152761C"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1389DE8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,0341</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2B2B7A8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,0138</w:t>
            </w:r>
          </w:p>
        </w:tc>
        <w:tc>
          <w:tcPr>
            <w:tcW w:w="1029" w:type="dxa"/>
            <w:tcBorders>
              <w:top w:val="nil"/>
              <w:bottom w:val="nil"/>
            </w:tcBorders>
            <w:shd w:val="clear" w:color="auto" w:fill="FFFFFF"/>
            <w:vAlign w:val="center"/>
          </w:tcPr>
          <w:p w14:paraId="3E0936F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w:t>
            </w:r>
          </w:p>
        </w:tc>
        <w:tc>
          <w:tcPr>
            <w:tcW w:w="1414" w:type="dxa"/>
            <w:tcBorders>
              <w:top w:val="nil"/>
              <w:bottom w:val="nil"/>
            </w:tcBorders>
            <w:shd w:val="clear" w:color="auto" w:fill="FFFFFF"/>
            <w:vAlign w:val="center"/>
          </w:tcPr>
          <w:p w14:paraId="028E36A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414" w:type="dxa"/>
            <w:tcBorders>
              <w:top w:val="nil"/>
              <w:bottom w:val="nil"/>
              <w:right w:val="single" w:sz="16" w:space="0" w:color="000000"/>
            </w:tcBorders>
            <w:shd w:val="clear" w:color="auto" w:fill="FFFFFF"/>
            <w:vAlign w:val="center"/>
          </w:tcPr>
          <w:p w14:paraId="24D2D8B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,061</w:t>
            </w:r>
          </w:p>
        </w:tc>
      </w:tr>
      <w:tr w:rsidR="009E03E3" w:rsidRPr="008E59D3" w14:paraId="08541177"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0A9591EA"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70B6BB7"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7C301DA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,0230</w:t>
            </w:r>
          </w:p>
        </w:tc>
        <w:tc>
          <w:tcPr>
            <w:tcW w:w="1076" w:type="dxa"/>
            <w:tcBorders>
              <w:top w:val="nil"/>
              <w:bottom w:val="nil"/>
            </w:tcBorders>
            <w:shd w:val="clear" w:color="auto" w:fill="FFFFFF"/>
            <w:vAlign w:val="center"/>
          </w:tcPr>
          <w:p w14:paraId="5CEF59A7"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,0130</w:t>
            </w:r>
          </w:p>
        </w:tc>
        <w:tc>
          <w:tcPr>
            <w:tcW w:w="1029" w:type="dxa"/>
            <w:tcBorders>
              <w:top w:val="nil"/>
              <w:bottom w:val="nil"/>
            </w:tcBorders>
            <w:shd w:val="clear" w:color="auto" w:fill="FFFFFF"/>
            <w:vAlign w:val="center"/>
          </w:tcPr>
          <w:p w14:paraId="654F336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,076</w:t>
            </w:r>
          </w:p>
        </w:tc>
        <w:tc>
          <w:tcPr>
            <w:tcW w:w="1414" w:type="dxa"/>
            <w:tcBorders>
              <w:top w:val="nil"/>
              <w:bottom w:val="nil"/>
            </w:tcBorders>
            <w:shd w:val="clear" w:color="auto" w:fill="FFFFFF"/>
            <w:vAlign w:val="center"/>
          </w:tcPr>
          <w:p w14:paraId="2A741185"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414" w:type="dxa"/>
            <w:tcBorders>
              <w:top w:val="nil"/>
              <w:bottom w:val="nil"/>
              <w:right w:val="single" w:sz="16" w:space="0" w:color="000000"/>
            </w:tcBorders>
            <w:shd w:val="clear" w:color="auto" w:fill="FFFFFF"/>
            <w:vAlign w:val="center"/>
          </w:tcPr>
          <w:p w14:paraId="41D0F50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,048</w:t>
            </w:r>
          </w:p>
        </w:tc>
      </w:tr>
      <w:tr w:rsidR="009E03E3" w:rsidRPr="008E59D3" w14:paraId="57FC9A25"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1C2EBD80"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828A4FA"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5A4DDD9D"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,0266</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783BC53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,0123</w:t>
            </w:r>
          </w:p>
        </w:tc>
        <w:tc>
          <w:tcPr>
            <w:tcW w:w="1029" w:type="dxa"/>
            <w:tcBorders>
              <w:top w:val="nil"/>
              <w:bottom w:val="nil"/>
            </w:tcBorders>
            <w:shd w:val="clear" w:color="auto" w:fill="FFFFFF"/>
            <w:vAlign w:val="center"/>
          </w:tcPr>
          <w:p w14:paraId="2809F8D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,031</w:t>
            </w:r>
          </w:p>
        </w:tc>
        <w:tc>
          <w:tcPr>
            <w:tcW w:w="1414" w:type="dxa"/>
            <w:tcBorders>
              <w:top w:val="nil"/>
              <w:bottom w:val="nil"/>
            </w:tcBorders>
            <w:shd w:val="clear" w:color="auto" w:fill="FFFFFF"/>
            <w:vAlign w:val="center"/>
          </w:tcPr>
          <w:p w14:paraId="219C47EB"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414" w:type="dxa"/>
            <w:tcBorders>
              <w:top w:val="nil"/>
              <w:bottom w:val="nil"/>
              <w:right w:val="single" w:sz="16" w:space="0" w:color="000000"/>
            </w:tcBorders>
            <w:shd w:val="clear" w:color="auto" w:fill="FFFFFF"/>
            <w:vAlign w:val="center"/>
          </w:tcPr>
          <w:p w14:paraId="037FC6DC"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,051</w:t>
            </w:r>
          </w:p>
        </w:tc>
      </w:tr>
      <w:tr w:rsidR="009E03E3" w:rsidRPr="008E59D3" w14:paraId="076C478E"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10B26E70"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8436ED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3E010C9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-,0024</w:t>
            </w:r>
          </w:p>
        </w:tc>
        <w:tc>
          <w:tcPr>
            <w:tcW w:w="1076" w:type="dxa"/>
            <w:tcBorders>
              <w:top w:val="nil"/>
              <w:bottom w:val="nil"/>
            </w:tcBorders>
            <w:shd w:val="clear" w:color="auto" w:fill="FFFFFF"/>
            <w:vAlign w:val="center"/>
          </w:tcPr>
          <w:p w14:paraId="494DFEA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,0117</w:t>
            </w:r>
          </w:p>
        </w:tc>
        <w:tc>
          <w:tcPr>
            <w:tcW w:w="1029" w:type="dxa"/>
            <w:tcBorders>
              <w:top w:val="nil"/>
              <w:bottom w:val="nil"/>
            </w:tcBorders>
            <w:shd w:val="clear" w:color="auto" w:fill="FFFFFF"/>
            <w:vAlign w:val="center"/>
          </w:tcPr>
          <w:p w14:paraId="502F7D8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,839</w:t>
            </w:r>
          </w:p>
        </w:tc>
        <w:tc>
          <w:tcPr>
            <w:tcW w:w="1414" w:type="dxa"/>
            <w:tcBorders>
              <w:top w:val="nil"/>
              <w:bottom w:val="nil"/>
            </w:tcBorders>
            <w:shd w:val="clear" w:color="auto" w:fill="FFFFFF"/>
            <w:vAlign w:val="center"/>
          </w:tcPr>
          <w:p w14:paraId="48EE64C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-,025</w:t>
            </w:r>
          </w:p>
        </w:tc>
        <w:tc>
          <w:tcPr>
            <w:tcW w:w="1414" w:type="dxa"/>
            <w:tcBorders>
              <w:top w:val="nil"/>
              <w:bottom w:val="nil"/>
              <w:right w:val="single" w:sz="16" w:space="0" w:color="000000"/>
            </w:tcBorders>
            <w:shd w:val="clear" w:color="auto" w:fill="FFFFFF"/>
            <w:vAlign w:val="center"/>
          </w:tcPr>
          <w:p w14:paraId="7C9BFE0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w:t>
            </w:r>
          </w:p>
        </w:tc>
      </w:tr>
      <w:tr w:rsidR="009E03E3" w:rsidRPr="008E59D3" w14:paraId="18510A4E"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6001C84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F6E619B"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08A34829"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,0145</w:t>
            </w:r>
          </w:p>
        </w:tc>
        <w:tc>
          <w:tcPr>
            <w:tcW w:w="1076" w:type="dxa"/>
            <w:tcBorders>
              <w:top w:val="nil"/>
              <w:bottom w:val="nil"/>
            </w:tcBorders>
            <w:shd w:val="clear" w:color="auto" w:fill="FFFFFF"/>
            <w:vAlign w:val="center"/>
          </w:tcPr>
          <w:p w14:paraId="7B13FFFE"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,0112</w:t>
            </w:r>
          </w:p>
        </w:tc>
        <w:tc>
          <w:tcPr>
            <w:tcW w:w="1029" w:type="dxa"/>
            <w:tcBorders>
              <w:top w:val="nil"/>
              <w:bottom w:val="nil"/>
            </w:tcBorders>
            <w:shd w:val="clear" w:color="auto" w:fill="FFFFFF"/>
            <w:vAlign w:val="center"/>
          </w:tcPr>
          <w:p w14:paraId="4950AED4"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,195</w:t>
            </w:r>
          </w:p>
        </w:tc>
        <w:tc>
          <w:tcPr>
            <w:tcW w:w="1414" w:type="dxa"/>
            <w:tcBorders>
              <w:top w:val="nil"/>
              <w:bottom w:val="nil"/>
            </w:tcBorders>
            <w:shd w:val="clear" w:color="auto" w:fill="FFFFFF"/>
            <w:vAlign w:val="center"/>
          </w:tcPr>
          <w:p w14:paraId="374FE916"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414" w:type="dxa"/>
            <w:tcBorders>
              <w:top w:val="nil"/>
              <w:bottom w:val="nil"/>
              <w:right w:val="single" w:sz="16" w:space="0" w:color="000000"/>
            </w:tcBorders>
            <w:shd w:val="clear" w:color="auto" w:fill="FFFFFF"/>
            <w:vAlign w:val="center"/>
          </w:tcPr>
          <w:p w14:paraId="0FADC451"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,036</w:t>
            </w:r>
          </w:p>
        </w:tc>
      </w:tr>
      <w:tr w:rsidR="009E03E3" w:rsidRPr="008E59D3" w14:paraId="69A47398"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7805129F" w14:textId="77777777" w:rsidR="009E03E3" w:rsidRPr="008E59D3" w:rsidRDefault="009E03E3"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single" w:sz="16" w:space="0" w:color="000000"/>
              <w:right w:val="single" w:sz="16" w:space="0" w:color="000000"/>
            </w:tcBorders>
            <w:shd w:val="clear" w:color="auto" w:fill="FFFFFF"/>
          </w:tcPr>
          <w:p w14:paraId="75A8581E" w14:textId="77777777" w:rsidR="009E03E3" w:rsidRPr="008E59D3" w:rsidRDefault="009E03E3"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single" w:sz="16" w:space="0" w:color="000000"/>
            </w:tcBorders>
            <w:shd w:val="clear" w:color="auto" w:fill="FFFFFF"/>
            <w:vAlign w:val="center"/>
          </w:tcPr>
          <w:p w14:paraId="56496890"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,0104</w:t>
            </w:r>
          </w:p>
        </w:tc>
        <w:tc>
          <w:tcPr>
            <w:tcW w:w="1076" w:type="dxa"/>
            <w:tcBorders>
              <w:top w:val="nil"/>
              <w:bottom w:val="single" w:sz="16" w:space="0" w:color="000000"/>
            </w:tcBorders>
            <w:shd w:val="clear" w:color="auto" w:fill="FFFFFF"/>
            <w:vAlign w:val="center"/>
          </w:tcPr>
          <w:p w14:paraId="593D4B48"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,0118</w:t>
            </w:r>
          </w:p>
        </w:tc>
        <w:tc>
          <w:tcPr>
            <w:tcW w:w="1029" w:type="dxa"/>
            <w:tcBorders>
              <w:top w:val="nil"/>
              <w:bottom w:val="single" w:sz="16" w:space="0" w:color="000000"/>
            </w:tcBorders>
            <w:shd w:val="clear" w:color="auto" w:fill="FFFFFF"/>
            <w:vAlign w:val="center"/>
          </w:tcPr>
          <w:p w14:paraId="1F7DE35F"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,375</w:t>
            </w:r>
          </w:p>
        </w:tc>
        <w:tc>
          <w:tcPr>
            <w:tcW w:w="1414" w:type="dxa"/>
            <w:tcBorders>
              <w:top w:val="nil"/>
              <w:bottom w:val="single" w:sz="16" w:space="0" w:color="000000"/>
            </w:tcBorders>
            <w:shd w:val="clear" w:color="auto" w:fill="FFFFFF"/>
            <w:vAlign w:val="center"/>
          </w:tcPr>
          <w:p w14:paraId="3B8881A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p>
        </w:tc>
        <w:tc>
          <w:tcPr>
            <w:tcW w:w="1414" w:type="dxa"/>
            <w:tcBorders>
              <w:top w:val="nil"/>
              <w:bottom w:val="single" w:sz="16" w:space="0" w:color="000000"/>
              <w:right w:val="single" w:sz="16" w:space="0" w:color="000000"/>
            </w:tcBorders>
            <w:shd w:val="clear" w:color="auto" w:fill="FFFFFF"/>
            <w:vAlign w:val="center"/>
          </w:tcPr>
          <w:p w14:paraId="7EE31B8A" w14:textId="77777777" w:rsidR="009E03E3" w:rsidRPr="008E59D3" w:rsidRDefault="009E03E3"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,034</w:t>
            </w:r>
          </w:p>
        </w:tc>
      </w:tr>
    </w:tbl>
    <w:p w14:paraId="7FB68DCF" w14:textId="77777777" w:rsidR="009E03E3" w:rsidRPr="009E03E3" w:rsidRDefault="009E03E3" w:rsidP="009E03E3">
      <w:pPr>
        <w:autoSpaceDE w:val="0"/>
        <w:autoSpaceDN w:val="0"/>
        <w:adjustRightInd w:val="0"/>
        <w:spacing w:after="0" w:line="400" w:lineRule="atLeast"/>
        <w:rPr>
          <w:rFonts w:ascii="Times New Roman" w:hAnsi="Times New Roman" w:cs="Times New Roman"/>
          <w:sz w:val="24"/>
          <w:szCs w:val="24"/>
          <w:lang w:val="en-GB"/>
        </w:rPr>
      </w:pPr>
    </w:p>
    <w:p w14:paraId="2A89EB59" w14:textId="77777777" w:rsidR="008E59D3" w:rsidRDefault="008E59D3">
      <w:pPr>
        <w:rPr>
          <w:rFonts w:asciiTheme="majorHAnsi" w:eastAsiaTheme="majorEastAsia" w:hAnsiTheme="majorHAnsi" w:cstheme="majorBidi"/>
          <w:b/>
          <w:bCs/>
          <w:color w:val="4F81BD" w:themeColor="accent1"/>
          <w:sz w:val="26"/>
          <w:szCs w:val="26"/>
          <w:lang w:val="en-GB"/>
        </w:rPr>
      </w:pPr>
      <w:r>
        <w:rPr>
          <w:rFonts w:asciiTheme="majorHAnsi" w:eastAsiaTheme="majorEastAsia" w:hAnsiTheme="majorHAnsi" w:cstheme="majorBidi"/>
          <w:b/>
          <w:bCs/>
          <w:color w:val="4F81BD" w:themeColor="accent1"/>
          <w:sz w:val="26"/>
          <w:szCs w:val="26"/>
          <w:lang w:val="en-GB"/>
        </w:rPr>
        <w:br w:type="page"/>
      </w:r>
    </w:p>
    <w:p w14:paraId="332018EC" w14:textId="3ADCD787" w:rsidR="008E59D3" w:rsidRPr="008E59D3" w:rsidRDefault="008E59D3" w:rsidP="00A726AB">
      <w:pPr>
        <w:pStyle w:val="Kop5"/>
      </w:pPr>
      <w:r w:rsidRPr="008E59D3">
        <w:lastRenderedPageBreak/>
        <w:t xml:space="preserve">Table </w:t>
      </w:r>
      <w:r w:rsidRPr="008E59D3">
        <w:fldChar w:fldCharType="begin"/>
      </w:r>
      <w:r w:rsidRPr="008E59D3">
        <w:instrText xml:space="preserve"> SEQ Table \* ARABIC </w:instrText>
      </w:r>
      <w:r w:rsidRPr="008E59D3">
        <w:fldChar w:fldCharType="separate"/>
      </w:r>
      <w:r w:rsidR="004043A1">
        <w:rPr>
          <w:noProof/>
        </w:rPr>
        <w:t>14</w:t>
      </w:r>
      <w:r w:rsidRPr="008E59D3">
        <w:fldChar w:fldCharType="end"/>
      </w:r>
      <w:r w:rsidR="003F4802">
        <w:t>: M</w:t>
      </w:r>
      <w:r w:rsidRPr="008E59D3">
        <w:t>utual relations hypothesis 2b2</w:t>
      </w:r>
    </w:p>
    <w:tbl>
      <w:tblPr>
        <w:tblW w:w="854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
        <w:gridCol w:w="1092"/>
        <w:gridCol w:w="1476"/>
        <w:gridCol w:w="1076"/>
        <w:gridCol w:w="1029"/>
        <w:gridCol w:w="1414"/>
        <w:gridCol w:w="1414"/>
      </w:tblGrid>
      <w:tr w:rsidR="00D51049" w:rsidRPr="008E59D3" w14:paraId="22733065" w14:textId="77777777" w:rsidTr="008E59D3">
        <w:trPr>
          <w:cantSplit/>
        </w:trPr>
        <w:tc>
          <w:tcPr>
            <w:tcW w:w="1046" w:type="dxa"/>
            <w:vMerge w:val="restart"/>
            <w:tcBorders>
              <w:top w:val="single" w:sz="16" w:space="0" w:color="000000"/>
              <w:left w:val="single" w:sz="16" w:space="0" w:color="000000"/>
              <w:bottom w:val="nil"/>
              <w:right w:val="nil"/>
            </w:tcBorders>
            <w:shd w:val="clear" w:color="auto" w:fill="FFFFFF"/>
            <w:vAlign w:val="bottom"/>
          </w:tcPr>
          <w:p w14:paraId="1441F7EE"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(I) Decile</w:t>
            </w:r>
          </w:p>
        </w:tc>
        <w:tc>
          <w:tcPr>
            <w:tcW w:w="1092" w:type="dxa"/>
            <w:vMerge w:val="restart"/>
            <w:tcBorders>
              <w:top w:val="single" w:sz="16" w:space="0" w:color="000000"/>
              <w:left w:val="nil"/>
              <w:bottom w:val="nil"/>
              <w:right w:val="single" w:sz="16" w:space="0" w:color="000000"/>
            </w:tcBorders>
            <w:shd w:val="clear" w:color="auto" w:fill="FFFFFF"/>
            <w:vAlign w:val="bottom"/>
          </w:tcPr>
          <w:p w14:paraId="41D12A65"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(J) Decile</w:t>
            </w:r>
          </w:p>
        </w:tc>
        <w:tc>
          <w:tcPr>
            <w:tcW w:w="1476" w:type="dxa"/>
            <w:vMerge w:val="restart"/>
            <w:tcBorders>
              <w:top w:val="single" w:sz="16" w:space="0" w:color="000000"/>
              <w:left w:val="single" w:sz="16" w:space="0" w:color="000000"/>
            </w:tcBorders>
            <w:shd w:val="clear" w:color="auto" w:fill="FFFFFF"/>
            <w:vAlign w:val="bottom"/>
          </w:tcPr>
          <w:p w14:paraId="105442BB" w14:textId="77777777" w:rsidR="00D51049" w:rsidRPr="008E59D3" w:rsidRDefault="00D51049"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Mean Difference (I-J)</w:t>
            </w:r>
          </w:p>
        </w:tc>
        <w:tc>
          <w:tcPr>
            <w:tcW w:w="1076" w:type="dxa"/>
            <w:vMerge w:val="restart"/>
            <w:tcBorders>
              <w:top w:val="single" w:sz="16" w:space="0" w:color="000000"/>
            </w:tcBorders>
            <w:shd w:val="clear" w:color="auto" w:fill="FFFFFF"/>
            <w:vAlign w:val="bottom"/>
          </w:tcPr>
          <w:p w14:paraId="0B90B1D7" w14:textId="77777777" w:rsidR="00D51049" w:rsidRPr="008E59D3" w:rsidRDefault="00D51049"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Std. Error</w:t>
            </w:r>
          </w:p>
        </w:tc>
        <w:tc>
          <w:tcPr>
            <w:tcW w:w="1029" w:type="dxa"/>
            <w:vMerge w:val="restart"/>
            <w:tcBorders>
              <w:top w:val="single" w:sz="16" w:space="0" w:color="000000"/>
            </w:tcBorders>
            <w:shd w:val="clear" w:color="auto" w:fill="FFFFFF"/>
            <w:vAlign w:val="bottom"/>
          </w:tcPr>
          <w:p w14:paraId="49033788" w14:textId="77777777" w:rsidR="00D51049" w:rsidRPr="008E59D3" w:rsidRDefault="00D51049"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Sig.</w:t>
            </w:r>
          </w:p>
        </w:tc>
        <w:tc>
          <w:tcPr>
            <w:tcW w:w="2828" w:type="dxa"/>
            <w:gridSpan w:val="2"/>
            <w:tcBorders>
              <w:top w:val="single" w:sz="16" w:space="0" w:color="000000"/>
              <w:right w:val="single" w:sz="16" w:space="0" w:color="000000"/>
            </w:tcBorders>
            <w:shd w:val="clear" w:color="auto" w:fill="FFFFFF"/>
            <w:vAlign w:val="bottom"/>
          </w:tcPr>
          <w:p w14:paraId="1B763F9D" w14:textId="77777777" w:rsidR="00D51049" w:rsidRPr="008E59D3" w:rsidRDefault="00D51049"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95% Confidence Interval</w:t>
            </w:r>
          </w:p>
        </w:tc>
      </w:tr>
      <w:tr w:rsidR="00D51049" w:rsidRPr="008E59D3" w14:paraId="2C9515EB" w14:textId="77777777" w:rsidTr="008E59D3">
        <w:trPr>
          <w:cantSplit/>
        </w:trPr>
        <w:tc>
          <w:tcPr>
            <w:tcW w:w="1046" w:type="dxa"/>
            <w:vMerge/>
            <w:tcBorders>
              <w:top w:val="single" w:sz="16" w:space="0" w:color="000000"/>
              <w:left w:val="single" w:sz="16" w:space="0" w:color="000000"/>
              <w:bottom w:val="nil"/>
              <w:right w:val="nil"/>
            </w:tcBorders>
            <w:shd w:val="clear" w:color="auto" w:fill="FFFFFF"/>
            <w:vAlign w:val="bottom"/>
          </w:tcPr>
          <w:p w14:paraId="38145BAC"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vMerge/>
            <w:tcBorders>
              <w:top w:val="single" w:sz="16" w:space="0" w:color="000000"/>
              <w:left w:val="nil"/>
              <w:bottom w:val="nil"/>
              <w:right w:val="single" w:sz="16" w:space="0" w:color="000000"/>
            </w:tcBorders>
            <w:shd w:val="clear" w:color="auto" w:fill="FFFFFF"/>
            <w:vAlign w:val="bottom"/>
          </w:tcPr>
          <w:p w14:paraId="000DAC2E"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476" w:type="dxa"/>
            <w:vMerge/>
            <w:tcBorders>
              <w:top w:val="single" w:sz="16" w:space="0" w:color="000000"/>
              <w:left w:val="single" w:sz="16" w:space="0" w:color="000000"/>
            </w:tcBorders>
            <w:shd w:val="clear" w:color="auto" w:fill="FFFFFF"/>
            <w:vAlign w:val="bottom"/>
          </w:tcPr>
          <w:p w14:paraId="27931A42"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76" w:type="dxa"/>
            <w:vMerge/>
            <w:tcBorders>
              <w:top w:val="single" w:sz="16" w:space="0" w:color="000000"/>
            </w:tcBorders>
            <w:shd w:val="clear" w:color="auto" w:fill="FFFFFF"/>
            <w:vAlign w:val="bottom"/>
          </w:tcPr>
          <w:p w14:paraId="51631CA2"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29" w:type="dxa"/>
            <w:vMerge/>
            <w:tcBorders>
              <w:top w:val="single" w:sz="16" w:space="0" w:color="000000"/>
            </w:tcBorders>
            <w:shd w:val="clear" w:color="auto" w:fill="FFFFFF"/>
            <w:vAlign w:val="bottom"/>
          </w:tcPr>
          <w:p w14:paraId="624E6557"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414" w:type="dxa"/>
            <w:tcBorders>
              <w:bottom w:val="single" w:sz="16" w:space="0" w:color="000000"/>
            </w:tcBorders>
            <w:shd w:val="clear" w:color="auto" w:fill="FFFFFF"/>
            <w:vAlign w:val="bottom"/>
          </w:tcPr>
          <w:p w14:paraId="7492A96C" w14:textId="77777777" w:rsidR="00D51049" w:rsidRPr="008E59D3" w:rsidRDefault="00D51049"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Lower Bound</w:t>
            </w:r>
          </w:p>
        </w:tc>
        <w:tc>
          <w:tcPr>
            <w:tcW w:w="1414" w:type="dxa"/>
            <w:tcBorders>
              <w:bottom w:val="single" w:sz="16" w:space="0" w:color="000000"/>
              <w:right w:val="single" w:sz="16" w:space="0" w:color="000000"/>
            </w:tcBorders>
            <w:shd w:val="clear" w:color="auto" w:fill="FFFFFF"/>
            <w:vAlign w:val="bottom"/>
          </w:tcPr>
          <w:p w14:paraId="397A86E0" w14:textId="77777777" w:rsidR="00D51049" w:rsidRPr="008E59D3" w:rsidRDefault="00D51049" w:rsidP="008E59D3">
            <w:pPr>
              <w:autoSpaceDE w:val="0"/>
              <w:autoSpaceDN w:val="0"/>
              <w:adjustRightInd w:val="0"/>
              <w:spacing w:after="0" w:line="240" w:lineRule="auto"/>
              <w:ind w:left="60" w:right="60"/>
              <w:jc w:val="center"/>
              <w:rPr>
                <w:rFonts w:cs="Arial"/>
                <w:color w:val="000000"/>
                <w:sz w:val="16"/>
                <w:szCs w:val="16"/>
                <w:lang w:val="en-GB"/>
              </w:rPr>
            </w:pPr>
            <w:r w:rsidRPr="008E59D3">
              <w:rPr>
                <w:rFonts w:cs="Arial"/>
                <w:color w:val="000000"/>
                <w:sz w:val="16"/>
                <w:szCs w:val="16"/>
                <w:lang w:val="en-GB"/>
              </w:rPr>
              <w:t>Upper Bound</w:t>
            </w:r>
          </w:p>
        </w:tc>
      </w:tr>
      <w:tr w:rsidR="00D51049" w:rsidRPr="008E59D3" w14:paraId="4AA3CBE4" w14:textId="77777777" w:rsidTr="008E59D3">
        <w:trPr>
          <w:cantSplit/>
        </w:trPr>
        <w:tc>
          <w:tcPr>
            <w:tcW w:w="1046" w:type="dxa"/>
            <w:vMerge w:val="restart"/>
            <w:tcBorders>
              <w:top w:val="single" w:sz="16" w:space="0" w:color="000000"/>
              <w:left w:val="single" w:sz="16" w:space="0" w:color="000000"/>
              <w:right w:val="nil"/>
            </w:tcBorders>
            <w:shd w:val="clear" w:color="auto" w:fill="FFFFFF"/>
          </w:tcPr>
          <w:p w14:paraId="6E76AA57"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092" w:type="dxa"/>
            <w:tcBorders>
              <w:top w:val="single" w:sz="16" w:space="0" w:color="000000"/>
              <w:left w:val="nil"/>
              <w:bottom w:val="nil"/>
              <w:right w:val="single" w:sz="16" w:space="0" w:color="000000"/>
            </w:tcBorders>
            <w:shd w:val="clear" w:color="auto" w:fill="FFFFFF"/>
          </w:tcPr>
          <w:p w14:paraId="5971C0DE"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single" w:sz="16" w:space="0" w:color="000000"/>
              <w:left w:val="single" w:sz="16" w:space="0" w:color="000000"/>
              <w:bottom w:val="nil"/>
            </w:tcBorders>
            <w:shd w:val="clear" w:color="auto" w:fill="FFFFFF"/>
            <w:vAlign w:val="center"/>
          </w:tcPr>
          <w:p w14:paraId="7C00E8D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076" w:type="dxa"/>
            <w:tcBorders>
              <w:top w:val="single" w:sz="16" w:space="0" w:color="000000"/>
              <w:bottom w:val="nil"/>
            </w:tcBorders>
            <w:shd w:val="clear" w:color="auto" w:fill="FFFFFF"/>
            <w:vAlign w:val="center"/>
          </w:tcPr>
          <w:p w14:paraId="49F0E13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single" w:sz="16" w:space="0" w:color="000000"/>
              <w:bottom w:val="nil"/>
            </w:tcBorders>
            <w:shd w:val="clear" w:color="auto" w:fill="FFFFFF"/>
            <w:vAlign w:val="center"/>
          </w:tcPr>
          <w:p w14:paraId="38FD9AE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,822</w:t>
            </w:r>
          </w:p>
        </w:tc>
        <w:tc>
          <w:tcPr>
            <w:tcW w:w="1414" w:type="dxa"/>
            <w:tcBorders>
              <w:top w:val="single" w:sz="16" w:space="0" w:color="000000"/>
              <w:bottom w:val="nil"/>
            </w:tcBorders>
            <w:shd w:val="clear" w:color="auto" w:fill="FFFFFF"/>
            <w:vAlign w:val="center"/>
          </w:tcPr>
          <w:p w14:paraId="742D780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single" w:sz="16" w:space="0" w:color="000000"/>
              <w:bottom w:val="nil"/>
              <w:right w:val="single" w:sz="16" w:space="0" w:color="000000"/>
            </w:tcBorders>
            <w:shd w:val="clear" w:color="auto" w:fill="FFFFFF"/>
            <w:vAlign w:val="center"/>
          </w:tcPr>
          <w:p w14:paraId="0F6256A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1E8A5AF8" w14:textId="77777777" w:rsidTr="008E59D3">
        <w:trPr>
          <w:cantSplit/>
        </w:trPr>
        <w:tc>
          <w:tcPr>
            <w:tcW w:w="1046" w:type="dxa"/>
            <w:vMerge/>
            <w:tcBorders>
              <w:top w:val="single" w:sz="16" w:space="0" w:color="000000"/>
              <w:left w:val="single" w:sz="16" w:space="0" w:color="000000"/>
              <w:right w:val="nil"/>
            </w:tcBorders>
            <w:shd w:val="clear" w:color="auto" w:fill="FFFFFF"/>
          </w:tcPr>
          <w:p w14:paraId="08D1C7A4"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2E4A1F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4825595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w:t>
            </w:r>
          </w:p>
        </w:tc>
        <w:tc>
          <w:tcPr>
            <w:tcW w:w="1076" w:type="dxa"/>
            <w:tcBorders>
              <w:top w:val="nil"/>
              <w:bottom w:val="nil"/>
            </w:tcBorders>
            <w:shd w:val="clear" w:color="auto" w:fill="FFFFFF"/>
            <w:vAlign w:val="center"/>
          </w:tcPr>
          <w:p w14:paraId="5BE140D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6B81309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,578</w:t>
            </w:r>
          </w:p>
        </w:tc>
        <w:tc>
          <w:tcPr>
            <w:tcW w:w="1414" w:type="dxa"/>
            <w:tcBorders>
              <w:top w:val="nil"/>
              <w:bottom w:val="nil"/>
            </w:tcBorders>
            <w:shd w:val="clear" w:color="auto" w:fill="FFFFFF"/>
            <w:vAlign w:val="center"/>
          </w:tcPr>
          <w:p w14:paraId="56325C2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65057C9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2A1BB39F" w14:textId="77777777" w:rsidTr="008E59D3">
        <w:trPr>
          <w:cantSplit/>
        </w:trPr>
        <w:tc>
          <w:tcPr>
            <w:tcW w:w="1046" w:type="dxa"/>
            <w:vMerge/>
            <w:tcBorders>
              <w:top w:val="single" w:sz="16" w:space="0" w:color="000000"/>
              <w:left w:val="single" w:sz="16" w:space="0" w:color="000000"/>
              <w:right w:val="nil"/>
            </w:tcBorders>
            <w:shd w:val="clear" w:color="auto" w:fill="FFFFFF"/>
          </w:tcPr>
          <w:p w14:paraId="3CD09DF5"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A488CE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3C517B8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w:t>
            </w:r>
          </w:p>
        </w:tc>
        <w:tc>
          <w:tcPr>
            <w:tcW w:w="1076" w:type="dxa"/>
            <w:tcBorders>
              <w:top w:val="nil"/>
              <w:bottom w:val="nil"/>
            </w:tcBorders>
            <w:shd w:val="clear" w:color="auto" w:fill="FFFFFF"/>
            <w:vAlign w:val="center"/>
          </w:tcPr>
          <w:p w14:paraId="1CFC406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143EC9B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,073</w:t>
            </w:r>
          </w:p>
        </w:tc>
        <w:tc>
          <w:tcPr>
            <w:tcW w:w="1414" w:type="dxa"/>
            <w:tcBorders>
              <w:top w:val="nil"/>
              <w:bottom w:val="nil"/>
            </w:tcBorders>
            <w:shd w:val="clear" w:color="auto" w:fill="FFFFFF"/>
            <w:vAlign w:val="center"/>
          </w:tcPr>
          <w:p w14:paraId="47CE453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bottom w:val="nil"/>
              <w:right w:val="single" w:sz="16" w:space="0" w:color="000000"/>
            </w:tcBorders>
            <w:shd w:val="clear" w:color="auto" w:fill="FFFFFF"/>
            <w:vAlign w:val="center"/>
          </w:tcPr>
          <w:p w14:paraId="4F41CB2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39936052" w14:textId="77777777" w:rsidTr="008E59D3">
        <w:trPr>
          <w:cantSplit/>
        </w:trPr>
        <w:tc>
          <w:tcPr>
            <w:tcW w:w="1046" w:type="dxa"/>
            <w:vMerge/>
            <w:tcBorders>
              <w:top w:val="single" w:sz="16" w:space="0" w:color="000000"/>
              <w:left w:val="single" w:sz="16" w:space="0" w:color="000000"/>
              <w:right w:val="nil"/>
            </w:tcBorders>
            <w:shd w:val="clear" w:color="auto" w:fill="FFFFFF"/>
          </w:tcPr>
          <w:p w14:paraId="03C6986F"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4D27A3E"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49A884E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76" w:type="dxa"/>
            <w:tcBorders>
              <w:top w:val="nil"/>
              <w:bottom w:val="nil"/>
            </w:tcBorders>
            <w:shd w:val="clear" w:color="auto" w:fill="FFFFFF"/>
            <w:vAlign w:val="center"/>
          </w:tcPr>
          <w:p w14:paraId="60FF467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3C3E438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,348</w:t>
            </w:r>
          </w:p>
        </w:tc>
        <w:tc>
          <w:tcPr>
            <w:tcW w:w="1414" w:type="dxa"/>
            <w:tcBorders>
              <w:top w:val="nil"/>
              <w:bottom w:val="nil"/>
            </w:tcBorders>
            <w:shd w:val="clear" w:color="auto" w:fill="FFFFFF"/>
            <w:vAlign w:val="center"/>
          </w:tcPr>
          <w:p w14:paraId="3BB264A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45CBE16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41A3991C" w14:textId="77777777" w:rsidTr="008E59D3">
        <w:trPr>
          <w:cantSplit/>
        </w:trPr>
        <w:tc>
          <w:tcPr>
            <w:tcW w:w="1046" w:type="dxa"/>
            <w:vMerge/>
            <w:tcBorders>
              <w:top w:val="single" w:sz="16" w:space="0" w:color="000000"/>
              <w:left w:val="single" w:sz="16" w:space="0" w:color="000000"/>
              <w:right w:val="nil"/>
            </w:tcBorders>
            <w:shd w:val="clear" w:color="auto" w:fill="FFFFFF"/>
          </w:tcPr>
          <w:p w14:paraId="65E30832"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1BE6145"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0FA67E9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076" w:type="dxa"/>
            <w:tcBorders>
              <w:top w:val="nil"/>
              <w:bottom w:val="nil"/>
            </w:tcBorders>
            <w:shd w:val="clear" w:color="auto" w:fill="FFFFFF"/>
            <w:vAlign w:val="center"/>
          </w:tcPr>
          <w:p w14:paraId="0154321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16135DA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,875</w:t>
            </w:r>
          </w:p>
        </w:tc>
        <w:tc>
          <w:tcPr>
            <w:tcW w:w="1414" w:type="dxa"/>
            <w:tcBorders>
              <w:top w:val="nil"/>
              <w:bottom w:val="nil"/>
            </w:tcBorders>
            <w:shd w:val="clear" w:color="auto" w:fill="FFFFFF"/>
            <w:vAlign w:val="center"/>
          </w:tcPr>
          <w:p w14:paraId="7FFC7E5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148807E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6CE0402C" w14:textId="77777777" w:rsidTr="008E59D3">
        <w:trPr>
          <w:cantSplit/>
        </w:trPr>
        <w:tc>
          <w:tcPr>
            <w:tcW w:w="1046" w:type="dxa"/>
            <w:vMerge/>
            <w:tcBorders>
              <w:top w:val="single" w:sz="16" w:space="0" w:color="000000"/>
              <w:left w:val="single" w:sz="16" w:space="0" w:color="000000"/>
              <w:right w:val="nil"/>
            </w:tcBorders>
            <w:shd w:val="clear" w:color="auto" w:fill="FFFFFF"/>
          </w:tcPr>
          <w:p w14:paraId="3C359480"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E8EB75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741D1B7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076" w:type="dxa"/>
            <w:tcBorders>
              <w:top w:val="nil"/>
              <w:bottom w:val="nil"/>
            </w:tcBorders>
            <w:shd w:val="clear" w:color="auto" w:fill="FFFFFF"/>
            <w:vAlign w:val="center"/>
          </w:tcPr>
          <w:p w14:paraId="1BB466F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72DE385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,921</w:t>
            </w:r>
          </w:p>
        </w:tc>
        <w:tc>
          <w:tcPr>
            <w:tcW w:w="1414" w:type="dxa"/>
            <w:tcBorders>
              <w:top w:val="nil"/>
              <w:bottom w:val="nil"/>
            </w:tcBorders>
            <w:shd w:val="clear" w:color="auto" w:fill="FFFFFF"/>
            <w:vAlign w:val="center"/>
          </w:tcPr>
          <w:p w14:paraId="5224470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54C6E23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02E66290" w14:textId="77777777" w:rsidTr="008E59D3">
        <w:trPr>
          <w:cantSplit/>
        </w:trPr>
        <w:tc>
          <w:tcPr>
            <w:tcW w:w="1046" w:type="dxa"/>
            <w:vMerge/>
            <w:tcBorders>
              <w:top w:val="single" w:sz="16" w:space="0" w:color="000000"/>
              <w:left w:val="single" w:sz="16" w:space="0" w:color="000000"/>
              <w:right w:val="nil"/>
            </w:tcBorders>
            <w:shd w:val="clear" w:color="auto" w:fill="FFFFFF"/>
          </w:tcPr>
          <w:p w14:paraId="720AD809"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50EBB7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4139C6B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c>
          <w:tcPr>
            <w:tcW w:w="1076" w:type="dxa"/>
            <w:tcBorders>
              <w:top w:val="nil"/>
              <w:bottom w:val="nil"/>
            </w:tcBorders>
            <w:shd w:val="clear" w:color="auto" w:fill="FFFFFF"/>
            <w:vAlign w:val="center"/>
          </w:tcPr>
          <w:p w14:paraId="60899DE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1A7B293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,121</w:t>
            </w:r>
          </w:p>
        </w:tc>
        <w:tc>
          <w:tcPr>
            <w:tcW w:w="1414" w:type="dxa"/>
            <w:tcBorders>
              <w:top w:val="nil"/>
              <w:bottom w:val="nil"/>
            </w:tcBorders>
            <w:shd w:val="clear" w:color="auto" w:fill="FFFFFF"/>
            <w:vAlign w:val="center"/>
          </w:tcPr>
          <w:p w14:paraId="01E9FB3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bottom w:val="nil"/>
              <w:right w:val="single" w:sz="16" w:space="0" w:color="000000"/>
            </w:tcBorders>
            <w:shd w:val="clear" w:color="auto" w:fill="FFFFFF"/>
            <w:vAlign w:val="center"/>
          </w:tcPr>
          <w:p w14:paraId="0856BEE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6BED213C" w14:textId="77777777" w:rsidTr="008E59D3">
        <w:trPr>
          <w:cantSplit/>
        </w:trPr>
        <w:tc>
          <w:tcPr>
            <w:tcW w:w="1046" w:type="dxa"/>
            <w:vMerge/>
            <w:tcBorders>
              <w:top w:val="single" w:sz="16" w:space="0" w:color="000000"/>
              <w:left w:val="single" w:sz="16" w:space="0" w:color="000000"/>
              <w:right w:val="nil"/>
            </w:tcBorders>
            <w:shd w:val="clear" w:color="auto" w:fill="FFFFFF"/>
          </w:tcPr>
          <w:p w14:paraId="5B5FF316"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AFD7A34"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3945CCF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76" w:type="dxa"/>
            <w:tcBorders>
              <w:top w:val="nil"/>
              <w:bottom w:val="nil"/>
            </w:tcBorders>
            <w:shd w:val="clear" w:color="auto" w:fill="FFFFFF"/>
            <w:vAlign w:val="center"/>
          </w:tcPr>
          <w:p w14:paraId="45D61DA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423BEF9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,245</w:t>
            </w:r>
          </w:p>
        </w:tc>
        <w:tc>
          <w:tcPr>
            <w:tcW w:w="1414" w:type="dxa"/>
            <w:tcBorders>
              <w:top w:val="nil"/>
              <w:bottom w:val="nil"/>
            </w:tcBorders>
            <w:shd w:val="clear" w:color="auto" w:fill="FFFFFF"/>
            <w:vAlign w:val="center"/>
          </w:tcPr>
          <w:p w14:paraId="1063A45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59A361D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1CD4BA1E" w14:textId="77777777" w:rsidTr="008E59D3">
        <w:trPr>
          <w:cantSplit/>
        </w:trPr>
        <w:tc>
          <w:tcPr>
            <w:tcW w:w="1046" w:type="dxa"/>
            <w:vMerge/>
            <w:tcBorders>
              <w:top w:val="single" w:sz="16" w:space="0" w:color="000000"/>
              <w:left w:val="single" w:sz="16" w:space="0" w:color="000000"/>
              <w:right w:val="nil"/>
            </w:tcBorders>
            <w:shd w:val="clear" w:color="auto" w:fill="FFFFFF"/>
          </w:tcPr>
          <w:p w14:paraId="0320FA7B"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2335E194"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651BBAA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r w:rsidRPr="008E59D3">
              <w:rPr>
                <w:rFonts w:cs="Arial"/>
                <w:color w:val="000000"/>
                <w:sz w:val="16"/>
                <w:szCs w:val="16"/>
                <w:vertAlign w:val="superscript"/>
                <w:lang w:val="en-GB"/>
              </w:rPr>
              <w:t>*</w:t>
            </w:r>
          </w:p>
        </w:tc>
        <w:tc>
          <w:tcPr>
            <w:tcW w:w="1076" w:type="dxa"/>
            <w:tcBorders>
              <w:top w:val="nil"/>
            </w:tcBorders>
            <w:shd w:val="clear" w:color="auto" w:fill="FFFFFF"/>
            <w:vAlign w:val="center"/>
          </w:tcPr>
          <w:p w14:paraId="73D4082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w:t>
            </w:r>
          </w:p>
        </w:tc>
        <w:tc>
          <w:tcPr>
            <w:tcW w:w="1029" w:type="dxa"/>
            <w:tcBorders>
              <w:top w:val="nil"/>
            </w:tcBorders>
            <w:shd w:val="clear" w:color="auto" w:fill="FFFFFF"/>
            <w:vAlign w:val="center"/>
          </w:tcPr>
          <w:p w14:paraId="284ACE6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,037</w:t>
            </w:r>
          </w:p>
        </w:tc>
        <w:tc>
          <w:tcPr>
            <w:tcW w:w="1414" w:type="dxa"/>
            <w:tcBorders>
              <w:top w:val="nil"/>
            </w:tcBorders>
            <w:shd w:val="clear" w:color="auto" w:fill="FFFFFF"/>
            <w:vAlign w:val="center"/>
          </w:tcPr>
          <w:p w14:paraId="58DD7C2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right w:val="single" w:sz="16" w:space="0" w:color="000000"/>
            </w:tcBorders>
            <w:shd w:val="clear" w:color="auto" w:fill="FFFFFF"/>
            <w:vAlign w:val="center"/>
          </w:tcPr>
          <w:p w14:paraId="43F1584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5F299142" w14:textId="77777777" w:rsidTr="008E59D3">
        <w:trPr>
          <w:cantSplit/>
        </w:trPr>
        <w:tc>
          <w:tcPr>
            <w:tcW w:w="1046" w:type="dxa"/>
            <w:vMerge w:val="restart"/>
            <w:tcBorders>
              <w:top w:val="nil"/>
              <w:left w:val="single" w:sz="16" w:space="0" w:color="000000"/>
              <w:right w:val="nil"/>
            </w:tcBorders>
            <w:shd w:val="clear" w:color="auto" w:fill="FFFFFF"/>
          </w:tcPr>
          <w:p w14:paraId="27F4E35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092" w:type="dxa"/>
            <w:tcBorders>
              <w:top w:val="nil"/>
              <w:left w:val="nil"/>
              <w:bottom w:val="nil"/>
              <w:right w:val="single" w:sz="16" w:space="0" w:color="000000"/>
            </w:tcBorders>
            <w:shd w:val="clear" w:color="auto" w:fill="FFFFFF"/>
          </w:tcPr>
          <w:p w14:paraId="78C1932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3536711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076" w:type="dxa"/>
            <w:tcBorders>
              <w:top w:val="nil"/>
              <w:bottom w:val="nil"/>
            </w:tcBorders>
            <w:shd w:val="clear" w:color="auto" w:fill="FFFFFF"/>
            <w:vAlign w:val="center"/>
          </w:tcPr>
          <w:p w14:paraId="049D755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27AC743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,822</w:t>
            </w:r>
          </w:p>
        </w:tc>
        <w:tc>
          <w:tcPr>
            <w:tcW w:w="1414" w:type="dxa"/>
            <w:tcBorders>
              <w:top w:val="nil"/>
              <w:bottom w:val="nil"/>
            </w:tcBorders>
            <w:shd w:val="clear" w:color="auto" w:fill="FFFFFF"/>
            <w:vAlign w:val="center"/>
          </w:tcPr>
          <w:p w14:paraId="1DF3060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0F3AD5D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14685B58" w14:textId="77777777" w:rsidTr="008E59D3">
        <w:trPr>
          <w:cantSplit/>
        </w:trPr>
        <w:tc>
          <w:tcPr>
            <w:tcW w:w="1046" w:type="dxa"/>
            <w:vMerge/>
            <w:tcBorders>
              <w:top w:val="nil"/>
              <w:left w:val="single" w:sz="16" w:space="0" w:color="000000"/>
              <w:right w:val="nil"/>
            </w:tcBorders>
            <w:shd w:val="clear" w:color="auto" w:fill="FFFFFF"/>
          </w:tcPr>
          <w:p w14:paraId="58B6851D"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D1D9834"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2364E79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76" w:type="dxa"/>
            <w:tcBorders>
              <w:top w:val="nil"/>
              <w:bottom w:val="nil"/>
            </w:tcBorders>
            <w:shd w:val="clear" w:color="auto" w:fill="FFFFFF"/>
            <w:vAlign w:val="center"/>
          </w:tcPr>
          <w:p w14:paraId="711590D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c>
          <w:tcPr>
            <w:tcW w:w="1029" w:type="dxa"/>
            <w:tcBorders>
              <w:top w:val="nil"/>
              <w:bottom w:val="nil"/>
            </w:tcBorders>
            <w:shd w:val="clear" w:color="auto" w:fill="FFFFFF"/>
            <w:vAlign w:val="center"/>
          </w:tcPr>
          <w:p w14:paraId="6362E4D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,522</w:t>
            </w:r>
          </w:p>
        </w:tc>
        <w:tc>
          <w:tcPr>
            <w:tcW w:w="1414" w:type="dxa"/>
            <w:tcBorders>
              <w:top w:val="nil"/>
              <w:bottom w:val="nil"/>
            </w:tcBorders>
            <w:shd w:val="clear" w:color="auto" w:fill="FFFFFF"/>
            <w:vAlign w:val="center"/>
          </w:tcPr>
          <w:p w14:paraId="63F210C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587B7C9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076C76E5" w14:textId="77777777" w:rsidTr="008E59D3">
        <w:trPr>
          <w:cantSplit/>
        </w:trPr>
        <w:tc>
          <w:tcPr>
            <w:tcW w:w="1046" w:type="dxa"/>
            <w:vMerge/>
            <w:tcBorders>
              <w:top w:val="nil"/>
              <w:left w:val="single" w:sz="16" w:space="0" w:color="000000"/>
              <w:right w:val="nil"/>
            </w:tcBorders>
            <w:shd w:val="clear" w:color="auto" w:fill="FFFFFF"/>
          </w:tcPr>
          <w:p w14:paraId="0284FD50"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2F69E55"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0A250C8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w:t>
            </w:r>
          </w:p>
        </w:tc>
        <w:tc>
          <w:tcPr>
            <w:tcW w:w="1076" w:type="dxa"/>
            <w:tcBorders>
              <w:top w:val="nil"/>
              <w:bottom w:val="nil"/>
            </w:tcBorders>
            <w:shd w:val="clear" w:color="auto" w:fill="FFFFFF"/>
            <w:vAlign w:val="center"/>
          </w:tcPr>
          <w:p w14:paraId="4A5E8C3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c>
          <w:tcPr>
            <w:tcW w:w="1029" w:type="dxa"/>
            <w:tcBorders>
              <w:top w:val="nil"/>
              <w:bottom w:val="nil"/>
            </w:tcBorders>
            <w:shd w:val="clear" w:color="auto" w:fill="FFFFFF"/>
            <w:vAlign w:val="center"/>
          </w:tcPr>
          <w:p w14:paraId="2836909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,238</w:t>
            </w:r>
          </w:p>
        </w:tc>
        <w:tc>
          <w:tcPr>
            <w:tcW w:w="1414" w:type="dxa"/>
            <w:tcBorders>
              <w:top w:val="nil"/>
              <w:bottom w:val="nil"/>
            </w:tcBorders>
            <w:shd w:val="clear" w:color="auto" w:fill="FFFFFF"/>
            <w:vAlign w:val="center"/>
          </w:tcPr>
          <w:p w14:paraId="5055026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684A5A0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w:t>
            </w:r>
          </w:p>
        </w:tc>
      </w:tr>
      <w:tr w:rsidR="00D51049" w:rsidRPr="008E59D3" w14:paraId="07C60A82" w14:textId="77777777" w:rsidTr="008E59D3">
        <w:trPr>
          <w:cantSplit/>
        </w:trPr>
        <w:tc>
          <w:tcPr>
            <w:tcW w:w="1046" w:type="dxa"/>
            <w:vMerge/>
            <w:tcBorders>
              <w:top w:val="nil"/>
              <w:left w:val="single" w:sz="16" w:space="0" w:color="000000"/>
              <w:right w:val="nil"/>
            </w:tcBorders>
            <w:shd w:val="clear" w:color="auto" w:fill="FFFFFF"/>
          </w:tcPr>
          <w:p w14:paraId="6719D314"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4C3A6B1"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40DEBAE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w:t>
            </w:r>
          </w:p>
        </w:tc>
        <w:tc>
          <w:tcPr>
            <w:tcW w:w="1076" w:type="dxa"/>
            <w:tcBorders>
              <w:top w:val="nil"/>
              <w:bottom w:val="nil"/>
            </w:tcBorders>
            <w:shd w:val="clear" w:color="auto" w:fill="FFFFFF"/>
            <w:vAlign w:val="center"/>
          </w:tcPr>
          <w:p w14:paraId="3BB416C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06DA2C8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,618</w:t>
            </w:r>
          </w:p>
        </w:tc>
        <w:tc>
          <w:tcPr>
            <w:tcW w:w="1414" w:type="dxa"/>
            <w:tcBorders>
              <w:top w:val="nil"/>
              <w:bottom w:val="nil"/>
            </w:tcBorders>
            <w:shd w:val="clear" w:color="auto" w:fill="FFFFFF"/>
            <w:vAlign w:val="center"/>
          </w:tcPr>
          <w:p w14:paraId="7AEC04C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4B7FFAD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3CC4DD62" w14:textId="77777777" w:rsidTr="008E59D3">
        <w:trPr>
          <w:cantSplit/>
        </w:trPr>
        <w:tc>
          <w:tcPr>
            <w:tcW w:w="1046" w:type="dxa"/>
            <w:vMerge/>
            <w:tcBorders>
              <w:top w:val="nil"/>
              <w:left w:val="single" w:sz="16" w:space="0" w:color="000000"/>
              <w:right w:val="nil"/>
            </w:tcBorders>
            <w:shd w:val="clear" w:color="auto" w:fill="FFFFFF"/>
          </w:tcPr>
          <w:p w14:paraId="538DC3E4"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0A0D12E"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348592E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bottom w:val="nil"/>
            </w:tcBorders>
            <w:shd w:val="clear" w:color="auto" w:fill="FFFFFF"/>
            <w:vAlign w:val="center"/>
          </w:tcPr>
          <w:p w14:paraId="03615C7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49244D0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,738</w:t>
            </w:r>
          </w:p>
        </w:tc>
        <w:tc>
          <w:tcPr>
            <w:tcW w:w="1414" w:type="dxa"/>
            <w:tcBorders>
              <w:top w:val="nil"/>
              <w:bottom w:val="nil"/>
            </w:tcBorders>
            <w:shd w:val="clear" w:color="auto" w:fill="FFFFFF"/>
            <w:vAlign w:val="center"/>
          </w:tcPr>
          <w:p w14:paraId="10ACE6C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541ECDA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1D7D559B" w14:textId="77777777" w:rsidTr="008E59D3">
        <w:trPr>
          <w:cantSplit/>
        </w:trPr>
        <w:tc>
          <w:tcPr>
            <w:tcW w:w="1046" w:type="dxa"/>
            <w:vMerge/>
            <w:tcBorders>
              <w:top w:val="nil"/>
              <w:left w:val="single" w:sz="16" w:space="0" w:color="000000"/>
              <w:right w:val="nil"/>
            </w:tcBorders>
            <w:shd w:val="clear" w:color="auto" w:fill="FFFFFF"/>
          </w:tcPr>
          <w:p w14:paraId="676DBE48"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829CD8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76BDF00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076" w:type="dxa"/>
            <w:tcBorders>
              <w:top w:val="nil"/>
              <w:bottom w:val="nil"/>
            </w:tcBorders>
            <w:shd w:val="clear" w:color="auto" w:fill="FFFFFF"/>
            <w:vAlign w:val="center"/>
          </w:tcPr>
          <w:p w14:paraId="6FAD594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684645C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,881</w:t>
            </w:r>
          </w:p>
        </w:tc>
        <w:tc>
          <w:tcPr>
            <w:tcW w:w="1414" w:type="dxa"/>
            <w:tcBorders>
              <w:top w:val="nil"/>
              <w:bottom w:val="nil"/>
            </w:tcBorders>
            <w:shd w:val="clear" w:color="auto" w:fill="FFFFFF"/>
            <w:vAlign w:val="center"/>
          </w:tcPr>
          <w:p w14:paraId="6AEF55B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7AB8C57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1F7955A4" w14:textId="77777777" w:rsidTr="008E59D3">
        <w:trPr>
          <w:cantSplit/>
        </w:trPr>
        <w:tc>
          <w:tcPr>
            <w:tcW w:w="1046" w:type="dxa"/>
            <w:vMerge/>
            <w:tcBorders>
              <w:top w:val="nil"/>
              <w:left w:val="single" w:sz="16" w:space="0" w:color="000000"/>
              <w:right w:val="nil"/>
            </w:tcBorders>
            <w:shd w:val="clear" w:color="auto" w:fill="FFFFFF"/>
          </w:tcPr>
          <w:p w14:paraId="6C49E543"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9ED1FE4"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48ED650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76" w:type="dxa"/>
            <w:tcBorders>
              <w:top w:val="nil"/>
              <w:bottom w:val="nil"/>
            </w:tcBorders>
            <w:shd w:val="clear" w:color="auto" w:fill="FFFFFF"/>
            <w:vAlign w:val="center"/>
          </w:tcPr>
          <w:p w14:paraId="564A0A1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7172364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,370</w:t>
            </w:r>
          </w:p>
        </w:tc>
        <w:tc>
          <w:tcPr>
            <w:tcW w:w="1414" w:type="dxa"/>
            <w:tcBorders>
              <w:top w:val="nil"/>
              <w:bottom w:val="nil"/>
            </w:tcBorders>
            <w:shd w:val="clear" w:color="auto" w:fill="FFFFFF"/>
            <w:vAlign w:val="center"/>
          </w:tcPr>
          <w:p w14:paraId="4599096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1B0B66F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32FBF43D" w14:textId="77777777" w:rsidTr="008E59D3">
        <w:trPr>
          <w:cantSplit/>
        </w:trPr>
        <w:tc>
          <w:tcPr>
            <w:tcW w:w="1046" w:type="dxa"/>
            <w:vMerge/>
            <w:tcBorders>
              <w:top w:val="nil"/>
              <w:left w:val="single" w:sz="16" w:space="0" w:color="000000"/>
              <w:right w:val="nil"/>
            </w:tcBorders>
            <w:shd w:val="clear" w:color="auto" w:fill="FFFFFF"/>
          </w:tcPr>
          <w:p w14:paraId="0CD7347F"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7059D4A"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6D6FFFB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76" w:type="dxa"/>
            <w:tcBorders>
              <w:top w:val="nil"/>
              <w:bottom w:val="nil"/>
            </w:tcBorders>
            <w:shd w:val="clear" w:color="auto" w:fill="FFFFFF"/>
            <w:vAlign w:val="center"/>
          </w:tcPr>
          <w:p w14:paraId="7CB1F58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52254B8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,527</w:t>
            </w:r>
          </w:p>
        </w:tc>
        <w:tc>
          <w:tcPr>
            <w:tcW w:w="1414" w:type="dxa"/>
            <w:tcBorders>
              <w:top w:val="nil"/>
              <w:bottom w:val="nil"/>
            </w:tcBorders>
            <w:shd w:val="clear" w:color="auto" w:fill="FFFFFF"/>
            <w:vAlign w:val="center"/>
          </w:tcPr>
          <w:p w14:paraId="7BCF743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60AB9EE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24DC36C8" w14:textId="77777777" w:rsidTr="008E59D3">
        <w:trPr>
          <w:cantSplit/>
        </w:trPr>
        <w:tc>
          <w:tcPr>
            <w:tcW w:w="1046" w:type="dxa"/>
            <w:vMerge/>
            <w:tcBorders>
              <w:top w:val="nil"/>
              <w:left w:val="single" w:sz="16" w:space="0" w:color="000000"/>
              <w:right w:val="nil"/>
            </w:tcBorders>
            <w:shd w:val="clear" w:color="auto" w:fill="FFFFFF"/>
          </w:tcPr>
          <w:p w14:paraId="06D5865B"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488FFB65"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56AC1D3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76" w:type="dxa"/>
            <w:tcBorders>
              <w:top w:val="nil"/>
            </w:tcBorders>
            <w:shd w:val="clear" w:color="auto" w:fill="FFFFFF"/>
            <w:vAlign w:val="center"/>
          </w:tcPr>
          <w:p w14:paraId="23E9CAC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tcBorders>
            <w:shd w:val="clear" w:color="auto" w:fill="FFFFFF"/>
            <w:vAlign w:val="center"/>
          </w:tcPr>
          <w:p w14:paraId="5B15218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,267</w:t>
            </w:r>
          </w:p>
        </w:tc>
        <w:tc>
          <w:tcPr>
            <w:tcW w:w="1414" w:type="dxa"/>
            <w:tcBorders>
              <w:top w:val="nil"/>
            </w:tcBorders>
            <w:shd w:val="clear" w:color="auto" w:fill="FFFFFF"/>
            <w:vAlign w:val="center"/>
          </w:tcPr>
          <w:p w14:paraId="54B47E8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right w:val="single" w:sz="16" w:space="0" w:color="000000"/>
            </w:tcBorders>
            <w:shd w:val="clear" w:color="auto" w:fill="FFFFFF"/>
            <w:vAlign w:val="center"/>
          </w:tcPr>
          <w:p w14:paraId="2B66E14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3C7E4970" w14:textId="77777777" w:rsidTr="008E59D3">
        <w:trPr>
          <w:cantSplit/>
        </w:trPr>
        <w:tc>
          <w:tcPr>
            <w:tcW w:w="1046" w:type="dxa"/>
            <w:vMerge w:val="restart"/>
            <w:tcBorders>
              <w:top w:val="nil"/>
              <w:left w:val="single" w:sz="16" w:space="0" w:color="000000"/>
              <w:right w:val="nil"/>
            </w:tcBorders>
            <w:shd w:val="clear" w:color="auto" w:fill="FFFFFF"/>
          </w:tcPr>
          <w:p w14:paraId="2F2E6B07"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092" w:type="dxa"/>
            <w:tcBorders>
              <w:top w:val="nil"/>
              <w:left w:val="nil"/>
              <w:bottom w:val="nil"/>
              <w:right w:val="single" w:sz="16" w:space="0" w:color="000000"/>
            </w:tcBorders>
            <w:shd w:val="clear" w:color="auto" w:fill="FFFFFF"/>
          </w:tcPr>
          <w:p w14:paraId="22CCB34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2205719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w:t>
            </w:r>
          </w:p>
        </w:tc>
        <w:tc>
          <w:tcPr>
            <w:tcW w:w="1076" w:type="dxa"/>
            <w:tcBorders>
              <w:top w:val="nil"/>
              <w:bottom w:val="nil"/>
            </w:tcBorders>
            <w:shd w:val="clear" w:color="auto" w:fill="FFFFFF"/>
            <w:vAlign w:val="center"/>
          </w:tcPr>
          <w:p w14:paraId="45E2C74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2803D57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,578</w:t>
            </w:r>
          </w:p>
        </w:tc>
        <w:tc>
          <w:tcPr>
            <w:tcW w:w="1414" w:type="dxa"/>
            <w:tcBorders>
              <w:top w:val="nil"/>
              <w:bottom w:val="nil"/>
            </w:tcBorders>
            <w:shd w:val="clear" w:color="auto" w:fill="FFFFFF"/>
            <w:vAlign w:val="center"/>
          </w:tcPr>
          <w:p w14:paraId="36204A6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0FD3696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6807A9E3" w14:textId="77777777" w:rsidTr="008E59D3">
        <w:trPr>
          <w:cantSplit/>
        </w:trPr>
        <w:tc>
          <w:tcPr>
            <w:tcW w:w="1046" w:type="dxa"/>
            <w:vMerge/>
            <w:tcBorders>
              <w:top w:val="nil"/>
              <w:left w:val="single" w:sz="16" w:space="0" w:color="000000"/>
              <w:right w:val="nil"/>
            </w:tcBorders>
            <w:shd w:val="clear" w:color="auto" w:fill="FFFFFF"/>
          </w:tcPr>
          <w:p w14:paraId="53D4250E"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C9E5BFC"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323B9A7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76" w:type="dxa"/>
            <w:tcBorders>
              <w:top w:val="nil"/>
              <w:bottom w:val="nil"/>
            </w:tcBorders>
            <w:shd w:val="clear" w:color="auto" w:fill="FFFFFF"/>
            <w:vAlign w:val="center"/>
          </w:tcPr>
          <w:p w14:paraId="33A2228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c>
          <w:tcPr>
            <w:tcW w:w="1029" w:type="dxa"/>
            <w:tcBorders>
              <w:top w:val="nil"/>
              <w:bottom w:val="nil"/>
            </w:tcBorders>
            <w:shd w:val="clear" w:color="auto" w:fill="FFFFFF"/>
            <w:vAlign w:val="center"/>
          </w:tcPr>
          <w:p w14:paraId="6E1421B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,522</w:t>
            </w:r>
          </w:p>
        </w:tc>
        <w:tc>
          <w:tcPr>
            <w:tcW w:w="1414" w:type="dxa"/>
            <w:tcBorders>
              <w:top w:val="nil"/>
              <w:bottom w:val="nil"/>
            </w:tcBorders>
            <w:shd w:val="clear" w:color="auto" w:fill="FFFFFF"/>
            <w:vAlign w:val="center"/>
          </w:tcPr>
          <w:p w14:paraId="155F111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7B1ECF6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518844CF" w14:textId="77777777" w:rsidTr="008E59D3">
        <w:trPr>
          <w:cantSplit/>
        </w:trPr>
        <w:tc>
          <w:tcPr>
            <w:tcW w:w="1046" w:type="dxa"/>
            <w:vMerge/>
            <w:tcBorders>
              <w:top w:val="nil"/>
              <w:left w:val="single" w:sz="16" w:space="0" w:color="000000"/>
              <w:right w:val="nil"/>
            </w:tcBorders>
            <w:shd w:val="clear" w:color="auto" w:fill="FFFFFF"/>
          </w:tcPr>
          <w:p w14:paraId="090D52E5"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F31BE1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1257046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2F4FA64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1DABA02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,042</w:t>
            </w:r>
          </w:p>
        </w:tc>
        <w:tc>
          <w:tcPr>
            <w:tcW w:w="1414" w:type="dxa"/>
            <w:tcBorders>
              <w:top w:val="nil"/>
              <w:bottom w:val="nil"/>
            </w:tcBorders>
            <w:shd w:val="clear" w:color="auto" w:fill="FFFFFF"/>
            <w:vAlign w:val="center"/>
          </w:tcPr>
          <w:p w14:paraId="5C2AE8C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bottom w:val="nil"/>
              <w:right w:val="single" w:sz="16" w:space="0" w:color="000000"/>
            </w:tcBorders>
            <w:shd w:val="clear" w:color="auto" w:fill="FFFFFF"/>
            <w:vAlign w:val="center"/>
          </w:tcPr>
          <w:p w14:paraId="75301AF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w:t>
            </w:r>
          </w:p>
        </w:tc>
      </w:tr>
      <w:tr w:rsidR="00D51049" w:rsidRPr="008E59D3" w14:paraId="438B855A" w14:textId="77777777" w:rsidTr="008E59D3">
        <w:trPr>
          <w:cantSplit/>
        </w:trPr>
        <w:tc>
          <w:tcPr>
            <w:tcW w:w="1046" w:type="dxa"/>
            <w:vMerge/>
            <w:tcBorders>
              <w:top w:val="nil"/>
              <w:left w:val="single" w:sz="16" w:space="0" w:color="000000"/>
              <w:right w:val="nil"/>
            </w:tcBorders>
            <w:shd w:val="clear" w:color="auto" w:fill="FFFFFF"/>
          </w:tcPr>
          <w:p w14:paraId="73C49E6D"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8FEA4A5"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3BFF414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p>
        </w:tc>
        <w:tc>
          <w:tcPr>
            <w:tcW w:w="1076" w:type="dxa"/>
            <w:tcBorders>
              <w:top w:val="nil"/>
              <w:bottom w:val="nil"/>
            </w:tcBorders>
            <w:shd w:val="clear" w:color="auto" w:fill="FFFFFF"/>
            <w:vAlign w:val="center"/>
          </w:tcPr>
          <w:p w14:paraId="4A77495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5D4613B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,189</w:t>
            </w:r>
          </w:p>
        </w:tc>
        <w:tc>
          <w:tcPr>
            <w:tcW w:w="1414" w:type="dxa"/>
            <w:tcBorders>
              <w:top w:val="nil"/>
              <w:bottom w:val="nil"/>
            </w:tcBorders>
            <w:shd w:val="clear" w:color="auto" w:fill="FFFFFF"/>
            <w:vAlign w:val="center"/>
          </w:tcPr>
          <w:p w14:paraId="646FC77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2F434A7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1887E51B" w14:textId="77777777" w:rsidTr="008E59D3">
        <w:trPr>
          <w:cantSplit/>
        </w:trPr>
        <w:tc>
          <w:tcPr>
            <w:tcW w:w="1046" w:type="dxa"/>
            <w:vMerge/>
            <w:tcBorders>
              <w:top w:val="nil"/>
              <w:left w:val="single" w:sz="16" w:space="0" w:color="000000"/>
              <w:right w:val="nil"/>
            </w:tcBorders>
            <w:shd w:val="clear" w:color="auto" w:fill="FFFFFF"/>
          </w:tcPr>
          <w:p w14:paraId="5A879F4A"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FF6D2A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5AFCBC7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bottom w:val="nil"/>
            </w:tcBorders>
            <w:shd w:val="clear" w:color="auto" w:fill="FFFFFF"/>
            <w:vAlign w:val="center"/>
          </w:tcPr>
          <w:p w14:paraId="2CD712F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51FFA9F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,685</w:t>
            </w:r>
          </w:p>
        </w:tc>
        <w:tc>
          <w:tcPr>
            <w:tcW w:w="1414" w:type="dxa"/>
            <w:tcBorders>
              <w:top w:val="nil"/>
              <w:bottom w:val="nil"/>
            </w:tcBorders>
            <w:shd w:val="clear" w:color="auto" w:fill="FFFFFF"/>
            <w:vAlign w:val="center"/>
          </w:tcPr>
          <w:p w14:paraId="5827EB2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0E7423A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6DF47EF0" w14:textId="77777777" w:rsidTr="008E59D3">
        <w:trPr>
          <w:cantSplit/>
        </w:trPr>
        <w:tc>
          <w:tcPr>
            <w:tcW w:w="1046" w:type="dxa"/>
            <w:vMerge/>
            <w:tcBorders>
              <w:top w:val="nil"/>
              <w:left w:val="single" w:sz="16" w:space="0" w:color="000000"/>
              <w:right w:val="nil"/>
            </w:tcBorders>
            <w:shd w:val="clear" w:color="auto" w:fill="FFFFFF"/>
          </w:tcPr>
          <w:p w14:paraId="306CFBD3"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0059E46"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5295CE5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w:t>
            </w:r>
          </w:p>
        </w:tc>
        <w:tc>
          <w:tcPr>
            <w:tcW w:w="1076" w:type="dxa"/>
            <w:tcBorders>
              <w:top w:val="nil"/>
              <w:bottom w:val="nil"/>
            </w:tcBorders>
            <w:shd w:val="clear" w:color="auto" w:fill="FFFFFF"/>
            <w:vAlign w:val="center"/>
          </w:tcPr>
          <w:p w14:paraId="581A344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0053682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,528</w:t>
            </w:r>
          </w:p>
        </w:tc>
        <w:tc>
          <w:tcPr>
            <w:tcW w:w="1414" w:type="dxa"/>
            <w:tcBorders>
              <w:top w:val="nil"/>
              <w:bottom w:val="nil"/>
            </w:tcBorders>
            <w:shd w:val="clear" w:color="auto" w:fill="FFFFFF"/>
            <w:vAlign w:val="center"/>
          </w:tcPr>
          <w:p w14:paraId="1ACE442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761A672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543A0672" w14:textId="77777777" w:rsidTr="008E59D3">
        <w:trPr>
          <w:cantSplit/>
        </w:trPr>
        <w:tc>
          <w:tcPr>
            <w:tcW w:w="1046" w:type="dxa"/>
            <w:vMerge/>
            <w:tcBorders>
              <w:top w:val="nil"/>
              <w:left w:val="single" w:sz="16" w:space="0" w:color="000000"/>
              <w:right w:val="nil"/>
            </w:tcBorders>
            <w:shd w:val="clear" w:color="auto" w:fill="FFFFFF"/>
          </w:tcPr>
          <w:p w14:paraId="57B69E85"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3EC2C5C"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666E894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w:t>
            </w:r>
          </w:p>
        </w:tc>
        <w:tc>
          <w:tcPr>
            <w:tcW w:w="1076" w:type="dxa"/>
            <w:tcBorders>
              <w:top w:val="nil"/>
              <w:bottom w:val="nil"/>
            </w:tcBorders>
            <w:shd w:val="clear" w:color="auto" w:fill="FFFFFF"/>
            <w:vAlign w:val="center"/>
          </w:tcPr>
          <w:p w14:paraId="399664E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59A9DD8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,068</w:t>
            </w:r>
          </w:p>
        </w:tc>
        <w:tc>
          <w:tcPr>
            <w:tcW w:w="1414" w:type="dxa"/>
            <w:tcBorders>
              <w:top w:val="nil"/>
              <w:bottom w:val="nil"/>
            </w:tcBorders>
            <w:shd w:val="clear" w:color="auto" w:fill="FFFFFF"/>
            <w:vAlign w:val="center"/>
          </w:tcPr>
          <w:p w14:paraId="64A3E47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bottom w:val="nil"/>
              <w:right w:val="single" w:sz="16" w:space="0" w:color="000000"/>
            </w:tcBorders>
            <w:shd w:val="clear" w:color="auto" w:fill="FFFFFF"/>
            <w:vAlign w:val="center"/>
          </w:tcPr>
          <w:p w14:paraId="7E81CA4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w:t>
            </w:r>
          </w:p>
        </w:tc>
      </w:tr>
      <w:tr w:rsidR="00D51049" w:rsidRPr="008E59D3" w14:paraId="2F7BC182" w14:textId="77777777" w:rsidTr="008E59D3">
        <w:trPr>
          <w:cantSplit/>
        </w:trPr>
        <w:tc>
          <w:tcPr>
            <w:tcW w:w="1046" w:type="dxa"/>
            <w:vMerge/>
            <w:tcBorders>
              <w:top w:val="nil"/>
              <w:left w:val="single" w:sz="16" w:space="0" w:color="000000"/>
              <w:right w:val="nil"/>
            </w:tcBorders>
            <w:shd w:val="clear" w:color="auto" w:fill="FFFFFF"/>
          </w:tcPr>
          <w:p w14:paraId="5116189B"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7BAE04D"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373BDCB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w:t>
            </w:r>
          </w:p>
        </w:tc>
        <w:tc>
          <w:tcPr>
            <w:tcW w:w="1076" w:type="dxa"/>
            <w:tcBorders>
              <w:top w:val="nil"/>
              <w:bottom w:val="nil"/>
            </w:tcBorders>
            <w:shd w:val="clear" w:color="auto" w:fill="FFFFFF"/>
            <w:vAlign w:val="center"/>
          </w:tcPr>
          <w:p w14:paraId="0E8E294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7ED32EE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,132</w:t>
            </w:r>
          </w:p>
        </w:tc>
        <w:tc>
          <w:tcPr>
            <w:tcW w:w="1414" w:type="dxa"/>
            <w:tcBorders>
              <w:top w:val="nil"/>
              <w:bottom w:val="nil"/>
            </w:tcBorders>
            <w:shd w:val="clear" w:color="auto" w:fill="FFFFFF"/>
            <w:vAlign w:val="center"/>
          </w:tcPr>
          <w:p w14:paraId="06BA91F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bottom w:val="nil"/>
              <w:right w:val="single" w:sz="16" w:space="0" w:color="000000"/>
            </w:tcBorders>
            <w:shd w:val="clear" w:color="auto" w:fill="FFFFFF"/>
            <w:vAlign w:val="center"/>
          </w:tcPr>
          <w:p w14:paraId="3E7F2A0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51A1020B" w14:textId="77777777" w:rsidTr="008E59D3">
        <w:trPr>
          <w:cantSplit/>
        </w:trPr>
        <w:tc>
          <w:tcPr>
            <w:tcW w:w="1046" w:type="dxa"/>
            <w:vMerge/>
            <w:tcBorders>
              <w:top w:val="nil"/>
              <w:left w:val="single" w:sz="16" w:space="0" w:color="000000"/>
              <w:right w:val="nil"/>
            </w:tcBorders>
            <w:shd w:val="clear" w:color="auto" w:fill="FFFFFF"/>
          </w:tcPr>
          <w:p w14:paraId="39BB5AD7"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6398AFF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73A26F1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r w:rsidRPr="008E59D3">
              <w:rPr>
                <w:rFonts w:cs="Arial"/>
                <w:color w:val="000000"/>
                <w:sz w:val="16"/>
                <w:szCs w:val="16"/>
                <w:vertAlign w:val="superscript"/>
                <w:lang w:val="en-GB"/>
              </w:rPr>
              <w:t>*</w:t>
            </w:r>
          </w:p>
        </w:tc>
        <w:tc>
          <w:tcPr>
            <w:tcW w:w="1076" w:type="dxa"/>
            <w:tcBorders>
              <w:top w:val="nil"/>
            </w:tcBorders>
            <w:shd w:val="clear" w:color="auto" w:fill="FFFFFF"/>
            <w:vAlign w:val="center"/>
          </w:tcPr>
          <w:p w14:paraId="398D9F1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tcBorders>
            <w:shd w:val="clear" w:color="auto" w:fill="FFFFFF"/>
            <w:vAlign w:val="center"/>
          </w:tcPr>
          <w:p w14:paraId="091C795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,027</w:t>
            </w:r>
          </w:p>
        </w:tc>
        <w:tc>
          <w:tcPr>
            <w:tcW w:w="1414" w:type="dxa"/>
            <w:tcBorders>
              <w:top w:val="nil"/>
            </w:tcBorders>
            <w:shd w:val="clear" w:color="auto" w:fill="FFFFFF"/>
            <w:vAlign w:val="center"/>
          </w:tcPr>
          <w:p w14:paraId="2467C57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right w:val="single" w:sz="16" w:space="0" w:color="000000"/>
            </w:tcBorders>
            <w:shd w:val="clear" w:color="auto" w:fill="FFFFFF"/>
            <w:vAlign w:val="center"/>
          </w:tcPr>
          <w:p w14:paraId="3C101FC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21A0511E" w14:textId="77777777" w:rsidTr="008E59D3">
        <w:trPr>
          <w:cantSplit/>
        </w:trPr>
        <w:tc>
          <w:tcPr>
            <w:tcW w:w="1046" w:type="dxa"/>
            <w:vMerge w:val="restart"/>
            <w:tcBorders>
              <w:top w:val="nil"/>
              <w:left w:val="single" w:sz="16" w:space="0" w:color="000000"/>
              <w:right w:val="nil"/>
            </w:tcBorders>
            <w:shd w:val="clear" w:color="auto" w:fill="FFFFFF"/>
          </w:tcPr>
          <w:p w14:paraId="28D84287"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092" w:type="dxa"/>
            <w:tcBorders>
              <w:top w:val="nil"/>
              <w:left w:val="nil"/>
              <w:bottom w:val="nil"/>
              <w:right w:val="single" w:sz="16" w:space="0" w:color="000000"/>
            </w:tcBorders>
            <w:shd w:val="clear" w:color="auto" w:fill="FFFFFF"/>
          </w:tcPr>
          <w:p w14:paraId="0B7D096A"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56DEEF3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-,016</w:t>
            </w:r>
          </w:p>
        </w:tc>
        <w:tc>
          <w:tcPr>
            <w:tcW w:w="1076" w:type="dxa"/>
            <w:tcBorders>
              <w:top w:val="nil"/>
              <w:bottom w:val="nil"/>
            </w:tcBorders>
            <w:shd w:val="clear" w:color="auto" w:fill="FFFFFF"/>
            <w:vAlign w:val="center"/>
          </w:tcPr>
          <w:p w14:paraId="418BE44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2EC2373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,073</w:t>
            </w:r>
          </w:p>
        </w:tc>
        <w:tc>
          <w:tcPr>
            <w:tcW w:w="1414" w:type="dxa"/>
            <w:tcBorders>
              <w:top w:val="nil"/>
              <w:bottom w:val="nil"/>
            </w:tcBorders>
            <w:shd w:val="clear" w:color="auto" w:fill="FFFFFF"/>
            <w:vAlign w:val="center"/>
          </w:tcPr>
          <w:p w14:paraId="6BCCF94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3183A01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6B90FFE0" w14:textId="77777777" w:rsidTr="008E59D3">
        <w:trPr>
          <w:cantSplit/>
        </w:trPr>
        <w:tc>
          <w:tcPr>
            <w:tcW w:w="1046" w:type="dxa"/>
            <w:vMerge/>
            <w:tcBorders>
              <w:top w:val="nil"/>
              <w:left w:val="single" w:sz="16" w:space="0" w:color="000000"/>
              <w:right w:val="nil"/>
            </w:tcBorders>
            <w:shd w:val="clear" w:color="auto" w:fill="FFFFFF"/>
          </w:tcPr>
          <w:p w14:paraId="1E54B46E"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29AB335"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73D9CA8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w:t>
            </w:r>
          </w:p>
        </w:tc>
        <w:tc>
          <w:tcPr>
            <w:tcW w:w="1076" w:type="dxa"/>
            <w:tcBorders>
              <w:top w:val="nil"/>
              <w:bottom w:val="nil"/>
            </w:tcBorders>
            <w:shd w:val="clear" w:color="auto" w:fill="FFFFFF"/>
            <w:vAlign w:val="center"/>
          </w:tcPr>
          <w:p w14:paraId="053B617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c>
          <w:tcPr>
            <w:tcW w:w="1029" w:type="dxa"/>
            <w:tcBorders>
              <w:top w:val="nil"/>
              <w:bottom w:val="nil"/>
            </w:tcBorders>
            <w:shd w:val="clear" w:color="auto" w:fill="FFFFFF"/>
            <w:vAlign w:val="center"/>
          </w:tcPr>
          <w:p w14:paraId="521672D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,238</w:t>
            </w:r>
          </w:p>
        </w:tc>
        <w:tc>
          <w:tcPr>
            <w:tcW w:w="1414" w:type="dxa"/>
            <w:tcBorders>
              <w:top w:val="nil"/>
              <w:bottom w:val="nil"/>
            </w:tcBorders>
            <w:shd w:val="clear" w:color="auto" w:fill="FFFFFF"/>
            <w:vAlign w:val="center"/>
          </w:tcPr>
          <w:p w14:paraId="4240517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w:t>
            </w:r>
          </w:p>
        </w:tc>
        <w:tc>
          <w:tcPr>
            <w:tcW w:w="1414" w:type="dxa"/>
            <w:tcBorders>
              <w:top w:val="nil"/>
              <w:bottom w:val="nil"/>
              <w:right w:val="single" w:sz="16" w:space="0" w:color="000000"/>
            </w:tcBorders>
            <w:shd w:val="clear" w:color="auto" w:fill="FFFFFF"/>
            <w:vAlign w:val="center"/>
          </w:tcPr>
          <w:p w14:paraId="3881EDE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7CC774C3" w14:textId="77777777" w:rsidTr="008E59D3">
        <w:trPr>
          <w:cantSplit/>
        </w:trPr>
        <w:tc>
          <w:tcPr>
            <w:tcW w:w="1046" w:type="dxa"/>
            <w:vMerge/>
            <w:tcBorders>
              <w:top w:val="nil"/>
              <w:left w:val="single" w:sz="16" w:space="0" w:color="000000"/>
              <w:right w:val="nil"/>
            </w:tcBorders>
            <w:shd w:val="clear" w:color="auto" w:fill="FFFFFF"/>
          </w:tcPr>
          <w:p w14:paraId="34B5145C"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1DADB2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64151BF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-,021</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18DE953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2E0E571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,042</w:t>
            </w:r>
          </w:p>
        </w:tc>
        <w:tc>
          <w:tcPr>
            <w:tcW w:w="1414" w:type="dxa"/>
            <w:tcBorders>
              <w:top w:val="nil"/>
              <w:bottom w:val="nil"/>
            </w:tcBorders>
            <w:shd w:val="clear" w:color="auto" w:fill="FFFFFF"/>
            <w:vAlign w:val="center"/>
          </w:tcPr>
          <w:p w14:paraId="772EC79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w:t>
            </w:r>
          </w:p>
        </w:tc>
        <w:tc>
          <w:tcPr>
            <w:tcW w:w="1414" w:type="dxa"/>
            <w:tcBorders>
              <w:top w:val="nil"/>
              <w:bottom w:val="nil"/>
              <w:right w:val="single" w:sz="16" w:space="0" w:color="000000"/>
            </w:tcBorders>
            <w:shd w:val="clear" w:color="auto" w:fill="FFFFFF"/>
            <w:vAlign w:val="center"/>
          </w:tcPr>
          <w:p w14:paraId="58ACEB3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7DC6AF14" w14:textId="77777777" w:rsidTr="008E59D3">
        <w:trPr>
          <w:cantSplit/>
        </w:trPr>
        <w:tc>
          <w:tcPr>
            <w:tcW w:w="1046" w:type="dxa"/>
            <w:vMerge/>
            <w:tcBorders>
              <w:top w:val="nil"/>
              <w:left w:val="single" w:sz="16" w:space="0" w:color="000000"/>
              <w:right w:val="nil"/>
            </w:tcBorders>
            <w:shd w:val="clear" w:color="auto" w:fill="FFFFFF"/>
          </w:tcPr>
          <w:p w14:paraId="0AD7655D"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4585277"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4B60631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76" w:type="dxa"/>
            <w:tcBorders>
              <w:top w:val="nil"/>
              <w:bottom w:val="nil"/>
            </w:tcBorders>
            <w:shd w:val="clear" w:color="auto" w:fill="FFFFFF"/>
            <w:vAlign w:val="center"/>
          </w:tcPr>
          <w:p w14:paraId="4BC73F1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35CCB40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,403</w:t>
            </w:r>
          </w:p>
        </w:tc>
        <w:tc>
          <w:tcPr>
            <w:tcW w:w="1414" w:type="dxa"/>
            <w:tcBorders>
              <w:top w:val="nil"/>
              <w:bottom w:val="nil"/>
            </w:tcBorders>
            <w:shd w:val="clear" w:color="auto" w:fill="FFFFFF"/>
            <w:vAlign w:val="center"/>
          </w:tcPr>
          <w:p w14:paraId="0923DD8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3FF6E54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11D6AB19" w14:textId="77777777" w:rsidTr="008E59D3">
        <w:trPr>
          <w:cantSplit/>
        </w:trPr>
        <w:tc>
          <w:tcPr>
            <w:tcW w:w="1046" w:type="dxa"/>
            <w:vMerge/>
            <w:tcBorders>
              <w:top w:val="nil"/>
              <w:left w:val="single" w:sz="16" w:space="0" w:color="000000"/>
              <w:right w:val="nil"/>
            </w:tcBorders>
            <w:shd w:val="clear" w:color="auto" w:fill="FFFFFF"/>
          </w:tcPr>
          <w:p w14:paraId="4A378DBF"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045BF6A"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1ECD15F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w:t>
            </w:r>
          </w:p>
        </w:tc>
        <w:tc>
          <w:tcPr>
            <w:tcW w:w="1076" w:type="dxa"/>
            <w:tcBorders>
              <w:top w:val="nil"/>
              <w:bottom w:val="nil"/>
            </w:tcBorders>
            <w:shd w:val="clear" w:color="auto" w:fill="FFFFFF"/>
            <w:vAlign w:val="center"/>
          </w:tcPr>
          <w:p w14:paraId="3CD11B2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3D0C2A6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,063</w:t>
            </w:r>
          </w:p>
        </w:tc>
        <w:tc>
          <w:tcPr>
            <w:tcW w:w="1414" w:type="dxa"/>
            <w:tcBorders>
              <w:top w:val="nil"/>
              <w:bottom w:val="nil"/>
            </w:tcBorders>
            <w:shd w:val="clear" w:color="auto" w:fill="FFFFFF"/>
            <w:vAlign w:val="center"/>
          </w:tcPr>
          <w:p w14:paraId="16C436F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w:t>
            </w:r>
          </w:p>
        </w:tc>
        <w:tc>
          <w:tcPr>
            <w:tcW w:w="1414" w:type="dxa"/>
            <w:tcBorders>
              <w:top w:val="nil"/>
              <w:bottom w:val="nil"/>
              <w:right w:val="single" w:sz="16" w:space="0" w:color="000000"/>
            </w:tcBorders>
            <w:shd w:val="clear" w:color="auto" w:fill="FFFFFF"/>
            <w:vAlign w:val="center"/>
          </w:tcPr>
          <w:p w14:paraId="007E8C3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651B646B" w14:textId="77777777" w:rsidTr="008E59D3">
        <w:trPr>
          <w:cantSplit/>
        </w:trPr>
        <w:tc>
          <w:tcPr>
            <w:tcW w:w="1046" w:type="dxa"/>
            <w:vMerge/>
            <w:tcBorders>
              <w:top w:val="nil"/>
              <w:left w:val="single" w:sz="16" w:space="0" w:color="000000"/>
              <w:right w:val="nil"/>
            </w:tcBorders>
            <w:shd w:val="clear" w:color="auto" w:fill="FFFFFF"/>
          </w:tcPr>
          <w:p w14:paraId="736E94A1"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448D2D1"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28CC9AE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w:t>
            </w:r>
          </w:p>
        </w:tc>
        <w:tc>
          <w:tcPr>
            <w:tcW w:w="1076" w:type="dxa"/>
            <w:tcBorders>
              <w:top w:val="nil"/>
              <w:bottom w:val="nil"/>
            </w:tcBorders>
            <w:shd w:val="clear" w:color="auto" w:fill="FFFFFF"/>
            <w:vAlign w:val="center"/>
          </w:tcPr>
          <w:p w14:paraId="4C6071C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2AFAC16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,093</w:t>
            </w:r>
          </w:p>
        </w:tc>
        <w:tc>
          <w:tcPr>
            <w:tcW w:w="1414" w:type="dxa"/>
            <w:tcBorders>
              <w:top w:val="nil"/>
              <w:bottom w:val="nil"/>
            </w:tcBorders>
            <w:shd w:val="clear" w:color="auto" w:fill="FFFFFF"/>
            <w:vAlign w:val="center"/>
          </w:tcPr>
          <w:p w14:paraId="70DA76E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080FE6F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58FF1145" w14:textId="77777777" w:rsidTr="008E59D3">
        <w:trPr>
          <w:cantSplit/>
        </w:trPr>
        <w:tc>
          <w:tcPr>
            <w:tcW w:w="1046" w:type="dxa"/>
            <w:vMerge/>
            <w:tcBorders>
              <w:top w:val="nil"/>
              <w:left w:val="single" w:sz="16" w:space="0" w:color="000000"/>
              <w:right w:val="nil"/>
            </w:tcBorders>
            <w:shd w:val="clear" w:color="auto" w:fill="FFFFFF"/>
          </w:tcPr>
          <w:p w14:paraId="66E857E7"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A811C7F"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462F1D5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bottom w:val="nil"/>
            </w:tcBorders>
            <w:shd w:val="clear" w:color="auto" w:fill="FFFFFF"/>
            <w:vAlign w:val="center"/>
          </w:tcPr>
          <w:p w14:paraId="188546F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4C00E3C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,644</w:t>
            </w:r>
          </w:p>
        </w:tc>
        <w:tc>
          <w:tcPr>
            <w:tcW w:w="1414" w:type="dxa"/>
            <w:tcBorders>
              <w:top w:val="nil"/>
              <w:bottom w:val="nil"/>
            </w:tcBorders>
            <w:shd w:val="clear" w:color="auto" w:fill="FFFFFF"/>
            <w:vAlign w:val="center"/>
          </w:tcPr>
          <w:p w14:paraId="592E0B0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566AC47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75C058D2" w14:textId="77777777" w:rsidTr="008E59D3">
        <w:trPr>
          <w:cantSplit/>
        </w:trPr>
        <w:tc>
          <w:tcPr>
            <w:tcW w:w="1046" w:type="dxa"/>
            <w:vMerge/>
            <w:tcBorders>
              <w:top w:val="nil"/>
              <w:left w:val="single" w:sz="16" w:space="0" w:color="000000"/>
              <w:right w:val="nil"/>
            </w:tcBorders>
            <w:shd w:val="clear" w:color="auto" w:fill="FFFFFF"/>
          </w:tcPr>
          <w:p w14:paraId="4C466553"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3A9F226"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69BB833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76" w:type="dxa"/>
            <w:tcBorders>
              <w:top w:val="nil"/>
              <w:bottom w:val="nil"/>
            </w:tcBorders>
            <w:shd w:val="clear" w:color="auto" w:fill="FFFFFF"/>
            <w:vAlign w:val="center"/>
          </w:tcPr>
          <w:p w14:paraId="59A5553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36C29AA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,456</w:t>
            </w:r>
          </w:p>
        </w:tc>
        <w:tc>
          <w:tcPr>
            <w:tcW w:w="1414" w:type="dxa"/>
            <w:tcBorders>
              <w:top w:val="nil"/>
              <w:bottom w:val="nil"/>
            </w:tcBorders>
            <w:shd w:val="clear" w:color="auto" w:fill="FFFFFF"/>
            <w:vAlign w:val="center"/>
          </w:tcPr>
          <w:p w14:paraId="62B3248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0D8D033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23387B1D" w14:textId="77777777" w:rsidTr="008E59D3">
        <w:trPr>
          <w:cantSplit/>
        </w:trPr>
        <w:tc>
          <w:tcPr>
            <w:tcW w:w="1046" w:type="dxa"/>
            <w:vMerge/>
            <w:tcBorders>
              <w:top w:val="nil"/>
              <w:left w:val="single" w:sz="16" w:space="0" w:color="000000"/>
              <w:right w:val="nil"/>
            </w:tcBorders>
            <w:shd w:val="clear" w:color="auto" w:fill="FFFFFF"/>
          </w:tcPr>
          <w:p w14:paraId="6F1C7150"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3134022C"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3344326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-,003</w:t>
            </w:r>
          </w:p>
        </w:tc>
        <w:tc>
          <w:tcPr>
            <w:tcW w:w="1076" w:type="dxa"/>
            <w:tcBorders>
              <w:top w:val="nil"/>
            </w:tcBorders>
            <w:shd w:val="clear" w:color="auto" w:fill="FFFFFF"/>
            <w:vAlign w:val="center"/>
          </w:tcPr>
          <w:p w14:paraId="5A4F03F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tcBorders>
            <w:shd w:val="clear" w:color="auto" w:fill="FFFFFF"/>
            <w:vAlign w:val="center"/>
          </w:tcPr>
          <w:p w14:paraId="245722E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,702</w:t>
            </w:r>
          </w:p>
        </w:tc>
        <w:tc>
          <w:tcPr>
            <w:tcW w:w="1414" w:type="dxa"/>
            <w:tcBorders>
              <w:top w:val="nil"/>
            </w:tcBorders>
            <w:shd w:val="clear" w:color="auto" w:fill="FFFFFF"/>
            <w:vAlign w:val="center"/>
          </w:tcPr>
          <w:p w14:paraId="3DE3809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right w:val="single" w:sz="16" w:space="0" w:color="000000"/>
            </w:tcBorders>
            <w:shd w:val="clear" w:color="auto" w:fill="FFFFFF"/>
            <w:vAlign w:val="center"/>
          </w:tcPr>
          <w:p w14:paraId="5BC8036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03E89CBD" w14:textId="77777777" w:rsidTr="008E59D3">
        <w:trPr>
          <w:cantSplit/>
        </w:trPr>
        <w:tc>
          <w:tcPr>
            <w:tcW w:w="1046" w:type="dxa"/>
            <w:vMerge w:val="restart"/>
            <w:tcBorders>
              <w:top w:val="nil"/>
              <w:left w:val="single" w:sz="16" w:space="0" w:color="000000"/>
              <w:right w:val="nil"/>
            </w:tcBorders>
            <w:shd w:val="clear" w:color="auto" w:fill="FFFFFF"/>
          </w:tcPr>
          <w:p w14:paraId="48D7CD71"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092" w:type="dxa"/>
            <w:tcBorders>
              <w:top w:val="nil"/>
              <w:left w:val="nil"/>
              <w:bottom w:val="nil"/>
              <w:right w:val="single" w:sz="16" w:space="0" w:color="000000"/>
            </w:tcBorders>
            <w:shd w:val="clear" w:color="auto" w:fill="FFFFFF"/>
          </w:tcPr>
          <w:p w14:paraId="19F153F3"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5A2E5A5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76" w:type="dxa"/>
            <w:tcBorders>
              <w:top w:val="nil"/>
              <w:bottom w:val="nil"/>
            </w:tcBorders>
            <w:shd w:val="clear" w:color="auto" w:fill="FFFFFF"/>
            <w:vAlign w:val="center"/>
          </w:tcPr>
          <w:p w14:paraId="3F4C4C8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6D2125E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,348</w:t>
            </w:r>
          </w:p>
        </w:tc>
        <w:tc>
          <w:tcPr>
            <w:tcW w:w="1414" w:type="dxa"/>
            <w:tcBorders>
              <w:top w:val="nil"/>
              <w:bottom w:val="nil"/>
            </w:tcBorders>
            <w:shd w:val="clear" w:color="auto" w:fill="FFFFFF"/>
            <w:vAlign w:val="center"/>
          </w:tcPr>
          <w:p w14:paraId="2BB895C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6356618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5053B396" w14:textId="77777777" w:rsidTr="008E59D3">
        <w:trPr>
          <w:cantSplit/>
        </w:trPr>
        <w:tc>
          <w:tcPr>
            <w:tcW w:w="1046" w:type="dxa"/>
            <w:vMerge/>
            <w:tcBorders>
              <w:top w:val="nil"/>
              <w:left w:val="single" w:sz="16" w:space="0" w:color="000000"/>
              <w:right w:val="nil"/>
            </w:tcBorders>
            <w:shd w:val="clear" w:color="auto" w:fill="FFFFFF"/>
          </w:tcPr>
          <w:p w14:paraId="0DD1BB95"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215EA18"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5DC25F9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w:t>
            </w:r>
          </w:p>
        </w:tc>
        <w:tc>
          <w:tcPr>
            <w:tcW w:w="1076" w:type="dxa"/>
            <w:tcBorders>
              <w:top w:val="nil"/>
              <w:bottom w:val="nil"/>
            </w:tcBorders>
            <w:shd w:val="clear" w:color="auto" w:fill="FFFFFF"/>
            <w:vAlign w:val="center"/>
          </w:tcPr>
          <w:p w14:paraId="04D987D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283CD2C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,618</w:t>
            </w:r>
          </w:p>
        </w:tc>
        <w:tc>
          <w:tcPr>
            <w:tcW w:w="1414" w:type="dxa"/>
            <w:tcBorders>
              <w:top w:val="nil"/>
              <w:bottom w:val="nil"/>
            </w:tcBorders>
            <w:shd w:val="clear" w:color="auto" w:fill="FFFFFF"/>
            <w:vAlign w:val="center"/>
          </w:tcPr>
          <w:p w14:paraId="406E819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6A6F711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615C29FE" w14:textId="77777777" w:rsidTr="008E59D3">
        <w:trPr>
          <w:cantSplit/>
        </w:trPr>
        <w:tc>
          <w:tcPr>
            <w:tcW w:w="1046" w:type="dxa"/>
            <w:vMerge/>
            <w:tcBorders>
              <w:top w:val="nil"/>
              <w:left w:val="single" w:sz="16" w:space="0" w:color="000000"/>
              <w:right w:val="nil"/>
            </w:tcBorders>
            <w:shd w:val="clear" w:color="auto" w:fill="FFFFFF"/>
          </w:tcPr>
          <w:p w14:paraId="361D6EF7"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236BBA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28CA62F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p>
        </w:tc>
        <w:tc>
          <w:tcPr>
            <w:tcW w:w="1076" w:type="dxa"/>
            <w:tcBorders>
              <w:top w:val="nil"/>
              <w:bottom w:val="nil"/>
            </w:tcBorders>
            <w:shd w:val="clear" w:color="auto" w:fill="FFFFFF"/>
            <w:vAlign w:val="center"/>
          </w:tcPr>
          <w:p w14:paraId="7743816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73C77CC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,189</w:t>
            </w:r>
          </w:p>
        </w:tc>
        <w:tc>
          <w:tcPr>
            <w:tcW w:w="1414" w:type="dxa"/>
            <w:tcBorders>
              <w:top w:val="nil"/>
              <w:bottom w:val="nil"/>
            </w:tcBorders>
            <w:shd w:val="clear" w:color="auto" w:fill="FFFFFF"/>
            <w:vAlign w:val="center"/>
          </w:tcPr>
          <w:p w14:paraId="470A684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754E8BF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37120274" w14:textId="77777777" w:rsidTr="008E59D3">
        <w:trPr>
          <w:cantSplit/>
        </w:trPr>
        <w:tc>
          <w:tcPr>
            <w:tcW w:w="1046" w:type="dxa"/>
            <w:vMerge/>
            <w:tcBorders>
              <w:top w:val="nil"/>
              <w:left w:val="single" w:sz="16" w:space="0" w:color="000000"/>
              <w:right w:val="nil"/>
            </w:tcBorders>
            <w:shd w:val="clear" w:color="auto" w:fill="FFFFFF"/>
          </w:tcPr>
          <w:p w14:paraId="27C3D602"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EF5D15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576BA19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76" w:type="dxa"/>
            <w:tcBorders>
              <w:top w:val="nil"/>
              <w:bottom w:val="nil"/>
            </w:tcBorders>
            <w:shd w:val="clear" w:color="auto" w:fill="FFFFFF"/>
            <w:vAlign w:val="center"/>
          </w:tcPr>
          <w:p w14:paraId="5722C1D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6B72765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,403</w:t>
            </w:r>
          </w:p>
        </w:tc>
        <w:tc>
          <w:tcPr>
            <w:tcW w:w="1414" w:type="dxa"/>
            <w:tcBorders>
              <w:top w:val="nil"/>
              <w:bottom w:val="nil"/>
            </w:tcBorders>
            <w:shd w:val="clear" w:color="auto" w:fill="FFFFFF"/>
            <w:vAlign w:val="center"/>
          </w:tcPr>
          <w:p w14:paraId="21320A3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17BFE07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6AB334E5" w14:textId="77777777" w:rsidTr="008E59D3">
        <w:trPr>
          <w:cantSplit/>
        </w:trPr>
        <w:tc>
          <w:tcPr>
            <w:tcW w:w="1046" w:type="dxa"/>
            <w:vMerge/>
            <w:tcBorders>
              <w:top w:val="nil"/>
              <w:left w:val="single" w:sz="16" w:space="0" w:color="000000"/>
              <w:right w:val="nil"/>
            </w:tcBorders>
            <w:shd w:val="clear" w:color="auto" w:fill="FFFFFF"/>
          </w:tcPr>
          <w:p w14:paraId="48F4E6D8"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648C9FA"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6179700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76" w:type="dxa"/>
            <w:tcBorders>
              <w:top w:val="nil"/>
              <w:bottom w:val="nil"/>
            </w:tcBorders>
            <w:shd w:val="clear" w:color="auto" w:fill="FFFFFF"/>
            <w:vAlign w:val="center"/>
          </w:tcPr>
          <w:p w14:paraId="0ACBD89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49420CF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,298</w:t>
            </w:r>
          </w:p>
        </w:tc>
        <w:tc>
          <w:tcPr>
            <w:tcW w:w="1414" w:type="dxa"/>
            <w:tcBorders>
              <w:top w:val="nil"/>
              <w:bottom w:val="nil"/>
            </w:tcBorders>
            <w:shd w:val="clear" w:color="auto" w:fill="FFFFFF"/>
            <w:vAlign w:val="center"/>
          </w:tcPr>
          <w:p w14:paraId="05F7A12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07EEAEC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4D359222" w14:textId="77777777" w:rsidTr="008E59D3">
        <w:trPr>
          <w:cantSplit/>
        </w:trPr>
        <w:tc>
          <w:tcPr>
            <w:tcW w:w="1046" w:type="dxa"/>
            <w:vMerge/>
            <w:tcBorders>
              <w:top w:val="nil"/>
              <w:left w:val="single" w:sz="16" w:space="0" w:color="000000"/>
              <w:right w:val="nil"/>
            </w:tcBorders>
            <w:shd w:val="clear" w:color="auto" w:fill="FFFFFF"/>
          </w:tcPr>
          <w:p w14:paraId="78012F06"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075E05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252CE18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76" w:type="dxa"/>
            <w:tcBorders>
              <w:top w:val="nil"/>
              <w:bottom w:val="nil"/>
            </w:tcBorders>
            <w:shd w:val="clear" w:color="auto" w:fill="FFFFFF"/>
            <w:vAlign w:val="center"/>
          </w:tcPr>
          <w:p w14:paraId="45D56D3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27CB70A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,405</w:t>
            </w:r>
          </w:p>
        </w:tc>
        <w:tc>
          <w:tcPr>
            <w:tcW w:w="1414" w:type="dxa"/>
            <w:tcBorders>
              <w:top w:val="nil"/>
              <w:bottom w:val="nil"/>
            </w:tcBorders>
            <w:shd w:val="clear" w:color="auto" w:fill="FFFFFF"/>
            <w:vAlign w:val="center"/>
          </w:tcPr>
          <w:p w14:paraId="42AEA8A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4189595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3C23F01F" w14:textId="77777777" w:rsidTr="008E59D3">
        <w:trPr>
          <w:cantSplit/>
        </w:trPr>
        <w:tc>
          <w:tcPr>
            <w:tcW w:w="1046" w:type="dxa"/>
            <w:vMerge/>
            <w:tcBorders>
              <w:top w:val="nil"/>
              <w:left w:val="single" w:sz="16" w:space="0" w:color="000000"/>
              <w:right w:val="nil"/>
            </w:tcBorders>
            <w:shd w:val="clear" w:color="auto" w:fill="FFFFFF"/>
          </w:tcPr>
          <w:p w14:paraId="1B340449"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595278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3619688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bottom w:val="nil"/>
            </w:tcBorders>
            <w:shd w:val="clear" w:color="auto" w:fill="FFFFFF"/>
            <w:vAlign w:val="center"/>
          </w:tcPr>
          <w:p w14:paraId="07CC467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42B7C58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,643</w:t>
            </w:r>
          </w:p>
        </w:tc>
        <w:tc>
          <w:tcPr>
            <w:tcW w:w="1414" w:type="dxa"/>
            <w:tcBorders>
              <w:top w:val="nil"/>
              <w:bottom w:val="nil"/>
            </w:tcBorders>
            <w:shd w:val="clear" w:color="auto" w:fill="FFFFFF"/>
            <w:vAlign w:val="center"/>
          </w:tcPr>
          <w:p w14:paraId="1F22A44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0F0489B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7C0B3A61" w14:textId="77777777" w:rsidTr="008E59D3">
        <w:trPr>
          <w:cantSplit/>
        </w:trPr>
        <w:tc>
          <w:tcPr>
            <w:tcW w:w="1046" w:type="dxa"/>
            <w:vMerge/>
            <w:tcBorders>
              <w:top w:val="nil"/>
              <w:left w:val="single" w:sz="16" w:space="0" w:color="000000"/>
              <w:right w:val="nil"/>
            </w:tcBorders>
            <w:shd w:val="clear" w:color="auto" w:fill="FFFFFF"/>
          </w:tcPr>
          <w:p w14:paraId="49BFA968"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8D2D3F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2B19CA9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076" w:type="dxa"/>
            <w:tcBorders>
              <w:top w:val="nil"/>
              <w:bottom w:val="nil"/>
            </w:tcBorders>
            <w:shd w:val="clear" w:color="auto" w:fill="FFFFFF"/>
            <w:vAlign w:val="center"/>
          </w:tcPr>
          <w:p w14:paraId="177E27B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5DC5C8E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,886</w:t>
            </w:r>
          </w:p>
        </w:tc>
        <w:tc>
          <w:tcPr>
            <w:tcW w:w="1414" w:type="dxa"/>
            <w:tcBorders>
              <w:top w:val="nil"/>
              <w:bottom w:val="nil"/>
            </w:tcBorders>
            <w:shd w:val="clear" w:color="auto" w:fill="FFFFFF"/>
            <w:vAlign w:val="center"/>
          </w:tcPr>
          <w:p w14:paraId="07B84B3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4429360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697FD813" w14:textId="77777777" w:rsidTr="008E59D3">
        <w:trPr>
          <w:cantSplit/>
        </w:trPr>
        <w:tc>
          <w:tcPr>
            <w:tcW w:w="1046" w:type="dxa"/>
            <w:vMerge/>
            <w:tcBorders>
              <w:top w:val="nil"/>
              <w:left w:val="single" w:sz="16" w:space="0" w:color="000000"/>
              <w:right w:val="nil"/>
            </w:tcBorders>
            <w:shd w:val="clear" w:color="auto" w:fill="FFFFFF"/>
          </w:tcPr>
          <w:p w14:paraId="55CB9B24"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7F0B905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79AC3DE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w:t>
            </w:r>
          </w:p>
        </w:tc>
        <w:tc>
          <w:tcPr>
            <w:tcW w:w="1076" w:type="dxa"/>
            <w:tcBorders>
              <w:top w:val="nil"/>
            </w:tcBorders>
            <w:shd w:val="clear" w:color="auto" w:fill="FFFFFF"/>
            <w:vAlign w:val="center"/>
          </w:tcPr>
          <w:p w14:paraId="5FCFB60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29" w:type="dxa"/>
            <w:tcBorders>
              <w:top w:val="nil"/>
            </w:tcBorders>
            <w:shd w:val="clear" w:color="auto" w:fill="FFFFFF"/>
            <w:vAlign w:val="center"/>
          </w:tcPr>
          <w:p w14:paraId="3E875F7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,479</w:t>
            </w:r>
          </w:p>
        </w:tc>
        <w:tc>
          <w:tcPr>
            <w:tcW w:w="1414" w:type="dxa"/>
            <w:tcBorders>
              <w:top w:val="nil"/>
            </w:tcBorders>
            <w:shd w:val="clear" w:color="auto" w:fill="FFFFFF"/>
            <w:vAlign w:val="center"/>
          </w:tcPr>
          <w:p w14:paraId="6A67580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right w:val="single" w:sz="16" w:space="0" w:color="000000"/>
            </w:tcBorders>
            <w:shd w:val="clear" w:color="auto" w:fill="FFFFFF"/>
            <w:vAlign w:val="center"/>
          </w:tcPr>
          <w:p w14:paraId="19A852D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52A1DD50" w14:textId="77777777" w:rsidTr="008E59D3">
        <w:trPr>
          <w:cantSplit/>
        </w:trPr>
        <w:tc>
          <w:tcPr>
            <w:tcW w:w="1046" w:type="dxa"/>
            <w:vMerge w:val="restart"/>
            <w:tcBorders>
              <w:top w:val="nil"/>
              <w:left w:val="single" w:sz="16" w:space="0" w:color="000000"/>
              <w:right w:val="nil"/>
            </w:tcBorders>
            <w:shd w:val="clear" w:color="auto" w:fill="FFFFFF"/>
          </w:tcPr>
          <w:p w14:paraId="68915167"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092" w:type="dxa"/>
            <w:tcBorders>
              <w:top w:val="nil"/>
              <w:left w:val="nil"/>
              <w:bottom w:val="nil"/>
              <w:right w:val="single" w:sz="16" w:space="0" w:color="000000"/>
            </w:tcBorders>
            <w:shd w:val="clear" w:color="auto" w:fill="FFFFFF"/>
          </w:tcPr>
          <w:p w14:paraId="29ECC9F7"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7C0CD1A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076" w:type="dxa"/>
            <w:tcBorders>
              <w:top w:val="nil"/>
              <w:bottom w:val="nil"/>
            </w:tcBorders>
            <w:shd w:val="clear" w:color="auto" w:fill="FFFFFF"/>
            <w:vAlign w:val="center"/>
          </w:tcPr>
          <w:p w14:paraId="12D329F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49FCC03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,875</w:t>
            </w:r>
          </w:p>
        </w:tc>
        <w:tc>
          <w:tcPr>
            <w:tcW w:w="1414" w:type="dxa"/>
            <w:tcBorders>
              <w:top w:val="nil"/>
              <w:bottom w:val="nil"/>
            </w:tcBorders>
            <w:shd w:val="clear" w:color="auto" w:fill="FFFFFF"/>
            <w:vAlign w:val="center"/>
          </w:tcPr>
          <w:p w14:paraId="0066EAA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0743E48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3BEE5E13" w14:textId="77777777" w:rsidTr="008E59D3">
        <w:trPr>
          <w:cantSplit/>
        </w:trPr>
        <w:tc>
          <w:tcPr>
            <w:tcW w:w="1046" w:type="dxa"/>
            <w:vMerge/>
            <w:tcBorders>
              <w:top w:val="nil"/>
              <w:left w:val="single" w:sz="16" w:space="0" w:color="000000"/>
              <w:right w:val="nil"/>
            </w:tcBorders>
            <w:shd w:val="clear" w:color="auto" w:fill="FFFFFF"/>
          </w:tcPr>
          <w:p w14:paraId="26B433FA"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A3AB3E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69151DC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bottom w:val="nil"/>
            </w:tcBorders>
            <w:shd w:val="clear" w:color="auto" w:fill="FFFFFF"/>
            <w:vAlign w:val="center"/>
          </w:tcPr>
          <w:p w14:paraId="6A2357B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68E9092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,738</w:t>
            </w:r>
          </w:p>
        </w:tc>
        <w:tc>
          <w:tcPr>
            <w:tcW w:w="1414" w:type="dxa"/>
            <w:tcBorders>
              <w:top w:val="nil"/>
              <w:bottom w:val="nil"/>
            </w:tcBorders>
            <w:shd w:val="clear" w:color="auto" w:fill="FFFFFF"/>
            <w:vAlign w:val="center"/>
          </w:tcPr>
          <w:p w14:paraId="4F1213A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03890E1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3DDE2E5C" w14:textId="77777777" w:rsidTr="008E59D3">
        <w:trPr>
          <w:cantSplit/>
        </w:trPr>
        <w:tc>
          <w:tcPr>
            <w:tcW w:w="1046" w:type="dxa"/>
            <w:vMerge/>
            <w:tcBorders>
              <w:top w:val="nil"/>
              <w:left w:val="single" w:sz="16" w:space="0" w:color="000000"/>
              <w:right w:val="nil"/>
            </w:tcBorders>
            <w:shd w:val="clear" w:color="auto" w:fill="FFFFFF"/>
          </w:tcPr>
          <w:p w14:paraId="429BD0F3"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EABD025"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505CFB6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bottom w:val="nil"/>
            </w:tcBorders>
            <w:shd w:val="clear" w:color="auto" w:fill="FFFFFF"/>
            <w:vAlign w:val="center"/>
          </w:tcPr>
          <w:p w14:paraId="1A26524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4B30154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,685</w:t>
            </w:r>
          </w:p>
        </w:tc>
        <w:tc>
          <w:tcPr>
            <w:tcW w:w="1414" w:type="dxa"/>
            <w:tcBorders>
              <w:top w:val="nil"/>
              <w:bottom w:val="nil"/>
            </w:tcBorders>
            <w:shd w:val="clear" w:color="auto" w:fill="FFFFFF"/>
            <w:vAlign w:val="center"/>
          </w:tcPr>
          <w:p w14:paraId="0EAE608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52B9D2F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0CE293DF" w14:textId="77777777" w:rsidTr="008E59D3">
        <w:trPr>
          <w:cantSplit/>
        </w:trPr>
        <w:tc>
          <w:tcPr>
            <w:tcW w:w="1046" w:type="dxa"/>
            <w:vMerge/>
            <w:tcBorders>
              <w:top w:val="nil"/>
              <w:left w:val="single" w:sz="16" w:space="0" w:color="000000"/>
              <w:right w:val="nil"/>
            </w:tcBorders>
            <w:shd w:val="clear" w:color="auto" w:fill="FFFFFF"/>
          </w:tcPr>
          <w:p w14:paraId="0FA54BDA"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35BA829"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7E4F0F0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w:t>
            </w:r>
          </w:p>
        </w:tc>
        <w:tc>
          <w:tcPr>
            <w:tcW w:w="1076" w:type="dxa"/>
            <w:tcBorders>
              <w:top w:val="nil"/>
              <w:bottom w:val="nil"/>
            </w:tcBorders>
            <w:shd w:val="clear" w:color="auto" w:fill="FFFFFF"/>
            <w:vAlign w:val="center"/>
          </w:tcPr>
          <w:p w14:paraId="3A013D9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5CA58C6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,063</w:t>
            </w:r>
          </w:p>
        </w:tc>
        <w:tc>
          <w:tcPr>
            <w:tcW w:w="1414" w:type="dxa"/>
            <w:tcBorders>
              <w:top w:val="nil"/>
              <w:bottom w:val="nil"/>
            </w:tcBorders>
            <w:shd w:val="clear" w:color="auto" w:fill="FFFFFF"/>
            <w:vAlign w:val="center"/>
          </w:tcPr>
          <w:p w14:paraId="5608E3A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bottom w:val="nil"/>
              <w:right w:val="single" w:sz="16" w:space="0" w:color="000000"/>
            </w:tcBorders>
            <w:shd w:val="clear" w:color="auto" w:fill="FFFFFF"/>
            <w:vAlign w:val="center"/>
          </w:tcPr>
          <w:p w14:paraId="2E123E0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w:t>
            </w:r>
          </w:p>
        </w:tc>
      </w:tr>
      <w:tr w:rsidR="00D51049" w:rsidRPr="008E59D3" w14:paraId="4732AD83" w14:textId="77777777" w:rsidTr="008E59D3">
        <w:trPr>
          <w:cantSplit/>
        </w:trPr>
        <w:tc>
          <w:tcPr>
            <w:tcW w:w="1046" w:type="dxa"/>
            <w:vMerge/>
            <w:tcBorders>
              <w:top w:val="nil"/>
              <w:left w:val="single" w:sz="16" w:space="0" w:color="000000"/>
              <w:right w:val="nil"/>
            </w:tcBorders>
            <w:shd w:val="clear" w:color="auto" w:fill="FFFFFF"/>
          </w:tcPr>
          <w:p w14:paraId="6B4F991E"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7B1FC3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3225046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76" w:type="dxa"/>
            <w:tcBorders>
              <w:top w:val="nil"/>
              <w:bottom w:val="nil"/>
            </w:tcBorders>
            <w:shd w:val="clear" w:color="auto" w:fill="FFFFFF"/>
            <w:vAlign w:val="center"/>
          </w:tcPr>
          <w:p w14:paraId="5125942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29B1FF6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,298</w:t>
            </w:r>
          </w:p>
        </w:tc>
        <w:tc>
          <w:tcPr>
            <w:tcW w:w="1414" w:type="dxa"/>
            <w:tcBorders>
              <w:top w:val="nil"/>
              <w:bottom w:val="nil"/>
            </w:tcBorders>
            <w:shd w:val="clear" w:color="auto" w:fill="FFFFFF"/>
            <w:vAlign w:val="center"/>
          </w:tcPr>
          <w:p w14:paraId="2CA0CF3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303A49E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3F39F783" w14:textId="77777777" w:rsidTr="008E59D3">
        <w:trPr>
          <w:cantSplit/>
        </w:trPr>
        <w:tc>
          <w:tcPr>
            <w:tcW w:w="1046" w:type="dxa"/>
            <w:vMerge/>
            <w:tcBorders>
              <w:top w:val="nil"/>
              <w:left w:val="single" w:sz="16" w:space="0" w:color="000000"/>
              <w:right w:val="nil"/>
            </w:tcBorders>
            <w:shd w:val="clear" w:color="auto" w:fill="FFFFFF"/>
          </w:tcPr>
          <w:p w14:paraId="7E375F11"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D46FF45"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17BBC9B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076" w:type="dxa"/>
            <w:tcBorders>
              <w:top w:val="nil"/>
              <w:bottom w:val="nil"/>
            </w:tcBorders>
            <w:shd w:val="clear" w:color="auto" w:fill="FFFFFF"/>
            <w:vAlign w:val="center"/>
          </w:tcPr>
          <w:p w14:paraId="1A364E8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306FF4E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,804</w:t>
            </w:r>
          </w:p>
        </w:tc>
        <w:tc>
          <w:tcPr>
            <w:tcW w:w="1414" w:type="dxa"/>
            <w:tcBorders>
              <w:top w:val="nil"/>
              <w:bottom w:val="nil"/>
            </w:tcBorders>
            <w:shd w:val="clear" w:color="auto" w:fill="FFFFFF"/>
            <w:vAlign w:val="center"/>
          </w:tcPr>
          <w:p w14:paraId="5213038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3E7C3CE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40673193" w14:textId="77777777" w:rsidTr="008E59D3">
        <w:trPr>
          <w:cantSplit/>
        </w:trPr>
        <w:tc>
          <w:tcPr>
            <w:tcW w:w="1046" w:type="dxa"/>
            <w:vMerge/>
            <w:tcBorders>
              <w:top w:val="nil"/>
              <w:left w:val="single" w:sz="16" w:space="0" w:color="000000"/>
              <w:right w:val="nil"/>
            </w:tcBorders>
            <w:shd w:val="clear" w:color="auto" w:fill="FFFFFF"/>
          </w:tcPr>
          <w:p w14:paraId="2DD924E6"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E6949E4"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2844B4D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p>
        </w:tc>
        <w:tc>
          <w:tcPr>
            <w:tcW w:w="1076" w:type="dxa"/>
            <w:tcBorders>
              <w:top w:val="nil"/>
              <w:bottom w:val="nil"/>
            </w:tcBorders>
            <w:shd w:val="clear" w:color="auto" w:fill="FFFFFF"/>
            <w:vAlign w:val="center"/>
          </w:tcPr>
          <w:p w14:paraId="6ED9EC6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394E040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,105</w:t>
            </w:r>
          </w:p>
        </w:tc>
        <w:tc>
          <w:tcPr>
            <w:tcW w:w="1414" w:type="dxa"/>
            <w:tcBorders>
              <w:top w:val="nil"/>
              <w:bottom w:val="nil"/>
            </w:tcBorders>
            <w:shd w:val="clear" w:color="auto" w:fill="FFFFFF"/>
            <w:vAlign w:val="center"/>
          </w:tcPr>
          <w:p w14:paraId="00FD62C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bottom w:val="nil"/>
              <w:right w:val="single" w:sz="16" w:space="0" w:color="000000"/>
            </w:tcBorders>
            <w:shd w:val="clear" w:color="auto" w:fill="FFFFFF"/>
            <w:vAlign w:val="center"/>
          </w:tcPr>
          <w:p w14:paraId="13C324C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2E484AE9" w14:textId="77777777" w:rsidTr="008E59D3">
        <w:trPr>
          <w:cantSplit/>
        </w:trPr>
        <w:tc>
          <w:tcPr>
            <w:tcW w:w="1046" w:type="dxa"/>
            <w:vMerge/>
            <w:tcBorders>
              <w:top w:val="nil"/>
              <w:left w:val="single" w:sz="16" w:space="0" w:color="000000"/>
              <w:right w:val="nil"/>
            </w:tcBorders>
            <w:shd w:val="clear" w:color="auto" w:fill="FFFFFF"/>
          </w:tcPr>
          <w:p w14:paraId="51E5B1BA"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3DFFC24"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72D8ED8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76" w:type="dxa"/>
            <w:tcBorders>
              <w:top w:val="nil"/>
              <w:bottom w:val="nil"/>
            </w:tcBorders>
            <w:shd w:val="clear" w:color="auto" w:fill="FFFFFF"/>
            <w:vAlign w:val="center"/>
          </w:tcPr>
          <w:p w14:paraId="071D6F6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0F4657D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,210</w:t>
            </w:r>
          </w:p>
        </w:tc>
        <w:tc>
          <w:tcPr>
            <w:tcW w:w="1414" w:type="dxa"/>
            <w:tcBorders>
              <w:top w:val="nil"/>
              <w:bottom w:val="nil"/>
            </w:tcBorders>
            <w:shd w:val="clear" w:color="auto" w:fill="FFFFFF"/>
            <w:vAlign w:val="center"/>
          </w:tcPr>
          <w:p w14:paraId="18A3D1A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5FADEC1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48921E7D" w14:textId="77777777" w:rsidTr="008E59D3">
        <w:trPr>
          <w:cantSplit/>
        </w:trPr>
        <w:tc>
          <w:tcPr>
            <w:tcW w:w="1046" w:type="dxa"/>
            <w:vMerge/>
            <w:tcBorders>
              <w:top w:val="nil"/>
              <w:left w:val="single" w:sz="16" w:space="0" w:color="000000"/>
              <w:right w:val="nil"/>
            </w:tcBorders>
            <w:shd w:val="clear" w:color="auto" w:fill="FFFFFF"/>
          </w:tcPr>
          <w:p w14:paraId="266EAAD5"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7E9C6D37"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5216CDE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w:t>
            </w:r>
            <w:r w:rsidRPr="008E59D3">
              <w:rPr>
                <w:rFonts w:cs="Arial"/>
                <w:color w:val="000000"/>
                <w:sz w:val="16"/>
                <w:szCs w:val="16"/>
                <w:vertAlign w:val="superscript"/>
                <w:lang w:val="en-GB"/>
              </w:rPr>
              <w:t>*</w:t>
            </w:r>
          </w:p>
        </w:tc>
        <w:tc>
          <w:tcPr>
            <w:tcW w:w="1076" w:type="dxa"/>
            <w:tcBorders>
              <w:top w:val="nil"/>
            </w:tcBorders>
            <w:shd w:val="clear" w:color="auto" w:fill="FFFFFF"/>
            <w:vAlign w:val="center"/>
          </w:tcPr>
          <w:p w14:paraId="4FE587D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29" w:type="dxa"/>
            <w:tcBorders>
              <w:top w:val="nil"/>
            </w:tcBorders>
            <w:shd w:val="clear" w:color="auto" w:fill="FFFFFF"/>
            <w:vAlign w:val="center"/>
          </w:tcPr>
          <w:p w14:paraId="3399C93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,035</w:t>
            </w:r>
          </w:p>
        </w:tc>
        <w:tc>
          <w:tcPr>
            <w:tcW w:w="1414" w:type="dxa"/>
            <w:tcBorders>
              <w:top w:val="nil"/>
            </w:tcBorders>
            <w:shd w:val="clear" w:color="auto" w:fill="FFFFFF"/>
            <w:vAlign w:val="center"/>
          </w:tcPr>
          <w:p w14:paraId="2DC8B84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right w:val="single" w:sz="16" w:space="0" w:color="000000"/>
            </w:tcBorders>
            <w:shd w:val="clear" w:color="auto" w:fill="FFFFFF"/>
            <w:vAlign w:val="center"/>
          </w:tcPr>
          <w:p w14:paraId="0851E38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45FEDCBA" w14:textId="77777777" w:rsidTr="008E59D3">
        <w:trPr>
          <w:cantSplit/>
        </w:trPr>
        <w:tc>
          <w:tcPr>
            <w:tcW w:w="1046" w:type="dxa"/>
            <w:vMerge w:val="restart"/>
            <w:tcBorders>
              <w:top w:val="nil"/>
              <w:left w:val="single" w:sz="16" w:space="0" w:color="000000"/>
              <w:right w:val="nil"/>
            </w:tcBorders>
            <w:shd w:val="clear" w:color="auto" w:fill="FFFFFF"/>
          </w:tcPr>
          <w:p w14:paraId="28A86B97"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092" w:type="dxa"/>
            <w:tcBorders>
              <w:top w:val="nil"/>
              <w:left w:val="nil"/>
              <w:bottom w:val="nil"/>
              <w:right w:val="single" w:sz="16" w:space="0" w:color="000000"/>
            </w:tcBorders>
            <w:shd w:val="clear" w:color="auto" w:fill="FFFFFF"/>
          </w:tcPr>
          <w:p w14:paraId="603452F3"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525F1EF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076" w:type="dxa"/>
            <w:tcBorders>
              <w:top w:val="nil"/>
              <w:bottom w:val="nil"/>
            </w:tcBorders>
            <w:shd w:val="clear" w:color="auto" w:fill="FFFFFF"/>
            <w:vAlign w:val="center"/>
          </w:tcPr>
          <w:p w14:paraId="2634297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3A27D9D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,921</w:t>
            </w:r>
          </w:p>
        </w:tc>
        <w:tc>
          <w:tcPr>
            <w:tcW w:w="1414" w:type="dxa"/>
            <w:tcBorders>
              <w:top w:val="nil"/>
              <w:bottom w:val="nil"/>
            </w:tcBorders>
            <w:shd w:val="clear" w:color="auto" w:fill="FFFFFF"/>
            <w:vAlign w:val="center"/>
          </w:tcPr>
          <w:p w14:paraId="25DC6FC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14BA313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383AEA54" w14:textId="77777777" w:rsidTr="008E59D3">
        <w:trPr>
          <w:cantSplit/>
        </w:trPr>
        <w:tc>
          <w:tcPr>
            <w:tcW w:w="1046" w:type="dxa"/>
            <w:vMerge/>
            <w:tcBorders>
              <w:top w:val="nil"/>
              <w:left w:val="single" w:sz="16" w:space="0" w:color="000000"/>
              <w:right w:val="nil"/>
            </w:tcBorders>
            <w:shd w:val="clear" w:color="auto" w:fill="FFFFFF"/>
          </w:tcPr>
          <w:p w14:paraId="5D66ABED"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6DE9391"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63CFEDC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076" w:type="dxa"/>
            <w:tcBorders>
              <w:top w:val="nil"/>
              <w:bottom w:val="nil"/>
            </w:tcBorders>
            <w:shd w:val="clear" w:color="auto" w:fill="FFFFFF"/>
            <w:vAlign w:val="center"/>
          </w:tcPr>
          <w:p w14:paraId="3AE2C04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27F7C98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,881</w:t>
            </w:r>
          </w:p>
        </w:tc>
        <w:tc>
          <w:tcPr>
            <w:tcW w:w="1414" w:type="dxa"/>
            <w:tcBorders>
              <w:top w:val="nil"/>
              <w:bottom w:val="nil"/>
            </w:tcBorders>
            <w:shd w:val="clear" w:color="auto" w:fill="FFFFFF"/>
            <w:vAlign w:val="center"/>
          </w:tcPr>
          <w:p w14:paraId="67FAF01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20D8CCF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56766D1B" w14:textId="77777777" w:rsidTr="008E59D3">
        <w:trPr>
          <w:cantSplit/>
        </w:trPr>
        <w:tc>
          <w:tcPr>
            <w:tcW w:w="1046" w:type="dxa"/>
            <w:vMerge/>
            <w:tcBorders>
              <w:top w:val="nil"/>
              <w:left w:val="single" w:sz="16" w:space="0" w:color="000000"/>
              <w:right w:val="nil"/>
            </w:tcBorders>
            <w:shd w:val="clear" w:color="auto" w:fill="FFFFFF"/>
          </w:tcPr>
          <w:p w14:paraId="473C7BDF"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668EE4E"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328B0D7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w:t>
            </w:r>
          </w:p>
        </w:tc>
        <w:tc>
          <w:tcPr>
            <w:tcW w:w="1076" w:type="dxa"/>
            <w:tcBorders>
              <w:top w:val="nil"/>
              <w:bottom w:val="nil"/>
            </w:tcBorders>
            <w:shd w:val="clear" w:color="auto" w:fill="FFFFFF"/>
            <w:vAlign w:val="center"/>
          </w:tcPr>
          <w:p w14:paraId="1B8F592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655B1FD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,528</w:t>
            </w:r>
          </w:p>
        </w:tc>
        <w:tc>
          <w:tcPr>
            <w:tcW w:w="1414" w:type="dxa"/>
            <w:tcBorders>
              <w:top w:val="nil"/>
              <w:bottom w:val="nil"/>
            </w:tcBorders>
            <w:shd w:val="clear" w:color="auto" w:fill="FFFFFF"/>
            <w:vAlign w:val="center"/>
          </w:tcPr>
          <w:p w14:paraId="73E1D85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3A3676C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4B30ACDE" w14:textId="77777777" w:rsidTr="008E59D3">
        <w:trPr>
          <w:cantSplit/>
        </w:trPr>
        <w:tc>
          <w:tcPr>
            <w:tcW w:w="1046" w:type="dxa"/>
            <w:vMerge/>
            <w:tcBorders>
              <w:top w:val="nil"/>
              <w:left w:val="single" w:sz="16" w:space="0" w:color="000000"/>
              <w:right w:val="nil"/>
            </w:tcBorders>
            <w:shd w:val="clear" w:color="auto" w:fill="FFFFFF"/>
          </w:tcPr>
          <w:p w14:paraId="184477FB"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5BBA37D"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5A7BBAF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w:t>
            </w:r>
          </w:p>
        </w:tc>
        <w:tc>
          <w:tcPr>
            <w:tcW w:w="1076" w:type="dxa"/>
            <w:tcBorders>
              <w:top w:val="nil"/>
              <w:bottom w:val="nil"/>
            </w:tcBorders>
            <w:shd w:val="clear" w:color="auto" w:fill="FFFFFF"/>
            <w:vAlign w:val="center"/>
          </w:tcPr>
          <w:p w14:paraId="57BF82C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69099E6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,093</w:t>
            </w:r>
          </w:p>
        </w:tc>
        <w:tc>
          <w:tcPr>
            <w:tcW w:w="1414" w:type="dxa"/>
            <w:tcBorders>
              <w:top w:val="nil"/>
              <w:bottom w:val="nil"/>
            </w:tcBorders>
            <w:shd w:val="clear" w:color="auto" w:fill="FFFFFF"/>
            <w:vAlign w:val="center"/>
          </w:tcPr>
          <w:p w14:paraId="310DDA0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bottom w:val="nil"/>
              <w:right w:val="single" w:sz="16" w:space="0" w:color="000000"/>
            </w:tcBorders>
            <w:shd w:val="clear" w:color="auto" w:fill="FFFFFF"/>
            <w:vAlign w:val="center"/>
          </w:tcPr>
          <w:p w14:paraId="7B7178B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276D005A" w14:textId="77777777" w:rsidTr="008E59D3">
        <w:trPr>
          <w:cantSplit/>
        </w:trPr>
        <w:tc>
          <w:tcPr>
            <w:tcW w:w="1046" w:type="dxa"/>
            <w:vMerge/>
            <w:tcBorders>
              <w:top w:val="nil"/>
              <w:left w:val="single" w:sz="16" w:space="0" w:color="000000"/>
              <w:right w:val="nil"/>
            </w:tcBorders>
            <w:shd w:val="clear" w:color="auto" w:fill="FFFFFF"/>
          </w:tcPr>
          <w:p w14:paraId="256496E5"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EFD854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7EEF474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76" w:type="dxa"/>
            <w:tcBorders>
              <w:top w:val="nil"/>
              <w:bottom w:val="nil"/>
            </w:tcBorders>
            <w:shd w:val="clear" w:color="auto" w:fill="FFFFFF"/>
            <w:vAlign w:val="center"/>
          </w:tcPr>
          <w:p w14:paraId="3C8DDE4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2996580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,405</w:t>
            </w:r>
          </w:p>
        </w:tc>
        <w:tc>
          <w:tcPr>
            <w:tcW w:w="1414" w:type="dxa"/>
            <w:tcBorders>
              <w:top w:val="nil"/>
              <w:bottom w:val="nil"/>
            </w:tcBorders>
            <w:shd w:val="clear" w:color="auto" w:fill="FFFFFF"/>
            <w:vAlign w:val="center"/>
          </w:tcPr>
          <w:p w14:paraId="07BC3B3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5B38A70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2E7C4DA5" w14:textId="77777777" w:rsidTr="008E59D3">
        <w:trPr>
          <w:cantSplit/>
        </w:trPr>
        <w:tc>
          <w:tcPr>
            <w:tcW w:w="1046" w:type="dxa"/>
            <w:vMerge/>
            <w:tcBorders>
              <w:top w:val="nil"/>
              <w:left w:val="single" w:sz="16" w:space="0" w:color="000000"/>
              <w:right w:val="nil"/>
            </w:tcBorders>
            <w:shd w:val="clear" w:color="auto" w:fill="FFFFFF"/>
          </w:tcPr>
          <w:p w14:paraId="1BB34EBF"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8E0A4E4"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6D229EC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-,002</w:t>
            </w:r>
          </w:p>
        </w:tc>
        <w:tc>
          <w:tcPr>
            <w:tcW w:w="1076" w:type="dxa"/>
            <w:tcBorders>
              <w:top w:val="nil"/>
              <w:bottom w:val="nil"/>
            </w:tcBorders>
            <w:shd w:val="clear" w:color="auto" w:fill="FFFFFF"/>
            <w:vAlign w:val="center"/>
          </w:tcPr>
          <w:p w14:paraId="64335F3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21D7952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,804</w:t>
            </w:r>
          </w:p>
        </w:tc>
        <w:tc>
          <w:tcPr>
            <w:tcW w:w="1414" w:type="dxa"/>
            <w:tcBorders>
              <w:top w:val="nil"/>
              <w:bottom w:val="nil"/>
            </w:tcBorders>
            <w:shd w:val="clear" w:color="auto" w:fill="FFFFFF"/>
            <w:vAlign w:val="center"/>
          </w:tcPr>
          <w:p w14:paraId="66827F9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3764BB9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1217F79E" w14:textId="77777777" w:rsidTr="008E59D3">
        <w:trPr>
          <w:cantSplit/>
        </w:trPr>
        <w:tc>
          <w:tcPr>
            <w:tcW w:w="1046" w:type="dxa"/>
            <w:vMerge/>
            <w:tcBorders>
              <w:top w:val="nil"/>
              <w:left w:val="single" w:sz="16" w:space="0" w:color="000000"/>
              <w:right w:val="nil"/>
            </w:tcBorders>
            <w:shd w:val="clear" w:color="auto" w:fill="FFFFFF"/>
          </w:tcPr>
          <w:p w14:paraId="71BB6D9C"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E68DC21"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57D1AB8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76" w:type="dxa"/>
            <w:tcBorders>
              <w:top w:val="nil"/>
              <w:bottom w:val="nil"/>
            </w:tcBorders>
            <w:shd w:val="clear" w:color="auto" w:fill="FFFFFF"/>
            <w:vAlign w:val="center"/>
          </w:tcPr>
          <w:p w14:paraId="21AEA6E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4445904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,157</w:t>
            </w:r>
          </w:p>
        </w:tc>
        <w:tc>
          <w:tcPr>
            <w:tcW w:w="1414" w:type="dxa"/>
            <w:tcBorders>
              <w:top w:val="nil"/>
              <w:bottom w:val="nil"/>
            </w:tcBorders>
            <w:shd w:val="clear" w:color="auto" w:fill="FFFFFF"/>
            <w:vAlign w:val="center"/>
          </w:tcPr>
          <w:p w14:paraId="3BBC117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bottom w:val="nil"/>
              <w:right w:val="single" w:sz="16" w:space="0" w:color="000000"/>
            </w:tcBorders>
            <w:shd w:val="clear" w:color="auto" w:fill="FFFFFF"/>
            <w:vAlign w:val="center"/>
          </w:tcPr>
          <w:p w14:paraId="38F7B64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79CE61EF" w14:textId="77777777" w:rsidTr="008E59D3">
        <w:trPr>
          <w:cantSplit/>
        </w:trPr>
        <w:tc>
          <w:tcPr>
            <w:tcW w:w="1046" w:type="dxa"/>
            <w:vMerge/>
            <w:tcBorders>
              <w:top w:val="nil"/>
              <w:left w:val="single" w:sz="16" w:space="0" w:color="000000"/>
              <w:right w:val="nil"/>
            </w:tcBorders>
            <w:shd w:val="clear" w:color="auto" w:fill="FFFFFF"/>
          </w:tcPr>
          <w:p w14:paraId="3C83229E"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DD3E669"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153B09E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76" w:type="dxa"/>
            <w:tcBorders>
              <w:top w:val="nil"/>
              <w:bottom w:val="nil"/>
            </w:tcBorders>
            <w:shd w:val="clear" w:color="auto" w:fill="FFFFFF"/>
            <w:vAlign w:val="center"/>
          </w:tcPr>
          <w:p w14:paraId="14F7F93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0820E7C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,298</w:t>
            </w:r>
          </w:p>
        </w:tc>
        <w:tc>
          <w:tcPr>
            <w:tcW w:w="1414" w:type="dxa"/>
            <w:tcBorders>
              <w:top w:val="nil"/>
              <w:bottom w:val="nil"/>
            </w:tcBorders>
            <w:shd w:val="clear" w:color="auto" w:fill="FFFFFF"/>
            <w:vAlign w:val="center"/>
          </w:tcPr>
          <w:p w14:paraId="7168C8F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5BF24F0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4BC3D5C5" w14:textId="77777777" w:rsidTr="008E59D3">
        <w:trPr>
          <w:cantSplit/>
        </w:trPr>
        <w:tc>
          <w:tcPr>
            <w:tcW w:w="1046" w:type="dxa"/>
            <w:vMerge/>
            <w:tcBorders>
              <w:top w:val="nil"/>
              <w:left w:val="single" w:sz="16" w:space="0" w:color="000000"/>
              <w:right w:val="nil"/>
            </w:tcBorders>
            <w:shd w:val="clear" w:color="auto" w:fill="FFFFFF"/>
          </w:tcPr>
          <w:p w14:paraId="7D8FF5F9"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16DC3DE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1A3EB44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c>
          <w:tcPr>
            <w:tcW w:w="1076" w:type="dxa"/>
            <w:tcBorders>
              <w:top w:val="nil"/>
            </w:tcBorders>
            <w:shd w:val="clear" w:color="auto" w:fill="FFFFFF"/>
            <w:vAlign w:val="center"/>
          </w:tcPr>
          <w:p w14:paraId="72971C4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29" w:type="dxa"/>
            <w:tcBorders>
              <w:top w:val="nil"/>
            </w:tcBorders>
            <w:shd w:val="clear" w:color="auto" w:fill="FFFFFF"/>
            <w:vAlign w:val="center"/>
          </w:tcPr>
          <w:p w14:paraId="2A25904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,057</w:t>
            </w:r>
          </w:p>
        </w:tc>
        <w:tc>
          <w:tcPr>
            <w:tcW w:w="1414" w:type="dxa"/>
            <w:tcBorders>
              <w:top w:val="nil"/>
            </w:tcBorders>
            <w:shd w:val="clear" w:color="auto" w:fill="FFFFFF"/>
            <w:vAlign w:val="center"/>
          </w:tcPr>
          <w:p w14:paraId="7E1C2F8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c>
          <w:tcPr>
            <w:tcW w:w="1414" w:type="dxa"/>
            <w:tcBorders>
              <w:top w:val="nil"/>
              <w:right w:val="single" w:sz="16" w:space="0" w:color="000000"/>
            </w:tcBorders>
            <w:shd w:val="clear" w:color="auto" w:fill="FFFFFF"/>
            <w:vAlign w:val="center"/>
          </w:tcPr>
          <w:p w14:paraId="1A58626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r>
      <w:tr w:rsidR="00D51049" w:rsidRPr="008E59D3" w14:paraId="3DE91D87" w14:textId="77777777" w:rsidTr="008E59D3">
        <w:trPr>
          <w:cantSplit/>
        </w:trPr>
        <w:tc>
          <w:tcPr>
            <w:tcW w:w="1046" w:type="dxa"/>
            <w:vMerge w:val="restart"/>
            <w:tcBorders>
              <w:top w:val="nil"/>
              <w:left w:val="single" w:sz="16" w:space="0" w:color="000000"/>
              <w:right w:val="nil"/>
            </w:tcBorders>
            <w:shd w:val="clear" w:color="auto" w:fill="FFFFFF"/>
          </w:tcPr>
          <w:p w14:paraId="32ECC3EE"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092" w:type="dxa"/>
            <w:tcBorders>
              <w:top w:val="nil"/>
              <w:left w:val="nil"/>
              <w:bottom w:val="nil"/>
              <w:right w:val="single" w:sz="16" w:space="0" w:color="000000"/>
            </w:tcBorders>
            <w:shd w:val="clear" w:color="auto" w:fill="FFFFFF"/>
          </w:tcPr>
          <w:p w14:paraId="4025416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7049D76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c>
          <w:tcPr>
            <w:tcW w:w="1076" w:type="dxa"/>
            <w:tcBorders>
              <w:top w:val="nil"/>
              <w:bottom w:val="nil"/>
            </w:tcBorders>
            <w:shd w:val="clear" w:color="auto" w:fill="FFFFFF"/>
            <w:vAlign w:val="center"/>
          </w:tcPr>
          <w:p w14:paraId="5BD8F72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2D8EC60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,121</w:t>
            </w:r>
          </w:p>
        </w:tc>
        <w:tc>
          <w:tcPr>
            <w:tcW w:w="1414" w:type="dxa"/>
            <w:tcBorders>
              <w:top w:val="nil"/>
              <w:bottom w:val="nil"/>
            </w:tcBorders>
            <w:shd w:val="clear" w:color="auto" w:fill="FFFFFF"/>
            <w:vAlign w:val="center"/>
          </w:tcPr>
          <w:p w14:paraId="594F9DC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5E64038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4BF7B74C" w14:textId="77777777" w:rsidTr="008E59D3">
        <w:trPr>
          <w:cantSplit/>
        </w:trPr>
        <w:tc>
          <w:tcPr>
            <w:tcW w:w="1046" w:type="dxa"/>
            <w:vMerge/>
            <w:tcBorders>
              <w:top w:val="nil"/>
              <w:left w:val="single" w:sz="16" w:space="0" w:color="000000"/>
              <w:right w:val="nil"/>
            </w:tcBorders>
            <w:shd w:val="clear" w:color="auto" w:fill="FFFFFF"/>
          </w:tcPr>
          <w:p w14:paraId="331E8DB3"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62ED4B5"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3DA304F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76" w:type="dxa"/>
            <w:tcBorders>
              <w:top w:val="nil"/>
              <w:bottom w:val="nil"/>
            </w:tcBorders>
            <w:shd w:val="clear" w:color="auto" w:fill="FFFFFF"/>
            <w:vAlign w:val="center"/>
          </w:tcPr>
          <w:p w14:paraId="3201353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73636A8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,370</w:t>
            </w:r>
          </w:p>
        </w:tc>
        <w:tc>
          <w:tcPr>
            <w:tcW w:w="1414" w:type="dxa"/>
            <w:tcBorders>
              <w:top w:val="nil"/>
              <w:bottom w:val="nil"/>
            </w:tcBorders>
            <w:shd w:val="clear" w:color="auto" w:fill="FFFFFF"/>
            <w:vAlign w:val="center"/>
          </w:tcPr>
          <w:p w14:paraId="47F9A37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4EFFF21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28DEAF88" w14:textId="77777777" w:rsidTr="008E59D3">
        <w:trPr>
          <w:cantSplit/>
        </w:trPr>
        <w:tc>
          <w:tcPr>
            <w:tcW w:w="1046" w:type="dxa"/>
            <w:vMerge/>
            <w:tcBorders>
              <w:top w:val="nil"/>
              <w:left w:val="single" w:sz="16" w:space="0" w:color="000000"/>
              <w:right w:val="nil"/>
            </w:tcBorders>
            <w:shd w:val="clear" w:color="auto" w:fill="FFFFFF"/>
          </w:tcPr>
          <w:p w14:paraId="793FAF01"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B29B5BF"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2A2E27F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-,017</w:t>
            </w:r>
          </w:p>
        </w:tc>
        <w:tc>
          <w:tcPr>
            <w:tcW w:w="1076" w:type="dxa"/>
            <w:tcBorders>
              <w:top w:val="nil"/>
              <w:bottom w:val="nil"/>
            </w:tcBorders>
            <w:shd w:val="clear" w:color="auto" w:fill="FFFFFF"/>
            <w:vAlign w:val="center"/>
          </w:tcPr>
          <w:p w14:paraId="47BF344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0D46291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,068</w:t>
            </w:r>
          </w:p>
        </w:tc>
        <w:tc>
          <w:tcPr>
            <w:tcW w:w="1414" w:type="dxa"/>
            <w:tcBorders>
              <w:top w:val="nil"/>
              <w:bottom w:val="nil"/>
            </w:tcBorders>
            <w:shd w:val="clear" w:color="auto" w:fill="FFFFFF"/>
            <w:vAlign w:val="center"/>
          </w:tcPr>
          <w:p w14:paraId="57A33D4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-,04</w:t>
            </w:r>
          </w:p>
        </w:tc>
        <w:tc>
          <w:tcPr>
            <w:tcW w:w="1414" w:type="dxa"/>
            <w:tcBorders>
              <w:top w:val="nil"/>
              <w:bottom w:val="nil"/>
              <w:right w:val="single" w:sz="16" w:space="0" w:color="000000"/>
            </w:tcBorders>
            <w:shd w:val="clear" w:color="auto" w:fill="FFFFFF"/>
            <w:vAlign w:val="center"/>
          </w:tcPr>
          <w:p w14:paraId="2C71E80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02932B21" w14:textId="77777777" w:rsidTr="008E59D3">
        <w:trPr>
          <w:cantSplit/>
        </w:trPr>
        <w:tc>
          <w:tcPr>
            <w:tcW w:w="1046" w:type="dxa"/>
            <w:vMerge/>
            <w:tcBorders>
              <w:top w:val="nil"/>
              <w:left w:val="single" w:sz="16" w:space="0" w:color="000000"/>
              <w:right w:val="nil"/>
            </w:tcBorders>
            <w:shd w:val="clear" w:color="auto" w:fill="FFFFFF"/>
          </w:tcPr>
          <w:p w14:paraId="0200B23A"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FC208ED"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01DD4C3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bottom w:val="nil"/>
            </w:tcBorders>
            <w:shd w:val="clear" w:color="auto" w:fill="FFFFFF"/>
            <w:vAlign w:val="center"/>
          </w:tcPr>
          <w:p w14:paraId="21C2660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39CFDD6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,644</w:t>
            </w:r>
          </w:p>
        </w:tc>
        <w:tc>
          <w:tcPr>
            <w:tcW w:w="1414" w:type="dxa"/>
            <w:tcBorders>
              <w:top w:val="nil"/>
              <w:bottom w:val="nil"/>
            </w:tcBorders>
            <w:shd w:val="clear" w:color="auto" w:fill="FFFFFF"/>
            <w:vAlign w:val="center"/>
          </w:tcPr>
          <w:p w14:paraId="766E7DC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07DB492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17483C2E" w14:textId="77777777" w:rsidTr="008E59D3">
        <w:trPr>
          <w:cantSplit/>
        </w:trPr>
        <w:tc>
          <w:tcPr>
            <w:tcW w:w="1046" w:type="dxa"/>
            <w:vMerge/>
            <w:tcBorders>
              <w:top w:val="nil"/>
              <w:left w:val="single" w:sz="16" w:space="0" w:color="000000"/>
              <w:right w:val="nil"/>
            </w:tcBorders>
            <w:shd w:val="clear" w:color="auto" w:fill="FFFFFF"/>
          </w:tcPr>
          <w:p w14:paraId="62EA340E"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DDBD73A"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05DCAA4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bottom w:val="nil"/>
            </w:tcBorders>
            <w:shd w:val="clear" w:color="auto" w:fill="FFFFFF"/>
            <w:vAlign w:val="center"/>
          </w:tcPr>
          <w:p w14:paraId="7D7C65D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285AD37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,643</w:t>
            </w:r>
          </w:p>
        </w:tc>
        <w:tc>
          <w:tcPr>
            <w:tcW w:w="1414" w:type="dxa"/>
            <w:tcBorders>
              <w:top w:val="nil"/>
              <w:bottom w:val="nil"/>
            </w:tcBorders>
            <w:shd w:val="clear" w:color="auto" w:fill="FFFFFF"/>
            <w:vAlign w:val="center"/>
          </w:tcPr>
          <w:p w14:paraId="3F6FACF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3A4C2C3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2CA84D8C" w14:textId="77777777" w:rsidTr="008E59D3">
        <w:trPr>
          <w:cantSplit/>
        </w:trPr>
        <w:tc>
          <w:tcPr>
            <w:tcW w:w="1046" w:type="dxa"/>
            <w:vMerge/>
            <w:tcBorders>
              <w:top w:val="nil"/>
              <w:left w:val="single" w:sz="16" w:space="0" w:color="000000"/>
              <w:right w:val="nil"/>
            </w:tcBorders>
            <w:shd w:val="clear" w:color="auto" w:fill="FFFFFF"/>
          </w:tcPr>
          <w:p w14:paraId="49396529"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9EAB56E"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7C3F072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p>
        </w:tc>
        <w:tc>
          <w:tcPr>
            <w:tcW w:w="1076" w:type="dxa"/>
            <w:tcBorders>
              <w:top w:val="nil"/>
              <w:bottom w:val="nil"/>
            </w:tcBorders>
            <w:shd w:val="clear" w:color="auto" w:fill="FFFFFF"/>
            <w:vAlign w:val="center"/>
          </w:tcPr>
          <w:p w14:paraId="1901C32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73A959C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,105</w:t>
            </w:r>
          </w:p>
        </w:tc>
        <w:tc>
          <w:tcPr>
            <w:tcW w:w="1414" w:type="dxa"/>
            <w:tcBorders>
              <w:top w:val="nil"/>
              <w:bottom w:val="nil"/>
            </w:tcBorders>
            <w:shd w:val="clear" w:color="auto" w:fill="FFFFFF"/>
            <w:vAlign w:val="center"/>
          </w:tcPr>
          <w:p w14:paraId="42E53B1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6F18FCD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1876648D" w14:textId="77777777" w:rsidTr="008E59D3">
        <w:trPr>
          <w:cantSplit/>
        </w:trPr>
        <w:tc>
          <w:tcPr>
            <w:tcW w:w="1046" w:type="dxa"/>
            <w:vMerge/>
            <w:tcBorders>
              <w:top w:val="nil"/>
              <w:left w:val="single" w:sz="16" w:space="0" w:color="000000"/>
              <w:right w:val="nil"/>
            </w:tcBorders>
            <w:shd w:val="clear" w:color="auto" w:fill="FFFFFF"/>
          </w:tcPr>
          <w:p w14:paraId="4FB3C980"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F4624F1"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01040B8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76" w:type="dxa"/>
            <w:tcBorders>
              <w:top w:val="nil"/>
              <w:bottom w:val="nil"/>
            </w:tcBorders>
            <w:shd w:val="clear" w:color="auto" w:fill="FFFFFF"/>
            <w:vAlign w:val="center"/>
          </w:tcPr>
          <w:p w14:paraId="133B8CB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6E93262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,157</w:t>
            </w:r>
          </w:p>
        </w:tc>
        <w:tc>
          <w:tcPr>
            <w:tcW w:w="1414" w:type="dxa"/>
            <w:tcBorders>
              <w:top w:val="nil"/>
              <w:bottom w:val="nil"/>
            </w:tcBorders>
            <w:shd w:val="clear" w:color="auto" w:fill="FFFFFF"/>
            <w:vAlign w:val="center"/>
          </w:tcPr>
          <w:p w14:paraId="1E2C407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22B1C24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16C91C2C" w14:textId="77777777" w:rsidTr="008E59D3">
        <w:trPr>
          <w:cantSplit/>
        </w:trPr>
        <w:tc>
          <w:tcPr>
            <w:tcW w:w="1046" w:type="dxa"/>
            <w:vMerge/>
            <w:tcBorders>
              <w:top w:val="nil"/>
              <w:left w:val="single" w:sz="16" w:space="0" w:color="000000"/>
              <w:right w:val="nil"/>
            </w:tcBorders>
            <w:shd w:val="clear" w:color="auto" w:fill="FFFFFF"/>
          </w:tcPr>
          <w:p w14:paraId="10FC3165"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5FF9DB3"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2A51A3B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-,003</w:t>
            </w:r>
          </w:p>
        </w:tc>
        <w:tc>
          <w:tcPr>
            <w:tcW w:w="1076" w:type="dxa"/>
            <w:tcBorders>
              <w:top w:val="nil"/>
              <w:bottom w:val="nil"/>
            </w:tcBorders>
            <w:shd w:val="clear" w:color="auto" w:fill="FFFFFF"/>
            <w:vAlign w:val="center"/>
          </w:tcPr>
          <w:p w14:paraId="1903369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2B5324A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,734</w:t>
            </w:r>
          </w:p>
        </w:tc>
        <w:tc>
          <w:tcPr>
            <w:tcW w:w="1414" w:type="dxa"/>
            <w:tcBorders>
              <w:top w:val="nil"/>
              <w:bottom w:val="nil"/>
            </w:tcBorders>
            <w:shd w:val="clear" w:color="auto" w:fill="FFFFFF"/>
            <w:vAlign w:val="center"/>
          </w:tcPr>
          <w:p w14:paraId="2FB167D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43EA83A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076C61A2" w14:textId="77777777" w:rsidTr="008E59D3">
        <w:trPr>
          <w:cantSplit/>
        </w:trPr>
        <w:tc>
          <w:tcPr>
            <w:tcW w:w="1046" w:type="dxa"/>
            <w:vMerge/>
            <w:tcBorders>
              <w:top w:val="nil"/>
              <w:left w:val="single" w:sz="16" w:space="0" w:color="000000"/>
              <w:right w:val="nil"/>
            </w:tcBorders>
            <w:shd w:val="clear" w:color="auto" w:fill="FFFFFF"/>
          </w:tcPr>
          <w:p w14:paraId="3C4A858C"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11F2233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113E39F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076" w:type="dxa"/>
            <w:tcBorders>
              <w:top w:val="nil"/>
            </w:tcBorders>
            <w:shd w:val="clear" w:color="auto" w:fill="FFFFFF"/>
            <w:vAlign w:val="center"/>
          </w:tcPr>
          <w:p w14:paraId="1B42A70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w:t>
            </w:r>
          </w:p>
        </w:tc>
        <w:tc>
          <w:tcPr>
            <w:tcW w:w="1029" w:type="dxa"/>
            <w:tcBorders>
              <w:top w:val="nil"/>
            </w:tcBorders>
            <w:shd w:val="clear" w:color="auto" w:fill="FFFFFF"/>
            <w:vAlign w:val="center"/>
          </w:tcPr>
          <w:p w14:paraId="670E796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,851</w:t>
            </w:r>
          </w:p>
        </w:tc>
        <w:tc>
          <w:tcPr>
            <w:tcW w:w="1414" w:type="dxa"/>
            <w:tcBorders>
              <w:top w:val="nil"/>
            </w:tcBorders>
            <w:shd w:val="clear" w:color="auto" w:fill="FFFFFF"/>
            <w:vAlign w:val="center"/>
          </w:tcPr>
          <w:p w14:paraId="315457A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right w:val="single" w:sz="16" w:space="0" w:color="000000"/>
            </w:tcBorders>
            <w:shd w:val="clear" w:color="auto" w:fill="FFFFFF"/>
            <w:vAlign w:val="center"/>
          </w:tcPr>
          <w:p w14:paraId="0BB3AFC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1D7E16CF" w14:textId="77777777" w:rsidTr="008E59D3">
        <w:trPr>
          <w:cantSplit/>
        </w:trPr>
        <w:tc>
          <w:tcPr>
            <w:tcW w:w="1046" w:type="dxa"/>
            <w:vMerge w:val="restart"/>
            <w:tcBorders>
              <w:top w:val="nil"/>
              <w:left w:val="single" w:sz="16" w:space="0" w:color="000000"/>
              <w:right w:val="nil"/>
            </w:tcBorders>
            <w:shd w:val="clear" w:color="auto" w:fill="FFFFFF"/>
          </w:tcPr>
          <w:p w14:paraId="63EA37A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092" w:type="dxa"/>
            <w:tcBorders>
              <w:top w:val="nil"/>
              <w:left w:val="nil"/>
              <w:bottom w:val="nil"/>
              <w:right w:val="single" w:sz="16" w:space="0" w:color="000000"/>
            </w:tcBorders>
            <w:shd w:val="clear" w:color="auto" w:fill="FFFFFF"/>
          </w:tcPr>
          <w:p w14:paraId="2B64E2AC"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5858A96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76" w:type="dxa"/>
            <w:tcBorders>
              <w:top w:val="nil"/>
              <w:bottom w:val="nil"/>
            </w:tcBorders>
            <w:shd w:val="clear" w:color="auto" w:fill="FFFFFF"/>
            <w:vAlign w:val="center"/>
          </w:tcPr>
          <w:p w14:paraId="5C67310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7DD1A3C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,245</w:t>
            </w:r>
          </w:p>
        </w:tc>
        <w:tc>
          <w:tcPr>
            <w:tcW w:w="1414" w:type="dxa"/>
            <w:tcBorders>
              <w:top w:val="nil"/>
              <w:bottom w:val="nil"/>
            </w:tcBorders>
            <w:shd w:val="clear" w:color="auto" w:fill="FFFFFF"/>
            <w:vAlign w:val="center"/>
          </w:tcPr>
          <w:p w14:paraId="6E83E96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559DB03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7F7F46ED" w14:textId="77777777" w:rsidTr="008E59D3">
        <w:trPr>
          <w:cantSplit/>
        </w:trPr>
        <w:tc>
          <w:tcPr>
            <w:tcW w:w="1046" w:type="dxa"/>
            <w:vMerge/>
            <w:tcBorders>
              <w:top w:val="nil"/>
              <w:left w:val="single" w:sz="16" w:space="0" w:color="000000"/>
              <w:right w:val="nil"/>
            </w:tcBorders>
            <w:shd w:val="clear" w:color="auto" w:fill="FFFFFF"/>
          </w:tcPr>
          <w:p w14:paraId="093DBB19"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203F74E4"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3D741B4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76" w:type="dxa"/>
            <w:tcBorders>
              <w:top w:val="nil"/>
              <w:bottom w:val="nil"/>
            </w:tcBorders>
            <w:shd w:val="clear" w:color="auto" w:fill="FFFFFF"/>
            <w:vAlign w:val="center"/>
          </w:tcPr>
          <w:p w14:paraId="2A4670F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29" w:type="dxa"/>
            <w:tcBorders>
              <w:top w:val="nil"/>
              <w:bottom w:val="nil"/>
            </w:tcBorders>
            <w:shd w:val="clear" w:color="auto" w:fill="FFFFFF"/>
            <w:vAlign w:val="center"/>
          </w:tcPr>
          <w:p w14:paraId="6B67AFB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,527</w:t>
            </w:r>
          </w:p>
        </w:tc>
        <w:tc>
          <w:tcPr>
            <w:tcW w:w="1414" w:type="dxa"/>
            <w:tcBorders>
              <w:top w:val="nil"/>
              <w:bottom w:val="nil"/>
            </w:tcBorders>
            <w:shd w:val="clear" w:color="auto" w:fill="FFFFFF"/>
            <w:vAlign w:val="center"/>
          </w:tcPr>
          <w:p w14:paraId="03CC8AA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58EFB85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6B84BE97" w14:textId="77777777" w:rsidTr="008E59D3">
        <w:trPr>
          <w:cantSplit/>
        </w:trPr>
        <w:tc>
          <w:tcPr>
            <w:tcW w:w="1046" w:type="dxa"/>
            <w:vMerge/>
            <w:tcBorders>
              <w:top w:val="nil"/>
              <w:left w:val="single" w:sz="16" w:space="0" w:color="000000"/>
              <w:right w:val="nil"/>
            </w:tcBorders>
            <w:shd w:val="clear" w:color="auto" w:fill="FFFFFF"/>
          </w:tcPr>
          <w:p w14:paraId="50D0FF30"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CDAAF79"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6C8AA96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-,015</w:t>
            </w:r>
          </w:p>
        </w:tc>
        <w:tc>
          <w:tcPr>
            <w:tcW w:w="1076" w:type="dxa"/>
            <w:tcBorders>
              <w:top w:val="nil"/>
              <w:bottom w:val="nil"/>
            </w:tcBorders>
            <w:shd w:val="clear" w:color="auto" w:fill="FFFFFF"/>
            <w:vAlign w:val="center"/>
          </w:tcPr>
          <w:p w14:paraId="1E916C0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4BE9DE0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,132</w:t>
            </w:r>
          </w:p>
        </w:tc>
        <w:tc>
          <w:tcPr>
            <w:tcW w:w="1414" w:type="dxa"/>
            <w:tcBorders>
              <w:top w:val="nil"/>
              <w:bottom w:val="nil"/>
            </w:tcBorders>
            <w:shd w:val="clear" w:color="auto" w:fill="FFFFFF"/>
            <w:vAlign w:val="center"/>
          </w:tcPr>
          <w:p w14:paraId="65F8513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0250A98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6F69AF95" w14:textId="77777777" w:rsidTr="008E59D3">
        <w:trPr>
          <w:cantSplit/>
        </w:trPr>
        <w:tc>
          <w:tcPr>
            <w:tcW w:w="1046" w:type="dxa"/>
            <w:vMerge/>
            <w:tcBorders>
              <w:top w:val="nil"/>
              <w:left w:val="single" w:sz="16" w:space="0" w:color="000000"/>
              <w:right w:val="nil"/>
            </w:tcBorders>
            <w:shd w:val="clear" w:color="auto" w:fill="FFFFFF"/>
          </w:tcPr>
          <w:p w14:paraId="5E908E2F"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6AAB7E0F"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500FEF3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76" w:type="dxa"/>
            <w:tcBorders>
              <w:top w:val="nil"/>
              <w:bottom w:val="nil"/>
            </w:tcBorders>
            <w:shd w:val="clear" w:color="auto" w:fill="FFFFFF"/>
            <w:vAlign w:val="center"/>
          </w:tcPr>
          <w:p w14:paraId="0E5A300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34F09AB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,456</w:t>
            </w:r>
          </w:p>
        </w:tc>
        <w:tc>
          <w:tcPr>
            <w:tcW w:w="1414" w:type="dxa"/>
            <w:tcBorders>
              <w:top w:val="nil"/>
              <w:bottom w:val="nil"/>
            </w:tcBorders>
            <w:shd w:val="clear" w:color="auto" w:fill="FFFFFF"/>
            <w:vAlign w:val="center"/>
          </w:tcPr>
          <w:p w14:paraId="0D6B233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623391B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589A0211" w14:textId="77777777" w:rsidTr="008E59D3">
        <w:trPr>
          <w:cantSplit/>
        </w:trPr>
        <w:tc>
          <w:tcPr>
            <w:tcW w:w="1046" w:type="dxa"/>
            <w:vMerge/>
            <w:tcBorders>
              <w:top w:val="nil"/>
              <w:left w:val="single" w:sz="16" w:space="0" w:color="000000"/>
              <w:right w:val="nil"/>
            </w:tcBorders>
            <w:shd w:val="clear" w:color="auto" w:fill="FFFFFF"/>
          </w:tcPr>
          <w:p w14:paraId="4481D75F"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4430353F"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087794A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076" w:type="dxa"/>
            <w:tcBorders>
              <w:top w:val="nil"/>
              <w:bottom w:val="nil"/>
            </w:tcBorders>
            <w:shd w:val="clear" w:color="auto" w:fill="FFFFFF"/>
            <w:vAlign w:val="center"/>
          </w:tcPr>
          <w:p w14:paraId="6E8E40D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29" w:type="dxa"/>
            <w:tcBorders>
              <w:top w:val="nil"/>
              <w:bottom w:val="nil"/>
            </w:tcBorders>
            <w:shd w:val="clear" w:color="auto" w:fill="FFFFFF"/>
            <w:vAlign w:val="center"/>
          </w:tcPr>
          <w:p w14:paraId="625ACCE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,886</w:t>
            </w:r>
          </w:p>
        </w:tc>
        <w:tc>
          <w:tcPr>
            <w:tcW w:w="1414" w:type="dxa"/>
            <w:tcBorders>
              <w:top w:val="nil"/>
              <w:bottom w:val="nil"/>
            </w:tcBorders>
            <w:shd w:val="clear" w:color="auto" w:fill="FFFFFF"/>
            <w:vAlign w:val="center"/>
          </w:tcPr>
          <w:p w14:paraId="50738E5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7C29547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490D9733" w14:textId="77777777" w:rsidTr="008E59D3">
        <w:trPr>
          <w:cantSplit/>
        </w:trPr>
        <w:tc>
          <w:tcPr>
            <w:tcW w:w="1046" w:type="dxa"/>
            <w:vMerge/>
            <w:tcBorders>
              <w:top w:val="nil"/>
              <w:left w:val="single" w:sz="16" w:space="0" w:color="000000"/>
              <w:right w:val="nil"/>
            </w:tcBorders>
            <w:shd w:val="clear" w:color="auto" w:fill="FFFFFF"/>
          </w:tcPr>
          <w:p w14:paraId="274E1FDE"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B294B61"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7A3DD03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76" w:type="dxa"/>
            <w:tcBorders>
              <w:top w:val="nil"/>
              <w:bottom w:val="nil"/>
            </w:tcBorders>
            <w:shd w:val="clear" w:color="auto" w:fill="FFFFFF"/>
            <w:vAlign w:val="center"/>
          </w:tcPr>
          <w:p w14:paraId="306A5B5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7B3F3F2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,210</w:t>
            </w:r>
          </w:p>
        </w:tc>
        <w:tc>
          <w:tcPr>
            <w:tcW w:w="1414" w:type="dxa"/>
            <w:tcBorders>
              <w:top w:val="nil"/>
              <w:bottom w:val="nil"/>
            </w:tcBorders>
            <w:shd w:val="clear" w:color="auto" w:fill="FFFFFF"/>
            <w:vAlign w:val="center"/>
          </w:tcPr>
          <w:p w14:paraId="44674CA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49F4A29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49AC11A9" w14:textId="77777777" w:rsidTr="008E59D3">
        <w:trPr>
          <w:cantSplit/>
        </w:trPr>
        <w:tc>
          <w:tcPr>
            <w:tcW w:w="1046" w:type="dxa"/>
            <w:vMerge/>
            <w:tcBorders>
              <w:top w:val="nil"/>
              <w:left w:val="single" w:sz="16" w:space="0" w:color="000000"/>
              <w:right w:val="nil"/>
            </w:tcBorders>
            <w:shd w:val="clear" w:color="auto" w:fill="FFFFFF"/>
          </w:tcPr>
          <w:p w14:paraId="296E6967"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BCE6126"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0771A24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-,009</w:t>
            </w:r>
          </w:p>
        </w:tc>
        <w:tc>
          <w:tcPr>
            <w:tcW w:w="1076" w:type="dxa"/>
            <w:tcBorders>
              <w:top w:val="nil"/>
              <w:bottom w:val="nil"/>
            </w:tcBorders>
            <w:shd w:val="clear" w:color="auto" w:fill="FFFFFF"/>
            <w:vAlign w:val="center"/>
          </w:tcPr>
          <w:p w14:paraId="2D6B75D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0E941F6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,298</w:t>
            </w:r>
          </w:p>
        </w:tc>
        <w:tc>
          <w:tcPr>
            <w:tcW w:w="1414" w:type="dxa"/>
            <w:tcBorders>
              <w:top w:val="nil"/>
              <w:bottom w:val="nil"/>
            </w:tcBorders>
            <w:shd w:val="clear" w:color="auto" w:fill="FFFFFF"/>
            <w:vAlign w:val="center"/>
          </w:tcPr>
          <w:p w14:paraId="6385A70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1964C37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146377AA" w14:textId="77777777" w:rsidTr="008E59D3">
        <w:trPr>
          <w:cantSplit/>
        </w:trPr>
        <w:tc>
          <w:tcPr>
            <w:tcW w:w="1046" w:type="dxa"/>
            <w:vMerge/>
            <w:tcBorders>
              <w:top w:val="nil"/>
              <w:left w:val="single" w:sz="16" w:space="0" w:color="000000"/>
              <w:right w:val="nil"/>
            </w:tcBorders>
            <w:shd w:val="clear" w:color="auto" w:fill="FFFFFF"/>
          </w:tcPr>
          <w:p w14:paraId="692E6146"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3356B55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207693B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,003</w:t>
            </w:r>
          </w:p>
        </w:tc>
        <w:tc>
          <w:tcPr>
            <w:tcW w:w="1076" w:type="dxa"/>
            <w:tcBorders>
              <w:top w:val="nil"/>
              <w:bottom w:val="nil"/>
            </w:tcBorders>
            <w:shd w:val="clear" w:color="auto" w:fill="FFFFFF"/>
            <w:vAlign w:val="center"/>
          </w:tcPr>
          <w:p w14:paraId="000D51D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1A09325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,734</w:t>
            </w:r>
          </w:p>
        </w:tc>
        <w:tc>
          <w:tcPr>
            <w:tcW w:w="1414" w:type="dxa"/>
            <w:tcBorders>
              <w:top w:val="nil"/>
              <w:bottom w:val="nil"/>
            </w:tcBorders>
            <w:shd w:val="clear" w:color="auto" w:fill="FFFFFF"/>
            <w:vAlign w:val="center"/>
          </w:tcPr>
          <w:p w14:paraId="6DDE1FC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7D753447"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6FFD70CA" w14:textId="77777777" w:rsidTr="008E59D3">
        <w:trPr>
          <w:cantSplit/>
        </w:trPr>
        <w:tc>
          <w:tcPr>
            <w:tcW w:w="1046" w:type="dxa"/>
            <w:vMerge/>
            <w:tcBorders>
              <w:top w:val="nil"/>
              <w:left w:val="single" w:sz="16" w:space="0" w:color="000000"/>
              <w:right w:val="nil"/>
            </w:tcBorders>
            <w:shd w:val="clear" w:color="auto" w:fill="FFFFFF"/>
          </w:tcPr>
          <w:p w14:paraId="46F26F94"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right w:val="single" w:sz="16" w:space="0" w:color="000000"/>
            </w:tcBorders>
            <w:shd w:val="clear" w:color="auto" w:fill="FFFFFF"/>
          </w:tcPr>
          <w:p w14:paraId="5DAF4AC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28D5394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tcBorders>
            <w:shd w:val="clear" w:color="auto" w:fill="FFFFFF"/>
            <w:vAlign w:val="center"/>
          </w:tcPr>
          <w:p w14:paraId="1702D8A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29" w:type="dxa"/>
            <w:tcBorders>
              <w:top w:val="nil"/>
            </w:tcBorders>
            <w:shd w:val="clear" w:color="auto" w:fill="FFFFFF"/>
            <w:vAlign w:val="center"/>
          </w:tcPr>
          <w:p w14:paraId="633DFDD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,555</w:t>
            </w:r>
          </w:p>
        </w:tc>
        <w:tc>
          <w:tcPr>
            <w:tcW w:w="1414" w:type="dxa"/>
            <w:tcBorders>
              <w:top w:val="nil"/>
            </w:tcBorders>
            <w:shd w:val="clear" w:color="auto" w:fill="FFFFFF"/>
            <w:vAlign w:val="center"/>
          </w:tcPr>
          <w:p w14:paraId="5C40216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right w:val="single" w:sz="16" w:space="0" w:color="000000"/>
            </w:tcBorders>
            <w:shd w:val="clear" w:color="auto" w:fill="FFFFFF"/>
            <w:vAlign w:val="center"/>
          </w:tcPr>
          <w:p w14:paraId="234D853E"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514BDE2E" w14:textId="77777777" w:rsidTr="008E59D3">
        <w:trPr>
          <w:cantSplit/>
        </w:trPr>
        <w:tc>
          <w:tcPr>
            <w:tcW w:w="1046" w:type="dxa"/>
            <w:vMerge w:val="restart"/>
            <w:tcBorders>
              <w:top w:val="nil"/>
              <w:left w:val="single" w:sz="16" w:space="0" w:color="000000"/>
              <w:bottom w:val="single" w:sz="16" w:space="0" w:color="000000"/>
              <w:right w:val="nil"/>
            </w:tcBorders>
            <w:shd w:val="clear" w:color="auto" w:fill="FFFFFF"/>
          </w:tcPr>
          <w:p w14:paraId="68DCEA58"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10,0</w:t>
            </w:r>
          </w:p>
        </w:tc>
        <w:tc>
          <w:tcPr>
            <w:tcW w:w="1092" w:type="dxa"/>
            <w:tcBorders>
              <w:top w:val="nil"/>
              <w:left w:val="nil"/>
              <w:bottom w:val="nil"/>
              <w:right w:val="single" w:sz="16" w:space="0" w:color="000000"/>
            </w:tcBorders>
            <w:shd w:val="clear" w:color="auto" w:fill="FFFFFF"/>
          </w:tcPr>
          <w:p w14:paraId="7E1720A2"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584BF1E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-,013</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748CA30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w:t>
            </w:r>
          </w:p>
        </w:tc>
        <w:tc>
          <w:tcPr>
            <w:tcW w:w="1029" w:type="dxa"/>
            <w:tcBorders>
              <w:top w:val="nil"/>
              <w:bottom w:val="nil"/>
            </w:tcBorders>
            <w:shd w:val="clear" w:color="auto" w:fill="FFFFFF"/>
            <w:vAlign w:val="center"/>
          </w:tcPr>
          <w:p w14:paraId="52564703"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,037</w:t>
            </w:r>
          </w:p>
        </w:tc>
        <w:tc>
          <w:tcPr>
            <w:tcW w:w="1414" w:type="dxa"/>
            <w:tcBorders>
              <w:top w:val="nil"/>
              <w:bottom w:val="nil"/>
            </w:tcBorders>
            <w:shd w:val="clear" w:color="auto" w:fill="FFFFFF"/>
            <w:vAlign w:val="center"/>
          </w:tcPr>
          <w:p w14:paraId="52EF1C6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3A224F6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5BC3E1D2"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66976F6A"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A9A1424"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640392B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-,011</w:t>
            </w:r>
          </w:p>
        </w:tc>
        <w:tc>
          <w:tcPr>
            <w:tcW w:w="1076" w:type="dxa"/>
            <w:tcBorders>
              <w:top w:val="nil"/>
              <w:bottom w:val="nil"/>
            </w:tcBorders>
            <w:shd w:val="clear" w:color="auto" w:fill="FFFFFF"/>
            <w:vAlign w:val="center"/>
          </w:tcPr>
          <w:p w14:paraId="7820C7C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,010</w:t>
            </w:r>
          </w:p>
        </w:tc>
        <w:tc>
          <w:tcPr>
            <w:tcW w:w="1029" w:type="dxa"/>
            <w:tcBorders>
              <w:top w:val="nil"/>
              <w:bottom w:val="nil"/>
            </w:tcBorders>
            <w:shd w:val="clear" w:color="auto" w:fill="FFFFFF"/>
            <w:vAlign w:val="center"/>
          </w:tcPr>
          <w:p w14:paraId="1C9C1D51"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,267</w:t>
            </w:r>
          </w:p>
        </w:tc>
        <w:tc>
          <w:tcPr>
            <w:tcW w:w="1414" w:type="dxa"/>
            <w:tcBorders>
              <w:top w:val="nil"/>
              <w:bottom w:val="nil"/>
            </w:tcBorders>
            <w:shd w:val="clear" w:color="auto" w:fill="FFFFFF"/>
            <w:vAlign w:val="center"/>
          </w:tcPr>
          <w:p w14:paraId="2C1D7CF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0250406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6C953B62"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04BB21CB"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A0C0D77"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5B6D41D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-,018</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09844E2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33B798C5"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,027</w:t>
            </w:r>
          </w:p>
        </w:tc>
        <w:tc>
          <w:tcPr>
            <w:tcW w:w="1414" w:type="dxa"/>
            <w:tcBorders>
              <w:top w:val="nil"/>
              <w:bottom w:val="nil"/>
            </w:tcBorders>
            <w:shd w:val="clear" w:color="auto" w:fill="FFFFFF"/>
            <w:vAlign w:val="center"/>
          </w:tcPr>
          <w:p w14:paraId="256C8C8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5058753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5BE6217E"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3414033B"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ECCC62C"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10DB7AB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,003</w:t>
            </w:r>
          </w:p>
        </w:tc>
        <w:tc>
          <w:tcPr>
            <w:tcW w:w="1076" w:type="dxa"/>
            <w:tcBorders>
              <w:top w:val="nil"/>
              <w:bottom w:val="nil"/>
            </w:tcBorders>
            <w:shd w:val="clear" w:color="auto" w:fill="FFFFFF"/>
            <w:vAlign w:val="center"/>
          </w:tcPr>
          <w:p w14:paraId="4EFFE50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,008</w:t>
            </w:r>
          </w:p>
        </w:tc>
        <w:tc>
          <w:tcPr>
            <w:tcW w:w="1029" w:type="dxa"/>
            <w:tcBorders>
              <w:top w:val="nil"/>
              <w:bottom w:val="nil"/>
            </w:tcBorders>
            <w:shd w:val="clear" w:color="auto" w:fill="FFFFFF"/>
            <w:vAlign w:val="center"/>
          </w:tcPr>
          <w:p w14:paraId="4A02CF0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,702</w:t>
            </w:r>
          </w:p>
        </w:tc>
        <w:tc>
          <w:tcPr>
            <w:tcW w:w="1414" w:type="dxa"/>
            <w:tcBorders>
              <w:top w:val="nil"/>
              <w:bottom w:val="nil"/>
            </w:tcBorders>
            <w:shd w:val="clear" w:color="auto" w:fill="FFFFFF"/>
            <w:vAlign w:val="center"/>
          </w:tcPr>
          <w:p w14:paraId="68CD3F4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250214D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r>
      <w:tr w:rsidR="00D51049" w:rsidRPr="008E59D3" w14:paraId="238B8703"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269FD11E"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5C26266B"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3E9CAB6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-,005</w:t>
            </w:r>
          </w:p>
        </w:tc>
        <w:tc>
          <w:tcPr>
            <w:tcW w:w="1076" w:type="dxa"/>
            <w:tcBorders>
              <w:top w:val="nil"/>
              <w:bottom w:val="nil"/>
            </w:tcBorders>
            <w:shd w:val="clear" w:color="auto" w:fill="FFFFFF"/>
            <w:vAlign w:val="center"/>
          </w:tcPr>
          <w:p w14:paraId="1B67F0F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29" w:type="dxa"/>
            <w:tcBorders>
              <w:top w:val="nil"/>
              <w:bottom w:val="nil"/>
            </w:tcBorders>
            <w:shd w:val="clear" w:color="auto" w:fill="FFFFFF"/>
            <w:vAlign w:val="center"/>
          </w:tcPr>
          <w:p w14:paraId="7D944B8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,479</w:t>
            </w:r>
          </w:p>
        </w:tc>
        <w:tc>
          <w:tcPr>
            <w:tcW w:w="1414" w:type="dxa"/>
            <w:tcBorders>
              <w:top w:val="nil"/>
              <w:bottom w:val="nil"/>
            </w:tcBorders>
            <w:shd w:val="clear" w:color="auto" w:fill="FFFFFF"/>
            <w:vAlign w:val="center"/>
          </w:tcPr>
          <w:p w14:paraId="3D22A0C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nil"/>
              <w:right w:val="single" w:sz="16" w:space="0" w:color="000000"/>
            </w:tcBorders>
            <w:shd w:val="clear" w:color="auto" w:fill="FFFFFF"/>
            <w:vAlign w:val="center"/>
          </w:tcPr>
          <w:p w14:paraId="747E122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212DBD50"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3AC748F2"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0A463100"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41D2929C"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-,014</w:t>
            </w:r>
            <w:r w:rsidRPr="008E59D3">
              <w:rPr>
                <w:rFonts w:cs="Arial"/>
                <w:color w:val="000000"/>
                <w:sz w:val="16"/>
                <w:szCs w:val="16"/>
                <w:vertAlign w:val="superscript"/>
                <w:lang w:val="en-GB"/>
              </w:rPr>
              <w:t>*</w:t>
            </w:r>
          </w:p>
        </w:tc>
        <w:tc>
          <w:tcPr>
            <w:tcW w:w="1076" w:type="dxa"/>
            <w:tcBorders>
              <w:top w:val="nil"/>
              <w:bottom w:val="nil"/>
            </w:tcBorders>
            <w:shd w:val="clear" w:color="auto" w:fill="FFFFFF"/>
            <w:vAlign w:val="center"/>
          </w:tcPr>
          <w:p w14:paraId="464F3AB2"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29" w:type="dxa"/>
            <w:tcBorders>
              <w:top w:val="nil"/>
              <w:bottom w:val="nil"/>
            </w:tcBorders>
            <w:shd w:val="clear" w:color="auto" w:fill="FFFFFF"/>
            <w:vAlign w:val="center"/>
          </w:tcPr>
          <w:p w14:paraId="688B983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,035</w:t>
            </w:r>
          </w:p>
        </w:tc>
        <w:tc>
          <w:tcPr>
            <w:tcW w:w="1414" w:type="dxa"/>
            <w:tcBorders>
              <w:top w:val="nil"/>
              <w:bottom w:val="nil"/>
            </w:tcBorders>
            <w:shd w:val="clear" w:color="auto" w:fill="FFFFFF"/>
            <w:vAlign w:val="center"/>
          </w:tcPr>
          <w:p w14:paraId="4E5ADF0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0F2BDF9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521A78E8"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72C45989"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71ABD4CD"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680FBC6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-,012</w:t>
            </w:r>
          </w:p>
        </w:tc>
        <w:tc>
          <w:tcPr>
            <w:tcW w:w="1076" w:type="dxa"/>
            <w:tcBorders>
              <w:top w:val="nil"/>
              <w:bottom w:val="nil"/>
            </w:tcBorders>
            <w:shd w:val="clear" w:color="auto" w:fill="FFFFFF"/>
            <w:vAlign w:val="center"/>
          </w:tcPr>
          <w:p w14:paraId="3EBA8B1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29" w:type="dxa"/>
            <w:tcBorders>
              <w:top w:val="nil"/>
              <w:bottom w:val="nil"/>
            </w:tcBorders>
            <w:shd w:val="clear" w:color="auto" w:fill="FFFFFF"/>
            <w:vAlign w:val="center"/>
          </w:tcPr>
          <w:p w14:paraId="1577A20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,057</w:t>
            </w:r>
          </w:p>
        </w:tc>
        <w:tc>
          <w:tcPr>
            <w:tcW w:w="1414" w:type="dxa"/>
            <w:tcBorders>
              <w:top w:val="nil"/>
              <w:bottom w:val="nil"/>
            </w:tcBorders>
            <w:shd w:val="clear" w:color="auto" w:fill="FFFFFF"/>
            <w:vAlign w:val="center"/>
          </w:tcPr>
          <w:p w14:paraId="298F3C0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-,03</w:t>
            </w:r>
          </w:p>
        </w:tc>
        <w:tc>
          <w:tcPr>
            <w:tcW w:w="1414" w:type="dxa"/>
            <w:tcBorders>
              <w:top w:val="nil"/>
              <w:bottom w:val="nil"/>
              <w:right w:val="single" w:sz="16" w:space="0" w:color="000000"/>
            </w:tcBorders>
            <w:shd w:val="clear" w:color="auto" w:fill="FFFFFF"/>
            <w:vAlign w:val="center"/>
          </w:tcPr>
          <w:p w14:paraId="76FFE5A9"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w:t>
            </w:r>
          </w:p>
        </w:tc>
      </w:tr>
      <w:tr w:rsidR="00D51049" w:rsidRPr="008E59D3" w14:paraId="033DE51D"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5C9D4781"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nil"/>
              <w:right w:val="single" w:sz="16" w:space="0" w:color="000000"/>
            </w:tcBorders>
            <w:shd w:val="clear" w:color="auto" w:fill="FFFFFF"/>
          </w:tcPr>
          <w:p w14:paraId="18CCF6EF"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0A29E4D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-,001</w:t>
            </w:r>
          </w:p>
        </w:tc>
        <w:tc>
          <w:tcPr>
            <w:tcW w:w="1076" w:type="dxa"/>
            <w:tcBorders>
              <w:top w:val="nil"/>
              <w:bottom w:val="nil"/>
            </w:tcBorders>
            <w:shd w:val="clear" w:color="auto" w:fill="FFFFFF"/>
            <w:vAlign w:val="center"/>
          </w:tcPr>
          <w:p w14:paraId="043D3140"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,006</w:t>
            </w:r>
          </w:p>
        </w:tc>
        <w:tc>
          <w:tcPr>
            <w:tcW w:w="1029" w:type="dxa"/>
            <w:tcBorders>
              <w:top w:val="nil"/>
              <w:bottom w:val="nil"/>
            </w:tcBorders>
            <w:shd w:val="clear" w:color="auto" w:fill="FFFFFF"/>
            <w:vAlign w:val="center"/>
          </w:tcPr>
          <w:p w14:paraId="3A97249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,851</w:t>
            </w:r>
          </w:p>
        </w:tc>
        <w:tc>
          <w:tcPr>
            <w:tcW w:w="1414" w:type="dxa"/>
            <w:tcBorders>
              <w:top w:val="nil"/>
              <w:bottom w:val="nil"/>
            </w:tcBorders>
            <w:shd w:val="clear" w:color="auto" w:fill="FFFFFF"/>
            <w:vAlign w:val="center"/>
          </w:tcPr>
          <w:p w14:paraId="536475FF"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c>
          <w:tcPr>
            <w:tcW w:w="1414" w:type="dxa"/>
            <w:tcBorders>
              <w:top w:val="nil"/>
              <w:bottom w:val="nil"/>
              <w:right w:val="single" w:sz="16" w:space="0" w:color="000000"/>
            </w:tcBorders>
            <w:shd w:val="clear" w:color="auto" w:fill="FFFFFF"/>
            <w:vAlign w:val="center"/>
          </w:tcPr>
          <w:p w14:paraId="500FA51B"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r w:rsidR="00D51049" w:rsidRPr="008E59D3" w14:paraId="57D290FC" w14:textId="77777777" w:rsidTr="008E59D3">
        <w:trPr>
          <w:cantSplit/>
        </w:trPr>
        <w:tc>
          <w:tcPr>
            <w:tcW w:w="1046" w:type="dxa"/>
            <w:vMerge/>
            <w:tcBorders>
              <w:top w:val="nil"/>
              <w:left w:val="single" w:sz="16" w:space="0" w:color="000000"/>
              <w:bottom w:val="single" w:sz="16" w:space="0" w:color="000000"/>
              <w:right w:val="nil"/>
            </w:tcBorders>
            <w:shd w:val="clear" w:color="auto" w:fill="FFFFFF"/>
          </w:tcPr>
          <w:p w14:paraId="788B3703" w14:textId="77777777" w:rsidR="00D51049" w:rsidRPr="008E59D3" w:rsidRDefault="00D51049" w:rsidP="008E59D3">
            <w:pPr>
              <w:autoSpaceDE w:val="0"/>
              <w:autoSpaceDN w:val="0"/>
              <w:adjustRightInd w:val="0"/>
              <w:spacing w:after="0" w:line="240" w:lineRule="auto"/>
              <w:rPr>
                <w:rFonts w:cs="Arial"/>
                <w:color w:val="000000"/>
                <w:sz w:val="16"/>
                <w:szCs w:val="16"/>
                <w:lang w:val="en-GB"/>
              </w:rPr>
            </w:pPr>
          </w:p>
        </w:tc>
        <w:tc>
          <w:tcPr>
            <w:tcW w:w="1092" w:type="dxa"/>
            <w:tcBorders>
              <w:top w:val="nil"/>
              <w:left w:val="nil"/>
              <w:bottom w:val="single" w:sz="16" w:space="0" w:color="000000"/>
              <w:right w:val="single" w:sz="16" w:space="0" w:color="000000"/>
            </w:tcBorders>
            <w:shd w:val="clear" w:color="auto" w:fill="FFFFFF"/>
          </w:tcPr>
          <w:p w14:paraId="0FCA781D" w14:textId="77777777" w:rsidR="00D51049" w:rsidRPr="008E59D3" w:rsidRDefault="00D51049" w:rsidP="008E59D3">
            <w:pPr>
              <w:autoSpaceDE w:val="0"/>
              <w:autoSpaceDN w:val="0"/>
              <w:adjustRightInd w:val="0"/>
              <w:spacing w:after="0" w:line="240" w:lineRule="auto"/>
              <w:ind w:left="60" w:right="60"/>
              <w:rPr>
                <w:rFonts w:cs="Arial"/>
                <w:color w:val="000000"/>
                <w:sz w:val="16"/>
                <w:szCs w:val="16"/>
                <w:lang w:val="en-GB"/>
              </w:rPr>
            </w:pPr>
            <w:r w:rsidRPr="008E59D3">
              <w:rPr>
                <w:rFonts w:cs="Arial"/>
                <w:color w:val="000000"/>
                <w:sz w:val="16"/>
                <w:szCs w:val="16"/>
                <w:lang w:val="en-GB"/>
              </w:rPr>
              <w:t>9,0</w:t>
            </w:r>
          </w:p>
        </w:tc>
        <w:tc>
          <w:tcPr>
            <w:tcW w:w="1476" w:type="dxa"/>
            <w:tcBorders>
              <w:top w:val="nil"/>
              <w:left w:val="single" w:sz="16" w:space="0" w:color="000000"/>
              <w:bottom w:val="single" w:sz="16" w:space="0" w:color="000000"/>
            </w:tcBorders>
            <w:shd w:val="clear" w:color="auto" w:fill="FFFFFF"/>
            <w:vAlign w:val="center"/>
          </w:tcPr>
          <w:p w14:paraId="656EAB0D"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-,004</w:t>
            </w:r>
          </w:p>
        </w:tc>
        <w:tc>
          <w:tcPr>
            <w:tcW w:w="1076" w:type="dxa"/>
            <w:tcBorders>
              <w:top w:val="nil"/>
              <w:bottom w:val="single" w:sz="16" w:space="0" w:color="000000"/>
            </w:tcBorders>
            <w:shd w:val="clear" w:color="auto" w:fill="FFFFFF"/>
            <w:vAlign w:val="center"/>
          </w:tcPr>
          <w:p w14:paraId="61A50C9A"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,007</w:t>
            </w:r>
          </w:p>
        </w:tc>
        <w:tc>
          <w:tcPr>
            <w:tcW w:w="1029" w:type="dxa"/>
            <w:tcBorders>
              <w:top w:val="nil"/>
              <w:bottom w:val="single" w:sz="16" w:space="0" w:color="000000"/>
            </w:tcBorders>
            <w:shd w:val="clear" w:color="auto" w:fill="FFFFFF"/>
            <w:vAlign w:val="center"/>
          </w:tcPr>
          <w:p w14:paraId="13E16BF4"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,555</w:t>
            </w:r>
          </w:p>
        </w:tc>
        <w:tc>
          <w:tcPr>
            <w:tcW w:w="1414" w:type="dxa"/>
            <w:tcBorders>
              <w:top w:val="nil"/>
              <w:bottom w:val="single" w:sz="16" w:space="0" w:color="000000"/>
            </w:tcBorders>
            <w:shd w:val="clear" w:color="auto" w:fill="FFFFFF"/>
            <w:vAlign w:val="center"/>
          </w:tcPr>
          <w:p w14:paraId="49F73AB8"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-,02</w:t>
            </w:r>
          </w:p>
        </w:tc>
        <w:tc>
          <w:tcPr>
            <w:tcW w:w="1414" w:type="dxa"/>
            <w:tcBorders>
              <w:top w:val="nil"/>
              <w:bottom w:val="single" w:sz="16" w:space="0" w:color="000000"/>
              <w:right w:val="single" w:sz="16" w:space="0" w:color="000000"/>
            </w:tcBorders>
            <w:shd w:val="clear" w:color="auto" w:fill="FFFFFF"/>
            <w:vAlign w:val="center"/>
          </w:tcPr>
          <w:p w14:paraId="2C947ED6" w14:textId="77777777" w:rsidR="00D51049" w:rsidRPr="008E59D3" w:rsidRDefault="00D51049" w:rsidP="008E59D3">
            <w:pPr>
              <w:autoSpaceDE w:val="0"/>
              <w:autoSpaceDN w:val="0"/>
              <w:adjustRightInd w:val="0"/>
              <w:spacing w:after="0" w:line="240" w:lineRule="auto"/>
              <w:ind w:left="60" w:right="60"/>
              <w:jc w:val="right"/>
              <w:rPr>
                <w:rFonts w:cs="Arial"/>
                <w:color w:val="000000"/>
                <w:sz w:val="16"/>
                <w:szCs w:val="16"/>
                <w:lang w:val="en-GB"/>
              </w:rPr>
            </w:pPr>
            <w:r w:rsidRPr="008E59D3">
              <w:rPr>
                <w:rFonts w:cs="Arial"/>
                <w:color w:val="000000"/>
                <w:sz w:val="16"/>
                <w:szCs w:val="16"/>
                <w:lang w:val="en-GB"/>
              </w:rPr>
              <w:t>,01</w:t>
            </w:r>
          </w:p>
        </w:tc>
      </w:tr>
    </w:tbl>
    <w:p w14:paraId="6729D34E" w14:textId="77777777" w:rsidR="00D51049" w:rsidRPr="00D51049" w:rsidRDefault="00D51049" w:rsidP="00D51049">
      <w:pPr>
        <w:autoSpaceDE w:val="0"/>
        <w:autoSpaceDN w:val="0"/>
        <w:adjustRightInd w:val="0"/>
        <w:spacing w:after="0" w:line="400" w:lineRule="atLeast"/>
        <w:rPr>
          <w:rFonts w:ascii="Times New Roman" w:hAnsi="Times New Roman" w:cs="Times New Roman"/>
          <w:sz w:val="24"/>
          <w:szCs w:val="24"/>
          <w:lang w:val="en-GB"/>
        </w:rPr>
      </w:pPr>
    </w:p>
    <w:p w14:paraId="0E059467" w14:textId="77777777" w:rsidR="00661F34" w:rsidRPr="00661F34" w:rsidRDefault="00661F34" w:rsidP="00661F34">
      <w:pPr>
        <w:autoSpaceDE w:val="0"/>
        <w:autoSpaceDN w:val="0"/>
        <w:adjustRightInd w:val="0"/>
        <w:spacing w:after="0" w:line="240" w:lineRule="auto"/>
        <w:rPr>
          <w:rFonts w:ascii="Times New Roman" w:hAnsi="Times New Roman" w:cs="Times New Roman"/>
          <w:sz w:val="24"/>
          <w:szCs w:val="24"/>
          <w:lang w:val="en-GB"/>
        </w:rPr>
      </w:pPr>
    </w:p>
    <w:p w14:paraId="67402B6F" w14:textId="77777777" w:rsidR="008E59D3" w:rsidRDefault="008E59D3">
      <w:pPr>
        <w:rPr>
          <w:b/>
          <w:bCs/>
          <w:color w:val="4F81BD" w:themeColor="accent1"/>
          <w:sz w:val="18"/>
          <w:szCs w:val="18"/>
        </w:rPr>
      </w:pPr>
      <w:r>
        <w:br w:type="page"/>
      </w:r>
    </w:p>
    <w:p w14:paraId="687E0348" w14:textId="5D9DA240" w:rsidR="008E59D3" w:rsidRPr="00A726AB" w:rsidRDefault="008E59D3" w:rsidP="00A726AB">
      <w:pPr>
        <w:pStyle w:val="Kop5"/>
      </w:pPr>
      <w:r w:rsidRPr="00A726AB">
        <w:rPr>
          <w:rStyle w:val="Kop5Char"/>
          <w:b/>
          <w:bCs/>
        </w:rPr>
        <w:lastRenderedPageBreak/>
        <w:t xml:space="preserve">Table </w:t>
      </w:r>
      <w:r w:rsidRPr="00A726AB">
        <w:rPr>
          <w:rStyle w:val="Kop5Char"/>
          <w:b/>
          <w:bCs/>
        </w:rPr>
        <w:fldChar w:fldCharType="begin"/>
      </w:r>
      <w:r w:rsidRPr="00A726AB">
        <w:rPr>
          <w:rStyle w:val="Kop5Char"/>
          <w:b/>
          <w:bCs/>
        </w:rPr>
        <w:instrText xml:space="preserve"> SEQ Table \* ARABIC </w:instrText>
      </w:r>
      <w:r w:rsidRPr="00A726AB">
        <w:rPr>
          <w:rStyle w:val="Kop5Char"/>
          <w:b/>
          <w:bCs/>
        </w:rPr>
        <w:fldChar w:fldCharType="separate"/>
      </w:r>
      <w:r w:rsidR="004043A1">
        <w:rPr>
          <w:rStyle w:val="Kop5Char"/>
          <w:b/>
          <w:bCs/>
          <w:noProof/>
        </w:rPr>
        <w:t>15</w:t>
      </w:r>
      <w:r w:rsidRPr="00A726AB">
        <w:rPr>
          <w:rStyle w:val="Kop5Char"/>
          <w:b/>
          <w:bCs/>
        </w:rPr>
        <w:fldChar w:fldCharType="end"/>
      </w:r>
      <w:r w:rsidR="003F4802" w:rsidRPr="00A726AB">
        <w:rPr>
          <w:rStyle w:val="Kop5Char"/>
          <w:b/>
          <w:bCs/>
        </w:rPr>
        <w:t xml:space="preserve">: </w:t>
      </w:r>
      <w:bookmarkStart w:id="63" w:name="_GoBack"/>
      <w:r w:rsidR="003F4802" w:rsidRPr="00A726AB">
        <w:rPr>
          <w:rStyle w:val="Kop5Char"/>
          <w:b/>
          <w:bCs/>
        </w:rPr>
        <w:t>M</w:t>
      </w:r>
      <w:r w:rsidRPr="00A726AB">
        <w:rPr>
          <w:rStyle w:val="Kop5Char"/>
          <w:b/>
          <w:bCs/>
        </w:rPr>
        <w:t>utual</w:t>
      </w:r>
      <w:bookmarkEnd w:id="63"/>
      <w:r w:rsidRPr="00A726AB">
        <w:rPr>
          <w:rStyle w:val="Kop5Char"/>
          <w:b/>
          <w:bCs/>
        </w:rPr>
        <w:t xml:space="preserve"> relations hypothesis</w:t>
      </w:r>
      <w:r w:rsidRPr="00A726AB">
        <w:t xml:space="preserve"> 4</w:t>
      </w:r>
    </w:p>
    <w:tbl>
      <w:tblPr>
        <w:tblW w:w="906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5"/>
        <w:gridCol w:w="1091"/>
        <w:gridCol w:w="1476"/>
        <w:gridCol w:w="1476"/>
        <w:gridCol w:w="1029"/>
        <w:gridCol w:w="1476"/>
        <w:gridCol w:w="1476"/>
      </w:tblGrid>
      <w:tr w:rsidR="00661F34" w:rsidRPr="003F4802" w14:paraId="07FF26D6" w14:textId="77777777" w:rsidTr="008E59D3">
        <w:trPr>
          <w:cantSplit/>
        </w:trPr>
        <w:tc>
          <w:tcPr>
            <w:tcW w:w="1045" w:type="dxa"/>
            <w:vMerge w:val="restart"/>
            <w:tcBorders>
              <w:top w:val="single" w:sz="16" w:space="0" w:color="000000"/>
              <w:left w:val="single" w:sz="16" w:space="0" w:color="000000"/>
              <w:bottom w:val="nil"/>
              <w:right w:val="nil"/>
            </w:tcBorders>
            <w:shd w:val="clear" w:color="auto" w:fill="FFFFFF"/>
            <w:vAlign w:val="bottom"/>
          </w:tcPr>
          <w:p w14:paraId="51EA377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(I) Decile</w:t>
            </w:r>
          </w:p>
        </w:tc>
        <w:tc>
          <w:tcPr>
            <w:tcW w:w="1091" w:type="dxa"/>
            <w:vMerge w:val="restart"/>
            <w:tcBorders>
              <w:top w:val="single" w:sz="16" w:space="0" w:color="000000"/>
              <w:left w:val="nil"/>
              <w:bottom w:val="nil"/>
              <w:right w:val="single" w:sz="16" w:space="0" w:color="000000"/>
            </w:tcBorders>
            <w:shd w:val="clear" w:color="auto" w:fill="FFFFFF"/>
            <w:vAlign w:val="bottom"/>
          </w:tcPr>
          <w:p w14:paraId="215E31D0"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(J) Decile</w:t>
            </w:r>
          </w:p>
        </w:tc>
        <w:tc>
          <w:tcPr>
            <w:tcW w:w="1476" w:type="dxa"/>
            <w:vMerge w:val="restart"/>
            <w:tcBorders>
              <w:top w:val="single" w:sz="16" w:space="0" w:color="000000"/>
              <w:left w:val="single" w:sz="16" w:space="0" w:color="000000"/>
            </w:tcBorders>
            <w:shd w:val="clear" w:color="auto" w:fill="FFFFFF"/>
            <w:vAlign w:val="bottom"/>
          </w:tcPr>
          <w:p w14:paraId="35A9B5C8" w14:textId="77777777" w:rsidR="00661F34" w:rsidRPr="003F4802" w:rsidRDefault="00661F34" w:rsidP="008E59D3">
            <w:pPr>
              <w:autoSpaceDE w:val="0"/>
              <w:autoSpaceDN w:val="0"/>
              <w:adjustRightInd w:val="0"/>
              <w:spacing w:after="0" w:line="240" w:lineRule="auto"/>
              <w:ind w:left="60" w:right="60"/>
              <w:jc w:val="center"/>
              <w:rPr>
                <w:rFonts w:cs="Arial"/>
                <w:color w:val="000000"/>
                <w:sz w:val="16"/>
                <w:szCs w:val="16"/>
                <w:lang w:val="en-GB"/>
              </w:rPr>
            </w:pPr>
            <w:r w:rsidRPr="003F4802">
              <w:rPr>
                <w:rFonts w:cs="Arial"/>
                <w:color w:val="000000"/>
                <w:sz w:val="16"/>
                <w:szCs w:val="16"/>
                <w:lang w:val="en-GB"/>
              </w:rPr>
              <w:t>Mean Difference (I-J)</w:t>
            </w:r>
          </w:p>
        </w:tc>
        <w:tc>
          <w:tcPr>
            <w:tcW w:w="1476" w:type="dxa"/>
            <w:vMerge w:val="restart"/>
            <w:tcBorders>
              <w:top w:val="single" w:sz="16" w:space="0" w:color="000000"/>
            </w:tcBorders>
            <w:shd w:val="clear" w:color="auto" w:fill="FFFFFF"/>
            <w:vAlign w:val="bottom"/>
          </w:tcPr>
          <w:p w14:paraId="4AAF7C7E" w14:textId="77777777" w:rsidR="00661F34" w:rsidRPr="003F4802" w:rsidRDefault="00661F34" w:rsidP="008E59D3">
            <w:pPr>
              <w:autoSpaceDE w:val="0"/>
              <w:autoSpaceDN w:val="0"/>
              <w:adjustRightInd w:val="0"/>
              <w:spacing w:after="0" w:line="240" w:lineRule="auto"/>
              <w:ind w:left="60" w:right="60"/>
              <w:jc w:val="center"/>
              <w:rPr>
                <w:rFonts w:cs="Arial"/>
                <w:color w:val="000000"/>
                <w:sz w:val="16"/>
                <w:szCs w:val="16"/>
                <w:lang w:val="en-GB"/>
              </w:rPr>
            </w:pPr>
            <w:r w:rsidRPr="003F4802">
              <w:rPr>
                <w:rFonts w:cs="Arial"/>
                <w:color w:val="000000"/>
                <w:sz w:val="16"/>
                <w:szCs w:val="16"/>
                <w:lang w:val="en-GB"/>
              </w:rPr>
              <w:t>Std. Error</w:t>
            </w:r>
          </w:p>
        </w:tc>
        <w:tc>
          <w:tcPr>
            <w:tcW w:w="1029" w:type="dxa"/>
            <w:vMerge w:val="restart"/>
            <w:tcBorders>
              <w:top w:val="single" w:sz="16" w:space="0" w:color="000000"/>
            </w:tcBorders>
            <w:shd w:val="clear" w:color="auto" w:fill="FFFFFF"/>
            <w:vAlign w:val="bottom"/>
          </w:tcPr>
          <w:p w14:paraId="4947C883" w14:textId="77777777" w:rsidR="00661F34" w:rsidRPr="003F4802" w:rsidRDefault="00661F34" w:rsidP="008E59D3">
            <w:pPr>
              <w:autoSpaceDE w:val="0"/>
              <w:autoSpaceDN w:val="0"/>
              <w:adjustRightInd w:val="0"/>
              <w:spacing w:after="0" w:line="240" w:lineRule="auto"/>
              <w:ind w:left="60" w:right="60"/>
              <w:jc w:val="center"/>
              <w:rPr>
                <w:rFonts w:cs="Arial"/>
                <w:color w:val="000000"/>
                <w:sz w:val="16"/>
                <w:szCs w:val="16"/>
                <w:lang w:val="en-GB"/>
              </w:rPr>
            </w:pPr>
            <w:r w:rsidRPr="003F4802">
              <w:rPr>
                <w:rFonts w:cs="Arial"/>
                <w:color w:val="000000"/>
                <w:sz w:val="16"/>
                <w:szCs w:val="16"/>
                <w:lang w:val="en-GB"/>
              </w:rPr>
              <w:t>Sig.</w:t>
            </w:r>
          </w:p>
        </w:tc>
        <w:tc>
          <w:tcPr>
            <w:tcW w:w="2952" w:type="dxa"/>
            <w:gridSpan w:val="2"/>
            <w:tcBorders>
              <w:top w:val="single" w:sz="16" w:space="0" w:color="000000"/>
              <w:right w:val="single" w:sz="16" w:space="0" w:color="000000"/>
            </w:tcBorders>
            <w:shd w:val="clear" w:color="auto" w:fill="FFFFFF"/>
            <w:vAlign w:val="bottom"/>
          </w:tcPr>
          <w:p w14:paraId="61E42227" w14:textId="77777777" w:rsidR="00661F34" w:rsidRPr="003F4802" w:rsidRDefault="00661F34" w:rsidP="008E59D3">
            <w:pPr>
              <w:autoSpaceDE w:val="0"/>
              <w:autoSpaceDN w:val="0"/>
              <w:adjustRightInd w:val="0"/>
              <w:spacing w:after="0" w:line="240" w:lineRule="auto"/>
              <w:ind w:left="60" w:right="60"/>
              <w:jc w:val="center"/>
              <w:rPr>
                <w:rFonts w:cs="Arial"/>
                <w:color w:val="000000"/>
                <w:sz w:val="16"/>
                <w:szCs w:val="16"/>
                <w:lang w:val="en-GB"/>
              </w:rPr>
            </w:pPr>
            <w:r w:rsidRPr="003F4802">
              <w:rPr>
                <w:rFonts w:cs="Arial"/>
                <w:color w:val="000000"/>
                <w:sz w:val="16"/>
                <w:szCs w:val="16"/>
                <w:lang w:val="en-GB"/>
              </w:rPr>
              <w:t>95% Confidence Interval</w:t>
            </w:r>
          </w:p>
        </w:tc>
      </w:tr>
      <w:tr w:rsidR="00661F34" w:rsidRPr="003F4802" w14:paraId="24313D2D" w14:textId="77777777" w:rsidTr="008E59D3">
        <w:trPr>
          <w:cantSplit/>
        </w:trPr>
        <w:tc>
          <w:tcPr>
            <w:tcW w:w="1045" w:type="dxa"/>
            <w:vMerge/>
            <w:tcBorders>
              <w:top w:val="single" w:sz="16" w:space="0" w:color="000000"/>
              <w:left w:val="single" w:sz="16" w:space="0" w:color="000000"/>
              <w:bottom w:val="nil"/>
              <w:right w:val="nil"/>
            </w:tcBorders>
            <w:shd w:val="clear" w:color="auto" w:fill="FFFFFF"/>
            <w:vAlign w:val="bottom"/>
          </w:tcPr>
          <w:p w14:paraId="62818C19"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vMerge/>
            <w:tcBorders>
              <w:top w:val="single" w:sz="16" w:space="0" w:color="000000"/>
              <w:left w:val="nil"/>
              <w:bottom w:val="nil"/>
              <w:right w:val="single" w:sz="16" w:space="0" w:color="000000"/>
            </w:tcBorders>
            <w:shd w:val="clear" w:color="auto" w:fill="FFFFFF"/>
            <w:vAlign w:val="bottom"/>
          </w:tcPr>
          <w:p w14:paraId="1EE8894E"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476" w:type="dxa"/>
            <w:vMerge/>
            <w:tcBorders>
              <w:top w:val="single" w:sz="16" w:space="0" w:color="000000"/>
              <w:left w:val="single" w:sz="16" w:space="0" w:color="000000"/>
            </w:tcBorders>
            <w:shd w:val="clear" w:color="auto" w:fill="FFFFFF"/>
            <w:vAlign w:val="bottom"/>
          </w:tcPr>
          <w:p w14:paraId="59E8303A"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476" w:type="dxa"/>
            <w:vMerge/>
            <w:tcBorders>
              <w:top w:val="single" w:sz="16" w:space="0" w:color="000000"/>
            </w:tcBorders>
            <w:shd w:val="clear" w:color="auto" w:fill="FFFFFF"/>
            <w:vAlign w:val="bottom"/>
          </w:tcPr>
          <w:p w14:paraId="3B8F186F"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29" w:type="dxa"/>
            <w:vMerge/>
            <w:tcBorders>
              <w:top w:val="single" w:sz="16" w:space="0" w:color="000000"/>
            </w:tcBorders>
            <w:shd w:val="clear" w:color="auto" w:fill="FFFFFF"/>
            <w:vAlign w:val="bottom"/>
          </w:tcPr>
          <w:p w14:paraId="7BA91B5C"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476" w:type="dxa"/>
            <w:tcBorders>
              <w:bottom w:val="single" w:sz="16" w:space="0" w:color="000000"/>
            </w:tcBorders>
            <w:shd w:val="clear" w:color="auto" w:fill="FFFFFF"/>
            <w:vAlign w:val="bottom"/>
          </w:tcPr>
          <w:p w14:paraId="218B8BBD" w14:textId="77777777" w:rsidR="00661F34" w:rsidRPr="003F4802" w:rsidRDefault="00661F34" w:rsidP="008E59D3">
            <w:pPr>
              <w:autoSpaceDE w:val="0"/>
              <w:autoSpaceDN w:val="0"/>
              <w:adjustRightInd w:val="0"/>
              <w:spacing w:after="0" w:line="240" w:lineRule="auto"/>
              <w:ind w:left="60" w:right="60"/>
              <w:jc w:val="center"/>
              <w:rPr>
                <w:rFonts w:cs="Arial"/>
                <w:color w:val="000000"/>
                <w:sz w:val="16"/>
                <w:szCs w:val="16"/>
                <w:lang w:val="en-GB"/>
              </w:rPr>
            </w:pPr>
            <w:r w:rsidRPr="003F4802">
              <w:rPr>
                <w:rFonts w:cs="Arial"/>
                <w:color w:val="000000"/>
                <w:sz w:val="16"/>
                <w:szCs w:val="16"/>
                <w:lang w:val="en-GB"/>
              </w:rPr>
              <w:t>Lower Bound</w:t>
            </w:r>
          </w:p>
        </w:tc>
        <w:tc>
          <w:tcPr>
            <w:tcW w:w="1476" w:type="dxa"/>
            <w:tcBorders>
              <w:bottom w:val="single" w:sz="16" w:space="0" w:color="000000"/>
              <w:right w:val="single" w:sz="16" w:space="0" w:color="000000"/>
            </w:tcBorders>
            <w:shd w:val="clear" w:color="auto" w:fill="FFFFFF"/>
            <w:vAlign w:val="bottom"/>
          </w:tcPr>
          <w:p w14:paraId="017C9A1F" w14:textId="77777777" w:rsidR="00661F34" w:rsidRPr="003F4802" w:rsidRDefault="00661F34" w:rsidP="008E59D3">
            <w:pPr>
              <w:autoSpaceDE w:val="0"/>
              <w:autoSpaceDN w:val="0"/>
              <w:adjustRightInd w:val="0"/>
              <w:spacing w:after="0" w:line="240" w:lineRule="auto"/>
              <w:ind w:left="60" w:right="60"/>
              <w:jc w:val="center"/>
              <w:rPr>
                <w:rFonts w:cs="Arial"/>
                <w:color w:val="000000"/>
                <w:sz w:val="16"/>
                <w:szCs w:val="16"/>
                <w:lang w:val="en-GB"/>
              </w:rPr>
            </w:pPr>
            <w:r w:rsidRPr="003F4802">
              <w:rPr>
                <w:rFonts w:cs="Arial"/>
                <w:color w:val="000000"/>
                <w:sz w:val="16"/>
                <w:szCs w:val="16"/>
                <w:lang w:val="en-GB"/>
              </w:rPr>
              <w:t>Upper Bound</w:t>
            </w:r>
          </w:p>
        </w:tc>
      </w:tr>
      <w:tr w:rsidR="00661F34" w:rsidRPr="003F4802" w14:paraId="71353088" w14:textId="77777777" w:rsidTr="008E59D3">
        <w:trPr>
          <w:cantSplit/>
        </w:trPr>
        <w:tc>
          <w:tcPr>
            <w:tcW w:w="1045" w:type="dxa"/>
            <w:vMerge w:val="restart"/>
            <w:tcBorders>
              <w:top w:val="single" w:sz="16" w:space="0" w:color="000000"/>
              <w:left w:val="single" w:sz="16" w:space="0" w:color="000000"/>
              <w:right w:val="nil"/>
            </w:tcBorders>
            <w:shd w:val="clear" w:color="auto" w:fill="FFFFFF"/>
          </w:tcPr>
          <w:p w14:paraId="1004BDBF"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091" w:type="dxa"/>
            <w:tcBorders>
              <w:top w:val="single" w:sz="16" w:space="0" w:color="000000"/>
              <w:left w:val="nil"/>
              <w:bottom w:val="nil"/>
              <w:right w:val="single" w:sz="16" w:space="0" w:color="000000"/>
            </w:tcBorders>
            <w:shd w:val="clear" w:color="auto" w:fill="FFFFFF"/>
          </w:tcPr>
          <w:p w14:paraId="20EFF190"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476" w:type="dxa"/>
            <w:tcBorders>
              <w:top w:val="single" w:sz="16" w:space="0" w:color="000000"/>
              <w:left w:val="single" w:sz="16" w:space="0" w:color="000000"/>
              <w:bottom w:val="nil"/>
            </w:tcBorders>
            <w:shd w:val="clear" w:color="auto" w:fill="FFFFFF"/>
            <w:vAlign w:val="center"/>
          </w:tcPr>
          <w:p w14:paraId="3012E0B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,077061843719339</w:t>
            </w:r>
          </w:p>
        </w:tc>
        <w:tc>
          <w:tcPr>
            <w:tcW w:w="1476" w:type="dxa"/>
            <w:tcBorders>
              <w:top w:val="single" w:sz="16" w:space="0" w:color="000000"/>
              <w:bottom w:val="nil"/>
            </w:tcBorders>
            <w:shd w:val="clear" w:color="auto" w:fill="FFFFFF"/>
            <w:vAlign w:val="center"/>
          </w:tcPr>
          <w:p w14:paraId="5F44966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,084996645466228</w:t>
            </w:r>
          </w:p>
        </w:tc>
        <w:tc>
          <w:tcPr>
            <w:tcW w:w="1029" w:type="dxa"/>
            <w:tcBorders>
              <w:top w:val="single" w:sz="16" w:space="0" w:color="000000"/>
              <w:bottom w:val="nil"/>
            </w:tcBorders>
            <w:shd w:val="clear" w:color="auto" w:fill="FFFFFF"/>
            <w:vAlign w:val="center"/>
          </w:tcPr>
          <w:p w14:paraId="654BBB0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,365</w:t>
            </w:r>
          </w:p>
        </w:tc>
        <w:tc>
          <w:tcPr>
            <w:tcW w:w="1476" w:type="dxa"/>
            <w:tcBorders>
              <w:top w:val="single" w:sz="16" w:space="0" w:color="000000"/>
              <w:bottom w:val="nil"/>
            </w:tcBorders>
            <w:shd w:val="clear" w:color="auto" w:fill="FFFFFF"/>
            <w:vAlign w:val="center"/>
          </w:tcPr>
          <w:p w14:paraId="25532BE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-,089569346854852</w:t>
            </w:r>
          </w:p>
        </w:tc>
        <w:tc>
          <w:tcPr>
            <w:tcW w:w="1476" w:type="dxa"/>
            <w:tcBorders>
              <w:top w:val="single" w:sz="16" w:space="0" w:color="000000"/>
              <w:bottom w:val="nil"/>
              <w:right w:val="single" w:sz="16" w:space="0" w:color="000000"/>
            </w:tcBorders>
            <w:shd w:val="clear" w:color="auto" w:fill="FFFFFF"/>
            <w:vAlign w:val="center"/>
          </w:tcPr>
          <w:p w14:paraId="02C8ECE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,243693034293530</w:t>
            </w:r>
          </w:p>
        </w:tc>
      </w:tr>
      <w:tr w:rsidR="00661F34" w:rsidRPr="003F4802" w14:paraId="02E8B76B" w14:textId="77777777" w:rsidTr="008E59D3">
        <w:trPr>
          <w:cantSplit/>
        </w:trPr>
        <w:tc>
          <w:tcPr>
            <w:tcW w:w="1045" w:type="dxa"/>
            <w:vMerge/>
            <w:tcBorders>
              <w:top w:val="single" w:sz="16" w:space="0" w:color="000000"/>
              <w:left w:val="single" w:sz="16" w:space="0" w:color="000000"/>
              <w:right w:val="nil"/>
            </w:tcBorders>
            <w:shd w:val="clear" w:color="auto" w:fill="FFFFFF"/>
          </w:tcPr>
          <w:p w14:paraId="2093D0B7"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61BAB7E6"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532DCDF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-,010552575881021</w:t>
            </w:r>
          </w:p>
        </w:tc>
        <w:tc>
          <w:tcPr>
            <w:tcW w:w="1476" w:type="dxa"/>
            <w:tcBorders>
              <w:top w:val="nil"/>
              <w:bottom w:val="nil"/>
            </w:tcBorders>
            <w:shd w:val="clear" w:color="auto" w:fill="FFFFFF"/>
            <w:vAlign w:val="center"/>
          </w:tcPr>
          <w:p w14:paraId="1F436DA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,080717266139609</w:t>
            </w:r>
          </w:p>
        </w:tc>
        <w:tc>
          <w:tcPr>
            <w:tcW w:w="1029" w:type="dxa"/>
            <w:tcBorders>
              <w:top w:val="nil"/>
              <w:bottom w:val="nil"/>
            </w:tcBorders>
            <w:shd w:val="clear" w:color="auto" w:fill="FFFFFF"/>
            <w:vAlign w:val="center"/>
          </w:tcPr>
          <w:p w14:paraId="78D248E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,896</w:t>
            </w:r>
          </w:p>
        </w:tc>
        <w:tc>
          <w:tcPr>
            <w:tcW w:w="1476" w:type="dxa"/>
            <w:tcBorders>
              <w:top w:val="nil"/>
              <w:bottom w:val="nil"/>
            </w:tcBorders>
            <w:shd w:val="clear" w:color="auto" w:fill="FFFFFF"/>
            <w:vAlign w:val="center"/>
          </w:tcPr>
          <w:p w14:paraId="3642B5D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-,168794281573759</w:t>
            </w:r>
          </w:p>
        </w:tc>
        <w:tc>
          <w:tcPr>
            <w:tcW w:w="1476" w:type="dxa"/>
            <w:tcBorders>
              <w:top w:val="nil"/>
              <w:bottom w:val="nil"/>
              <w:right w:val="single" w:sz="16" w:space="0" w:color="000000"/>
            </w:tcBorders>
            <w:shd w:val="clear" w:color="auto" w:fill="FFFFFF"/>
            <w:vAlign w:val="center"/>
          </w:tcPr>
          <w:p w14:paraId="38467AF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,147689129811718</w:t>
            </w:r>
          </w:p>
        </w:tc>
      </w:tr>
      <w:tr w:rsidR="00661F34" w:rsidRPr="003F4802" w14:paraId="3E826ADB" w14:textId="77777777" w:rsidTr="008E59D3">
        <w:trPr>
          <w:cantSplit/>
        </w:trPr>
        <w:tc>
          <w:tcPr>
            <w:tcW w:w="1045" w:type="dxa"/>
            <w:vMerge/>
            <w:tcBorders>
              <w:top w:val="single" w:sz="16" w:space="0" w:color="000000"/>
              <w:left w:val="single" w:sz="16" w:space="0" w:color="000000"/>
              <w:right w:val="nil"/>
            </w:tcBorders>
            <w:shd w:val="clear" w:color="auto" w:fill="FFFFFF"/>
          </w:tcPr>
          <w:p w14:paraId="34D13B3E"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59DA9C48"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32AA501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,082065588824601</w:t>
            </w:r>
          </w:p>
        </w:tc>
        <w:tc>
          <w:tcPr>
            <w:tcW w:w="1476" w:type="dxa"/>
            <w:tcBorders>
              <w:top w:val="nil"/>
              <w:bottom w:val="nil"/>
            </w:tcBorders>
            <w:shd w:val="clear" w:color="auto" w:fill="FFFFFF"/>
            <w:vAlign w:val="center"/>
          </w:tcPr>
          <w:p w14:paraId="4ACE9B2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,073640703116102</w:t>
            </w:r>
          </w:p>
        </w:tc>
        <w:tc>
          <w:tcPr>
            <w:tcW w:w="1029" w:type="dxa"/>
            <w:tcBorders>
              <w:top w:val="nil"/>
              <w:bottom w:val="nil"/>
            </w:tcBorders>
            <w:shd w:val="clear" w:color="auto" w:fill="FFFFFF"/>
            <w:vAlign w:val="center"/>
          </w:tcPr>
          <w:p w14:paraId="732408F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,265</w:t>
            </w:r>
          </w:p>
        </w:tc>
        <w:tc>
          <w:tcPr>
            <w:tcW w:w="1476" w:type="dxa"/>
            <w:tcBorders>
              <w:top w:val="nil"/>
              <w:bottom w:val="nil"/>
            </w:tcBorders>
            <w:shd w:val="clear" w:color="auto" w:fill="FFFFFF"/>
            <w:vAlign w:val="center"/>
          </w:tcPr>
          <w:p w14:paraId="487953C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-,062302909104323</w:t>
            </w:r>
          </w:p>
        </w:tc>
        <w:tc>
          <w:tcPr>
            <w:tcW w:w="1476" w:type="dxa"/>
            <w:tcBorders>
              <w:top w:val="nil"/>
              <w:bottom w:val="nil"/>
              <w:right w:val="single" w:sz="16" w:space="0" w:color="000000"/>
            </w:tcBorders>
            <w:shd w:val="clear" w:color="auto" w:fill="FFFFFF"/>
            <w:vAlign w:val="center"/>
          </w:tcPr>
          <w:p w14:paraId="71900E5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,226434086753525</w:t>
            </w:r>
          </w:p>
        </w:tc>
      </w:tr>
      <w:tr w:rsidR="00661F34" w:rsidRPr="003F4802" w14:paraId="2CF39BDA" w14:textId="77777777" w:rsidTr="008E59D3">
        <w:trPr>
          <w:cantSplit/>
        </w:trPr>
        <w:tc>
          <w:tcPr>
            <w:tcW w:w="1045" w:type="dxa"/>
            <w:vMerge/>
            <w:tcBorders>
              <w:top w:val="single" w:sz="16" w:space="0" w:color="000000"/>
              <w:left w:val="single" w:sz="16" w:space="0" w:color="000000"/>
              <w:right w:val="nil"/>
            </w:tcBorders>
            <w:shd w:val="clear" w:color="auto" w:fill="FFFFFF"/>
          </w:tcPr>
          <w:p w14:paraId="2C4A3232"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5746B73"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4E4AF8F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,084870714713198</w:t>
            </w:r>
          </w:p>
        </w:tc>
        <w:tc>
          <w:tcPr>
            <w:tcW w:w="1476" w:type="dxa"/>
            <w:tcBorders>
              <w:top w:val="nil"/>
              <w:bottom w:val="nil"/>
            </w:tcBorders>
            <w:shd w:val="clear" w:color="auto" w:fill="FFFFFF"/>
            <w:vAlign w:val="center"/>
          </w:tcPr>
          <w:p w14:paraId="2D3DDB9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,068894656863273</w:t>
            </w:r>
          </w:p>
        </w:tc>
        <w:tc>
          <w:tcPr>
            <w:tcW w:w="1029" w:type="dxa"/>
            <w:tcBorders>
              <w:top w:val="nil"/>
              <w:bottom w:val="nil"/>
            </w:tcBorders>
            <w:shd w:val="clear" w:color="auto" w:fill="FFFFFF"/>
            <w:vAlign w:val="center"/>
          </w:tcPr>
          <w:p w14:paraId="391D409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,218</w:t>
            </w:r>
          </w:p>
        </w:tc>
        <w:tc>
          <w:tcPr>
            <w:tcW w:w="1476" w:type="dxa"/>
            <w:tcBorders>
              <w:top w:val="nil"/>
              <w:bottom w:val="nil"/>
            </w:tcBorders>
            <w:shd w:val="clear" w:color="auto" w:fill="FFFFFF"/>
            <w:vAlign w:val="center"/>
          </w:tcPr>
          <w:p w14:paraId="32439E7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-,050193423810821</w:t>
            </w:r>
          </w:p>
        </w:tc>
        <w:tc>
          <w:tcPr>
            <w:tcW w:w="1476" w:type="dxa"/>
            <w:tcBorders>
              <w:top w:val="nil"/>
              <w:bottom w:val="nil"/>
              <w:right w:val="single" w:sz="16" w:space="0" w:color="000000"/>
            </w:tcBorders>
            <w:shd w:val="clear" w:color="auto" w:fill="FFFFFF"/>
            <w:vAlign w:val="center"/>
          </w:tcPr>
          <w:p w14:paraId="6722611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,219934853237217</w:t>
            </w:r>
          </w:p>
        </w:tc>
      </w:tr>
      <w:tr w:rsidR="00661F34" w:rsidRPr="003F4802" w14:paraId="21B3C088" w14:textId="77777777" w:rsidTr="008E59D3">
        <w:trPr>
          <w:cantSplit/>
        </w:trPr>
        <w:tc>
          <w:tcPr>
            <w:tcW w:w="1045" w:type="dxa"/>
            <w:vMerge/>
            <w:tcBorders>
              <w:top w:val="single" w:sz="16" w:space="0" w:color="000000"/>
              <w:left w:val="single" w:sz="16" w:space="0" w:color="000000"/>
              <w:right w:val="nil"/>
            </w:tcBorders>
            <w:shd w:val="clear" w:color="auto" w:fill="FFFFFF"/>
          </w:tcPr>
          <w:p w14:paraId="18AED4A3"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06202DE9"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1B8DFC1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,001813701649016</w:t>
            </w:r>
          </w:p>
        </w:tc>
        <w:tc>
          <w:tcPr>
            <w:tcW w:w="1476" w:type="dxa"/>
            <w:tcBorders>
              <w:top w:val="nil"/>
              <w:bottom w:val="nil"/>
            </w:tcBorders>
            <w:shd w:val="clear" w:color="auto" w:fill="FFFFFF"/>
            <w:vAlign w:val="center"/>
          </w:tcPr>
          <w:p w14:paraId="310BE96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,067519449363811</w:t>
            </w:r>
          </w:p>
        </w:tc>
        <w:tc>
          <w:tcPr>
            <w:tcW w:w="1029" w:type="dxa"/>
            <w:tcBorders>
              <w:top w:val="nil"/>
              <w:bottom w:val="nil"/>
            </w:tcBorders>
            <w:shd w:val="clear" w:color="auto" w:fill="FFFFFF"/>
            <w:vAlign w:val="center"/>
          </w:tcPr>
          <w:p w14:paraId="3105C40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,979</w:t>
            </w:r>
          </w:p>
        </w:tc>
        <w:tc>
          <w:tcPr>
            <w:tcW w:w="1476" w:type="dxa"/>
            <w:tcBorders>
              <w:top w:val="nil"/>
              <w:bottom w:val="nil"/>
            </w:tcBorders>
            <w:shd w:val="clear" w:color="auto" w:fill="FFFFFF"/>
            <w:vAlign w:val="center"/>
          </w:tcPr>
          <w:p w14:paraId="453CF49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-,130554419147893</w:t>
            </w:r>
          </w:p>
        </w:tc>
        <w:tc>
          <w:tcPr>
            <w:tcW w:w="1476" w:type="dxa"/>
            <w:tcBorders>
              <w:top w:val="nil"/>
              <w:bottom w:val="nil"/>
              <w:right w:val="single" w:sz="16" w:space="0" w:color="000000"/>
            </w:tcBorders>
            <w:shd w:val="clear" w:color="auto" w:fill="FFFFFF"/>
            <w:vAlign w:val="center"/>
          </w:tcPr>
          <w:p w14:paraId="4E800E5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,134181822445925</w:t>
            </w:r>
          </w:p>
        </w:tc>
      </w:tr>
      <w:tr w:rsidR="00661F34" w:rsidRPr="003F4802" w14:paraId="04E0E1F4" w14:textId="77777777" w:rsidTr="008E59D3">
        <w:trPr>
          <w:cantSplit/>
        </w:trPr>
        <w:tc>
          <w:tcPr>
            <w:tcW w:w="1045" w:type="dxa"/>
            <w:vMerge/>
            <w:tcBorders>
              <w:top w:val="single" w:sz="16" w:space="0" w:color="000000"/>
              <w:left w:val="single" w:sz="16" w:space="0" w:color="000000"/>
              <w:right w:val="nil"/>
            </w:tcBorders>
            <w:shd w:val="clear" w:color="auto" w:fill="FFFFFF"/>
          </w:tcPr>
          <w:p w14:paraId="07EDE479"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C6298E0"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7D8F959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,085161955866170</w:t>
            </w:r>
          </w:p>
        </w:tc>
        <w:tc>
          <w:tcPr>
            <w:tcW w:w="1476" w:type="dxa"/>
            <w:tcBorders>
              <w:top w:val="nil"/>
              <w:bottom w:val="nil"/>
            </w:tcBorders>
            <w:shd w:val="clear" w:color="auto" w:fill="FFFFFF"/>
            <w:vAlign w:val="center"/>
          </w:tcPr>
          <w:p w14:paraId="086A1E3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,066034505676516</w:t>
            </w:r>
          </w:p>
        </w:tc>
        <w:tc>
          <w:tcPr>
            <w:tcW w:w="1029" w:type="dxa"/>
            <w:tcBorders>
              <w:top w:val="nil"/>
              <w:bottom w:val="nil"/>
            </w:tcBorders>
            <w:shd w:val="clear" w:color="auto" w:fill="FFFFFF"/>
            <w:vAlign w:val="center"/>
          </w:tcPr>
          <w:p w14:paraId="6A1505F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,197</w:t>
            </w:r>
          </w:p>
        </w:tc>
        <w:tc>
          <w:tcPr>
            <w:tcW w:w="1476" w:type="dxa"/>
            <w:tcBorders>
              <w:top w:val="nil"/>
              <w:bottom w:val="nil"/>
            </w:tcBorders>
            <w:shd w:val="clear" w:color="auto" w:fill="FFFFFF"/>
            <w:vAlign w:val="center"/>
          </w:tcPr>
          <w:p w14:paraId="43925EC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-,044295015517813</w:t>
            </w:r>
          </w:p>
        </w:tc>
        <w:tc>
          <w:tcPr>
            <w:tcW w:w="1476" w:type="dxa"/>
            <w:tcBorders>
              <w:top w:val="nil"/>
              <w:bottom w:val="nil"/>
              <w:right w:val="single" w:sz="16" w:space="0" w:color="000000"/>
            </w:tcBorders>
            <w:shd w:val="clear" w:color="auto" w:fill="FFFFFF"/>
            <w:vAlign w:val="center"/>
          </w:tcPr>
          <w:p w14:paraId="614A927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,214618927250153</w:t>
            </w:r>
          </w:p>
        </w:tc>
      </w:tr>
      <w:tr w:rsidR="00661F34" w:rsidRPr="003F4802" w14:paraId="2DDA9D12" w14:textId="77777777" w:rsidTr="008E59D3">
        <w:trPr>
          <w:cantSplit/>
        </w:trPr>
        <w:tc>
          <w:tcPr>
            <w:tcW w:w="1045" w:type="dxa"/>
            <w:vMerge/>
            <w:tcBorders>
              <w:top w:val="single" w:sz="16" w:space="0" w:color="000000"/>
              <w:left w:val="single" w:sz="16" w:space="0" w:color="000000"/>
              <w:right w:val="nil"/>
            </w:tcBorders>
            <w:shd w:val="clear" w:color="auto" w:fill="FFFFFF"/>
          </w:tcPr>
          <w:p w14:paraId="42490C81"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077199EB"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2C2A72D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,031831773258399</w:t>
            </w:r>
          </w:p>
        </w:tc>
        <w:tc>
          <w:tcPr>
            <w:tcW w:w="1476" w:type="dxa"/>
            <w:tcBorders>
              <w:top w:val="nil"/>
              <w:bottom w:val="nil"/>
            </w:tcBorders>
            <w:shd w:val="clear" w:color="auto" w:fill="FFFFFF"/>
            <w:vAlign w:val="center"/>
          </w:tcPr>
          <w:p w14:paraId="7383500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,063711569963112</w:t>
            </w:r>
          </w:p>
        </w:tc>
        <w:tc>
          <w:tcPr>
            <w:tcW w:w="1029" w:type="dxa"/>
            <w:tcBorders>
              <w:top w:val="nil"/>
              <w:bottom w:val="nil"/>
            </w:tcBorders>
            <w:shd w:val="clear" w:color="auto" w:fill="FFFFFF"/>
            <w:vAlign w:val="center"/>
          </w:tcPr>
          <w:p w14:paraId="0FA12A4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,617</w:t>
            </w:r>
          </w:p>
        </w:tc>
        <w:tc>
          <w:tcPr>
            <w:tcW w:w="1476" w:type="dxa"/>
            <w:tcBorders>
              <w:top w:val="nil"/>
              <w:bottom w:val="nil"/>
            </w:tcBorders>
            <w:shd w:val="clear" w:color="auto" w:fill="FFFFFF"/>
            <w:vAlign w:val="center"/>
          </w:tcPr>
          <w:p w14:paraId="34DFBFA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-,093071212007325</w:t>
            </w:r>
          </w:p>
        </w:tc>
        <w:tc>
          <w:tcPr>
            <w:tcW w:w="1476" w:type="dxa"/>
            <w:tcBorders>
              <w:top w:val="nil"/>
              <w:bottom w:val="nil"/>
              <w:right w:val="single" w:sz="16" w:space="0" w:color="000000"/>
            </w:tcBorders>
            <w:shd w:val="clear" w:color="auto" w:fill="FFFFFF"/>
            <w:vAlign w:val="center"/>
          </w:tcPr>
          <w:p w14:paraId="06C77B8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,156734758524122</w:t>
            </w:r>
          </w:p>
        </w:tc>
      </w:tr>
      <w:tr w:rsidR="00661F34" w:rsidRPr="003F4802" w14:paraId="05828A28" w14:textId="77777777" w:rsidTr="008E59D3">
        <w:trPr>
          <w:cantSplit/>
        </w:trPr>
        <w:tc>
          <w:tcPr>
            <w:tcW w:w="1045" w:type="dxa"/>
            <w:vMerge/>
            <w:tcBorders>
              <w:top w:val="single" w:sz="16" w:space="0" w:color="000000"/>
              <w:left w:val="single" w:sz="16" w:space="0" w:color="000000"/>
              <w:right w:val="nil"/>
            </w:tcBorders>
            <w:shd w:val="clear" w:color="auto" w:fill="FFFFFF"/>
          </w:tcPr>
          <w:p w14:paraId="36C889C4"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659EFF5"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035755F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,099961402019552</w:t>
            </w:r>
          </w:p>
        </w:tc>
        <w:tc>
          <w:tcPr>
            <w:tcW w:w="1476" w:type="dxa"/>
            <w:tcBorders>
              <w:top w:val="nil"/>
              <w:bottom w:val="nil"/>
            </w:tcBorders>
            <w:shd w:val="clear" w:color="auto" w:fill="FFFFFF"/>
            <w:vAlign w:val="center"/>
          </w:tcPr>
          <w:p w14:paraId="488A5F1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,064550605521346</w:t>
            </w:r>
          </w:p>
        </w:tc>
        <w:tc>
          <w:tcPr>
            <w:tcW w:w="1029" w:type="dxa"/>
            <w:tcBorders>
              <w:top w:val="nil"/>
              <w:bottom w:val="nil"/>
            </w:tcBorders>
            <w:shd w:val="clear" w:color="auto" w:fill="FFFFFF"/>
            <w:vAlign w:val="center"/>
          </w:tcPr>
          <w:p w14:paraId="7F6DE3B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,122</w:t>
            </w:r>
          </w:p>
        </w:tc>
        <w:tc>
          <w:tcPr>
            <w:tcW w:w="1476" w:type="dxa"/>
            <w:tcBorders>
              <w:top w:val="nil"/>
              <w:bottom w:val="nil"/>
            </w:tcBorders>
            <w:shd w:val="clear" w:color="auto" w:fill="FFFFFF"/>
            <w:vAlign w:val="center"/>
          </w:tcPr>
          <w:p w14:paraId="35C4F94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-,026586465738132</w:t>
            </w:r>
          </w:p>
        </w:tc>
        <w:tc>
          <w:tcPr>
            <w:tcW w:w="1476" w:type="dxa"/>
            <w:tcBorders>
              <w:top w:val="nil"/>
              <w:bottom w:val="nil"/>
              <w:right w:val="single" w:sz="16" w:space="0" w:color="000000"/>
            </w:tcBorders>
            <w:shd w:val="clear" w:color="auto" w:fill="FFFFFF"/>
            <w:vAlign w:val="center"/>
          </w:tcPr>
          <w:p w14:paraId="609D16D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,226509269777235</w:t>
            </w:r>
          </w:p>
        </w:tc>
      </w:tr>
      <w:tr w:rsidR="00661F34" w:rsidRPr="003F4802" w14:paraId="33490BE1" w14:textId="77777777" w:rsidTr="008E59D3">
        <w:trPr>
          <w:cantSplit/>
        </w:trPr>
        <w:tc>
          <w:tcPr>
            <w:tcW w:w="1045" w:type="dxa"/>
            <w:vMerge/>
            <w:tcBorders>
              <w:top w:val="single" w:sz="16" w:space="0" w:color="000000"/>
              <w:left w:val="single" w:sz="16" w:space="0" w:color="000000"/>
              <w:right w:val="nil"/>
            </w:tcBorders>
            <w:shd w:val="clear" w:color="auto" w:fill="FFFFFF"/>
          </w:tcPr>
          <w:p w14:paraId="7BFAD5A7"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right w:val="single" w:sz="16" w:space="0" w:color="000000"/>
            </w:tcBorders>
            <w:shd w:val="clear" w:color="auto" w:fill="FFFFFF"/>
          </w:tcPr>
          <w:p w14:paraId="60E35F8D"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0DD5960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-,017733848842402</w:t>
            </w:r>
          </w:p>
        </w:tc>
        <w:tc>
          <w:tcPr>
            <w:tcW w:w="1476" w:type="dxa"/>
            <w:tcBorders>
              <w:top w:val="nil"/>
            </w:tcBorders>
            <w:shd w:val="clear" w:color="auto" w:fill="FFFFFF"/>
            <w:vAlign w:val="center"/>
          </w:tcPr>
          <w:p w14:paraId="55E9D41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,052501599754594</w:t>
            </w:r>
          </w:p>
        </w:tc>
        <w:tc>
          <w:tcPr>
            <w:tcW w:w="1029" w:type="dxa"/>
            <w:tcBorders>
              <w:top w:val="nil"/>
            </w:tcBorders>
            <w:shd w:val="clear" w:color="auto" w:fill="FFFFFF"/>
            <w:vAlign w:val="center"/>
          </w:tcPr>
          <w:p w14:paraId="067AB47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,736</w:t>
            </w:r>
          </w:p>
        </w:tc>
        <w:tc>
          <w:tcPr>
            <w:tcW w:w="1476" w:type="dxa"/>
            <w:tcBorders>
              <w:top w:val="nil"/>
            </w:tcBorders>
            <w:shd w:val="clear" w:color="auto" w:fill="FFFFFF"/>
            <w:vAlign w:val="center"/>
          </w:tcPr>
          <w:p w14:paraId="2C6972C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-,120660311718325</w:t>
            </w:r>
          </w:p>
        </w:tc>
        <w:tc>
          <w:tcPr>
            <w:tcW w:w="1476" w:type="dxa"/>
            <w:tcBorders>
              <w:top w:val="nil"/>
              <w:right w:val="single" w:sz="16" w:space="0" w:color="000000"/>
            </w:tcBorders>
            <w:shd w:val="clear" w:color="auto" w:fill="FFFFFF"/>
            <w:vAlign w:val="center"/>
          </w:tcPr>
          <w:p w14:paraId="6465DFD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,085192614033522</w:t>
            </w:r>
          </w:p>
        </w:tc>
      </w:tr>
      <w:tr w:rsidR="00661F34" w:rsidRPr="003F4802" w14:paraId="7184E33A" w14:textId="77777777" w:rsidTr="008E59D3">
        <w:trPr>
          <w:cantSplit/>
        </w:trPr>
        <w:tc>
          <w:tcPr>
            <w:tcW w:w="1045" w:type="dxa"/>
            <w:vMerge w:val="restart"/>
            <w:tcBorders>
              <w:top w:val="nil"/>
              <w:left w:val="single" w:sz="16" w:space="0" w:color="000000"/>
              <w:right w:val="nil"/>
            </w:tcBorders>
            <w:shd w:val="clear" w:color="auto" w:fill="FFFFFF"/>
          </w:tcPr>
          <w:p w14:paraId="1459893D"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091" w:type="dxa"/>
            <w:tcBorders>
              <w:top w:val="nil"/>
              <w:left w:val="nil"/>
              <w:bottom w:val="nil"/>
              <w:right w:val="single" w:sz="16" w:space="0" w:color="000000"/>
            </w:tcBorders>
            <w:shd w:val="clear" w:color="auto" w:fill="FFFFFF"/>
          </w:tcPr>
          <w:p w14:paraId="49F29C1C"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7B5BCBC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-,077061843719339</w:t>
            </w:r>
          </w:p>
        </w:tc>
        <w:tc>
          <w:tcPr>
            <w:tcW w:w="1476" w:type="dxa"/>
            <w:tcBorders>
              <w:top w:val="nil"/>
              <w:bottom w:val="nil"/>
            </w:tcBorders>
            <w:shd w:val="clear" w:color="auto" w:fill="FFFFFF"/>
            <w:vAlign w:val="center"/>
          </w:tcPr>
          <w:p w14:paraId="0BA5FAA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,084996645466228</w:t>
            </w:r>
          </w:p>
        </w:tc>
        <w:tc>
          <w:tcPr>
            <w:tcW w:w="1029" w:type="dxa"/>
            <w:tcBorders>
              <w:top w:val="nil"/>
              <w:bottom w:val="nil"/>
            </w:tcBorders>
            <w:shd w:val="clear" w:color="auto" w:fill="FFFFFF"/>
            <w:vAlign w:val="center"/>
          </w:tcPr>
          <w:p w14:paraId="798C718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,365</w:t>
            </w:r>
          </w:p>
        </w:tc>
        <w:tc>
          <w:tcPr>
            <w:tcW w:w="1476" w:type="dxa"/>
            <w:tcBorders>
              <w:top w:val="nil"/>
              <w:bottom w:val="nil"/>
            </w:tcBorders>
            <w:shd w:val="clear" w:color="auto" w:fill="FFFFFF"/>
            <w:vAlign w:val="center"/>
          </w:tcPr>
          <w:p w14:paraId="1BEBA0E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-,243693034293530</w:t>
            </w:r>
          </w:p>
        </w:tc>
        <w:tc>
          <w:tcPr>
            <w:tcW w:w="1476" w:type="dxa"/>
            <w:tcBorders>
              <w:top w:val="nil"/>
              <w:bottom w:val="nil"/>
              <w:right w:val="single" w:sz="16" w:space="0" w:color="000000"/>
            </w:tcBorders>
            <w:shd w:val="clear" w:color="auto" w:fill="FFFFFF"/>
            <w:vAlign w:val="center"/>
          </w:tcPr>
          <w:p w14:paraId="3989AB7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,089569346854852</w:t>
            </w:r>
          </w:p>
        </w:tc>
      </w:tr>
      <w:tr w:rsidR="00661F34" w:rsidRPr="003F4802" w14:paraId="5B71CB12" w14:textId="77777777" w:rsidTr="008E59D3">
        <w:trPr>
          <w:cantSplit/>
        </w:trPr>
        <w:tc>
          <w:tcPr>
            <w:tcW w:w="1045" w:type="dxa"/>
            <w:vMerge/>
            <w:tcBorders>
              <w:top w:val="nil"/>
              <w:left w:val="single" w:sz="16" w:space="0" w:color="000000"/>
              <w:right w:val="nil"/>
            </w:tcBorders>
            <w:shd w:val="clear" w:color="auto" w:fill="FFFFFF"/>
          </w:tcPr>
          <w:p w14:paraId="120E1BD6"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24EACA5"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5F420FD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-,087614419600359</w:t>
            </w:r>
          </w:p>
        </w:tc>
        <w:tc>
          <w:tcPr>
            <w:tcW w:w="1476" w:type="dxa"/>
            <w:tcBorders>
              <w:top w:val="nil"/>
              <w:bottom w:val="nil"/>
            </w:tcBorders>
            <w:shd w:val="clear" w:color="auto" w:fill="FFFFFF"/>
            <w:vAlign w:val="center"/>
          </w:tcPr>
          <w:p w14:paraId="04671D3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,097199505494667</w:t>
            </w:r>
          </w:p>
        </w:tc>
        <w:tc>
          <w:tcPr>
            <w:tcW w:w="1029" w:type="dxa"/>
            <w:tcBorders>
              <w:top w:val="nil"/>
              <w:bottom w:val="nil"/>
            </w:tcBorders>
            <w:shd w:val="clear" w:color="auto" w:fill="FFFFFF"/>
            <w:vAlign w:val="center"/>
          </w:tcPr>
          <w:p w14:paraId="02D802C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,367</w:t>
            </w:r>
          </w:p>
        </w:tc>
        <w:tc>
          <w:tcPr>
            <w:tcW w:w="1476" w:type="dxa"/>
            <w:tcBorders>
              <w:top w:val="nil"/>
              <w:bottom w:val="nil"/>
            </w:tcBorders>
            <w:shd w:val="clear" w:color="auto" w:fill="FFFFFF"/>
            <w:vAlign w:val="center"/>
          </w:tcPr>
          <w:p w14:paraId="33F01AB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-,278168637769292</w:t>
            </w:r>
          </w:p>
        </w:tc>
        <w:tc>
          <w:tcPr>
            <w:tcW w:w="1476" w:type="dxa"/>
            <w:tcBorders>
              <w:top w:val="nil"/>
              <w:bottom w:val="nil"/>
              <w:right w:val="single" w:sz="16" w:space="0" w:color="000000"/>
            </w:tcBorders>
            <w:shd w:val="clear" w:color="auto" w:fill="FFFFFF"/>
            <w:vAlign w:val="center"/>
          </w:tcPr>
          <w:p w14:paraId="1D3D805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,102939798568574</w:t>
            </w:r>
          </w:p>
        </w:tc>
      </w:tr>
      <w:tr w:rsidR="00661F34" w:rsidRPr="003F4802" w14:paraId="0F48FFA4" w14:textId="77777777" w:rsidTr="008E59D3">
        <w:trPr>
          <w:cantSplit/>
        </w:trPr>
        <w:tc>
          <w:tcPr>
            <w:tcW w:w="1045" w:type="dxa"/>
            <w:vMerge/>
            <w:tcBorders>
              <w:top w:val="nil"/>
              <w:left w:val="single" w:sz="16" w:space="0" w:color="000000"/>
              <w:right w:val="nil"/>
            </w:tcBorders>
            <w:shd w:val="clear" w:color="auto" w:fill="FFFFFF"/>
          </w:tcPr>
          <w:p w14:paraId="37884B3B"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02BADA2C"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5550854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,005003745105262</w:t>
            </w:r>
          </w:p>
        </w:tc>
        <w:tc>
          <w:tcPr>
            <w:tcW w:w="1476" w:type="dxa"/>
            <w:tcBorders>
              <w:top w:val="nil"/>
              <w:bottom w:val="nil"/>
            </w:tcBorders>
            <w:shd w:val="clear" w:color="auto" w:fill="FFFFFF"/>
            <w:vAlign w:val="center"/>
          </w:tcPr>
          <w:p w14:paraId="0D14DC1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,091407986362184</w:t>
            </w:r>
          </w:p>
        </w:tc>
        <w:tc>
          <w:tcPr>
            <w:tcW w:w="1029" w:type="dxa"/>
            <w:tcBorders>
              <w:top w:val="nil"/>
              <w:bottom w:val="nil"/>
            </w:tcBorders>
            <w:shd w:val="clear" w:color="auto" w:fill="FFFFFF"/>
            <w:vAlign w:val="center"/>
          </w:tcPr>
          <w:p w14:paraId="744C482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,956</w:t>
            </w:r>
          </w:p>
        </w:tc>
        <w:tc>
          <w:tcPr>
            <w:tcW w:w="1476" w:type="dxa"/>
            <w:tcBorders>
              <w:top w:val="nil"/>
              <w:bottom w:val="nil"/>
            </w:tcBorders>
            <w:shd w:val="clear" w:color="auto" w:fill="FFFFFF"/>
            <w:vAlign w:val="center"/>
          </w:tcPr>
          <w:p w14:paraId="2D78EC4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-,174196522293198</w:t>
            </w:r>
          </w:p>
        </w:tc>
        <w:tc>
          <w:tcPr>
            <w:tcW w:w="1476" w:type="dxa"/>
            <w:tcBorders>
              <w:top w:val="nil"/>
              <w:bottom w:val="nil"/>
              <w:right w:val="single" w:sz="16" w:space="0" w:color="000000"/>
            </w:tcBorders>
            <w:shd w:val="clear" w:color="auto" w:fill="FFFFFF"/>
            <w:vAlign w:val="center"/>
          </w:tcPr>
          <w:p w14:paraId="130DB0E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,184204012503723</w:t>
            </w:r>
          </w:p>
        </w:tc>
      </w:tr>
      <w:tr w:rsidR="00661F34" w:rsidRPr="003F4802" w14:paraId="20B9DE0A" w14:textId="77777777" w:rsidTr="008E59D3">
        <w:trPr>
          <w:cantSplit/>
        </w:trPr>
        <w:tc>
          <w:tcPr>
            <w:tcW w:w="1045" w:type="dxa"/>
            <w:vMerge/>
            <w:tcBorders>
              <w:top w:val="nil"/>
              <w:left w:val="single" w:sz="16" w:space="0" w:color="000000"/>
              <w:right w:val="nil"/>
            </w:tcBorders>
            <w:shd w:val="clear" w:color="auto" w:fill="FFFFFF"/>
          </w:tcPr>
          <w:p w14:paraId="7E83E900"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258EAE92"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6DCBDD6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,007808870993859</w:t>
            </w:r>
          </w:p>
        </w:tc>
        <w:tc>
          <w:tcPr>
            <w:tcW w:w="1476" w:type="dxa"/>
            <w:tcBorders>
              <w:top w:val="nil"/>
              <w:bottom w:val="nil"/>
            </w:tcBorders>
            <w:shd w:val="clear" w:color="auto" w:fill="FFFFFF"/>
            <w:vAlign w:val="center"/>
          </w:tcPr>
          <w:p w14:paraId="40F95B0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,087629564415576</w:t>
            </w:r>
          </w:p>
        </w:tc>
        <w:tc>
          <w:tcPr>
            <w:tcW w:w="1029" w:type="dxa"/>
            <w:tcBorders>
              <w:top w:val="nil"/>
              <w:bottom w:val="nil"/>
            </w:tcBorders>
            <w:shd w:val="clear" w:color="auto" w:fill="FFFFFF"/>
            <w:vAlign w:val="center"/>
          </w:tcPr>
          <w:p w14:paraId="39263F1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,929</w:t>
            </w:r>
          </w:p>
        </w:tc>
        <w:tc>
          <w:tcPr>
            <w:tcW w:w="1476" w:type="dxa"/>
            <w:tcBorders>
              <w:top w:val="nil"/>
              <w:bottom w:val="nil"/>
            </w:tcBorders>
            <w:shd w:val="clear" w:color="auto" w:fill="FFFFFF"/>
            <w:vAlign w:val="center"/>
          </w:tcPr>
          <w:p w14:paraId="0B50030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-,163984010571884</w:t>
            </w:r>
          </w:p>
        </w:tc>
        <w:tc>
          <w:tcPr>
            <w:tcW w:w="1476" w:type="dxa"/>
            <w:tcBorders>
              <w:top w:val="nil"/>
              <w:bottom w:val="nil"/>
              <w:right w:val="single" w:sz="16" w:space="0" w:color="000000"/>
            </w:tcBorders>
            <w:shd w:val="clear" w:color="auto" w:fill="FFFFFF"/>
            <w:vAlign w:val="center"/>
          </w:tcPr>
          <w:p w14:paraId="1790953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,179601752559603</w:t>
            </w:r>
          </w:p>
        </w:tc>
      </w:tr>
      <w:tr w:rsidR="00661F34" w:rsidRPr="003F4802" w14:paraId="51A200B5" w14:textId="77777777" w:rsidTr="008E59D3">
        <w:trPr>
          <w:cantSplit/>
        </w:trPr>
        <w:tc>
          <w:tcPr>
            <w:tcW w:w="1045" w:type="dxa"/>
            <w:vMerge/>
            <w:tcBorders>
              <w:top w:val="nil"/>
              <w:left w:val="single" w:sz="16" w:space="0" w:color="000000"/>
              <w:right w:val="nil"/>
            </w:tcBorders>
            <w:shd w:val="clear" w:color="auto" w:fill="FFFFFF"/>
          </w:tcPr>
          <w:p w14:paraId="1587E4CD"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196144AC"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439436C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-,075248142070323</w:t>
            </w:r>
          </w:p>
        </w:tc>
        <w:tc>
          <w:tcPr>
            <w:tcW w:w="1476" w:type="dxa"/>
            <w:tcBorders>
              <w:top w:val="nil"/>
              <w:bottom w:val="nil"/>
            </w:tcBorders>
            <w:shd w:val="clear" w:color="auto" w:fill="FFFFFF"/>
            <w:vAlign w:val="center"/>
          </w:tcPr>
          <w:p w14:paraId="280738C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,086552543912630</w:t>
            </w:r>
          </w:p>
        </w:tc>
        <w:tc>
          <w:tcPr>
            <w:tcW w:w="1029" w:type="dxa"/>
            <w:tcBorders>
              <w:top w:val="nil"/>
              <w:bottom w:val="nil"/>
            </w:tcBorders>
            <w:shd w:val="clear" w:color="auto" w:fill="FFFFFF"/>
            <w:vAlign w:val="center"/>
          </w:tcPr>
          <w:p w14:paraId="381A101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,385</w:t>
            </w:r>
          </w:p>
        </w:tc>
        <w:tc>
          <w:tcPr>
            <w:tcW w:w="1476" w:type="dxa"/>
            <w:tcBorders>
              <w:top w:val="nil"/>
              <w:bottom w:val="nil"/>
            </w:tcBorders>
            <w:shd w:val="clear" w:color="auto" w:fill="FFFFFF"/>
            <w:vAlign w:val="center"/>
          </w:tcPr>
          <w:p w14:paraId="5AE9495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-,244929584911699</w:t>
            </w:r>
          </w:p>
        </w:tc>
        <w:tc>
          <w:tcPr>
            <w:tcW w:w="1476" w:type="dxa"/>
            <w:tcBorders>
              <w:top w:val="nil"/>
              <w:bottom w:val="nil"/>
              <w:right w:val="single" w:sz="16" w:space="0" w:color="000000"/>
            </w:tcBorders>
            <w:shd w:val="clear" w:color="auto" w:fill="FFFFFF"/>
            <w:vAlign w:val="center"/>
          </w:tcPr>
          <w:p w14:paraId="42AF141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,094433300771053</w:t>
            </w:r>
          </w:p>
        </w:tc>
      </w:tr>
      <w:tr w:rsidR="00661F34" w:rsidRPr="003F4802" w14:paraId="5F6E64C4" w14:textId="77777777" w:rsidTr="008E59D3">
        <w:trPr>
          <w:cantSplit/>
        </w:trPr>
        <w:tc>
          <w:tcPr>
            <w:tcW w:w="1045" w:type="dxa"/>
            <w:vMerge/>
            <w:tcBorders>
              <w:top w:val="nil"/>
              <w:left w:val="single" w:sz="16" w:space="0" w:color="000000"/>
              <w:right w:val="nil"/>
            </w:tcBorders>
            <w:shd w:val="clear" w:color="auto" w:fill="FFFFFF"/>
          </w:tcPr>
          <w:p w14:paraId="4F01F77F"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1980918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745B284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,008100112146831</w:t>
            </w:r>
          </w:p>
        </w:tc>
        <w:tc>
          <w:tcPr>
            <w:tcW w:w="1476" w:type="dxa"/>
            <w:tcBorders>
              <w:top w:val="nil"/>
              <w:bottom w:val="nil"/>
            </w:tcBorders>
            <w:shd w:val="clear" w:color="auto" w:fill="FFFFFF"/>
            <w:vAlign w:val="center"/>
          </w:tcPr>
          <w:p w14:paraId="682515E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,085399196455805</w:t>
            </w:r>
          </w:p>
        </w:tc>
        <w:tc>
          <w:tcPr>
            <w:tcW w:w="1029" w:type="dxa"/>
            <w:tcBorders>
              <w:top w:val="nil"/>
              <w:bottom w:val="nil"/>
            </w:tcBorders>
            <w:shd w:val="clear" w:color="auto" w:fill="FFFFFF"/>
            <w:vAlign w:val="center"/>
          </w:tcPr>
          <w:p w14:paraId="71C5AD7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,924</w:t>
            </w:r>
          </w:p>
        </w:tc>
        <w:tc>
          <w:tcPr>
            <w:tcW w:w="1476" w:type="dxa"/>
            <w:tcBorders>
              <w:top w:val="nil"/>
              <w:bottom w:val="nil"/>
            </w:tcBorders>
            <w:shd w:val="clear" w:color="auto" w:fill="FFFFFF"/>
            <w:vAlign w:val="center"/>
          </w:tcPr>
          <w:p w14:paraId="479C555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-,159320257227207</w:t>
            </w:r>
          </w:p>
        </w:tc>
        <w:tc>
          <w:tcPr>
            <w:tcW w:w="1476" w:type="dxa"/>
            <w:tcBorders>
              <w:top w:val="nil"/>
              <w:bottom w:val="nil"/>
              <w:right w:val="single" w:sz="16" w:space="0" w:color="000000"/>
            </w:tcBorders>
            <w:shd w:val="clear" w:color="auto" w:fill="FFFFFF"/>
            <w:vAlign w:val="center"/>
          </w:tcPr>
          <w:p w14:paraId="5382E3E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,175520481520870</w:t>
            </w:r>
          </w:p>
        </w:tc>
      </w:tr>
      <w:tr w:rsidR="00661F34" w:rsidRPr="003F4802" w14:paraId="04E3D1E8" w14:textId="77777777" w:rsidTr="008E59D3">
        <w:trPr>
          <w:cantSplit/>
        </w:trPr>
        <w:tc>
          <w:tcPr>
            <w:tcW w:w="1045" w:type="dxa"/>
            <w:vMerge/>
            <w:tcBorders>
              <w:top w:val="nil"/>
              <w:left w:val="single" w:sz="16" w:space="0" w:color="000000"/>
              <w:right w:val="nil"/>
            </w:tcBorders>
            <w:shd w:val="clear" w:color="auto" w:fill="FFFFFF"/>
          </w:tcPr>
          <w:p w14:paraId="291CAE76"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C5DB6FD"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4241E4B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-,045230070460940</w:t>
            </w:r>
          </w:p>
        </w:tc>
        <w:tc>
          <w:tcPr>
            <w:tcW w:w="1476" w:type="dxa"/>
            <w:tcBorders>
              <w:top w:val="nil"/>
              <w:bottom w:val="nil"/>
            </w:tcBorders>
            <w:shd w:val="clear" w:color="auto" w:fill="FFFFFF"/>
            <w:vAlign w:val="center"/>
          </w:tcPr>
          <w:p w14:paraId="74F14F3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,083615973130257</w:t>
            </w:r>
          </w:p>
        </w:tc>
        <w:tc>
          <w:tcPr>
            <w:tcW w:w="1029" w:type="dxa"/>
            <w:tcBorders>
              <w:top w:val="nil"/>
              <w:bottom w:val="nil"/>
            </w:tcBorders>
            <w:shd w:val="clear" w:color="auto" w:fill="FFFFFF"/>
            <w:vAlign w:val="center"/>
          </w:tcPr>
          <w:p w14:paraId="687A184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,589</w:t>
            </w:r>
          </w:p>
        </w:tc>
        <w:tc>
          <w:tcPr>
            <w:tcW w:w="1476" w:type="dxa"/>
            <w:tcBorders>
              <w:top w:val="nil"/>
              <w:bottom w:val="nil"/>
            </w:tcBorders>
            <w:shd w:val="clear" w:color="auto" w:fill="FFFFFF"/>
            <w:vAlign w:val="center"/>
          </w:tcPr>
          <w:p w14:paraId="2F012C8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-,209154529800343</w:t>
            </w:r>
          </w:p>
        </w:tc>
        <w:tc>
          <w:tcPr>
            <w:tcW w:w="1476" w:type="dxa"/>
            <w:tcBorders>
              <w:top w:val="nil"/>
              <w:bottom w:val="nil"/>
              <w:right w:val="single" w:sz="16" w:space="0" w:color="000000"/>
            </w:tcBorders>
            <w:shd w:val="clear" w:color="auto" w:fill="FFFFFF"/>
            <w:vAlign w:val="center"/>
          </w:tcPr>
          <w:p w14:paraId="5B16631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,118694388878463</w:t>
            </w:r>
          </w:p>
        </w:tc>
      </w:tr>
      <w:tr w:rsidR="00661F34" w:rsidRPr="003F4802" w14:paraId="4CB75EE0" w14:textId="77777777" w:rsidTr="008E59D3">
        <w:trPr>
          <w:cantSplit/>
        </w:trPr>
        <w:tc>
          <w:tcPr>
            <w:tcW w:w="1045" w:type="dxa"/>
            <w:vMerge/>
            <w:tcBorders>
              <w:top w:val="nil"/>
              <w:left w:val="single" w:sz="16" w:space="0" w:color="000000"/>
              <w:right w:val="nil"/>
            </w:tcBorders>
            <w:shd w:val="clear" w:color="auto" w:fill="FFFFFF"/>
          </w:tcPr>
          <w:p w14:paraId="32F86A61"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F15CE72"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029DE8F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,022899558300213</w:t>
            </w:r>
          </w:p>
        </w:tc>
        <w:tc>
          <w:tcPr>
            <w:tcW w:w="1476" w:type="dxa"/>
            <w:tcBorders>
              <w:top w:val="nil"/>
              <w:bottom w:val="nil"/>
            </w:tcBorders>
            <w:shd w:val="clear" w:color="auto" w:fill="FFFFFF"/>
            <w:vAlign w:val="center"/>
          </w:tcPr>
          <w:p w14:paraId="7F00429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,084257032279377</w:t>
            </w:r>
          </w:p>
        </w:tc>
        <w:tc>
          <w:tcPr>
            <w:tcW w:w="1029" w:type="dxa"/>
            <w:tcBorders>
              <w:top w:val="nil"/>
              <w:bottom w:val="nil"/>
            </w:tcBorders>
            <w:shd w:val="clear" w:color="auto" w:fill="FFFFFF"/>
            <w:vAlign w:val="center"/>
          </w:tcPr>
          <w:p w14:paraId="4807B7C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,786</w:t>
            </w:r>
          </w:p>
        </w:tc>
        <w:tc>
          <w:tcPr>
            <w:tcW w:w="1476" w:type="dxa"/>
            <w:tcBorders>
              <w:top w:val="nil"/>
              <w:bottom w:val="nil"/>
            </w:tcBorders>
            <w:shd w:val="clear" w:color="auto" w:fill="FFFFFF"/>
            <w:vAlign w:val="center"/>
          </w:tcPr>
          <w:p w14:paraId="6B2165A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-,142281661804986</w:t>
            </w:r>
          </w:p>
        </w:tc>
        <w:tc>
          <w:tcPr>
            <w:tcW w:w="1476" w:type="dxa"/>
            <w:tcBorders>
              <w:top w:val="nil"/>
              <w:bottom w:val="nil"/>
              <w:right w:val="single" w:sz="16" w:space="0" w:color="000000"/>
            </w:tcBorders>
            <w:shd w:val="clear" w:color="auto" w:fill="FFFFFF"/>
            <w:vAlign w:val="center"/>
          </w:tcPr>
          <w:p w14:paraId="7B4622F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,188080778405412</w:t>
            </w:r>
          </w:p>
        </w:tc>
      </w:tr>
      <w:tr w:rsidR="00661F34" w:rsidRPr="003F4802" w14:paraId="1C6CFEBE" w14:textId="77777777" w:rsidTr="008E59D3">
        <w:trPr>
          <w:cantSplit/>
        </w:trPr>
        <w:tc>
          <w:tcPr>
            <w:tcW w:w="1045" w:type="dxa"/>
            <w:vMerge/>
            <w:tcBorders>
              <w:top w:val="nil"/>
              <w:left w:val="single" w:sz="16" w:space="0" w:color="000000"/>
              <w:right w:val="nil"/>
            </w:tcBorders>
            <w:shd w:val="clear" w:color="auto" w:fill="FFFFFF"/>
          </w:tcPr>
          <w:p w14:paraId="31BFA3CC"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right w:val="single" w:sz="16" w:space="0" w:color="000000"/>
            </w:tcBorders>
            <w:shd w:val="clear" w:color="auto" w:fill="FFFFFF"/>
          </w:tcPr>
          <w:p w14:paraId="1FFB9C95"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12B2C0F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-,094795692561741</w:t>
            </w:r>
          </w:p>
        </w:tc>
        <w:tc>
          <w:tcPr>
            <w:tcW w:w="1476" w:type="dxa"/>
            <w:tcBorders>
              <w:top w:val="nil"/>
            </w:tcBorders>
            <w:shd w:val="clear" w:color="auto" w:fill="FFFFFF"/>
            <w:vAlign w:val="center"/>
          </w:tcPr>
          <w:p w14:paraId="6EA0BBF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,075424696168742</w:t>
            </w:r>
          </w:p>
        </w:tc>
        <w:tc>
          <w:tcPr>
            <w:tcW w:w="1029" w:type="dxa"/>
            <w:tcBorders>
              <w:top w:val="nil"/>
            </w:tcBorders>
            <w:shd w:val="clear" w:color="auto" w:fill="FFFFFF"/>
            <w:vAlign w:val="center"/>
          </w:tcPr>
          <w:p w14:paraId="2757A11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,209</w:t>
            </w:r>
          </w:p>
        </w:tc>
        <w:tc>
          <w:tcPr>
            <w:tcW w:w="1476" w:type="dxa"/>
            <w:tcBorders>
              <w:top w:val="nil"/>
            </w:tcBorders>
            <w:shd w:val="clear" w:color="auto" w:fill="FFFFFF"/>
            <w:vAlign w:val="center"/>
          </w:tcPr>
          <w:p w14:paraId="67CC99C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-,242661609532404</w:t>
            </w:r>
          </w:p>
        </w:tc>
        <w:tc>
          <w:tcPr>
            <w:tcW w:w="1476" w:type="dxa"/>
            <w:tcBorders>
              <w:top w:val="nil"/>
              <w:right w:val="single" w:sz="16" w:space="0" w:color="000000"/>
            </w:tcBorders>
            <w:shd w:val="clear" w:color="auto" w:fill="FFFFFF"/>
            <w:vAlign w:val="center"/>
          </w:tcPr>
          <w:p w14:paraId="2F34ECC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,053070224408922</w:t>
            </w:r>
          </w:p>
        </w:tc>
      </w:tr>
      <w:tr w:rsidR="00661F34" w:rsidRPr="003F4802" w14:paraId="614B3771" w14:textId="77777777" w:rsidTr="008E59D3">
        <w:trPr>
          <w:cantSplit/>
        </w:trPr>
        <w:tc>
          <w:tcPr>
            <w:tcW w:w="1045" w:type="dxa"/>
            <w:vMerge w:val="restart"/>
            <w:tcBorders>
              <w:top w:val="nil"/>
              <w:left w:val="single" w:sz="16" w:space="0" w:color="000000"/>
              <w:right w:val="nil"/>
            </w:tcBorders>
            <w:shd w:val="clear" w:color="auto" w:fill="FFFFFF"/>
          </w:tcPr>
          <w:p w14:paraId="1C756E15"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091" w:type="dxa"/>
            <w:tcBorders>
              <w:top w:val="nil"/>
              <w:left w:val="nil"/>
              <w:bottom w:val="nil"/>
              <w:right w:val="single" w:sz="16" w:space="0" w:color="000000"/>
            </w:tcBorders>
            <w:shd w:val="clear" w:color="auto" w:fill="FFFFFF"/>
          </w:tcPr>
          <w:p w14:paraId="600CD1CD"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66D98BD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,010552575881021</w:t>
            </w:r>
          </w:p>
        </w:tc>
        <w:tc>
          <w:tcPr>
            <w:tcW w:w="1476" w:type="dxa"/>
            <w:tcBorders>
              <w:top w:val="nil"/>
              <w:bottom w:val="nil"/>
            </w:tcBorders>
            <w:shd w:val="clear" w:color="auto" w:fill="FFFFFF"/>
            <w:vAlign w:val="center"/>
          </w:tcPr>
          <w:p w14:paraId="42D5FC2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,080717266139609</w:t>
            </w:r>
          </w:p>
        </w:tc>
        <w:tc>
          <w:tcPr>
            <w:tcW w:w="1029" w:type="dxa"/>
            <w:tcBorders>
              <w:top w:val="nil"/>
              <w:bottom w:val="nil"/>
            </w:tcBorders>
            <w:shd w:val="clear" w:color="auto" w:fill="FFFFFF"/>
            <w:vAlign w:val="center"/>
          </w:tcPr>
          <w:p w14:paraId="2636A66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,896</w:t>
            </w:r>
          </w:p>
        </w:tc>
        <w:tc>
          <w:tcPr>
            <w:tcW w:w="1476" w:type="dxa"/>
            <w:tcBorders>
              <w:top w:val="nil"/>
              <w:bottom w:val="nil"/>
            </w:tcBorders>
            <w:shd w:val="clear" w:color="auto" w:fill="FFFFFF"/>
            <w:vAlign w:val="center"/>
          </w:tcPr>
          <w:p w14:paraId="199B8A0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-,147689129811718</w:t>
            </w:r>
          </w:p>
        </w:tc>
        <w:tc>
          <w:tcPr>
            <w:tcW w:w="1476" w:type="dxa"/>
            <w:tcBorders>
              <w:top w:val="nil"/>
              <w:bottom w:val="nil"/>
              <w:right w:val="single" w:sz="16" w:space="0" w:color="000000"/>
            </w:tcBorders>
            <w:shd w:val="clear" w:color="auto" w:fill="FFFFFF"/>
            <w:vAlign w:val="center"/>
          </w:tcPr>
          <w:p w14:paraId="7F0AEDA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,168794281573759</w:t>
            </w:r>
          </w:p>
        </w:tc>
      </w:tr>
      <w:tr w:rsidR="00661F34" w:rsidRPr="003F4802" w14:paraId="04BD23BC" w14:textId="77777777" w:rsidTr="008E59D3">
        <w:trPr>
          <w:cantSplit/>
        </w:trPr>
        <w:tc>
          <w:tcPr>
            <w:tcW w:w="1045" w:type="dxa"/>
            <w:vMerge/>
            <w:tcBorders>
              <w:top w:val="nil"/>
              <w:left w:val="single" w:sz="16" w:space="0" w:color="000000"/>
              <w:right w:val="nil"/>
            </w:tcBorders>
            <w:shd w:val="clear" w:color="auto" w:fill="FFFFFF"/>
          </w:tcPr>
          <w:p w14:paraId="1D9AD0EE"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574DFCFF"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65EFA7D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,087614419600359</w:t>
            </w:r>
          </w:p>
        </w:tc>
        <w:tc>
          <w:tcPr>
            <w:tcW w:w="1476" w:type="dxa"/>
            <w:tcBorders>
              <w:top w:val="nil"/>
              <w:bottom w:val="nil"/>
            </w:tcBorders>
            <w:shd w:val="clear" w:color="auto" w:fill="FFFFFF"/>
            <w:vAlign w:val="center"/>
          </w:tcPr>
          <w:p w14:paraId="3607B25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,097199505494667</w:t>
            </w:r>
          </w:p>
        </w:tc>
        <w:tc>
          <w:tcPr>
            <w:tcW w:w="1029" w:type="dxa"/>
            <w:tcBorders>
              <w:top w:val="nil"/>
              <w:bottom w:val="nil"/>
            </w:tcBorders>
            <w:shd w:val="clear" w:color="auto" w:fill="FFFFFF"/>
            <w:vAlign w:val="center"/>
          </w:tcPr>
          <w:p w14:paraId="60515A0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,367</w:t>
            </w:r>
          </w:p>
        </w:tc>
        <w:tc>
          <w:tcPr>
            <w:tcW w:w="1476" w:type="dxa"/>
            <w:tcBorders>
              <w:top w:val="nil"/>
              <w:bottom w:val="nil"/>
            </w:tcBorders>
            <w:shd w:val="clear" w:color="auto" w:fill="FFFFFF"/>
            <w:vAlign w:val="center"/>
          </w:tcPr>
          <w:p w14:paraId="2BF838C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-,102939798568574</w:t>
            </w:r>
          </w:p>
        </w:tc>
        <w:tc>
          <w:tcPr>
            <w:tcW w:w="1476" w:type="dxa"/>
            <w:tcBorders>
              <w:top w:val="nil"/>
              <w:bottom w:val="nil"/>
              <w:right w:val="single" w:sz="16" w:space="0" w:color="000000"/>
            </w:tcBorders>
            <w:shd w:val="clear" w:color="auto" w:fill="FFFFFF"/>
            <w:vAlign w:val="center"/>
          </w:tcPr>
          <w:p w14:paraId="6CA8046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,278168637769292</w:t>
            </w:r>
          </w:p>
        </w:tc>
      </w:tr>
      <w:tr w:rsidR="00661F34" w:rsidRPr="003F4802" w14:paraId="5AD0B3F5" w14:textId="77777777" w:rsidTr="008E59D3">
        <w:trPr>
          <w:cantSplit/>
        </w:trPr>
        <w:tc>
          <w:tcPr>
            <w:tcW w:w="1045" w:type="dxa"/>
            <w:vMerge/>
            <w:tcBorders>
              <w:top w:val="nil"/>
              <w:left w:val="single" w:sz="16" w:space="0" w:color="000000"/>
              <w:right w:val="nil"/>
            </w:tcBorders>
            <w:shd w:val="clear" w:color="auto" w:fill="FFFFFF"/>
          </w:tcPr>
          <w:p w14:paraId="671087C9"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00361579"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35E2623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,092618164705622</w:t>
            </w:r>
          </w:p>
        </w:tc>
        <w:tc>
          <w:tcPr>
            <w:tcW w:w="1476" w:type="dxa"/>
            <w:tcBorders>
              <w:top w:val="nil"/>
              <w:bottom w:val="nil"/>
            </w:tcBorders>
            <w:shd w:val="clear" w:color="auto" w:fill="FFFFFF"/>
            <w:vAlign w:val="center"/>
          </w:tcPr>
          <w:p w14:paraId="48DE34E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,087442937298161</w:t>
            </w:r>
          </w:p>
        </w:tc>
        <w:tc>
          <w:tcPr>
            <w:tcW w:w="1029" w:type="dxa"/>
            <w:tcBorders>
              <w:top w:val="nil"/>
              <w:bottom w:val="nil"/>
            </w:tcBorders>
            <w:shd w:val="clear" w:color="auto" w:fill="FFFFFF"/>
            <w:vAlign w:val="center"/>
          </w:tcPr>
          <w:p w14:paraId="0FA0DCF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,290</w:t>
            </w:r>
          </w:p>
        </w:tc>
        <w:tc>
          <w:tcPr>
            <w:tcW w:w="1476" w:type="dxa"/>
            <w:tcBorders>
              <w:top w:val="nil"/>
              <w:bottom w:val="nil"/>
            </w:tcBorders>
            <w:shd w:val="clear" w:color="auto" w:fill="FFFFFF"/>
            <w:vAlign w:val="center"/>
          </w:tcPr>
          <w:p w14:paraId="2948943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-,078808844788375</w:t>
            </w:r>
          </w:p>
        </w:tc>
        <w:tc>
          <w:tcPr>
            <w:tcW w:w="1476" w:type="dxa"/>
            <w:tcBorders>
              <w:top w:val="nil"/>
              <w:bottom w:val="nil"/>
              <w:right w:val="single" w:sz="16" w:space="0" w:color="000000"/>
            </w:tcBorders>
            <w:shd w:val="clear" w:color="auto" w:fill="FFFFFF"/>
            <w:vAlign w:val="center"/>
          </w:tcPr>
          <w:p w14:paraId="6069EDB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,264045174199618</w:t>
            </w:r>
          </w:p>
        </w:tc>
      </w:tr>
      <w:tr w:rsidR="00661F34" w:rsidRPr="003F4802" w14:paraId="1FBDFB70" w14:textId="77777777" w:rsidTr="008E59D3">
        <w:trPr>
          <w:cantSplit/>
        </w:trPr>
        <w:tc>
          <w:tcPr>
            <w:tcW w:w="1045" w:type="dxa"/>
            <w:vMerge/>
            <w:tcBorders>
              <w:top w:val="nil"/>
              <w:left w:val="single" w:sz="16" w:space="0" w:color="000000"/>
              <w:right w:val="nil"/>
            </w:tcBorders>
            <w:shd w:val="clear" w:color="auto" w:fill="FFFFFF"/>
          </w:tcPr>
          <w:p w14:paraId="1394A63B"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8B9F24F"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2091A87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,095423290594219</w:t>
            </w:r>
          </w:p>
        </w:tc>
        <w:tc>
          <w:tcPr>
            <w:tcW w:w="1476" w:type="dxa"/>
            <w:tcBorders>
              <w:top w:val="nil"/>
              <w:bottom w:val="nil"/>
            </w:tcBorders>
            <w:shd w:val="clear" w:color="auto" w:fill="FFFFFF"/>
            <w:vAlign w:val="center"/>
          </w:tcPr>
          <w:p w14:paraId="0EF919C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,083485255417974</w:t>
            </w:r>
          </w:p>
        </w:tc>
        <w:tc>
          <w:tcPr>
            <w:tcW w:w="1029" w:type="dxa"/>
            <w:tcBorders>
              <w:top w:val="nil"/>
              <w:bottom w:val="nil"/>
            </w:tcBorders>
            <w:shd w:val="clear" w:color="auto" w:fill="FFFFFF"/>
            <w:vAlign w:val="center"/>
          </w:tcPr>
          <w:p w14:paraId="055DB4E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,253</w:t>
            </w:r>
          </w:p>
        </w:tc>
        <w:tc>
          <w:tcPr>
            <w:tcW w:w="1476" w:type="dxa"/>
            <w:tcBorders>
              <w:top w:val="nil"/>
              <w:bottom w:val="nil"/>
            </w:tcBorders>
            <w:shd w:val="clear" w:color="auto" w:fill="FFFFFF"/>
            <w:vAlign w:val="center"/>
          </w:tcPr>
          <w:p w14:paraId="76F1560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-,068244903948999</w:t>
            </w:r>
          </w:p>
        </w:tc>
        <w:tc>
          <w:tcPr>
            <w:tcW w:w="1476" w:type="dxa"/>
            <w:tcBorders>
              <w:top w:val="nil"/>
              <w:bottom w:val="nil"/>
              <w:right w:val="single" w:sz="16" w:space="0" w:color="000000"/>
            </w:tcBorders>
            <w:shd w:val="clear" w:color="auto" w:fill="FFFFFF"/>
            <w:vAlign w:val="center"/>
          </w:tcPr>
          <w:p w14:paraId="237D79F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,259091485137436</w:t>
            </w:r>
          </w:p>
        </w:tc>
      </w:tr>
      <w:tr w:rsidR="00661F34" w:rsidRPr="003F4802" w14:paraId="29412D72" w14:textId="77777777" w:rsidTr="008E59D3">
        <w:trPr>
          <w:cantSplit/>
        </w:trPr>
        <w:tc>
          <w:tcPr>
            <w:tcW w:w="1045" w:type="dxa"/>
            <w:vMerge/>
            <w:tcBorders>
              <w:top w:val="nil"/>
              <w:left w:val="single" w:sz="16" w:space="0" w:color="000000"/>
              <w:right w:val="nil"/>
            </w:tcBorders>
            <w:shd w:val="clear" w:color="auto" w:fill="FFFFFF"/>
          </w:tcPr>
          <w:p w14:paraId="5663BC52"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B3C7E50"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6AC6ABC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,012366277530037</w:t>
            </w:r>
          </w:p>
        </w:tc>
        <w:tc>
          <w:tcPr>
            <w:tcW w:w="1476" w:type="dxa"/>
            <w:tcBorders>
              <w:top w:val="nil"/>
              <w:bottom w:val="nil"/>
            </w:tcBorders>
            <w:shd w:val="clear" w:color="auto" w:fill="FFFFFF"/>
            <w:vAlign w:val="center"/>
          </w:tcPr>
          <w:p w14:paraId="62BA21D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,082354053757472</w:t>
            </w:r>
          </w:p>
        </w:tc>
        <w:tc>
          <w:tcPr>
            <w:tcW w:w="1029" w:type="dxa"/>
            <w:tcBorders>
              <w:top w:val="nil"/>
              <w:bottom w:val="nil"/>
            </w:tcBorders>
            <w:shd w:val="clear" w:color="auto" w:fill="FFFFFF"/>
            <w:vAlign w:val="center"/>
          </w:tcPr>
          <w:p w14:paraId="19B1999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,881</w:t>
            </w:r>
          </w:p>
        </w:tc>
        <w:tc>
          <w:tcPr>
            <w:tcW w:w="1476" w:type="dxa"/>
            <w:tcBorders>
              <w:top w:val="nil"/>
              <w:bottom w:val="nil"/>
            </w:tcBorders>
            <w:shd w:val="clear" w:color="auto" w:fill="FFFFFF"/>
            <w:vAlign w:val="center"/>
          </w:tcPr>
          <w:p w14:paraId="4D5CFC5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-,149084259146390</w:t>
            </w:r>
          </w:p>
        </w:tc>
        <w:tc>
          <w:tcPr>
            <w:tcW w:w="1476" w:type="dxa"/>
            <w:tcBorders>
              <w:top w:val="nil"/>
              <w:bottom w:val="nil"/>
              <w:right w:val="single" w:sz="16" w:space="0" w:color="000000"/>
            </w:tcBorders>
            <w:shd w:val="clear" w:color="auto" w:fill="FFFFFF"/>
            <w:vAlign w:val="center"/>
          </w:tcPr>
          <w:p w14:paraId="03492C9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,173816814206463</w:t>
            </w:r>
          </w:p>
        </w:tc>
      </w:tr>
      <w:tr w:rsidR="00661F34" w:rsidRPr="003F4802" w14:paraId="5D458DBA" w14:textId="77777777" w:rsidTr="008E59D3">
        <w:trPr>
          <w:cantSplit/>
        </w:trPr>
        <w:tc>
          <w:tcPr>
            <w:tcW w:w="1045" w:type="dxa"/>
            <w:vMerge/>
            <w:tcBorders>
              <w:top w:val="nil"/>
              <w:left w:val="single" w:sz="16" w:space="0" w:color="000000"/>
              <w:right w:val="nil"/>
            </w:tcBorders>
            <w:shd w:val="clear" w:color="auto" w:fill="FFFFFF"/>
          </w:tcPr>
          <w:p w14:paraId="447940EA"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ABC1AF5"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1D6333E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,095714531747191</w:t>
            </w:r>
          </w:p>
        </w:tc>
        <w:tc>
          <w:tcPr>
            <w:tcW w:w="1476" w:type="dxa"/>
            <w:tcBorders>
              <w:top w:val="nil"/>
              <w:bottom w:val="nil"/>
            </w:tcBorders>
            <w:shd w:val="clear" w:color="auto" w:fill="FFFFFF"/>
            <w:vAlign w:val="center"/>
          </w:tcPr>
          <w:p w14:paraId="01CBB59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,081141050448204</w:t>
            </w:r>
          </w:p>
        </w:tc>
        <w:tc>
          <w:tcPr>
            <w:tcW w:w="1029" w:type="dxa"/>
            <w:tcBorders>
              <w:top w:val="nil"/>
              <w:bottom w:val="nil"/>
            </w:tcBorders>
            <w:shd w:val="clear" w:color="auto" w:fill="FFFFFF"/>
            <w:vAlign w:val="center"/>
          </w:tcPr>
          <w:p w14:paraId="7F01EE9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,238</w:t>
            </w:r>
          </w:p>
        </w:tc>
        <w:tc>
          <w:tcPr>
            <w:tcW w:w="1476" w:type="dxa"/>
            <w:tcBorders>
              <w:top w:val="nil"/>
              <w:bottom w:val="nil"/>
            </w:tcBorders>
            <w:shd w:val="clear" w:color="auto" w:fill="FFFFFF"/>
            <w:vAlign w:val="center"/>
          </w:tcPr>
          <w:p w14:paraId="082B126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-,063357979484997</w:t>
            </w:r>
          </w:p>
        </w:tc>
        <w:tc>
          <w:tcPr>
            <w:tcW w:w="1476" w:type="dxa"/>
            <w:tcBorders>
              <w:top w:val="nil"/>
              <w:bottom w:val="nil"/>
              <w:right w:val="single" w:sz="16" w:space="0" w:color="000000"/>
            </w:tcBorders>
            <w:shd w:val="clear" w:color="auto" w:fill="FFFFFF"/>
            <w:vAlign w:val="center"/>
          </w:tcPr>
          <w:p w14:paraId="776E4B2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,254787042979378</w:t>
            </w:r>
          </w:p>
        </w:tc>
      </w:tr>
      <w:tr w:rsidR="00661F34" w:rsidRPr="003F4802" w14:paraId="0DA76873" w14:textId="77777777" w:rsidTr="008E59D3">
        <w:trPr>
          <w:cantSplit/>
        </w:trPr>
        <w:tc>
          <w:tcPr>
            <w:tcW w:w="1045" w:type="dxa"/>
            <w:vMerge/>
            <w:tcBorders>
              <w:top w:val="nil"/>
              <w:left w:val="single" w:sz="16" w:space="0" w:color="000000"/>
              <w:right w:val="nil"/>
            </w:tcBorders>
            <w:shd w:val="clear" w:color="auto" w:fill="FFFFFF"/>
          </w:tcPr>
          <w:p w14:paraId="505AF6E8"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CBEF00E"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540C37C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,042384349139419</w:t>
            </w:r>
          </w:p>
        </w:tc>
        <w:tc>
          <w:tcPr>
            <w:tcW w:w="1476" w:type="dxa"/>
            <w:tcBorders>
              <w:top w:val="nil"/>
              <w:bottom w:val="nil"/>
            </w:tcBorders>
            <w:shd w:val="clear" w:color="auto" w:fill="FFFFFF"/>
            <w:vAlign w:val="center"/>
          </w:tcPr>
          <w:p w14:paraId="73C3CBD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,079262085987316</w:t>
            </w:r>
          </w:p>
        </w:tc>
        <w:tc>
          <w:tcPr>
            <w:tcW w:w="1029" w:type="dxa"/>
            <w:tcBorders>
              <w:top w:val="nil"/>
              <w:bottom w:val="nil"/>
            </w:tcBorders>
            <w:shd w:val="clear" w:color="auto" w:fill="FFFFFF"/>
            <w:vAlign w:val="center"/>
          </w:tcPr>
          <w:p w14:paraId="396EEF9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,593</w:t>
            </w:r>
          </w:p>
        </w:tc>
        <w:tc>
          <w:tcPr>
            <w:tcW w:w="1476" w:type="dxa"/>
            <w:tcBorders>
              <w:top w:val="nil"/>
              <w:bottom w:val="nil"/>
            </w:tcBorders>
            <w:shd w:val="clear" w:color="auto" w:fill="FFFFFF"/>
            <w:vAlign w:val="center"/>
          </w:tcPr>
          <w:p w14:paraId="6FE92AA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-,113004556893446</w:t>
            </w:r>
          </w:p>
        </w:tc>
        <w:tc>
          <w:tcPr>
            <w:tcW w:w="1476" w:type="dxa"/>
            <w:tcBorders>
              <w:top w:val="nil"/>
              <w:bottom w:val="nil"/>
              <w:right w:val="single" w:sz="16" w:space="0" w:color="000000"/>
            </w:tcBorders>
            <w:shd w:val="clear" w:color="auto" w:fill="FFFFFF"/>
            <w:vAlign w:val="center"/>
          </w:tcPr>
          <w:p w14:paraId="5F16EDA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,197773255172284</w:t>
            </w:r>
          </w:p>
        </w:tc>
      </w:tr>
      <w:tr w:rsidR="00661F34" w:rsidRPr="003F4802" w14:paraId="7CDF6674" w14:textId="77777777" w:rsidTr="008E59D3">
        <w:trPr>
          <w:cantSplit/>
        </w:trPr>
        <w:tc>
          <w:tcPr>
            <w:tcW w:w="1045" w:type="dxa"/>
            <w:vMerge/>
            <w:tcBorders>
              <w:top w:val="nil"/>
              <w:left w:val="single" w:sz="16" w:space="0" w:color="000000"/>
              <w:right w:val="nil"/>
            </w:tcBorders>
            <w:shd w:val="clear" w:color="auto" w:fill="FFFFFF"/>
          </w:tcPr>
          <w:p w14:paraId="6A5EBC45"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F69A19F"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226A229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,110513977900572</w:t>
            </w:r>
          </w:p>
        </w:tc>
        <w:tc>
          <w:tcPr>
            <w:tcW w:w="1476" w:type="dxa"/>
            <w:tcBorders>
              <w:top w:val="nil"/>
              <w:bottom w:val="nil"/>
            </w:tcBorders>
            <w:shd w:val="clear" w:color="auto" w:fill="FFFFFF"/>
            <w:vAlign w:val="center"/>
          </w:tcPr>
          <w:p w14:paraId="5CBD957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,079938068534765</w:t>
            </w:r>
          </w:p>
        </w:tc>
        <w:tc>
          <w:tcPr>
            <w:tcW w:w="1029" w:type="dxa"/>
            <w:tcBorders>
              <w:top w:val="nil"/>
              <w:bottom w:val="nil"/>
            </w:tcBorders>
            <w:shd w:val="clear" w:color="auto" w:fill="FFFFFF"/>
            <w:vAlign w:val="center"/>
          </w:tcPr>
          <w:p w14:paraId="701B6F7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,167</w:t>
            </w:r>
          </w:p>
        </w:tc>
        <w:tc>
          <w:tcPr>
            <w:tcW w:w="1476" w:type="dxa"/>
            <w:tcBorders>
              <w:top w:val="nil"/>
              <w:bottom w:val="nil"/>
            </w:tcBorders>
            <w:shd w:val="clear" w:color="auto" w:fill="FFFFFF"/>
            <w:vAlign w:val="center"/>
          </w:tcPr>
          <w:p w14:paraId="6790DAE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-,046200154275876</w:t>
            </w:r>
          </w:p>
        </w:tc>
        <w:tc>
          <w:tcPr>
            <w:tcW w:w="1476" w:type="dxa"/>
            <w:tcBorders>
              <w:top w:val="nil"/>
              <w:bottom w:val="nil"/>
              <w:right w:val="single" w:sz="16" w:space="0" w:color="000000"/>
            </w:tcBorders>
            <w:shd w:val="clear" w:color="auto" w:fill="FFFFFF"/>
            <w:vAlign w:val="center"/>
          </w:tcPr>
          <w:p w14:paraId="3B2B080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,267228110077020</w:t>
            </w:r>
          </w:p>
        </w:tc>
      </w:tr>
      <w:tr w:rsidR="00661F34" w:rsidRPr="003F4802" w14:paraId="6A1046D3" w14:textId="77777777" w:rsidTr="008E59D3">
        <w:trPr>
          <w:cantSplit/>
        </w:trPr>
        <w:tc>
          <w:tcPr>
            <w:tcW w:w="1045" w:type="dxa"/>
            <w:vMerge/>
            <w:tcBorders>
              <w:top w:val="nil"/>
              <w:left w:val="single" w:sz="16" w:space="0" w:color="000000"/>
              <w:right w:val="nil"/>
            </w:tcBorders>
            <w:shd w:val="clear" w:color="auto" w:fill="FFFFFF"/>
          </w:tcPr>
          <w:p w14:paraId="216A6AA7"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right w:val="single" w:sz="16" w:space="0" w:color="000000"/>
            </w:tcBorders>
            <w:shd w:val="clear" w:color="auto" w:fill="FFFFFF"/>
          </w:tcPr>
          <w:p w14:paraId="0A8A3B8C"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741B2A2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-,007181272961381</w:t>
            </w:r>
          </w:p>
        </w:tc>
        <w:tc>
          <w:tcPr>
            <w:tcW w:w="1476" w:type="dxa"/>
            <w:tcBorders>
              <w:top w:val="nil"/>
            </w:tcBorders>
            <w:shd w:val="clear" w:color="auto" w:fill="FFFFFF"/>
            <w:vAlign w:val="center"/>
          </w:tcPr>
          <w:p w14:paraId="512CC7C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,070567216926048</w:t>
            </w:r>
          </w:p>
        </w:tc>
        <w:tc>
          <w:tcPr>
            <w:tcW w:w="1029" w:type="dxa"/>
            <w:tcBorders>
              <w:top w:val="nil"/>
            </w:tcBorders>
            <w:shd w:val="clear" w:color="auto" w:fill="FFFFFF"/>
            <w:vAlign w:val="center"/>
          </w:tcPr>
          <w:p w14:paraId="3DF9CEC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,919</w:t>
            </w:r>
          </w:p>
        </w:tc>
        <w:tc>
          <w:tcPr>
            <w:tcW w:w="1476" w:type="dxa"/>
            <w:tcBorders>
              <w:top w:val="nil"/>
            </w:tcBorders>
            <w:shd w:val="clear" w:color="auto" w:fill="FFFFFF"/>
            <w:vAlign w:val="center"/>
          </w:tcPr>
          <w:p w14:paraId="337E70D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-,145524372355424</w:t>
            </w:r>
          </w:p>
        </w:tc>
        <w:tc>
          <w:tcPr>
            <w:tcW w:w="1476" w:type="dxa"/>
            <w:tcBorders>
              <w:top w:val="nil"/>
              <w:right w:val="single" w:sz="16" w:space="0" w:color="000000"/>
            </w:tcBorders>
            <w:shd w:val="clear" w:color="auto" w:fill="FFFFFF"/>
            <w:vAlign w:val="center"/>
          </w:tcPr>
          <w:p w14:paraId="14BB21E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,131161826432661</w:t>
            </w:r>
          </w:p>
        </w:tc>
      </w:tr>
      <w:tr w:rsidR="00661F34" w:rsidRPr="003F4802" w14:paraId="43E7A070" w14:textId="77777777" w:rsidTr="008E59D3">
        <w:trPr>
          <w:cantSplit/>
        </w:trPr>
        <w:tc>
          <w:tcPr>
            <w:tcW w:w="1045" w:type="dxa"/>
            <w:vMerge w:val="restart"/>
            <w:tcBorders>
              <w:top w:val="nil"/>
              <w:left w:val="single" w:sz="16" w:space="0" w:color="000000"/>
              <w:right w:val="nil"/>
            </w:tcBorders>
            <w:shd w:val="clear" w:color="auto" w:fill="FFFFFF"/>
          </w:tcPr>
          <w:p w14:paraId="0D79F76E"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091" w:type="dxa"/>
            <w:tcBorders>
              <w:top w:val="nil"/>
              <w:left w:val="nil"/>
              <w:bottom w:val="nil"/>
              <w:right w:val="single" w:sz="16" w:space="0" w:color="000000"/>
            </w:tcBorders>
            <w:shd w:val="clear" w:color="auto" w:fill="FFFFFF"/>
          </w:tcPr>
          <w:p w14:paraId="1B15E438"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31E1071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-,082065588824601</w:t>
            </w:r>
          </w:p>
        </w:tc>
        <w:tc>
          <w:tcPr>
            <w:tcW w:w="1476" w:type="dxa"/>
            <w:tcBorders>
              <w:top w:val="nil"/>
              <w:bottom w:val="nil"/>
            </w:tcBorders>
            <w:shd w:val="clear" w:color="auto" w:fill="FFFFFF"/>
            <w:vAlign w:val="center"/>
          </w:tcPr>
          <w:p w14:paraId="20D9F9E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,073640703116102</w:t>
            </w:r>
          </w:p>
        </w:tc>
        <w:tc>
          <w:tcPr>
            <w:tcW w:w="1029" w:type="dxa"/>
            <w:tcBorders>
              <w:top w:val="nil"/>
              <w:bottom w:val="nil"/>
            </w:tcBorders>
            <w:shd w:val="clear" w:color="auto" w:fill="FFFFFF"/>
            <w:vAlign w:val="center"/>
          </w:tcPr>
          <w:p w14:paraId="65544EF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,265</w:t>
            </w:r>
          </w:p>
        </w:tc>
        <w:tc>
          <w:tcPr>
            <w:tcW w:w="1476" w:type="dxa"/>
            <w:tcBorders>
              <w:top w:val="nil"/>
              <w:bottom w:val="nil"/>
            </w:tcBorders>
            <w:shd w:val="clear" w:color="auto" w:fill="FFFFFF"/>
            <w:vAlign w:val="center"/>
          </w:tcPr>
          <w:p w14:paraId="6E65F08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-,226434086753525</w:t>
            </w:r>
          </w:p>
        </w:tc>
        <w:tc>
          <w:tcPr>
            <w:tcW w:w="1476" w:type="dxa"/>
            <w:tcBorders>
              <w:top w:val="nil"/>
              <w:bottom w:val="nil"/>
              <w:right w:val="single" w:sz="16" w:space="0" w:color="000000"/>
            </w:tcBorders>
            <w:shd w:val="clear" w:color="auto" w:fill="FFFFFF"/>
            <w:vAlign w:val="center"/>
          </w:tcPr>
          <w:p w14:paraId="57C88D7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,062302909104323</w:t>
            </w:r>
          </w:p>
        </w:tc>
      </w:tr>
      <w:tr w:rsidR="00661F34" w:rsidRPr="003F4802" w14:paraId="300DA0E5" w14:textId="77777777" w:rsidTr="008E59D3">
        <w:trPr>
          <w:cantSplit/>
        </w:trPr>
        <w:tc>
          <w:tcPr>
            <w:tcW w:w="1045" w:type="dxa"/>
            <w:vMerge/>
            <w:tcBorders>
              <w:top w:val="nil"/>
              <w:left w:val="single" w:sz="16" w:space="0" w:color="000000"/>
              <w:right w:val="nil"/>
            </w:tcBorders>
            <w:shd w:val="clear" w:color="auto" w:fill="FFFFFF"/>
          </w:tcPr>
          <w:p w14:paraId="2802C7D9"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0DB99D89"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24DD521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-,005003745105262</w:t>
            </w:r>
          </w:p>
        </w:tc>
        <w:tc>
          <w:tcPr>
            <w:tcW w:w="1476" w:type="dxa"/>
            <w:tcBorders>
              <w:top w:val="nil"/>
              <w:bottom w:val="nil"/>
            </w:tcBorders>
            <w:shd w:val="clear" w:color="auto" w:fill="FFFFFF"/>
            <w:vAlign w:val="center"/>
          </w:tcPr>
          <w:p w14:paraId="59A3BEA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,091407986362184</w:t>
            </w:r>
          </w:p>
        </w:tc>
        <w:tc>
          <w:tcPr>
            <w:tcW w:w="1029" w:type="dxa"/>
            <w:tcBorders>
              <w:top w:val="nil"/>
              <w:bottom w:val="nil"/>
            </w:tcBorders>
            <w:shd w:val="clear" w:color="auto" w:fill="FFFFFF"/>
            <w:vAlign w:val="center"/>
          </w:tcPr>
          <w:p w14:paraId="79D52B1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,956</w:t>
            </w:r>
          </w:p>
        </w:tc>
        <w:tc>
          <w:tcPr>
            <w:tcW w:w="1476" w:type="dxa"/>
            <w:tcBorders>
              <w:top w:val="nil"/>
              <w:bottom w:val="nil"/>
            </w:tcBorders>
            <w:shd w:val="clear" w:color="auto" w:fill="FFFFFF"/>
            <w:vAlign w:val="center"/>
          </w:tcPr>
          <w:p w14:paraId="01E3BE5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-,184204012503723</w:t>
            </w:r>
          </w:p>
        </w:tc>
        <w:tc>
          <w:tcPr>
            <w:tcW w:w="1476" w:type="dxa"/>
            <w:tcBorders>
              <w:top w:val="nil"/>
              <w:bottom w:val="nil"/>
              <w:right w:val="single" w:sz="16" w:space="0" w:color="000000"/>
            </w:tcBorders>
            <w:shd w:val="clear" w:color="auto" w:fill="FFFFFF"/>
            <w:vAlign w:val="center"/>
          </w:tcPr>
          <w:p w14:paraId="190A027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,174196522293198</w:t>
            </w:r>
          </w:p>
        </w:tc>
      </w:tr>
      <w:tr w:rsidR="00661F34" w:rsidRPr="003F4802" w14:paraId="16882786" w14:textId="77777777" w:rsidTr="008E59D3">
        <w:trPr>
          <w:cantSplit/>
        </w:trPr>
        <w:tc>
          <w:tcPr>
            <w:tcW w:w="1045" w:type="dxa"/>
            <w:vMerge/>
            <w:tcBorders>
              <w:top w:val="nil"/>
              <w:left w:val="single" w:sz="16" w:space="0" w:color="000000"/>
              <w:right w:val="nil"/>
            </w:tcBorders>
            <w:shd w:val="clear" w:color="auto" w:fill="FFFFFF"/>
          </w:tcPr>
          <w:p w14:paraId="15E23FDE"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23B8F6DA"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09E2BC7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-,092618164705622</w:t>
            </w:r>
          </w:p>
        </w:tc>
        <w:tc>
          <w:tcPr>
            <w:tcW w:w="1476" w:type="dxa"/>
            <w:tcBorders>
              <w:top w:val="nil"/>
              <w:bottom w:val="nil"/>
            </w:tcBorders>
            <w:shd w:val="clear" w:color="auto" w:fill="FFFFFF"/>
            <w:vAlign w:val="center"/>
          </w:tcPr>
          <w:p w14:paraId="5A64448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,087442937298161</w:t>
            </w:r>
          </w:p>
        </w:tc>
        <w:tc>
          <w:tcPr>
            <w:tcW w:w="1029" w:type="dxa"/>
            <w:tcBorders>
              <w:top w:val="nil"/>
              <w:bottom w:val="nil"/>
            </w:tcBorders>
            <w:shd w:val="clear" w:color="auto" w:fill="FFFFFF"/>
            <w:vAlign w:val="center"/>
          </w:tcPr>
          <w:p w14:paraId="53A66E3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,290</w:t>
            </w:r>
          </w:p>
        </w:tc>
        <w:tc>
          <w:tcPr>
            <w:tcW w:w="1476" w:type="dxa"/>
            <w:tcBorders>
              <w:top w:val="nil"/>
              <w:bottom w:val="nil"/>
            </w:tcBorders>
            <w:shd w:val="clear" w:color="auto" w:fill="FFFFFF"/>
            <w:vAlign w:val="center"/>
          </w:tcPr>
          <w:p w14:paraId="32E05A5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-,264045174199618</w:t>
            </w:r>
          </w:p>
        </w:tc>
        <w:tc>
          <w:tcPr>
            <w:tcW w:w="1476" w:type="dxa"/>
            <w:tcBorders>
              <w:top w:val="nil"/>
              <w:bottom w:val="nil"/>
              <w:right w:val="single" w:sz="16" w:space="0" w:color="000000"/>
            </w:tcBorders>
            <w:shd w:val="clear" w:color="auto" w:fill="FFFFFF"/>
            <w:vAlign w:val="center"/>
          </w:tcPr>
          <w:p w14:paraId="63F7050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,078808844788375</w:t>
            </w:r>
          </w:p>
        </w:tc>
      </w:tr>
      <w:tr w:rsidR="00661F34" w:rsidRPr="003F4802" w14:paraId="53B8D413" w14:textId="77777777" w:rsidTr="008E59D3">
        <w:trPr>
          <w:cantSplit/>
        </w:trPr>
        <w:tc>
          <w:tcPr>
            <w:tcW w:w="1045" w:type="dxa"/>
            <w:vMerge/>
            <w:tcBorders>
              <w:top w:val="nil"/>
              <w:left w:val="single" w:sz="16" w:space="0" w:color="000000"/>
              <w:right w:val="nil"/>
            </w:tcBorders>
            <w:shd w:val="clear" w:color="auto" w:fill="FFFFFF"/>
          </w:tcPr>
          <w:p w14:paraId="0060F495"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2293B4BF"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1789DB3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,002805125888597</w:t>
            </w:r>
          </w:p>
        </w:tc>
        <w:tc>
          <w:tcPr>
            <w:tcW w:w="1476" w:type="dxa"/>
            <w:tcBorders>
              <w:top w:val="nil"/>
              <w:bottom w:val="nil"/>
            </w:tcBorders>
            <w:shd w:val="clear" w:color="auto" w:fill="FFFFFF"/>
            <w:vAlign w:val="center"/>
          </w:tcPr>
          <w:p w14:paraId="1EAB3D9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,076664620096794</w:t>
            </w:r>
          </w:p>
        </w:tc>
        <w:tc>
          <w:tcPr>
            <w:tcW w:w="1029" w:type="dxa"/>
            <w:tcBorders>
              <w:top w:val="nil"/>
              <w:bottom w:val="nil"/>
            </w:tcBorders>
            <w:shd w:val="clear" w:color="auto" w:fill="FFFFFF"/>
            <w:vAlign w:val="center"/>
          </w:tcPr>
          <w:p w14:paraId="2A67CD8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,971</w:t>
            </w:r>
          </w:p>
        </w:tc>
        <w:tc>
          <w:tcPr>
            <w:tcW w:w="1476" w:type="dxa"/>
            <w:tcBorders>
              <w:top w:val="nil"/>
              <w:bottom w:val="nil"/>
            </w:tcBorders>
            <w:shd w:val="clear" w:color="auto" w:fill="FFFFFF"/>
            <w:vAlign w:val="center"/>
          </w:tcPr>
          <w:p w14:paraId="6B44D34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-,147491592900413</w:t>
            </w:r>
          </w:p>
        </w:tc>
        <w:tc>
          <w:tcPr>
            <w:tcW w:w="1476" w:type="dxa"/>
            <w:tcBorders>
              <w:top w:val="nil"/>
              <w:bottom w:val="nil"/>
              <w:right w:val="single" w:sz="16" w:space="0" w:color="000000"/>
            </w:tcBorders>
            <w:shd w:val="clear" w:color="auto" w:fill="FFFFFF"/>
            <w:vAlign w:val="center"/>
          </w:tcPr>
          <w:p w14:paraId="4A69B10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,153101844677608</w:t>
            </w:r>
          </w:p>
        </w:tc>
      </w:tr>
      <w:tr w:rsidR="00661F34" w:rsidRPr="003F4802" w14:paraId="4EC13920" w14:textId="77777777" w:rsidTr="008E59D3">
        <w:trPr>
          <w:cantSplit/>
        </w:trPr>
        <w:tc>
          <w:tcPr>
            <w:tcW w:w="1045" w:type="dxa"/>
            <w:vMerge/>
            <w:tcBorders>
              <w:top w:val="nil"/>
              <w:left w:val="single" w:sz="16" w:space="0" w:color="000000"/>
              <w:right w:val="nil"/>
            </w:tcBorders>
            <w:shd w:val="clear" w:color="auto" w:fill="FFFFFF"/>
          </w:tcPr>
          <w:p w14:paraId="74ACACC6"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1F6D19E6"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37874AA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-,080251887175585</w:t>
            </w:r>
          </w:p>
        </w:tc>
        <w:tc>
          <w:tcPr>
            <w:tcW w:w="1476" w:type="dxa"/>
            <w:tcBorders>
              <w:top w:val="nil"/>
              <w:bottom w:val="nil"/>
            </w:tcBorders>
            <w:shd w:val="clear" w:color="auto" w:fill="FFFFFF"/>
            <w:vAlign w:val="center"/>
          </w:tcPr>
          <w:p w14:paraId="5C48723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,075431202248605</w:t>
            </w:r>
          </w:p>
        </w:tc>
        <w:tc>
          <w:tcPr>
            <w:tcW w:w="1029" w:type="dxa"/>
            <w:tcBorders>
              <w:top w:val="nil"/>
              <w:bottom w:val="nil"/>
            </w:tcBorders>
            <w:shd w:val="clear" w:color="auto" w:fill="FFFFFF"/>
            <w:vAlign w:val="center"/>
          </w:tcPr>
          <w:p w14:paraId="625277A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,287</w:t>
            </w:r>
          </w:p>
        </w:tc>
        <w:tc>
          <w:tcPr>
            <w:tcW w:w="1476" w:type="dxa"/>
            <w:tcBorders>
              <w:top w:val="nil"/>
              <w:bottom w:val="nil"/>
            </w:tcBorders>
            <w:shd w:val="clear" w:color="auto" w:fill="FFFFFF"/>
            <w:vAlign w:val="center"/>
          </w:tcPr>
          <w:p w14:paraId="10C4388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-,228130558953541</w:t>
            </w:r>
          </w:p>
        </w:tc>
        <w:tc>
          <w:tcPr>
            <w:tcW w:w="1476" w:type="dxa"/>
            <w:tcBorders>
              <w:top w:val="nil"/>
              <w:bottom w:val="nil"/>
              <w:right w:val="single" w:sz="16" w:space="0" w:color="000000"/>
            </w:tcBorders>
            <w:shd w:val="clear" w:color="auto" w:fill="FFFFFF"/>
            <w:vAlign w:val="center"/>
          </w:tcPr>
          <w:p w14:paraId="52BA43A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,067626784602371</w:t>
            </w:r>
          </w:p>
        </w:tc>
      </w:tr>
      <w:tr w:rsidR="00661F34" w:rsidRPr="003F4802" w14:paraId="473BE7F1" w14:textId="77777777" w:rsidTr="008E59D3">
        <w:trPr>
          <w:cantSplit/>
        </w:trPr>
        <w:tc>
          <w:tcPr>
            <w:tcW w:w="1045" w:type="dxa"/>
            <w:vMerge/>
            <w:tcBorders>
              <w:top w:val="nil"/>
              <w:left w:val="single" w:sz="16" w:space="0" w:color="000000"/>
              <w:right w:val="nil"/>
            </w:tcBorders>
            <w:shd w:val="clear" w:color="auto" w:fill="FFFFFF"/>
          </w:tcPr>
          <w:p w14:paraId="65B95EF5"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137CD125"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367040C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,003096367041569</w:t>
            </w:r>
          </w:p>
        </w:tc>
        <w:tc>
          <w:tcPr>
            <w:tcW w:w="1476" w:type="dxa"/>
            <w:tcBorders>
              <w:top w:val="nil"/>
              <w:bottom w:val="nil"/>
            </w:tcBorders>
            <w:shd w:val="clear" w:color="auto" w:fill="FFFFFF"/>
            <w:vAlign w:val="center"/>
          </w:tcPr>
          <w:p w14:paraId="0B70C41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,074104967243900</w:t>
            </w:r>
          </w:p>
        </w:tc>
        <w:tc>
          <w:tcPr>
            <w:tcW w:w="1029" w:type="dxa"/>
            <w:tcBorders>
              <w:top w:val="nil"/>
              <w:bottom w:val="nil"/>
            </w:tcBorders>
            <w:shd w:val="clear" w:color="auto" w:fill="FFFFFF"/>
            <w:vAlign w:val="center"/>
          </w:tcPr>
          <w:p w14:paraId="001F84F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,967</w:t>
            </w:r>
          </w:p>
        </w:tc>
        <w:tc>
          <w:tcPr>
            <w:tcW w:w="1476" w:type="dxa"/>
            <w:tcBorders>
              <w:top w:val="nil"/>
              <w:bottom w:val="nil"/>
            </w:tcBorders>
            <w:shd w:val="clear" w:color="auto" w:fill="FFFFFF"/>
            <w:vAlign w:val="center"/>
          </w:tcPr>
          <w:p w14:paraId="543DC78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-,142182294858315</w:t>
            </w:r>
          </w:p>
        </w:tc>
        <w:tc>
          <w:tcPr>
            <w:tcW w:w="1476" w:type="dxa"/>
            <w:tcBorders>
              <w:top w:val="nil"/>
              <w:bottom w:val="nil"/>
              <w:right w:val="single" w:sz="16" w:space="0" w:color="000000"/>
            </w:tcBorders>
            <w:shd w:val="clear" w:color="auto" w:fill="FFFFFF"/>
            <w:vAlign w:val="center"/>
          </w:tcPr>
          <w:p w14:paraId="611D972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,148375028941453</w:t>
            </w:r>
          </w:p>
        </w:tc>
      </w:tr>
      <w:tr w:rsidR="00661F34" w:rsidRPr="003F4802" w14:paraId="5CA407F5" w14:textId="77777777" w:rsidTr="008E59D3">
        <w:trPr>
          <w:cantSplit/>
        </w:trPr>
        <w:tc>
          <w:tcPr>
            <w:tcW w:w="1045" w:type="dxa"/>
            <w:vMerge/>
            <w:tcBorders>
              <w:top w:val="nil"/>
              <w:left w:val="single" w:sz="16" w:space="0" w:color="000000"/>
              <w:right w:val="nil"/>
            </w:tcBorders>
            <w:shd w:val="clear" w:color="auto" w:fill="FFFFFF"/>
          </w:tcPr>
          <w:p w14:paraId="603DD44D"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F068050"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77755DF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-,050233815566202</w:t>
            </w:r>
          </w:p>
        </w:tc>
        <w:tc>
          <w:tcPr>
            <w:tcW w:w="1476" w:type="dxa"/>
            <w:tcBorders>
              <w:top w:val="nil"/>
              <w:bottom w:val="nil"/>
            </w:tcBorders>
            <w:shd w:val="clear" w:color="auto" w:fill="FFFFFF"/>
            <w:vAlign w:val="center"/>
          </w:tcPr>
          <w:p w14:paraId="6CA1E16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,072042726055044</w:t>
            </w:r>
          </w:p>
        </w:tc>
        <w:tc>
          <w:tcPr>
            <w:tcW w:w="1029" w:type="dxa"/>
            <w:tcBorders>
              <w:top w:val="nil"/>
              <w:bottom w:val="nil"/>
            </w:tcBorders>
            <w:shd w:val="clear" w:color="auto" w:fill="FFFFFF"/>
            <w:vAlign w:val="center"/>
          </w:tcPr>
          <w:p w14:paraId="195234F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,486</w:t>
            </w:r>
          </w:p>
        </w:tc>
        <w:tc>
          <w:tcPr>
            <w:tcW w:w="1476" w:type="dxa"/>
            <w:tcBorders>
              <w:top w:val="nil"/>
              <w:bottom w:val="nil"/>
            </w:tcBorders>
            <w:shd w:val="clear" w:color="auto" w:fill="FFFFFF"/>
            <w:vAlign w:val="center"/>
          </w:tcPr>
          <w:p w14:paraId="01C6D94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-,191469568446969</w:t>
            </w:r>
          </w:p>
        </w:tc>
        <w:tc>
          <w:tcPr>
            <w:tcW w:w="1476" w:type="dxa"/>
            <w:tcBorders>
              <w:top w:val="nil"/>
              <w:bottom w:val="nil"/>
              <w:right w:val="single" w:sz="16" w:space="0" w:color="000000"/>
            </w:tcBorders>
            <w:shd w:val="clear" w:color="auto" w:fill="FFFFFF"/>
            <w:vAlign w:val="center"/>
          </w:tcPr>
          <w:p w14:paraId="448926D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,091001937314564</w:t>
            </w:r>
          </w:p>
        </w:tc>
      </w:tr>
      <w:tr w:rsidR="00661F34" w:rsidRPr="003F4802" w14:paraId="74C4830D" w14:textId="77777777" w:rsidTr="008E59D3">
        <w:trPr>
          <w:cantSplit/>
        </w:trPr>
        <w:tc>
          <w:tcPr>
            <w:tcW w:w="1045" w:type="dxa"/>
            <w:vMerge/>
            <w:tcBorders>
              <w:top w:val="nil"/>
              <w:left w:val="single" w:sz="16" w:space="0" w:color="000000"/>
              <w:right w:val="nil"/>
            </w:tcBorders>
            <w:shd w:val="clear" w:color="auto" w:fill="FFFFFF"/>
          </w:tcPr>
          <w:p w14:paraId="1BD22A88"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68B665CA"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386BF40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,017895813194951</w:t>
            </w:r>
          </w:p>
        </w:tc>
        <w:tc>
          <w:tcPr>
            <w:tcW w:w="1476" w:type="dxa"/>
            <w:tcBorders>
              <w:top w:val="nil"/>
              <w:bottom w:val="nil"/>
            </w:tcBorders>
            <w:shd w:val="clear" w:color="auto" w:fill="FFFFFF"/>
            <w:vAlign w:val="center"/>
          </w:tcPr>
          <w:p w14:paraId="207DEE9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,072785787784774</w:t>
            </w:r>
          </w:p>
        </w:tc>
        <w:tc>
          <w:tcPr>
            <w:tcW w:w="1029" w:type="dxa"/>
            <w:tcBorders>
              <w:top w:val="nil"/>
              <w:bottom w:val="nil"/>
            </w:tcBorders>
            <w:shd w:val="clear" w:color="auto" w:fill="FFFFFF"/>
            <w:vAlign w:val="center"/>
          </w:tcPr>
          <w:p w14:paraId="1A35D65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,806</w:t>
            </w:r>
          </w:p>
        </w:tc>
        <w:tc>
          <w:tcPr>
            <w:tcW w:w="1476" w:type="dxa"/>
            <w:tcBorders>
              <w:top w:val="nil"/>
              <w:bottom w:val="nil"/>
            </w:tcBorders>
            <w:shd w:val="clear" w:color="auto" w:fill="FFFFFF"/>
            <w:vAlign w:val="center"/>
          </w:tcPr>
          <w:p w14:paraId="1E6D95A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-,124796670831096</w:t>
            </w:r>
          </w:p>
        </w:tc>
        <w:tc>
          <w:tcPr>
            <w:tcW w:w="1476" w:type="dxa"/>
            <w:tcBorders>
              <w:top w:val="nil"/>
              <w:bottom w:val="nil"/>
              <w:right w:val="single" w:sz="16" w:space="0" w:color="000000"/>
            </w:tcBorders>
            <w:shd w:val="clear" w:color="auto" w:fill="FFFFFF"/>
            <w:vAlign w:val="center"/>
          </w:tcPr>
          <w:p w14:paraId="6D125E9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,160588297220997</w:t>
            </w:r>
          </w:p>
        </w:tc>
      </w:tr>
      <w:tr w:rsidR="00661F34" w:rsidRPr="003F4802" w14:paraId="53E66FA2" w14:textId="77777777" w:rsidTr="008E59D3">
        <w:trPr>
          <w:cantSplit/>
        </w:trPr>
        <w:tc>
          <w:tcPr>
            <w:tcW w:w="1045" w:type="dxa"/>
            <w:vMerge/>
            <w:tcBorders>
              <w:top w:val="nil"/>
              <w:left w:val="single" w:sz="16" w:space="0" w:color="000000"/>
              <w:right w:val="nil"/>
            </w:tcBorders>
            <w:shd w:val="clear" w:color="auto" w:fill="FFFFFF"/>
          </w:tcPr>
          <w:p w14:paraId="31E477A5"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right w:val="single" w:sz="16" w:space="0" w:color="000000"/>
            </w:tcBorders>
            <w:shd w:val="clear" w:color="auto" w:fill="FFFFFF"/>
          </w:tcPr>
          <w:p w14:paraId="24CEBA67"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29D1C38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-,099799437667003</w:t>
            </w:r>
          </w:p>
        </w:tc>
        <w:tc>
          <w:tcPr>
            <w:tcW w:w="1476" w:type="dxa"/>
            <w:tcBorders>
              <w:top w:val="nil"/>
            </w:tcBorders>
            <w:shd w:val="clear" w:color="auto" w:fill="FFFFFF"/>
            <w:vAlign w:val="center"/>
          </w:tcPr>
          <w:p w14:paraId="6F460DA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,062349083450114</w:t>
            </w:r>
          </w:p>
        </w:tc>
        <w:tc>
          <w:tcPr>
            <w:tcW w:w="1029" w:type="dxa"/>
            <w:tcBorders>
              <w:top w:val="nil"/>
            </w:tcBorders>
            <w:shd w:val="clear" w:color="auto" w:fill="FFFFFF"/>
            <w:vAlign w:val="center"/>
          </w:tcPr>
          <w:p w14:paraId="6D864E5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,110</w:t>
            </w:r>
          </w:p>
        </w:tc>
        <w:tc>
          <w:tcPr>
            <w:tcW w:w="1476" w:type="dxa"/>
            <w:tcBorders>
              <w:top w:val="nil"/>
            </w:tcBorders>
            <w:shd w:val="clear" w:color="auto" w:fill="FFFFFF"/>
            <w:vAlign w:val="center"/>
          </w:tcPr>
          <w:p w14:paraId="5478C39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-,222031343991237</w:t>
            </w:r>
          </w:p>
        </w:tc>
        <w:tc>
          <w:tcPr>
            <w:tcW w:w="1476" w:type="dxa"/>
            <w:tcBorders>
              <w:top w:val="nil"/>
              <w:right w:val="single" w:sz="16" w:space="0" w:color="000000"/>
            </w:tcBorders>
            <w:shd w:val="clear" w:color="auto" w:fill="FFFFFF"/>
            <w:vAlign w:val="center"/>
          </w:tcPr>
          <w:p w14:paraId="37F52DA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,022432468657231</w:t>
            </w:r>
          </w:p>
        </w:tc>
      </w:tr>
      <w:tr w:rsidR="00661F34" w:rsidRPr="003F4802" w14:paraId="3BE2FC65" w14:textId="77777777" w:rsidTr="008E59D3">
        <w:trPr>
          <w:cantSplit/>
        </w:trPr>
        <w:tc>
          <w:tcPr>
            <w:tcW w:w="1045" w:type="dxa"/>
            <w:vMerge w:val="restart"/>
            <w:tcBorders>
              <w:top w:val="nil"/>
              <w:left w:val="single" w:sz="16" w:space="0" w:color="000000"/>
              <w:right w:val="nil"/>
            </w:tcBorders>
            <w:shd w:val="clear" w:color="auto" w:fill="FFFFFF"/>
          </w:tcPr>
          <w:p w14:paraId="4A558A9E"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091" w:type="dxa"/>
            <w:tcBorders>
              <w:top w:val="nil"/>
              <w:left w:val="nil"/>
              <w:bottom w:val="nil"/>
              <w:right w:val="single" w:sz="16" w:space="0" w:color="000000"/>
            </w:tcBorders>
            <w:shd w:val="clear" w:color="auto" w:fill="FFFFFF"/>
          </w:tcPr>
          <w:p w14:paraId="4EB3B766"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5F8FA26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-,084870714713198</w:t>
            </w:r>
          </w:p>
        </w:tc>
        <w:tc>
          <w:tcPr>
            <w:tcW w:w="1476" w:type="dxa"/>
            <w:tcBorders>
              <w:top w:val="nil"/>
              <w:bottom w:val="nil"/>
            </w:tcBorders>
            <w:shd w:val="clear" w:color="auto" w:fill="FFFFFF"/>
            <w:vAlign w:val="center"/>
          </w:tcPr>
          <w:p w14:paraId="2455A41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,068894656863273</w:t>
            </w:r>
          </w:p>
        </w:tc>
        <w:tc>
          <w:tcPr>
            <w:tcW w:w="1029" w:type="dxa"/>
            <w:tcBorders>
              <w:top w:val="nil"/>
              <w:bottom w:val="nil"/>
            </w:tcBorders>
            <w:shd w:val="clear" w:color="auto" w:fill="FFFFFF"/>
            <w:vAlign w:val="center"/>
          </w:tcPr>
          <w:p w14:paraId="0485681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,218</w:t>
            </w:r>
          </w:p>
        </w:tc>
        <w:tc>
          <w:tcPr>
            <w:tcW w:w="1476" w:type="dxa"/>
            <w:tcBorders>
              <w:top w:val="nil"/>
              <w:bottom w:val="nil"/>
            </w:tcBorders>
            <w:shd w:val="clear" w:color="auto" w:fill="FFFFFF"/>
            <w:vAlign w:val="center"/>
          </w:tcPr>
          <w:p w14:paraId="0CF8053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-,219934853237217</w:t>
            </w:r>
          </w:p>
        </w:tc>
        <w:tc>
          <w:tcPr>
            <w:tcW w:w="1476" w:type="dxa"/>
            <w:tcBorders>
              <w:top w:val="nil"/>
              <w:bottom w:val="nil"/>
              <w:right w:val="single" w:sz="16" w:space="0" w:color="000000"/>
            </w:tcBorders>
            <w:shd w:val="clear" w:color="auto" w:fill="FFFFFF"/>
            <w:vAlign w:val="center"/>
          </w:tcPr>
          <w:p w14:paraId="21EDD3C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,050193423810821</w:t>
            </w:r>
          </w:p>
        </w:tc>
      </w:tr>
      <w:tr w:rsidR="00661F34" w:rsidRPr="003F4802" w14:paraId="0E17861B" w14:textId="77777777" w:rsidTr="008E59D3">
        <w:trPr>
          <w:cantSplit/>
        </w:trPr>
        <w:tc>
          <w:tcPr>
            <w:tcW w:w="1045" w:type="dxa"/>
            <w:vMerge/>
            <w:tcBorders>
              <w:top w:val="nil"/>
              <w:left w:val="single" w:sz="16" w:space="0" w:color="000000"/>
              <w:right w:val="nil"/>
            </w:tcBorders>
            <w:shd w:val="clear" w:color="auto" w:fill="FFFFFF"/>
          </w:tcPr>
          <w:p w14:paraId="0DF98CE1"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99E539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09F9255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-,007808870993859</w:t>
            </w:r>
          </w:p>
        </w:tc>
        <w:tc>
          <w:tcPr>
            <w:tcW w:w="1476" w:type="dxa"/>
            <w:tcBorders>
              <w:top w:val="nil"/>
              <w:bottom w:val="nil"/>
            </w:tcBorders>
            <w:shd w:val="clear" w:color="auto" w:fill="FFFFFF"/>
            <w:vAlign w:val="center"/>
          </w:tcPr>
          <w:p w14:paraId="3619520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,087629564415576</w:t>
            </w:r>
          </w:p>
        </w:tc>
        <w:tc>
          <w:tcPr>
            <w:tcW w:w="1029" w:type="dxa"/>
            <w:tcBorders>
              <w:top w:val="nil"/>
              <w:bottom w:val="nil"/>
            </w:tcBorders>
            <w:shd w:val="clear" w:color="auto" w:fill="FFFFFF"/>
            <w:vAlign w:val="center"/>
          </w:tcPr>
          <w:p w14:paraId="046C492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,929</w:t>
            </w:r>
          </w:p>
        </w:tc>
        <w:tc>
          <w:tcPr>
            <w:tcW w:w="1476" w:type="dxa"/>
            <w:tcBorders>
              <w:top w:val="nil"/>
              <w:bottom w:val="nil"/>
            </w:tcBorders>
            <w:shd w:val="clear" w:color="auto" w:fill="FFFFFF"/>
            <w:vAlign w:val="center"/>
          </w:tcPr>
          <w:p w14:paraId="493E637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-,179601752559603</w:t>
            </w:r>
          </w:p>
        </w:tc>
        <w:tc>
          <w:tcPr>
            <w:tcW w:w="1476" w:type="dxa"/>
            <w:tcBorders>
              <w:top w:val="nil"/>
              <w:bottom w:val="nil"/>
              <w:right w:val="single" w:sz="16" w:space="0" w:color="000000"/>
            </w:tcBorders>
            <w:shd w:val="clear" w:color="auto" w:fill="FFFFFF"/>
            <w:vAlign w:val="center"/>
          </w:tcPr>
          <w:p w14:paraId="797B667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,163984010571884</w:t>
            </w:r>
          </w:p>
        </w:tc>
      </w:tr>
      <w:tr w:rsidR="00661F34" w:rsidRPr="003F4802" w14:paraId="4EDC9A2A" w14:textId="77777777" w:rsidTr="008E59D3">
        <w:trPr>
          <w:cantSplit/>
        </w:trPr>
        <w:tc>
          <w:tcPr>
            <w:tcW w:w="1045" w:type="dxa"/>
            <w:vMerge/>
            <w:tcBorders>
              <w:top w:val="nil"/>
              <w:left w:val="single" w:sz="16" w:space="0" w:color="000000"/>
              <w:right w:val="nil"/>
            </w:tcBorders>
            <w:shd w:val="clear" w:color="auto" w:fill="FFFFFF"/>
          </w:tcPr>
          <w:p w14:paraId="37807261"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55B0D265"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7B8460C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-,095423290594219</w:t>
            </w:r>
          </w:p>
        </w:tc>
        <w:tc>
          <w:tcPr>
            <w:tcW w:w="1476" w:type="dxa"/>
            <w:tcBorders>
              <w:top w:val="nil"/>
              <w:bottom w:val="nil"/>
            </w:tcBorders>
            <w:shd w:val="clear" w:color="auto" w:fill="FFFFFF"/>
            <w:vAlign w:val="center"/>
          </w:tcPr>
          <w:p w14:paraId="2080B3D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,083485255417974</w:t>
            </w:r>
          </w:p>
        </w:tc>
        <w:tc>
          <w:tcPr>
            <w:tcW w:w="1029" w:type="dxa"/>
            <w:tcBorders>
              <w:top w:val="nil"/>
              <w:bottom w:val="nil"/>
            </w:tcBorders>
            <w:shd w:val="clear" w:color="auto" w:fill="FFFFFF"/>
            <w:vAlign w:val="center"/>
          </w:tcPr>
          <w:p w14:paraId="047F1B6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,253</w:t>
            </w:r>
          </w:p>
        </w:tc>
        <w:tc>
          <w:tcPr>
            <w:tcW w:w="1476" w:type="dxa"/>
            <w:tcBorders>
              <w:top w:val="nil"/>
              <w:bottom w:val="nil"/>
            </w:tcBorders>
            <w:shd w:val="clear" w:color="auto" w:fill="FFFFFF"/>
            <w:vAlign w:val="center"/>
          </w:tcPr>
          <w:p w14:paraId="1B4A833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-,259091485137436</w:t>
            </w:r>
          </w:p>
        </w:tc>
        <w:tc>
          <w:tcPr>
            <w:tcW w:w="1476" w:type="dxa"/>
            <w:tcBorders>
              <w:top w:val="nil"/>
              <w:bottom w:val="nil"/>
              <w:right w:val="single" w:sz="16" w:space="0" w:color="000000"/>
            </w:tcBorders>
            <w:shd w:val="clear" w:color="auto" w:fill="FFFFFF"/>
            <w:vAlign w:val="center"/>
          </w:tcPr>
          <w:p w14:paraId="14990EE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,068244903948999</w:t>
            </w:r>
          </w:p>
        </w:tc>
      </w:tr>
      <w:tr w:rsidR="00661F34" w:rsidRPr="003F4802" w14:paraId="16AE4F38" w14:textId="77777777" w:rsidTr="008E59D3">
        <w:trPr>
          <w:cantSplit/>
        </w:trPr>
        <w:tc>
          <w:tcPr>
            <w:tcW w:w="1045" w:type="dxa"/>
            <w:vMerge/>
            <w:tcBorders>
              <w:top w:val="nil"/>
              <w:left w:val="single" w:sz="16" w:space="0" w:color="000000"/>
              <w:right w:val="nil"/>
            </w:tcBorders>
            <w:shd w:val="clear" w:color="auto" w:fill="FFFFFF"/>
          </w:tcPr>
          <w:p w14:paraId="00132197"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8FC59A5"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04080D3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-,002805125888597</w:t>
            </w:r>
          </w:p>
        </w:tc>
        <w:tc>
          <w:tcPr>
            <w:tcW w:w="1476" w:type="dxa"/>
            <w:tcBorders>
              <w:top w:val="nil"/>
              <w:bottom w:val="nil"/>
            </w:tcBorders>
            <w:shd w:val="clear" w:color="auto" w:fill="FFFFFF"/>
            <w:vAlign w:val="center"/>
          </w:tcPr>
          <w:p w14:paraId="43EF213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,076664620096794</w:t>
            </w:r>
          </w:p>
        </w:tc>
        <w:tc>
          <w:tcPr>
            <w:tcW w:w="1029" w:type="dxa"/>
            <w:tcBorders>
              <w:top w:val="nil"/>
              <w:bottom w:val="nil"/>
            </w:tcBorders>
            <w:shd w:val="clear" w:color="auto" w:fill="FFFFFF"/>
            <w:vAlign w:val="center"/>
          </w:tcPr>
          <w:p w14:paraId="47D9091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,971</w:t>
            </w:r>
          </w:p>
        </w:tc>
        <w:tc>
          <w:tcPr>
            <w:tcW w:w="1476" w:type="dxa"/>
            <w:tcBorders>
              <w:top w:val="nil"/>
              <w:bottom w:val="nil"/>
            </w:tcBorders>
            <w:shd w:val="clear" w:color="auto" w:fill="FFFFFF"/>
            <w:vAlign w:val="center"/>
          </w:tcPr>
          <w:p w14:paraId="6C3EFC0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-,153101844677608</w:t>
            </w:r>
          </w:p>
        </w:tc>
        <w:tc>
          <w:tcPr>
            <w:tcW w:w="1476" w:type="dxa"/>
            <w:tcBorders>
              <w:top w:val="nil"/>
              <w:bottom w:val="nil"/>
              <w:right w:val="single" w:sz="16" w:space="0" w:color="000000"/>
            </w:tcBorders>
            <w:shd w:val="clear" w:color="auto" w:fill="FFFFFF"/>
            <w:vAlign w:val="center"/>
          </w:tcPr>
          <w:p w14:paraId="4758046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,147491592900413</w:t>
            </w:r>
          </w:p>
        </w:tc>
      </w:tr>
      <w:tr w:rsidR="00661F34" w:rsidRPr="003F4802" w14:paraId="5261ECE2" w14:textId="77777777" w:rsidTr="008E59D3">
        <w:trPr>
          <w:cantSplit/>
        </w:trPr>
        <w:tc>
          <w:tcPr>
            <w:tcW w:w="1045" w:type="dxa"/>
            <w:vMerge/>
            <w:tcBorders>
              <w:top w:val="nil"/>
              <w:left w:val="single" w:sz="16" w:space="0" w:color="000000"/>
              <w:right w:val="nil"/>
            </w:tcBorders>
            <w:shd w:val="clear" w:color="auto" w:fill="FFFFFF"/>
          </w:tcPr>
          <w:p w14:paraId="3821E2B9"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0703A2B6"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3185C8E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-,083057013064182</w:t>
            </w:r>
          </w:p>
        </w:tc>
        <w:tc>
          <w:tcPr>
            <w:tcW w:w="1476" w:type="dxa"/>
            <w:tcBorders>
              <w:top w:val="nil"/>
              <w:bottom w:val="nil"/>
            </w:tcBorders>
            <w:shd w:val="clear" w:color="auto" w:fill="FFFFFF"/>
            <w:vAlign w:val="center"/>
          </w:tcPr>
          <w:p w14:paraId="7478326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,070805274249481</w:t>
            </w:r>
          </w:p>
        </w:tc>
        <w:tc>
          <w:tcPr>
            <w:tcW w:w="1029" w:type="dxa"/>
            <w:tcBorders>
              <w:top w:val="nil"/>
              <w:bottom w:val="nil"/>
            </w:tcBorders>
            <w:shd w:val="clear" w:color="auto" w:fill="FFFFFF"/>
            <w:vAlign w:val="center"/>
          </w:tcPr>
          <w:p w14:paraId="4231C0D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,241</w:t>
            </w:r>
          </w:p>
        </w:tc>
        <w:tc>
          <w:tcPr>
            <w:tcW w:w="1476" w:type="dxa"/>
            <w:tcBorders>
              <w:top w:val="nil"/>
              <w:bottom w:val="nil"/>
            </w:tcBorders>
            <w:shd w:val="clear" w:color="auto" w:fill="FFFFFF"/>
            <w:vAlign w:val="center"/>
          </w:tcPr>
          <w:p w14:paraId="09C050B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-,221866810585086</w:t>
            </w:r>
          </w:p>
        </w:tc>
        <w:tc>
          <w:tcPr>
            <w:tcW w:w="1476" w:type="dxa"/>
            <w:tcBorders>
              <w:top w:val="nil"/>
              <w:bottom w:val="nil"/>
              <w:right w:val="single" w:sz="16" w:space="0" w:color="000000"/>
            </w:tcBorders>
            <w:shd w:val="clear" w:color="auto" w:fill="FFFFFF"/>
            <w:vAlign w:val="center"/>
          </w:tcPr>
          <w:p w14:paraId="31E5A7C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,055752784456722</w:t>
            </w:r>
          </w:p>
        </w:tc>
      </w:tr>
      <w:tr w:rsidR="00661F34" w:rsidRPr="003F4802" w14:paraId="3AEB123A" w14:textId="77777777" w:rsidTr="008E59D3">
        <w:trPr>
          <w:cantSplit/>
        </w:trPr>
        <w:tc>
          <w:tcPr>
            <w:tcW w:w="1045" w:type="dxa"/>
            <w:vMerge/>
            <w:tcBorders>
              <w:top w:val="nil"/>
              <w:left w:val="single" w:sz="16" w:space="0" w:color="000000"/>
              <w:right w:val="nil"/>
            </w:tcBorders>
            <w:shd w:val="clear" w:color="auto" w:fill="FFFFFF"/>
          </w:tcPr>
          <w:p w14:paraId="11C97C69"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9B6879B"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6A7D3FB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,000291241152972</w:t>
            </w:r>
          </w:p>
        </w:tc>
        <w:tc>
          <w:tcPr>
            <w:tcW w:w="1476" w:type="dxa"/>
            <w:tcBorders>
              <w:top w:val="nil"/>
              <w:bottom w:val="nil"/>
            </w:tcBorders>
            <w:shd w:val="clear" w:color="auto" w:fill="FFFFFF"/>
            <w:vAlign w:val="center"/>
          </w:tcPr>
          <w:p w14:paraId="62032E5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,069390682076874</w:t>
            </w:r>
          </w:p>
        </w:tc>
        <w:tc>
          <w:tcPr>
            <w:tcW w:w="1029" w:type="dxa"/>
            <w:tcBorders>
              <w:top w:val="nil"/>
              <w:bottom w:val="nil"/>
            </w:tcBorders>
            <w:shd w:val="clear" w:color="auto" w:fill="FFFFFF"/>
            <w:vAlign w:val="center"/>
          </w:tcPr>
          <w:p w14:paraId="2F16BDE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,997</w:t>
            </w:r>
          </w:p>
        </w:tc>
        <w:tc>
          <w:tcPr>
            <w:tcW w:w="1476" w:type="dxa"/>
            <w:tcBorders>
              <w:top w:val="nil"/>
              <w:bottom w:val="nil"/>
            </w:tcBorders>
            <w:shd w:val="clear" w:color="auto" w:fill="FFFFFF"/>
            <w:vAlign w:val="center"/>
          </w:tcPr>
          <w:p w14:paraId="167FA35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-,135745327182173</w:t>
            </w:r>
          </w:p>
        </w:tc>
        <w:tc>
          <w:tcPr>
            <w:tcW w:w="1476" w:type="dxa"/>
            <w:tcBorders>
              <w:top w:val="nil"/>
              <w:bottom w:val="nil"/>
              <w:right w:val="single" w:sz="16" w:space="0" w:color="000000"/>
            </w:tcBorders>
            <w:shd w:val="clear" w:color="auto" w:fill="FFFFFF"/>
            <w:vAlign w:val="center"/>
          </w:tcPr>
          <w:p w14:paraId="39A99CA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,136327809488117</w:t>
            </w:r>
          </w:p>
        </w:tc>
      </w:tr>
      <w:tr w:rsidR="00661F34" w:rsidRPr="003F4802" w14:paraId="01B4DC21" w14:textId="77777777" w:rsidTr="008E59D3">
        <w:trPr>
          <w:cantSplit/>
        </w:trPr>
        <w:tc>
          <w:tcPr>
            <w:tcW w:w="1045" w:type="dxa"/>
            <w:vMerge/>
            <w:tcBorders>
              <w:top w:val="nil"/>
              <w:left w:val="single" w:sz="16" w:space="0" w:color="000000"/>
              <w:right w:val="nil"/>
            </w:tcBorders>
            <w:shd w:val="clear" w:color="auto" w:fill="FFFFFF"/>
          </w:tcPr>
          <w:p w14:paraId="6726FBF5"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5D9CCB61"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63333F3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-,053038941454799</w:t>
            </w:r>
          </w:p>
        </w:tc>
        <w:tc>
          <w:tcPr>
            <w:tcW w:w="1476" w:type="dxa"/>
            <w:tcBorders>
              <w:top w:val="nil"/>
              <w:bottom w:val="nil"/>
            </w:tcBorders>
            <w:shd w:val="clear" w:color="auto" w:fill="FFFFFF"/>
            <w:vAlign w:val="center"/>
          </w:tcPr>
          <w:p w14:paraId="400D58A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,067183889187189</w:t>
            </w:r>
          </w:p>
        </w:tc>
        <w:tc>
          <w:tcPr>
            <w:tcW w:w="1029" w:type="dxa"/>
            <w:tcBorders>
              <w:top w:val="nil"/>
              <w:bottom w:val="nil"/>
            </w:tcBorders>
            <w:shd w:val="clear" w:color="auto" w:fill="FFFFFF"/>
            <w:vAlign w:val="center"/>
          </w:tcPr>
          <w:p w14:paraId="5B0DFA0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,430</w:t>
            </w:r>
          </w:p>
        </w:tc>
        <w:tc>
          <w:tcPr>
            <w:tcW w:w="1476" w:type="dxa"/>
            <w:tcBorders>
              <w:top w:val="nil"/>
              <w:bottom w:val="nil"/>
            </w:tcBorders>
            <w:shd w:val="clear" w:color="auto" w:fill="FFFFFF"/>
            <w:vAlign w:val="center"/>
          </w:tcPr>
          <w:p w14:paraId="423E64D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-,184749215210414</w:t>
            </w:r>
          </w:p>
        </w:tc>
        <w:tc>
          <w:tcPr>
            <w:tcW w:w="1476" w:type="dxa"/>
            <w:tcBorders>
              <w:top w:val="nil"/>
              <w:bottom w:val="nil"/>
              <w:right w:val="single" w:sz="16" w:space="0" w:color="000000"/>
            </w:tcBorders>
            <w:shd w:val="clear" w:color="auto" w:fill="FFFFFF"/>
            <w:vAlign w:val="center"/>
          </w:tcPr>
          <w:p w14:paraId="6EB06F9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,078671332300815</w:t>
            </w:r>
          </w:p>
        </w:tc>
      </w:tr>
      <w:tr w:rsidR="00661F34" w:rsidRPr="003F4802" w14:paraId="2024EA19" w14:textId="77777777" w:rsidTr="008E59D3">
        <w:trPr>
          <w:cantSplit/>
        </w:trPr>
        <w:tc>
          <w:tcPr>
            <w:tcW w:w="1045" w:type="dxa"/>
            <w:vMerge/>
            <w:tcBorders>
              <w:top w:val="nil"/>
              <w:left w:val="single" w:sz="16" w:space="0" w:color="000000"/>
              <w:right w:val="nil"/>
            </w:tcBorders>
            <w:shd w:val="clear" w:color="auto" w:fill="FFFFFF"/>
          </w:tcPr>
          <w:p w14:paraId="126D985C"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117AC803"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2E57C34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,015090687306353</w:t>
            </w:r>
          </w:p>
        </w:tc>
        <w:tc>
          <w:tcPr>
            <w:tcW w:w="1476" w:type="dxa"/>
            <w:tcBorders>
              <w:top w:val="nil"/>
              <w:bottom w:val="nil"/>
            </w:tcBorders>
            <w:shd w:val="clear" w:color="auto" w:fill="FFFFFF"/>
            <w:vAlign w:val="center"/>
          </w:tcPr>
          <w:p w14:paraId="77EA55D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,067980081585156</w:t>
            </w:r>
          </w:p>
        </w:tc>
        <w:tc>
          <w:tcPr>
            <w:tcW w:w="1029" w:type="dxa"/>
            <w:tcBorders>
              <w:top w:val="nil"/>
              <w:bottom w:val="nil"/>
            </w:tcBorders>
            <w:shd w:val="clear" w:color="auto" w:fill="FFFFFF"/>
            <w:vAlign w:val="center"/>
          </w:tcPr>
          <w:p w14:paraId="73ED543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,824</w:t>
            </w:r>
          </w:p>
        </w:tc>
        <w:tc>
          <w:tcPr>
            <w:tcW w:w="1476" w:type="dxa"/>
            <w:tcBorders>
              <w:top w:val="nil"/>
              <w:bottom w:val="nil"/>
            </w:tcBorders>
            <w:shd w:val="clear" w:color="auto" w:fill="FFFFFF"/>
            <w:vAlign w:val="center"/>
          </w:tcPr>
          <w:p w14:paraId="72C53DF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-,118180477311149</w:t>
            </w:r>
          </w:p>
        </w:tc>
        <w:tc>
          <w:tcPr>
            <w:tcW w:w="1476" w:type="dxa"/>
            <w:tcBorders>
              <w:top w:val="nil"/>
              <w:bottom w:val="nil"/>
              <w:right w:val="single" w:sz="16" w:space="0" w:color="000000"/>
            </w:tcBorders>
            <w:shd w:val="clear" w:color="auto" w:fill="FFFFFF"/>
            <w:vAlign w:val="center"/>
          </w:tcPr>
          <w:p w14:paraId="13E7012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,148361851923856</w:t>
            </w:r>
          </w:p>
        </w:tc>
      </w:tr>
      <w:tr w:rsidR="00661F34" w:rsidRPr="003F4802" w14:paraId="4C249D88" w14:textId="77777777" w:rsidTr="008E59D3">
        <w:trPr>
          <w:cantSplit/>
        </w:trPr>
        <w:tc>
          <w:tcPr>
            <w:tcW w:w="1045" w:type="dxa"/>
            <w:vMerge/>
            <w:tcBorders>
              <w:top w:val="nil"/>
              <w:left w:val="single" w:sz="16" w:space="0" w:color="000000"/>
              <w:right w:val="nil"/>
            </w:tcBorders>
            <w:shd w:val="clear" w:color="auto" w:fill="FFFFFF"/>
          </w:tcPr>
          <w:p w14:paraId="43359740"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right w:val="single" w:sz="16" w:space="0" w:color="000000"/>
            </w:tcBorders>
            <w:shd w:val="clear" w:color="auto" w:fill="FFFFFF"/>
          </w:tcPr>
          <w:p w14:paraId="79F847BD"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44E5278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-,102604563555600</w:t>
            </w:r>
          </w:p>
        </w:tc>
        <w:tc>
          <w:tcPr>
            <w:tcW w:w="1476" w:type="dxa"/>
            <w:tcBorders>
              <w:top w:val="nil"/>
            </w:tcBorders>
            <w:shd w:val="clear" w:color="auto" w:fill="FFFFFF"/>
            <w:vAlign w:val="center"/>
          </w:tcPr>
          <w:p w14:paraId="262A484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,056665057980589</w:t>
            </w:r>
          </w:p>
        </w:tc>
        <w:tc>
          <w:tcPr>
            <w:tcW w:w="1029" w:type="dxa"/>
            <w:tcBorders>
              <w:top w:val="nil"/>
            </w:tcBorders>
            <w:shd w:val="clear" w:color="auto" w:fill="FFFFFF"/>
            <w:vAlign w:val="center"/>
          </w:tcPr>
          <w:p w14:paraId="3F23844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,070</w:t>
            </w:r>
          </w:p>
        </w:tc>
        <w:tc>
          <w:tcPr>
            <w:tcW w:w="1476" w:type="dxa"/>
            <w:tcBorders>
              <w:top w:val="nil"/>
            </w:tcBorders>
            <w:shd w:val="clear" w:color="auto" w:fill="FFFFFF"/>
            <w:vAlign w:val="center"/>
          </w:tcPr>
          <w:p w14:paraId="5096E31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-,213693254450029</w:t>
            </w:r>
          </w:p>
        </w:tc>
        <w:tc>
          <w:tcPr>
            <w:tcW w:w="1476" w:type="dxa"/>
            <w:tcBorders>
              <w:top w:val="nil"/>
              <w:right w:val="single" w:sz="16" w:space="0" w:color="000000"/>
            </w:tcBorders>
            <w:shd w:val="clear" w:color="auto" w:fill="FFFFFF"/>
            <w:vAlign w:val="center"/>
          </w:tcPr>
          <w:p w14:paraId="479221B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,008484127338829</w:t>
            </w:r>
          </w:p>
        </w:tc>
      </w:tr>
      <w:tr w:rsidR="00661F34" w:rsidRPr="003F4802" w14:paraId="575D5FC8" w14:textId="77777777" w:rsidTr="008E59D3">
        <w:trPr>
          <w:cantSplit/>
        </w:trPr>
        <w:tc>
          <w:tcPr>
            <w:tcW w:w="1045" w:type="dxa"/>
            <w:vMerge w:val="restart"/>
            <w:tcBorders>
              <w:top w:val="nil"/>
              <w:left w:val="single" w:sz="16" w:space="0" w:color="000000"/>
              <w:right w:val="nil"/>
            </w:tcBorders>
            <w:shd w:val="clear" w:color="auto" w:fill="FFFFFF"/>
          </w:tcPr>
          <w:p w14:paraId="33BC56C1"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091" w:type="dxa"/>
            <w:tcBorders>
              <w:top w:val="nil"/>
              <w:left w:val="nil"/>
              <w:bottom w:val="nil"/>
              <w:right w:val="single" w:sz="16" w:space="0" w:color="000000"/>
            </w:tcBorders>
            <w:shd w:val="clear" w:color="auto" w:fill="FFFFFF"/>
          </w:tcPr>
          <w:p w14:paraId="5B58F69D"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7EF9D05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-,001813701649016</w:t>
            </w:r>
          </w:p>
        </w:tc>
        <w:tc>
          <w:tcPr>
            <w:tcW w:w="1476" w:type="dxa"/>
            <w:tcBorders>
              <w:top w:val="nil"/>
              <w:bottom w:val="nil"/>
            </w:tcBorders>
            <w:shd w:val="clear" w:color="auto" w:fill="FFFFFF"/>
            <w:vAlign w:val="center"/>
          </w:tcPr>
          <w:p w14:paraId="50BA2AE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,067519449363811</w:t>
            </w:r>
          </w:p>
        </w:tc>
        <w:tc>
          <w:tcPr>
            <w:tcW w:w="1029" w:type="dxa"/>
            <w:tcBorders>
              <w:top w:val="nil"/>
              <w:bottom w:val="nil"/>
            </w:tcBorders>
            <w:shd w:val="clear" w:color="auto" w:fill="FFFFFF"/>
            <w:vAlign w:val="center"/>
          </w:tcPr>
          <w:p w14:paraId="110D2B5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,979</w:t>
            </w:r>
          </w:p>
        </w:tc>
        <w:tc>
          <w:tcPr>
            <w:tcW w:w="1476" w:type="dxa"/>
            <w:tcBorders>
              <w:top w:val="nil"/>
              <w:bottom w:val="nil"/>
            </w:tcBorders>
            <w:shd w:val="clear" w:color="auto" w:fill="FFFFFF"/>
            <w:vAlign w:val="center"/>
          </w:tcPr>
          <w:p w14:paraId="4144D51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-,134181822445925</w:t>
            </w:r>
          </w:p>
        </w:tc>
        <w:tc>
          <w:tcPr>
            <w:tcW w:w="1476" w:type="dxa"/>
            <w:tcBorders>
              <w:top w:val="nil"/>
              <w:bottom w:val="nil"/>
              <w:right w:val="single" w:sz="16" w:space="0" w:color="000000"/>
            </w:tcBorders>
            <w:shd w:val="clear" w:color="auto" w:fill="FFFFFF"/>
            <w:vAlign w:val="center"/>
          </w:tcPr>
          <w:p w14:paraId="08AFB27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,130554419147893</w:t>
            </w:r>
          </w:p>
        </w:tc>
      </w:tr>
      <w:tr w:rsidR="00661F34" w:rsidRPr="003F4802" w14:paraId="017B7F5F" w14:textId="77777777" w:rsidTr="008E59D3">
        <w:trPr>
          <w:cantSplit/>
        </w:trPr>
        <w:tc>
          <w:tcPr>
            <w:tcW w:w="1045" w:type="dxa"/>
            <w:vMerge/>
            <w:tcBorders>
              <w:top w:val="nil"/>
              <w:left w:val="single" w:sz="16" w:space="0" w:color="000000"/>
              <w:right w:val="nil"/>
            </w:tcBorders>
            <w:shd w:val="clear" w:color="auto" w:fill="FFFFFF"/>
          </w:tcPr>
          <w:p w14:paraId="3430677B"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FFE9BC5"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25AAB65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,075248142070323</w:t>
            </w:r>
          </w:p>
        </w:tc>
        <w:tc>
          <w:tcPr>
            <w:tcW w:w="1476" w:type="dxa"/>
            <w:tcBorders>
              <w:top w:val="nil"/>
              <w:bottom w:val="nil"/>
            </w:tcBorders>
            <w:shd w:val="clear" w:color="auto" w:fill="FFFFFF"/>
            <w:vAlign w:val="center"/>
          </w:tcPr>
          <w:p w14:paraId="21224FB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,086552543912630</w:t>
            </w:r>
          </w:p>
        </w:tc>
        <w:tc>
          <w:tcPr>
            <w:tcW w:w="1029" w:type="dxa"/>
            <w:tcBorders>
              <w:top w:val="nil"/>
              <w:bottom w:val="nil"/>
            </w:tcBorders>
            <w:shd w:val="clear" w:color="auto" w:fill="FFFFFF"/>
            <w:vAlign w:val="center"/>
          </w:tcPr>
          <w:p w14:paraId="3C5A1CF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,385</w:t>
            </w:r>
          </w:p>
        </w:tc>
        <w:tc>
          <w:tcPr>
            <w:tcW w:w="1476" w:type="dxa"/>
            <w:tcBorders>
              <w:top w:val="nil"/>
              <w:bottom w:val="nil"/>
            </w:tcBorders>
            <w:shd w:val="clear" w:color="auto" w:fill="FFFFFF"/>
            <w:vAlign w:val="center"/>
          </w:tcPr>
          <w:p w14:paraId="6815191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-,094433300771053</w:t>
            </w:r>
          </w:p>
        </w:tc>
        <w:tc>
          <w:tcPr>
            <w:tcW w:w="1476" w:type="dxa"/>
            <w:tcBorders>
              <w:top w:val="nil"/>
              <w:bottom w:val="nil"/>
              <w:right w:val="single" w:sz="16" w:space="0" w:color="000000"/>
            </w:tcBorders>
            <w:shd w:val="clear" w:color="auto" w:fill="FFFFFF"/>
            <w:vAlign w:val="center"/>
          </w:tcPr>
          <w:p w14:paraId="0C71B6B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,244929584911699</w:t>
            </w:r>
          </w:p>
        </w:tc>
      </w:tr>
      <w:tr w:rsidR="00661F34" w:rsidRPr="003F4802" w14:paraId="36E8F902" w14:textId="77777777" w:rsidTr="008E59D3">
        <w:trPr>
          <w:cantSplit/>
        </w:trPr>
        <w:tc>
          <w:tcPr>
            <w:tcW w:w="1045" w:type="dxa"/>
            <w:vMerge/>
            <w:tcBorders>
              <w:top w:val="nil"/>
              <w:left w:val="single" w:sz="16" w:space="0" w:color="000000"/>
              <w:right w:val="nil"/>
            </w:tcBorders>
            <w:shd w:val="clear" w:color="auto" w:fill="FFFFFF"/>
          </w:tcPr>
          <w:p w14:paraId="79D220C5"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0D402DCA"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722965F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-,012366277530037</w:t>
            </w:r>
          </w:p>
        </w:tc>
        <w:tc>
          <w:tcPr>
            <w:tcW w:w="1476" w:type="dxa"/>
            <w:tcBorders>
              <w:top w:val="nil"/>
              <w:bottom w:val="nil"/>
            </w:tcBorders>
            <w:shd w:val="clear" w:color="auto" w:fill="FFFFFF"/>
            <w:vAlign w:val="center"/>
          </w:tcPr>
          <w:p w14:paraId="393893E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,082354053757472</w:t>
            </w:r>
          </w:p>
        </w:tc>
        <w:tc>
          <w:tcPr>
            <w:tcW w:w="1029" w:type="dxa"/>
            <w:tcBorders>
              <w:top w:val="nil"/>
              <w:bottom w:val="nil"/>
            </w:tcBorders>
            <w:shd w:val="clear" w:color="auto" w:fill="FFFFFF"/>
            <w:vAlign w:val="center"/>
          </w:tcPr>
          <w:p w14:paraId="4A90197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,881</w:t>
            </w:r>
          </w:p>
        </w:tc>
        <w:tc>
          <w:tcPr>
            <w:tcW w:w="1476" w:type="dxa"/>
            <w:tcBorders>
              <w:top w:val="nil"/>
              <w:bottom w:val="nil"/>
            </w:tcBorders>
            <w:shd w:val="clear" w:color="auto" w:fill="FFFFFF"/>
            <w:vAlign w:val="center"/>
          </w:tcPr>
          <w:p w14:paraId="152D6AF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-,173816814206463</w:t>
            </w:r>
          </w:p>
        </w:tc>
        <w:tc>
          <w:tcPr>
            <w:tcW w:w="1476" w:type="dxa"/>
            <w:tcBorders>
              <w:top w:val="nil"/>
              <w:bottom w:val="nil"/>
              <w:right w:val="single" w:sz="16" w:space="0" w:color="000000"/>
            </w:tcBorders>
            <w:shd w:val="clear" w:color="auto" w:fill="FFFFFF"/>
            <w:vAlign w:val="center"/>
          </w:tcPr>
          <w:p w14:paraId="0A6DF1F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,149084259146390</w:t>
            </w:r>
          </w:p>
        </w:tc>
      </w:tr>
      <w:tr w:rsidR="00661F34" w:rsidRPr="003F4802" w14:paraId="22FFDD50" w14:textId="77777777" w:rsidTr="008E59D3">
        <w:trPr>
          <w:cantSplit/>
        </w:trPr>
        <w:tc>
          <w:tcPr>
            <w:tcW w:w="1045" w:type="dxa"/>
            <w:vMerge/>
            <w:tcBorders>
              <w:top w:val="nil"/>
              <w:left w:val="single" w:sz="16" w:space="0" w:color="000000"/>
              <w:right w:val="nil"/>
            </w:tcBorders>
            <w:shd w:val="clear" w:color="auto" w:fill="FFFFFF"/>
          </w:tcPr>
          <w:p w14:paraId="22A59EDD"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6CC55A8"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27FEF1E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,080251887175585</w:t>
            </w:r>
          </w:p>
        </w:tc>
        <w:tc>
          <w:tcPr>
            <w:tcW w:w="1476" w:type="dxa"/>
            <w:tcBorders>
              <w:top w:val="nil"/>
              <w:bottom w:val="nil"/>
            </w:tcBorders>
            <w:shd w:val="clear" w:color="auto" w:fill="FFFFFF"/>
            <w:vAlign w:val="center"/>
          </w:tcPr>
          <w:p w14:paraId="7A93565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,075431202248605</w:t>
            </w:r>
          </w:p>
        </w:tc>
        <w:tc>
          <w:tcPr>
            <w:tcW w:w="1029" w:type="dxa"/>
            <w:tcBorders>
              <w:top w:val="nil"/>
              <w:bottom w:val="nil"/>
            </w:tcBorders>
            <w:shd w:val="clear" w:color="auto" w:fill="FFFFFF"/>
            <w:vAlign w:val="center"/>
          </w:tcPr>
          <w:p w14:paraId="0164AB5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,287</w:t>
            </w:r>
          </w:p>
        </w:tc>
        <w:tc>
          <w:tcPr>
            <w:tcW w:w="1476" w:type="dxa"/>
            <w:tcBorders>
              <w:top w:val="nil"/>
              <w:bottom w:val="nil"/>
            </w:tcBorders>
            <w:shd w:val="clear" w:color="auto" w:fill="FFFFFF"/>
            <w:vAlign w:val="center"/>
          </w:tcPr>
          <w:p w14:paraId="0E0CF63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-,067626784602371</w:t>
            </w:r>
          </w:p>
        </w:tc>
        <w:tc>
          <w:tcPr>
            <w:tcW w:w="1476" w:type="dxa"/>
            <w:tcBorders>
              <w:top w:val="nil"/>
              <w:bottom w:val="nil"/>
              <w:right w:val="single" w:sz="16" w:space="0" w:color="000000"/>
            </w:tcBorders>
            <w:shd w:val="clear" w:color="auto" w:fill="FFFFFF"/>
            <w:vAlign w:val="center"/>
          </w:tcPr>
          <w:p w14:paraId="224DF01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,228130558953541</w:t>
            </w:r>
          </w:p>
        </w:tc>
      </w:tr>
      <w:tr w:rsidR="00661F34" w:rsidRPr="003F4802" w14:paraId="6C3ABB06" w14:textId="77777777" w:rsidTr="008E59D3">
        <w:trPr>
          <w:cantSplit/>
        </w:trPr>
        <w:tc>
          <w:tcPr>
            <w:tcW w:w="1045" w:type="dxa"/>
            <w:vMerge/>
            <w:tcBorders>
              <w:top w:val="nil"/>
              <w:left w:val="single" w:sz="16" w:space="0" w:color="000000"/>
              <w:right w:val="nil"/>
            </w:tcBorders>
            <w:shd w:val="clear" w:color="auto" w:fill="FFFFFF"/>
          </w:tcPr>
          <w:p w14:paraId="4CD9FE12"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61F4DCFB"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09CE62A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,083057013064182</w:t>
            </w:r>
          </w:p>
        </w:tc>
        <w:tc>
          <w:tcPr>
            <w:tcW w:w="1476" w:type="dxa"/>
            <w:tcBorders>
              <w:top w:val="nil"/>
              <w:bottom w:val="nil"/>
            </w:tcBorders>
            <w:shd w:val="clear" w:color="auto" w:fill="FFFFFF"/>
            <w:vAlign w:val="center"/>
          </w:tcPr>
          <w:p w14:paraId="4DAB4F7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,070805274249481</w:t>
            </w:r>
          </w:p>
        </w:tc>
        <w:tc>
          <w:tcPr>
            <w:tcW w:w="1029" w:type="dxa"/>
            <w:tcBorders>
              <w:top w:val="nil"/>
              <w:bottom w:val="nil"/>
            </w:tcBorders>
            <w:shd w:val="clear" w:color="auto" w:fill="FFFFFF"/>
            <w:vAlign w:val="center"/>
          </w:tcPr>
          <w:p w14:paraId="4015A92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,241</w:t>
            </w:r>
          </w:p>
        </w:tc>
        <w:tc>
          <w:tcPr>
            <w:tcW w:w="1476" w:type="dxa"/>
            <w:tcBorders>
              <w:top w:val="nil"/>
              <w:bottom w:val="nil"/>
            </w:tcBorders>
            <w:shd w:val="clear" w:color="auto" w:fill="FFFFFF"/>
            <w:vAlign w:val="center"/>
          </w:tcPr>
          <w:p w14:paraId="1A0649B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-,055752784456722</w:t>
            </w:r>
          </w:p>
        </w:tc>
        <w:tc>
          <w:tcPr>
            <w:tcW w:w="1476" w:type="dxa"/>
            <w:tcBorders>
              <w:top w:val="nil"/>
              <w:bottom w:val="nil"/>
              <w:right w:val="single" w:sz="16" w:space="0" w:color="000000"/>
            </w:tcBorders>
            <w:shd w:val="clear" w:color="auto" w:fill="FFFFFF"/>
            <w:vAlign w:val="center"/>
          </w:tcPr>
          <w:p w14:paraId="7E465BB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,221866810585086</w:t>
            </w:r>
          </w:p>
        </w:tc>
      </w:tr>
      <w:tr w:rsidR="00661F34" w:rsidRPr="003F4802" w14:paraId="102268E9" w14:textId="77777777" w:rsidTr="008E59D3">
        <w:trPr>
          <w:cantSplit/>
        </w:trPr>
        <w:tc>
          <w:tcPr>
            <w:tcW w:w="1045" w:type="dxa"/>
            <w:vMerge/>
            <w:tcBorders>
              <w:top w:val="nil"/>
              <w:left w:val="single" w:sz="16" w:space="0" w:color="000000"/>
              <w:right w:val="nil"/>
            </w:tcBorders>
            <w:shd w:val="clear" w:color="auto" w:fill="FFFFFF"/>
          </w:tcPr>
          <w:p w14:paraId="2425D323"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5A21A63A"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57F2E7F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,083348254217154</w:t>
            </w:r>
          </w:p>
        </w:tc>
        <w:tc>
          <w:tcPr>
            <w:tcW w:w="1476" w:type="dxa"/>
            <w:tcBorders>
              <w:top w:val="nil"/>
              <w:bottom w:val="nil"/>
            </w:tcBorders>
            <w:shd w:val="clear" w:color="auto" w:fill="FFFFFF"/>
            <w:vAlign w:val="center"/>
          </w:tcPr>
          <w:p w14:paraId="1CB9FA5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,068025502990995</w:t>
            </w:r>
          </w:p>
        </w:tc>
        <w:tc>
          <w:tcPr>
            <w:tcW w:w="1029" w:type="dxa"/>
            <w:tcBorders>
              <w:top w:val="nil"/>
              <w:bottom w:val="nil"/>
            </w:tcBorders>
            <w:shd w:val="clear" w:color="auto" w:fill="FFFFFF"/>
            <w:vAlign w:val="center"/>
          </w:tcPr>
          <w:p w14:paraId="25C504D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,221</w:t>
            </w:r>
          </w:p>
        </w:tc>
        <w:tc>
          <w:tcPr>
            <w:tcW w:w="1476" w:type="dxa"/>
            <w:tcBorders>
              <w:top w:val="nil"/>
              <w:bottom w:val="nil"/>
            </w:tcBorders>
            <w:shd w:val="clear" w:color="auto" w:fill="FFFFFF"/>
            <w:vAlign w:val="center"/>
          </w:tcPr>
          <w:p w14:paraId="125778E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-,050011956537300</w:t>
            </w:r>
          </w:p>
        </w:tc>
        <w:tc>
          <w:tcPr>
            <w:tcW w:w="1476" w:type="dxa"/>
            <w:tcBorders>
              <w:top w:val="nil"/>
              <w:bottom w:val="nil"/>
              <w:right w:val="single" w:sz="16" w:space="0" w:color="000000"/>
            </w:tcBorders>
            <w:shd w:val="clear" w:color="auto" w:fill="FFFFFF"/>
            <w:vAlign w:val="center"/>
          </w:tcPr>
          <w:p w14:paraId="40C63D1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,216708464971607</w:t>
            </w:r>
          </w:p>
        </w:tc>
      </w:tr>
      <w:tr w:rsidR="00661F34" w:rsidRPr="003F4802" w14:paraId="57777206" w14:textId="77777777" w:rsidTr="008E59D3">
        <w:trPr>
          <w:cantSplit/>
        </w:trPr>
        <w:tc>
          <w:tcPr>
            <w:tcW w:w="1045" w:type="dxa"/>
            <w:vMerge/>
            <w:tcBorders>
              <w:top w:val="nil"/>
              <w:left w:val="single" w:sz="16" w:space="0" w:color="000000"/>
              <w:right w:val="nil"/>
            </w:tcBorders>
            <w:shd w:val="clear" w:color="auto" w:fill="FFFFFF"/>
          </w:tcPr>
          <w:p w14:paraId="131F660C"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69AA510"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65BB345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,030018071609382</w:t>
            </w:r>
          </w:p>
        </w:tc>
        <w:tc>
          <w:tcPr>
            <w:tcW w:w="1476" w:type="dxa"/>
            <w:tcBorders>
              <w:top w:val="nil"/>
              <w:bottom w:val="nil"/>
            </w:tcBorders>
            <w:shd w:val="clear" w:color="auto" w:fill="FFFFFF"/>
            <w:vAlign w:val="center"/>
          </w:tcPr>
          <w:p w14:paraId="59D3220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,065772921969459</w:t>
            </w:r>
          </w:p>
        </w:tc>
        <w:tc>
          <w:tcPr>
            <w:tcW w:w="1029" w:type="dxa"/>
            <w:tcBorders>
              <w:top w:val="nil"/>
              <w:bottom w:val="nil"/>
            </w:tcBorders>
            <w:shd w:val="clear" w:color="auto" w:fill="FFFFFF"/>
            <w:vAlign w:val="center"/>
          </w:tcPr>
          <w:p w14:paraId="13CC4FA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,648</w:t>
            </w:r>
          </w:p>
        </w:tc>
        <w:tc>
          <w:tcPr>
            <w:tcW w:w="1476" w:type="dxa"/>
            <w:tcBorders>
              <w:top w:val="nil"/>
              <w:bottom w:val="nil"/>
            </w:tcBorders>
            <w:shd w:val="clear" w:color="auto" w:fill="FFFFFF"/>
            <w:vAlign w:val="center"/>
          </w:tcPr>
          <w:p w14:paraId="201800C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-,098926079482664</w:t>
            </w:r>
          </w:p>
        </w:tc>
        <w:tc>
          <w:tcPr>
            <w:tcW w:w="1476" w:type="dxa"/>
            <w:tcBorders>
              <w:top w:val="nil"/>
              <w:bottom w:val="nil"/>
              <w:right w:val="single" w:sz="16" w:space="0" w:color="000000"/>
            </w:tcBorders>
            <w:shd w:val="clear" w:color="auto" w:fill="FFFFFF"/>
            <w:vAlign w:val="center"/>
          </w:tcPr>
          <w:p w14:paraId="53E3711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,158962222701429</w:t>
            </w:r>
          </w:p>
        </w:tc>
      </w:tr>
      <w:tr w:rsidR="00661F34" w:rsidRPr="003F4802" w14:paraId="0B316F23" w14:textId="77777777" w:rsidTr="008E59D3">
        <w:trPr>
          <w:cantSplit/>
        </w:trPr>
        <w:tc>
          <w:tcPr>
            <w:tcW w:w="1045" w:type="dxa"/>
            <w:vMerge/>
            <w:tcBorders>
              <w:top w:val="nil"/>
              <w:left w:val="single" w:sz="16" w:space="0" w:color="000000"/>
              <w:right w:val="nil"/>
            </w:tcBorders>
            <w:shd w:val="clear" w:color="auto" w:fill="FFFFFF"/>
          </w:tcPr>
          <w:p w14:paraId="1C5E4020"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66CECD56"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26A8418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,098147700370535</w:t>
            </w:r>
          </w:p>
        </w:tc>
        <w:tc>
          <w:tcPr>
            <w:tcW w:w="1476" w:type="dxa"/>
            <w:tcBorders>
              <w:top w:val="nil"/>
              <w:bottom w:val="nil"/>
            </w:tcBorders>
            <w:shd w:val="clear" w:color="auto" w:fill="FFFFFF"/>
            <w:vAlign w:val="center"/>
          </w:tcPr>
          <w:p w14:paraId="1FE7618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,066585987943475</w:t>
            </w:r>
          </w:p>
        </w:tc>
        <w:tc>
          <w:tcPr>
            <w:tcW w:w="1029" w:type="dxa"/>
            <w:tcBorders>
              <w:top w:val="nil"/>
              <w:bottom w:val="nil"/>
            </w:tcBorders>
            <w:shd w:val="clear" w:color="auto" w:fill="FFFFFF"/>
            <w:vAlign w:val="center"/>
          </w:tcPr>
          <w:p w14:paraId="0A94CDA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,141</w:t>
            </w:r>
          </w:p>
        </w:tc>
        <w:tc>
          <w:tcPr>
            <w:tcW w:w="1476" w:type="dxa"/>
            <w:tcBorders>
              <w:top w:val="nil"/>
              <w:bottom w:val="nil"/>
            </w:tcBorders>
            <w:shd w:val="clear" w:color="auto" w:fill="FFFFFF"/>
            <w:vAlign w:val="center"/>
          </w:tcPr>
          <w:p w14:paraId="09A1A10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-,032390421289672</w:t>
            </w:r>
          </w:p>
        </w:tc>
        <w:tc>
          <w:tcPr>
            <w:tcW w:w="1476" w:type="dxa"/>
            <w:tcBorders>
              <w:top w:val="nil"/>
              <w:bottom w:val="nil"/>
              <w:right w:val="single" w:sz="16" w:space="0" w:color="000000"/>
            </w:tcBorders>
            <w:shd w:val="clear" w:color="auto" w:fill="FFFFFF"/>
            <w:vAlign w:val="center"/>
          </w:tcPr>
          <w:p w14:paraId="18ABA04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,228685822030742</w:t>
            </w:r>
          </w:p>
        </w:tc>
      </w:tr>
      <w:tr w:rsidR="00661F34" w:rsidRPr="003F4802" w14:paraId="5FB9FA14" w14:textId="77777777" w:rsidTr="008E59D3">
        <w:trPr>
          <w:cantSplit/>
        </w:trPr>
        <w:tc>
          <w:tcPr>
            <w:tcW w:w="1045" w:type="dxa"/>
            <w:vMerge/>
            <w:tcBorders>
              <w:top w:val="nil"/>
              <w:left w:val="single" w:sz="16" w:space="0" w:color="000000"/>
              <w:right w:val="nil"/>
            </w:tcBorders>
            <w:shd w:val="clear" w:color="auto" w:fill="FFFFFF"/>
          </w:tcPr>
          <w:p w14:paraId="028137EF"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right w:val="single" w:sz="16" w:space="0" w:color="000000"/>
            </w:tcBorders>
            <w:shd w:val="clear" w:color="auto" w:fill="FFFFFF"/>
          </w:tcPr>
          <w:p w14:paraId="324B715D"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1348D6B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-,019547550491418</w:t>
            </w:r>
          </w:p>
        </w:tc>
        <w:tc>
          <w:tcPr>
            <w:tcW w:w="1476" w:type="dxa"/>
            <w:tcBorders>
              <w:top w:val="nil"/>
            </w:tcBorders>
            <w:shd w:val="clear" w:color="auto" w:fill="FFFFFF"/>
            <w:vAlign w:val="center"/>
          </w:tcPr>
          <w:p w14:paraId="6C6180A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,054984826034350</w:t>
            </w:r>
          </w:p>
        </w:tc>
        <w:tc>
          <w:tcPr>
            <w:tcW w:w="1029" w:type="dxa"/>
            <w:tcBorders>
              <w:top w:val="nil"/>
            </w:tcBorders>
            <w:shd w:val="clear" w:color="auto" w:fill="FFFFFF"/>
            <w:vAlign w:val="center"/>
          </w:tcPr>
          <w:p w14:paraId="739212A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,722</w:t>
            </w:r>
          </w:p>
        </w:tc>
        <w:tc>
          <w:tcPr>
            <w:tcW w:w="1476" w:type="dxa"/>
            <w:tcBorders>
              <w:top w:val="nil"/>
            </w:tcBorders>
            <w:shd w:val="clear" w:color="auto" w:fill="FFFFFF"/>
            <w:vAlign w:val="center"/>
          </w:tcPr>
          <w:p w14:paraId="45E3B97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-,127342240215484</w:t>
            </w:r>
          </w:p>
        </w:tc>
        <w:tc>
          <w:tcPr>
            <w:tcW w:w="1476" w:type="dxa"/>
            <w:tcBorders>
              <w:top w:val="nil"/>
              <w:right w:val="single" w:sz="16" w:space="0" w:color="000000"/>
            </w:tcBorders>
            <w:shd w:val="clear" w:color="auto" w:fill="FFFFFF"/>
            <w:vAlign w:val="center"/>
          </w:tcPr>
          <w:p w14:paraId="4C4DCCE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,088247139232648</w:t>
            </w:r>
          </w:p>
        </w:tc>
      </w:tr>
      <w:tr w:rsidR="00661F34" w:rsidRPr="003F4802" w14:paraId="529F8B4E" w14:textId="77777777" w:rsidTr="008E59D3">
        <w:trPr>
          <w:cantSplit/>
        </w:trPr>
        <w:tc>
          <w:tcPr>
            <w:tcW w:w="1045" w:type="dxa"/>
            <w:vMerge w:val="restart"/>
            <w:tcBorders>
              <w:top w:val="nil"/>
              <w:left w:val="single" w:sz="16" w:space="0" w:color="000000"/>
              <w:right w:val="nil"/>
            </w:tcBorders>
            <w:shd w:val="clear" w:color="auto" w:fill="FFFFFF"/>
          </w:tcPr>
          <w:p w14:paraId="7CBBB46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091" w:type="dxa"/>
            <w:tcBorders>
              <w:top w:val="nil"/>
              <w:left w:val="nil"/>
              <w:bottom w:val="nil"/>
              <w:right w:val="single" w:sz="16" w:space="0" w:color="000000"/>
            </w:tcBorders>
            <w:shd w:val="clear" w:color="auto" w:fill="FFFFFF"/>
          </w:tcPr>
          <w:p w14:paraId="48046C72"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6CC11EA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-,085161955866170</w:t>
            </w:r>
          </w:p>
        </w:tc>
        <w:tc>
          <w:tcPr>
            <w:tcW w:w="1476" w:type="dxa"/>
            <w:tcBorders>
              <w:top w:val="nil"/>
              <w:bottom w:val="nil"/>
            </w:tcBorders>
            <w:shd w:val="clear" w:color="auto" w:fill="FFFFFF"/>
            <w:vAlign w:val="center"/>
          </w:tcPr>
          <w:p w14:paraId="47C2440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,066034505676516</w:t>
            </w:r>
          </w:p>
        </w:tc>
        <w:tc>
          <w:tcPr>
            <w:tcW w:w="1029" w:type="dxa"/>
            <w:tcBorders>
              <w:top w:val="nil"/>
              <w:bottom w:val="nil"/>
            </w:tcBorders>
            <w:shd w:val="clear" w:color="auto" w:fill="FFFFFF"/>
            <w:vAlign w:val="center"/>
          </w:tcPr>
          <w:p w14:paraId="02B8026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,197</w:t>
            </w:r>
          </w:p>
        </w:tc>
        <w:tc>
          <w:tcPr>
            <w:tcW w:w="1476" w:type="dxa"/>
            <w:tcBorders>
              <w:top w:val="nil"/>
              <w:bottom w:val="nil"/>
            </w:tcBorders>
            <w:shd w:val="clear" w:color="auto" w:fill="FFFFFF"/>
            <w:vAlign w:val="center"/>
          </w:tcPr>
          <w:p w14:paraId="6841F98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-,214618927250153</w:t>
            </w:r>
          </w:p>
        </w:tc>
        <w:tc>
          <w:tcPr>
            <w:tcW w:w="1476" w:type="dxa"/>
            <w:tcBorders>
              <w:top w:val="nil"/>
              <w:bottom w:val="nil"/>
              <w:right w:val="single" w:sz="16" w:space="0" w:color="000000"/>
            </w:tcBorders>
            <w:shd w:val="clear" w:color="auto" w:fill="FFFFFF"/>
            <w:vAlign w:val="center"/>
          </w:tcPr>
          <w:p w14:paraId="460F438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,044295015517813</w:t>
            </w:r>
          </w:p>
        </w:tc>
      </w:tr>
      <w:tr w:rsidR="00661F34" w:rsidRPr="003F4802" w14:paraId="7E48AE06" w14:textId="77777777" w:rsidTr="008E59D3">
        <w:trPr>
          <w:cantSplit/>
        </w:trPr>
        <w:tc>
          <w:tcPr>
            <w:tcW w:w="1045" w:type="dxa"/>
            <w:vMerge/>
            <w:tcBorders>
              <w:top w:val="nil"/>
              <w:left w:val="single" w:sz="16" w:space="0" w:color="000000"/>
              <w:right w:val="nil"/>
            </w:tcBorders>
            <w:shd w:val="clear" w:color="auto" w:fill="FFFFFF"/>
          </w:tcPr>
          <w:p w14:paraId="4DB01EAE"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895CFE6"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2655B0D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-,008100112146831</w:t>
            </w:r>
          </w:p>
        </w:tc>
        <w:tc>
          <w:tcPr>
            <w:tcW w:w="1476" w:type="dxa"/>
            <w:tcBorders>
              <w:top w:val="nil"/>
              <w:bottom w:val="nil"/>
            </w:tcBorders>
            <w:shd w:val="clear" w:color="auto" w:fill="FFFFFF"/>
            <w:vAlign w:val="center"/>
          </w:tcPr>
          <w:p w14:paraId="406D7BA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,085399196455805</w:t>
            </w:r>
          </w:p>
        </w:tc>
        <w:tc>
          <w:tcPr>
            <w:tcW w:w="1029" w:type="dxa"/>
            <w:tcBorders>
              <w:top w:val="nil"/>
              <w:bottom w:val="nil"/>
            </w:tcBorders>
            <w:shd w:val="clear" w:color="auto" w:fill="FFFFFF"/>
            <w:vAlign w:val="center"/>
          </w:tcPr>
          <w:p w14:paraId="432E5A5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,924</w:t>
            </w:r>
          </w:p>
        </w:tc>
        <w:tc>
          <w:tcPr>
            <w:tcW w:w="1476" w:type="dxa"/>
            <w:tcBorders>
              <w:top w:val="nil"/>
              <w:bottom w:val="nil"/>
            </w:tcBorders>
            <w:shd w:val="clear" w:color="auto" w:fill="FFFFFF"/>
            <w:vAlign w:val="center"/>
          </w:tcPr>
          <w:p w14:paraId="644C81D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-,175520481520870</w:t>
            </w:r>
          </w:p>
        </w:tc>
        <w:tc>
          <w:tcPr>
            <w:tcW w:w="1476" w:type="dxa"/>
            <w:tcBorders>
              <w:top w:val="nil"/>
              <w:bottom w:val="nil"/>
              <w:right w:val="single" w:sz="16" w:space="0" w:color="000000"/>
            </w:tcBorders>
            <w:shd w:val="clear" w:color="auto" w:fill="FFFFFF"/>
            <w:vAlign w:val="center"/>
          </w:tcPr>
          <w:p w14:paraId="661CE9F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,159320257227207</w:t>
            </w:r>
          </w:p>
        </w:tc>
      </w:tr>
      <w:tr w:rsidR="00661F34" w:rsidRPr="003F4802" w14:paraId="4334354C" w14:textId="77777777" w:rsidTr="008E59D3">
        <w:trPr>
          <w:cantSplit/>
        </w:trPr>
        <w:tc>
          <w:tcPr>
            <w:tcW w:w="1045" w:type="dxa"/>
            <w:vMerge/>
            <w:tcBorders>
              <w:top w:val="nil"/>
              <w:left w:val="single" w:sz="16" w:space="0" w:color="000000"/>
              <w:right w:val="nil"/>
            </w:tcBorders>
            <w:shd w:val="clear" w:color="auto" w:fill="FFFFFF"/>
          </w:tcPr>
          <w:p w14:paraId="454921B4"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219EC43E"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62DB4DC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-,095714531747191</w:t>
            </w:r>
          </w:p>
        </w:tc>
        <w:tc>
          <w:tcPr>
            <w:tcW w:w="1476" w:type="dxa"/>
            <w:tcBorders>
              <w:top w:val="nil"/>
              <w:bottom w:val="nil"/>
            </w:tcBorders>
            <w:shd w:val="clear" w:color="auto" w:fill="FFFFFF"/>
            <w:vAlign w:val="center"/>
          </w:tcPr>
          <w:p w14:paraId="12446BB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,081141050448204</w:t>
            </w:r>
          </w:p>
        </w:tc>
        <w:tc>
          <w:tcPr>
            <w:tcW w:w="1029" w:type="dxa"/>
            <w:tcBorders>
              <w:top w:val="nil"/>
              <w:bottom w:val="nil"/>
            </w:tcBorders>
            <w:shd w:val="clear" w:color="auto" w:fill="FFFFFF"/>
            <w:vAlign w:val="center"/>
          </w:tcPr>
          <w:p w14:paraId="65E4444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,238</w:t>
            </w:r>
          </w:p>
        </w:tc>
        <w:tc>
          <w:tcPr>
            <w:tcW w:w="1476" w:type="dxa"/>
            <w:tcBorders>
              <w:top w:val="nil"/>
              <w:bottom w:val="nil"/>
            </w:tcBorders>
            <w:shd w:val="clear" w:color="auto" w:fill="FFFFFF"/>
            <w:vAlign w:val="center"/>
          </w:tcPr>
          <w:p w14:paraId="011D70D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-,254787042979378</w:t>
            </w:r>
          </w:p>
        </w:tc>
        <w:tc>
          <w:tcPr>
            <w:tcW w:w="1476" w:type="dxa"/>
            <w:tcBorders>
              <w:top w:val="nil"/>
              <w:bottom w:val="nil"/>
              <w:right w:val="single" w:sz="16" w:space="0" w:color="000000"/>
            </w:tcBorders>
            <w:shd w:val="clear" w:color="auto" w:fill="FFFFFF"/>
            <w:vAlign w:val="center"/>
          </w:tcPr>
          <w:p w14:paraId="617E3E9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,063357979484997</w:t>
            </w:r>
          </w:p>
        </w:tc>
      </w:tr>
      <w:tr w:rsidR="00661F34" w:rsidRPr="003F4802" w14:paraId="0953E3C2" w14:textId="77777777" w:rsidTr="008E59D3">
        <w:trPr>
          <w:cantSplit/>
        </w:trPr>
        <w:tc>
          <w:tcPr>
            <w:tcW w:w="1045" w:type="dxa"/>
            <w:vMerge/>
            <w:tcBorders>
              <w:top w:val="nil"/>
              <w:left w:val="single" w:sz="16" w:space="0" w:color="000000"/>
              <w:right w:val="nil"/>
            </w:tcBorders>
            <w:shd w:val="clear" w:color="auto" w:fill="FFFFFF"/>
          </w:tcPr>
          <w:p w14:paraId="44ED6F03"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63C8AE17"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24CB86B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-,003096367041569</w:t>
            </w:r>
          </w:p>
        </w:tc>
        <w:tc>
          <w:tcPr>
            <w:tcW w:w="1476" w:type="dxa"/>
            <w:tcBorders>
              <w:top w:val="nil"/>
              <w:bottom w:val="nil"/>
            </w:tcBorders>
            <w:shd w:val="clear" w:color="auto" w:fill="FFFFFF"/>
            <w:vAlign w:val="center"/>
          </w:tcPr>
          <w:p w14:paraId="2EFB021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,074104967243900</w:t>
            </w:r>
          </w:p>
        </w:tc>
        <w:tc>
          <w:tcPr>
            <w:tcW w:w="1029" w:type="dxa"/>
            <w:tcBorders>
              <w:top w:val="nil"/>
              <w:bottom w:val="nil"/>
            </w:tcBorders>
            <w:shd w:val="clear" w:color="auto" w:fill="FFFFFF"/>
            <w:vAlign w:val="center"/>
          </w:tcPr>
          <w:p w14:paraId="6E8B819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,967</w:t>
            </w:r>
          </w:p>
        </w:tc>
        <w:tc>
          <w:tcPr>
            <w:tcW w:w="1476" w:type="dxa"/>
            <w:tcBorders>
              <w:top w:val="nil"/>
              <w:bottom w:val="nil"/>
            </w:tcBorders>
            <w:shd w:val="clear" w:color="auto" w:fill="FFFFFF"/>
            <w:vAlign w:val="center"/>
          </w:tcPr>
          <w:p w14:paraId="78F6A2B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-,148375028941453</w:t>
            </w:r>
          </w:p>
        </w:tc>
        <w:tc>
          <w:tcPr>
            <w:tcW w:w="1476" w:type="dxa"/>
            <w:tcBorders>
              <w:top w:val="nil"/>
              <w:bottom w:val="nil"/>
              <w:right w:val="single" w:sz="16" w:space="0" w:color="000000"/>
            </w:tcBorders>
            <w:shd w:val="clear" w:color="auto" w:fill="FFFFFF"/>
            <w:vAlign w:val="center"/>
          </w:tcPr>
          <w:p w14:paraId="28CE31A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,142182294858315</w:t>
            </w:r>
          </w:p>
        </w:tc>
      </w:tr>
      <w:tr w:rsidR="00661F34" w:rsidRPr="003F4802" w14:paraId="2562BBB8" w14:textId="77777777" w:rsidTr="008E59D3">
        <w:trPr>
          <w:cantSplit/>
        </w:trPr>
        <w:tc>
          <w:tcPr>
            <w:tcW w:w="1045" w:type="dxa"/>
            <w:vMerge/>
            <w:tcBorders>
              <w:top w:val="nil"/>
              <w:left w:val="single" w:sz="16" w:space="0" w:color="000000"/>
              <w:right w:val="nil"/>
            </w:tcBorders>
            <w:shd w:val="clear" w:color="auto" w:fill="FFFFFF"/>
          </w:tcPr>
          <w:p w14:paraId="72554844"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CC23AC9"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5256020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-,000291241152972</w:t>
            </w:r>
          </w:p>
        </w:tc>
        <w:tc>
          <w:tcPr>
            <w:tcW w:w="1476" w:type="dxa"/>
            <w:tcBorders>
              <w:top w:val="nil"/>
              <w:bottom w:val="nil"/>
            </w:tcBorders>
            <w:shd w:val="clear" w:color="auto" w:fill="FFFFFF"/>
            <w:vAlign w:val="center"/>
          </w:tcPr>
          <w:p w14:paraId="48983AD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,069390682076874</w:t>
            </w:r>
          </w:p>
        </w:tc>
        <w:tc>
          <w:tcPr>
            <w:tcW w:w="1029" w:type="dxa"/>
            <w:tcBorders>
              <w:top w:val="nil"/>
              <w:bottom w:val="nil"/>
            </w:tcBorders>
            <w:shd w:val="clear" w:color="auto" w:fill="FFFFFF"/>
            <w:vAlign w:val="center"/>
          </w:tcPr>
          <w:p w14:paraId="1316B08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,997</w:t>
            </w:r>
          </w:p>
        </w:tc>
        <w:tc>
          <w:tcPr>
            <w:tcW w:w="1476" w:type="dxa"/>
            <w:tcBorders>
              <w:top w:val="nil"/>
              <w:bottom w:val="nil"/>
            </w:tcBorders>
            <w:shd w:val="clear" w:color="auto" w:fill="FFFFFF"/>
            <w:vAlign w:val="center"/>
          </w:tcPr>
          <w:p w14:paraId="687E59F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-,136327809488117</w:t>
            </w:r>
          </w:p>
        </w:tc>
        <w:tc>
          <w:tcPr>
            <w:tcW w:w="1476" w:type="dxa"/>
            <w:tcBorders>
              <w:top w:val="nil"/>
              <w:bottom w:val="nil"/>
              <w:right w:val="single" w:sz="16" w:space="0" w:color="000000"/>
            </w:tcBorders>
            <w:shd w:val="clear" w:color="auto" w:fill="FFFFFF"/>
            <w:vAlign w:val="center"/>
          </w:tcPr>
          <w:p w14:paraId="524E6AC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,135745327182173</w:t>
            </w:r>
          </w:p>
        </w:tc>
      </w:tr>
      <w:tr w:rsidR="00661F34" w:rsidRPr="003F4802" w14:paraId="76108243" w14:textId="77777777" w:rsidTr="008E59D3">
        <w:trPr>
          <w:cantSplit/>
        </w:trPr>
        <w:tc>
          <w:tcPr>
            <w:tcW w:w="1045" w:type="dxa"/>
            <w:vMerge/>
            <w:tcBorders>
              <w:top w:val="nil"/>
              <w:left w:val="single" w:sz="16" w:space="0" w:color="000000"/>
              <w:right w:val="nil"/>
            </w:tcBorders>
            <w:shd w:val="clear" w:color="auto" w:fill="FFFFFF"/>
          </w:tcPr>
          <w:p w14:paraId="57C84581"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91F4087"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7EFB4CA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-,083348254217154</w:t>
            </w:r>
          </w:p>
        </w:tc>
        <w:tc>
          <w:tcPr>
            <w:tcW w:w="1476" w:type="dxa"/>
            <w:tcBorders>
              <w:top w:val="nil"/>
              <w:bottom w:val="nil"/>
            </w:tcBorders>
            <w:shd w:val="clear" w:color="auto" w:fill="FFFFFF"/>
            <w:vAlign w:val="center"/>
          </w:tcPr>
          <w:p w14:paraId="09B8020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,068025502990995</w:t>
            </w:r>
          </w:p>
        </w:tc>
        <w:tc>
          <w:tcPr>
            <w:tcW w:w="1029" w:type="dxa"/>
            <w:tcBorders>
              <w:top w:val="nil"/>
              <w:bottom w:val="nil"/>
            </w:tcBorders>
            <w:shd w:val="clear" w:color="auto" w:fill="FFFFFF"/>
            <w:vAlign w:val="center"/>
          </w:tcPr>
          <w:p w14:paraId="73318C5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,221</w:t>
            </w:r>
          </w:p>
        </w:tc>
        <w:tc>
          <w:tcPr>
            <w:tcW w:w="1476" w:type="dxa"/>
            <w:tcBorders>
              <w:top w:val="nil"/>
              <w:bottom w:val="nil"/>
            </w:tcBorders>
            <w:shd w:val="clear" w:color="auto" w:fill="FFFFFF"/>
            <w:vAlign w:val="center"/>
          </w:tcPr>
          <w:p w14:paraId="4EE1FDB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-,216708464971607</w:t>
            </w:r>
          </w:p>
        </w:tc>
        <w:tc>
          <w:tcPr>
            <w:tcW w:w="1476" w:type="dxa"/>
            <w:tcBorders>
              <w:top w:val="nil"/>
              <w:bottom w:val="nil"/>
              <w:right w:val="single" w:sz="16" w:space="0" w:color="000000"/>
            </w:tcBorders>
            <w:shd w:val="clear" w:color="auto" w:fill="FFFFFF"/>
            <w:vAlign w:val="center"/>
          </w:tcPr>
          <w:p w14:paraId="4ECEFEC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,050011956537300</w:t>
            </w:r>
          </w:p>
        </w:tc>
      </w:tr>
      <w:tr w:rsidR="00661F34" w:rsidRPr="003F4802" w14:paraId="74848EB5" w14:textId="77777777" w:rsidTr="008E59D3">
        <w:trPr>
          <w:cantSplit/>
        </w:trPr>
        <w:tc>
          <w:tcPr>
            <w:tcW w:w="1045" w:type="dxa"/>
            <w:vMerge/>
            <w:tcBorders>
              <w:top w:val="nil"/>
              <w:left w:val="single" w:sz="16" w:space="0" w:color="000000"/>
              <w:right w:val="nil"/>
            </w:tcBorders>
            <w:shd w:val="clear" w:color="auto" w:fill="FFFFFF"/>
          </w:tcPr>
          <w:p w14:paraId="7262351B"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C9C34E2"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4FA5A77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-,053330182607771</w:t>
            </w:r>
          </w:p>
        </w:tc>
        <w:tc>
          <w:tcPr>
            <w:tcW w:w="1476" w:type="dxa"/>
            <w:tcBorders>
              <w:top w:val="nil"/>
              <w:bottom w:val="nil"/>
            </w:tcBorders>
            <w:shd w:val="clear" w:color="auto" w:fill="FFFFFF"/>
            <w:vAlign w:val="center"/>
          </w:tcPr>
          <w:p w14:paraId="2116EA4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,064247623784465</w:t>
            </w:r>
          </w:p>
        </w:tc>
        <w:tc>
          <w:tcPr>
            <w:tcW w:w="1029" w:type="dxa"/>
            <w:tcBorders>
              <w:top w:val="nil"/>
              <w:bottom w:val="nil"/>
            </w:tcBorders>
            <w:shd w:val="clear" w:color="auto" w:fill="FFFFFF"/>
            <w:vAlign w:val="center"/>
          </w:tcPr>
          <w:p w14:paraId="07279D4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,407</w:t>
            </w:r>
          </w:p>
        </w:tc>
        <w:tc>
          <w:tcPr>
            <w:tcW w:w="1476" w:type="dxa"/>
            <w:tcBorders>
              <w:top w:val="nil"/>
              <w:bottom w:val="nil"/>
            </w:tcBorders>
            <w:shd w:val="clear" w:color="auto" w:fill="FFFFFF"/>
            <w:vAlign w:val="center"/>
          </w:tcPr>
          <w:p w14:paraId="15C8CE8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-,179284071541209</w:t>
            </w:r>
          </w:p>
        </w:tc>
        <w:tc>
          <w:tcPr>
            <w:tcW w:w="1476" w:type="dxa"/>
            <w:tcBorders>
              <w:top w:val="nil"/>
              <w:bottom w:val="nil"/>
              <w:right w:val="single" w:sz="16" w:space="0" w:color="000000"/>
            </w:tcBorders>
            <w:shd w:val="clear" w:color="auto" w:fill="FFFFFF"/>
            <w:vAlign w:val="center"/>
          </w:tcPr>
          <w:p w14:paraId="53A8244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,072623706325666</w:t>
            </w:r>
          </w:p>
        </w:tc>
      </w:tr>
      <w:tr w:rsidR="00661F34" w:rsidRPr="003F4802" w14:paraId="148AC959" w14:textId="77777777" w:rsidTr="008E59D3">
        <w:trPr>
          <w:cantSplit/>
        </w:trPr>
        <w:tc>
          <w:tcPr>
            <w:tcW w:w="1045" w:type="dxa"/>
            <w:vMerge/>
            <w:tcBorders>
              <w:top w:val="nil"/>
              <w:left w:val="single" w:sz="16" w:space="0" w:color="000000"/>
              <w:right w:val="nil"/>
            </w:tcBorders>
            <w:shd w:val="clear" w:color="auto" w:fill="FFFFFF"/>
          </w:tcPr>
          <w:p w14:paraId="1C63AA92"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6935D69"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4E734BB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,014799446153382</w:t>
            </w:r>
          </w:p>
        </w:tc>
        <w:tc>
          <w:tcPr>
            <w:tcW w:w="1476" w:type="dxa"/>
            <w:tcBorders>
              <w:top w:val="nil"/>
              <w:bottom w:val="nil"/>
            </w:tcBorders>
            <w:shd w:val="clear" w:color="auto" w:fill="FFFFFF"/>
            <w:vAlign w:val="center"/>
          </w:tcPr>
          <w:p w14:paraId="382CFC7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,065079748677742</w:t>
            </w:r>
          </w:p>
        </w:tc>
        <w:tc>
          <w:tcPr>
            <w:tcW w:w="1029" w:type="dxa"/>
            <w:tcBorders>
              <w:top w:val="nil"/>
              <w:bottom w:val="nil"/>
            </w:tcBorders>
            <w:shd w:val="clear" w:color="auto" w:fill="FFFFFF"/>
            <w:vAlign w:val="center"/>
          </w:tcPr>
          <w:p w14:paraId="30DDDED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,820</w:t>
            </w:r>
          </w:p>
        </w:tc>
        <w:tc>
          <w:tcPr>
            <w:tcW w:w="1476" w:type="dxa"/>
            <w:tcBorders>
              <w:top w:val="nil"/>
              <w:bottom w:val="nil"/>
            </w:tcBorders>
            <w:shd w:val="clear" w:color="auto" w:fill="FFFFFF"/>
            <w:vAlign w:val="center"/>
          </w:tcPr>
          <w:p w14:paraId="4ABA726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-,112785777298174</w:t>
            </w:r>
          </w:p>
        </w:tc>
        <w:tc>
          <w:tcPr>
            <w:tcW w:w="1476" w:type="dxa"/>
            <w:tcBorders>
              <w:top w:val="nil"/>
              <w:bottom w:val="nil"/>
              <w:right w:val="single" w:sz="16" w:space="0" w:color="000000"/>
            </w:tcBorders>
            <w:shd w:val="clear" w:color="auto" w:fill="FFFFFF"/>
            <w:vAlign w:val="center"/>
          </w:tcPr>
          <w:p w14:paraId="6DC4089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,142384669604937</w:t>
            </w:r>
          </w:p>
        </w:tc>
      </w:tr>
      <w:tr w:rsidR="00661F34" w:rsidRPr="003F4802" w14:paraId="14B6E436" w14:textId="77777777" w:rsidTr="008E59D3">
        <w:trPr>
          <w:cantSplit/>
        </w:trPr>
        <w:tc>
          <w:tcPr>
            <w:tcW w:w="1045" w:type="dxa"/>
            <w:vMerge/>
            <w:tcBorders>
              <w:top w:val="nil"/>
              <w:left w:val="single" w:sz="16" w:space="0" w:color="000000"/>
              <w:right w:val="nil"/>
            </w:tcBorders>
            <w:shd w:val="clear" w:color="auto" w:fill="FFFFFF"/>
          </w:tcPr>
          <w:p w14:paraId="2B5B273C"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right w:val="single" w:sz="16" w:space="0" w:color="000000"/>
            </w:tcBorders>
            <w:shd w:val="clear" w:color="auto" w:fill="FFFFFF"/>
          </w:tcPr>
          <w:p w14:paraId="62FD02B6"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1F5DD8C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-,102895804708572</w:t>
            </w:r>
          </w:p>
        </w:tc>
        <w:tc>
          <w:tcPr>
            <w:tcW w:w="1476" w:type="dxa"/>
            <w:tcBorders>
              <w:top w:val="nil"/>
            </w:tcBorders>
            <w:shd w:val="clear" w:color="auto" w:fill="FFFFFF"/>
            <w:vAlign w:val="center"/>
          </w:tcPr>
          <w:p w14:paraId="6E515FB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,053150832463634</w:t>
            </w:r>
          </w:p>
        </w:tc>
        <w:tc>
          <w:tcPr>
            <w:tcW w:w="1029" w:type="dxa"/>
            <w:tcBorders>
              <w:top w:val="nil"/>
            </w:tcBorders>
            <w:shd w:val="clear" w:color="auto" w:fill="FFFFFF"/>
            <w:vAlign w:val="center"/>
          </w:tcPr>
          <w:p w14:paraId="42D2F0F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w:t>
            </w:r>
          </w:p>
        </w:tc>
        <w:tc>
          <w:tcPr>
            <w:tcW w:w="1476" w:type="dxa"/>
            <w:tcBorders>
              <w:top w:val="nil"/>
            </w:tcBorders>
            <w:shd w:val="clear" w:color="auto" w:fill="FFFFFF"/>
            <w:vAlign w:val="center"/>
          </w:tcPr>
          <w:p w14:paraId="3173E23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-,207095052159386</w:t>
            </w:r>
          </w:p>
        </w:tc>
        <w:tc>
          <w:tcPr>
            <w:tcW w:w="1476" w:type="dxa"/>
            <w:tcBorders>
              <w:top w:val="nil"/>
              <w:right w:val="single" w:sz="16" w:space="0" w:color="000000"/>
            </w:tcBorders>
            <w:shd w:val="clear" w:color="auto" w:fill="FFFFFF"/>
            <w:vAlign w:val="center"/>
          </w:tcPr>
          <w:p w14:paraId="45BA3CA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,001303442742242</w:t>
            </w:r>
          </w:p>
        </w:tc>
      </w:tr>
      <w:tr w:rsidR="00661F34" w:rsidRPr="003F4802" w14:paraId="5AA22926" w14:textId="77777777" w:rsidTr="008E59D3">
        <w:trPr>
          <w:cantSplit/>
        </w:trPr>
        <w:tc>
          <w:tcPr>
            <w:tcW w:w="1045" w:type="dxa"/>
            <w:vMerge w:val="restart"/>
            <w:tcBorders>
              <w:top w:val="nil"/>
              <w:left w:val="single" w:sz="16" w:space="0" w:color="000000"/>
              <w:right w:val="nil"/>
            </w:tcBorders>
            <w:shd w:val="clear" w:color="auto" w:fill="FFFFFF"/>
          </w:tcPr>
          <w:p w14:paraId="475DAEE7"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091" w:type="dxa"/>
            <w:tcBorders>
              <w:top w:val="nil"/>
              <w:left w:val="nil"/>
              <w:bottom w:val="nil"/>
              <w:right w:val="single" w:sz="16" w:space="0" w:color="000000"/>
            </w:tcBorders>
            <w:shd w:val="clear" w:color="auto" w:fill="FFFFFF"/>
          </w:tcPr>
          <w:p w14:paraId="700BB21A"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0BBC75A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-,031831773258399</w:t>
            </w:r>
          </w:p>
        </w:tc>
        <w:tc>
          <w:tcPr>
            <w:tcW w:w="1476" w:type="dxa"/>
            <w:tcBorders>
              <w:top w:val="nil"/>
              <w:bottom w:val="nil"/>
            </w:tcBorders>
            <w:shd w:val="clear" w:color="auto" w:fill="FFFFFF"/>
            <w:vAlign w:val="center"/>
          </w:tcPr>
          <w:p w14:paraId="57FA31D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,063711569963112</w:t>
            </w:r>
          </w:p>
        </w:tc>
        <w:tc>
          <w:tcPr>
            <w:tcW w:w="1029" w:type="dxa"/>
            <w:tcBorders>
              <w:top w:val="nil"/>
              <w:bottom w:val="nil"/>
            </w:tcBorders>
            <w:shd w:val="clear" w:color="auto" w:fill="FFFFFF"/>
            <w:vAlign w:val="center"/>
          </w:tcPr>
          <w:p w14:paraId="34575C2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,617</w:t>
            </w:r>
          </w:p>
        </w:tc>
        <w:tc>
          <w:tcPr>
            <w:tcW w:w="1476" w:type="dxa"/>
            <w:tcBorders>
              <w:top w:val="nil"/>
              <w:bottom w:val="nil"/>
            </w:tcBorders>
            <w:shd w:val="clear" w:color="auto" w:fill="FFFFFF"/>
            <w:vAlign w:val="center"/>
          </w:tcPr>
          <w:p w14:paraId="1677037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-,156734758524122</w:t>
            </w:r>
          </w:p>
        </w:tc>
        <w:tc>
          <w:tcPr>
            <w:tcW w:w="1476" w:type="dxa"/>
            <w:tcBorders>
              <w:top w:val="nil"/>
              <w:bottom w:val="nil"/>
              <w:right w:val="single" w:sz="16" w:space="0" w:color="000000"/>
            </w:tcBorders>
            <w:shd w:val="clear" w:color="auto" w:fill="FFFFFF"/>
            <w:vAlign w:val="center"/>
          </w:tcPr>
          <w:p w14:paraId="6ECD722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,093071212007325</w:t>
            </w:r>
          </w:p>
        </w:tc>
      </w:tr>
      <w:tr w:rsidR="00661F34" w:rsidRPr="003F4802" w14:paraId="7A392F68" w14:textId="77777777" w:rsidTr="008E59D3">
        <w:trPr>
          <w:cantSplit/>
        </w:trPr>
        <w:tc>
          <w:tcPr>
            <w:tcW w:w="1045" w:type="dxa"/>
            <w:vMerge/>
            <w:tcBorders>
              <w:top w:val="nil"/>
              <w:left w:val="single" w:sz="16" w:space="0" w:color="000000"/>
              <w:right w:val="nil"/>
            </w:tcBorders>
            <w:shd w:val="clear" w:color="auto" w:fill="FFFFFF"/>
          </w:tcPr>
          <w:p w14:paraId="1A1179F0"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2B7FAB9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5BE619D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,045230070460940</w:t>
            </w:r>
          </w:p>
        </w:tc>
        <w:tc>
          <w:tcPr>
            <w:tcW w:w="1476" w:type="dxa"/>
            <w:tcBorders>
              <w:top w:val="nil"/>
              <w:bottom w:val="nil"/>
            </w:tcBorders>
            <w:shd w:val="clear" w:color="auto" w:fill="FFFFFF"/>
            <w:vAlign w:val="center"/>
          </w:tcPr>
          <w:p w14:paraId="257B2FF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,083615973130257</w:t>
            </w:r>
          </w:p>
        </w:tc>
        <w:tc>
          <w:tcPr>
            <w:tcW w:w="1029" w:type="dxa"/>
            <w:tcBorders>
              <w:top w:val="nil"/>
              <w:bottom w:val="nil"/>
            </w:tcBorders>
            <w:shd w:val="clear" w:color="auto" w:fill="FFFFFF"/>
            <w:vAlign w:val="center"/>
          </w:tcPr>
          <w:p w14:paraId="01EBFA2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,589</w:t>
            </w:r>
          </w:p>
        </w:tc>
        <w:tc>
          <w:tcPr>
            <w:tcW w:w="1476" w:type="dxa"/>
            <w:tcBorders>
              <w:top w:val="nil"/>
              <w:bottom w:val="nil"/>
            </w:tcBorders>
            <w:shd w:val="clear" w:color="auto" w:fill="FFFFFF"/>
            <w:vAlign w:val="center"/>
          </w:tcPr>
          <w:p w14:paraId="54E8D22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-,118694388878463</w:t>
            </w:r>
          </w:p>
        </w:tc>
        <w:tc>
          <w:tcPr>
            <w:tcW w:w="1476" w:type="dxa"/>
            <w:tcBorders>
              <w:top w:val="nil"/>
              <w:bottom w:val="nil"/>
              <w:right w:val="single" w:sz="16" w:space="0" w:color="000000"/>
            </w:tcBorders>
            <w:shd w:val="clear" w:color="auto" w:fill="FFFFFF"/>
            <w:vAlign w:val="center"/>
          </w:tcPr>
          <w:p w14:paraId="02D32B8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,209154529800343</w:t>
            </w:r>
          </w:p>
        </w:tc>
      </w:tr>
      <w:tr w:rsidR="00661F34" w:rsidRPr="003F4802" w14:paraId="061BB4CB" w14:textId="77777777" w:rsidTr="008E59D3">
        <w:trPr>
          <w:cantSplit/>
        </w:trPr>
        <w:tc>
          <w:tcPr>
            <w:tcW w:w="1045" w:type="dxa"/>
            <w:vMerge/>
            <w:tcBorders>
              <w:top w:val="nil"/>
              <w:left w:val="single" w:sz="16" w:space="0" w:color="000000"/>
              <w:right w:val="nil"/>
            </w:tcBorders>
            <w:shd w:val="clear" w:color="auto" w:fill="FFFFFF"/>
          </w:tcPr>
          <w:p w14:paraId="7EDC9B6C"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0436BB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6587C0C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-,042384349139419</w:t>
            </w:r>
          </w:p>
        </w:tc>
        <w:tc>
          <w:tcPr>
            <w:tcW w:w="1476" w:type="dxa"/>
            <w:tcBorders>
              <w:top w:val="nil"/>
              <w:bottom w:val="nil"/>
            </w:tcBorders>
            <w:shd w:val="clear" w:color="auto" w:fill="FFFFFF"/>
            <w:vAlign w:val="center"/>
          </w:tcPr>
          <w:p w14:paraId="23FAFA1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,079262085987316</w:t>
            </w:r>
          </w:p>
        </w:tc>
        <w:tc>
          <w:tcPr>
            <w:tcW w:w="1029" w:type="dxa"/>
            <w:tcBorders>
              <w:top w:val="nil"/>
              <w:bottom w:val="nil"/>
            </w:tcBorders>
            <w:shd w:val="clear" w:color="auto" w:fill="FFFFFF"/>
            <w:vAlign w:val="center"/>
          </w:tcPr>
          <w:p w14:paraId="6E592AD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,593</w:t>
            </w:r>
          </w:p>
        </w:tc>
        <w:tc>
          <w:tcPr>
            <w:tcW w:w="1476" w:type="dxa"/>
            <w:tcBorders>
              <w:top w:val="nil"/>
              <w:bottom w:val="nil"/>
            </w:tcBorders>
            <w:shd w:val="clear" w:color="auto" w:fill="FFFFFF"/>
            <w:vAlign w:val="center"/>
          </w:tcPr>
          <w:p w14:paraId="6DCDFFF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-,197773255172284</w:t>
            </w:r>
          </w:p>
        </w:tc>
        <w:tc>
          <w:tcPr>
            <w:tcW w:w="1476" w:type="dxa"/>
            <w:tcBorders>
              <w:top w:val="nil"/>
              <w:bottom w:val="nil"/>
              <w:right w:val="single" w:sz="16" w:space="0" w:color="000000"/>
            </w:tcBorders>
            <w:shd w:val="clear" w:color="auto" w:fill="FFFFFF"/>
            <w:vAlign w:val="center"/>
          </w:tcPr>
          <w:p w14:paraId="12E213B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,113004556893446</w:t>
            </w:r>
          </w:p>
        </w:tc>
      </w:tr>
      <w:tr w:rsidR="00661F34" w:rsidRPr="003F4802" w14:paraId="41FF81E5" w14:textId="77777777" w:rsidTr="008E59D3">
        <w:trPr>
          <w:cantSplit/>
        </w:trPr>
        <w:tc>
          <w:tcPr>
            <w:tcW w:w="1045" w:type="dxa"/>
            <w:vMerge/>
            <w:tcBorders>
              <w:top w:val="nil"/>
              <w:left w:val="single" w:sz="16" w:space="0" w:color="000000"/>
              <w:right w:val="nil"/>
            </w:tcBorders>
            <w:shd w:val="clear" w:color="auto" w:fill="FFFFFF"/>
          </w:tcPr>
          <w:p w14:paraId="6FF38AA3"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6D1A8693"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2DA99CE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,050233815566202</w:t>
            </w:r>
          </w:p>
        </w:tc>
        <w:tc>
          <w:tcPr>
            <w:tcW w:w="1476" w:type="dxa"/>
            <w:tcBorders>
              <w:top w:val="nil"/>
              <w:bottom w:val="nil"/>
            </w:tcBorders>
            <w:shd w:val="clear" w:color="auto" w:fill="FFFFFF"/>
            <w:vAlign w:val="center"/>
          </w:tcPr>
          <w:p w14:paraId="5EF437B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,072042726055044</w:t>
            </w:r>
          </w:p>
        </w:tc>
        <w:tc>
          <w:tcPr>
            <w:tcW w:w="1029" w:type="dxa"/>
            <w:tcBorders>
              <w:top w:val="nil"/>
              <w:bottom w:val="nil"/>
            </w:tcBorders>
            <w:shd w:val="clear" w:color="auto" w:fill="FFFFFF"/>
            <w:vAlign w:val="center"/>
          </w:tcPr>
          <w:p w14:paraId="5A0AF28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,486</w:t>
            </w:r>
          </w:p>
        </w:tc>
        <w:tc>
          <w:tcPr>
            <w:tcW w:w="1476" w:type="dxa"/>
            <w:tcBorders>
              <w:top w:val="nil"/>
              <w:bottom w:val="nil"/>
            </w:tcBorders>
            <w:shd w:val="clear" w:color="auto" w:fill="FFFFFF"/>
            <w:vAlign w:val="center"/>
          </w:tcPr>
          <w:p w14:paraId="7106E69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-,091001937314564</w:t>
            </w:r>
          </w:p>
        </w:tc>
        <w:tc>
          <w:tcPr>
            <w:tcW w:w="1476" w:type="dxa"/>
            <w:tcBorders>
              <w:top w:val="nil"/>
              <w:bottom w:val="nil"/>
              <w:right w:val="single" w:sz="16" w:space="0" w:color="000000"/>
            </w:tcBorders>
            <w:shd w:val="clear" w:color="auto" w:fill="FFFFFF"/>
            <w:vAlign w:val="center"/>
          </w:tcPr>
          <w:p w14:paraId="30C99FA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,191469568446969</w:t>
            </w:r>
          </w:p>
        </w:tc>
      </w:tr>
      <w:tr w:rsidR="00661F34" w:rsidRPr="003F4802" w14:paraId="4741C76B" w14:textId="77777777" w:rsidTr="008E59D3">
        <w:trPr>
          <w:cantSplit/>
        </w:trPr>
        <w:tc>
          <w:tcPr>
            <w:tcW w:w="1045" w:type="dxa"/>
            <w:vMerge/>
            <w:tcBorders>
              <w:top w:val="nil"/>
              <w:left w:val="single" w:sz="16" w:space="0" w:color="000000"/>
              <w:right w:val="nil"/>
            </w:tcBorders>
            <w:shd w:val="clear" w:color="auto" w:fill="FFFFFF"/>
          </w:tcPr>
          <w:p w14:paraId="02270410"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2DD3936F"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28CBD6F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,053038941454799</w:t>
            </w:r>
          </w:p>
        </w:tc>
        <w:tc>
          <w:tcPr>
            <w:tcW w:w="1476" w:type="dxa"/>
            <w:tcBorders>
              <w:top w:val="nil"/>
              <w:bottom w:val="nil"/>
            </w:tcBorders>
            <w:shd w:val="clear" w:color="auto" w:fill="FFFFFF"/>
            <w:vAlign w:val="center"/>
          </w:tcPr>
          <w:p w14:paraId="2F02200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,067183889187189</w:t>
            </w:r>
          </w:p>
        </w:tc>
        <w:tc>
          <w:tcPr>
            <w:tcW w:w="1029" w:type="dxa"/>
            <w:tcBorders>
              <w:top w:val="nil"/>
              <w:bottom w:val="nil"/>
            </w:tcBorders>
            <w:shd w:val="clear" w:color="auto" w:fill="FFFFFF"/>
            <w:vAlign w:val="center"/>
          </w:tcPr>
          <w:p w14:paraId="7F92F6F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,430</w:t>
            </w:r>
          </w:p>
        </w:tc>
        <w:tc>
          <w:tcPr>
            <w:tcW w:w="1476" w:type="dxa"/>
            <w:tcBorders>
              <w:top w:val="nil"/>
              <w:bottom w:val="nil"/>
            </w:tcBorders>
            <w:shd w:val="clear" w:color="auto" w:fill="FFFFFF"/>
            <w:vAlign w:val="center"/>
          </w:tcPr>
          <w:p w14:paraId="441966C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-,078671332300815</w:t>
            </w:r>
          </w:p>
        </w:tc>
        <w:tc>
          <w:tcPr>
            <w:tcW w:w="1476" w:type="dxa"/>
            <w:tcBorders>
              <w:top w:val="nil"/>
              <w:bottom w:val="nil"/>
              <w:right w:val="single" w:sz="16" w:space="0" w:color="000000"/>
            </w:tcBorders>
            <w:shd w:val="clear" w:color="auto" w:fill="FFFFFF"/>
            <w:vAlign w:val="center"/>
          </w:tcPr>
          <w:p w14:paraId="1D89B71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,184749215210414</w:t>
            </w:r>
          </w:p>
        </w:tc>
      </w:tr>
      <w:tr w:rsidR="00661F34" w:rsidRPr="003F4802" w14:paraId="55F3EC43" w14:textId="77777777" w:rsidTr="008E59D3">
        <w:trPr>
          <w:cantSplit/>
        </w:trPr>
        <w:tc>
          <w:tcPr>
            <w:tcW w:w="1045" w:type="dxa"/>
            <w:vMerge/>
            <w:tcBorders>
              <w:top w:val="nil"/>
              <w:left w:val="single" w:sz="16" w:space="0" w:color="000000"/>
              <w:right w:val="nil"/>
            </w:tcBorders>
            <w:shd w:val="clear" w:color="auto" w:fill="FFFFFF"/>
          </w:tcPr>
          <w:p w14:paraId="418C3A73"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BAB1ACE"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2E30203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-,030018071609382</w:t>
            </w:r>
          </w:p>
        </w:tc>
        <w:tc>
          <w:tcPr>
            <w:tcW w:w="1476" w:type="dxa"/>
            <w:tcBorders>
              <w:top w:val="nil"/>
              <w:bottom w:val="nil"/>
            </w:tcBorders>
            <w:shd w:val="clear" w:color="auto" w:fill="FFFFFF"/>
            <w:vAlign w:val="center"/>
          </w:tcPr>
          <w:p w14:paraId="074F92A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,065772921969459</w:t>
            </w:r>
          </w:p>
        </w:tc>
        <w:tc>
          <w:tcPr>
            <w:tcW w:w="1029" w:type="dxa"/>
            <w:tcBorders>
              <w:top w:val="nil"/>
              <w:bottom w:val="nil"/>
            </w:tcBorders>
            <w:shd w:val="clear" w:color="auto" w:fill="FFFFFF"/>
            <w:vAlign w:val="center"/>
          </w:tcPr>
          <w:p w14:paraId="12B8DF0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,648</w:t>
            </w:r>
          </w:p>
        </w:tc>
        <w:tc>
          <w:tcPr>
            <w:tcW w:w="1476" w:type="dxa"/>
            <w:tcBorders>
              <w:top w:val="nil"/>
              <w:bottom w:val="nil"/>
            </w:tcBorders>
            <w:shd w:val="clear" w:color="auto" w:fill="FFFFFF"/>
            <w:vAlign w:val="center"/>
          </w:tcPr>
          <w:p w14:paraId="59505C9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-,158962222701429</w:t>
            </w:r>
          </w:p>
        </w:tc>
        <w:tc>
          <w:tcPr>
            <w:tcW w:w="1476" w:type="dxa"/>
            <w:tcBorders>
              <w:top w:val="nil"/>
              <w:bottom w:val="nil"/>
              <w:right w:val="single" w:sz="16" w:space="0" w:color="000000"/>
            </w:tcBorders>
            <w:shd w:val="clear" w:color="auto" w:fill="FFFFFF"/>
            <w:vAlign w:val="center"/>
          </w:tcPr>
          <w:p w14:paraId="7AFCF94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,098926079482664</w:t>
            </w:r>
          </w:p>
        </w:tc>
      </w:tr>
      <w:tr w:rsidR="00661F34" w:rsidRPr="003F4802" w14:paraId="2E3A5F0E" w14:textId="77777777" w:rsidTr="008E59D3">
        <w:trPr>
          <w:cantSplit/>
        </w:trPr>
        <w:tc>
          <w:tcPr>
            <w:tcW w:w="1045" w:type="dxa"/>
            <w:vMerge/>
            <w:tcBorders>
              <w:top w:val="nil"/>
              <w:left w:val="single" w:sz="16" w:space="0" w:color="000000"/>
              <w:right w:val="nil"/>
            </w:tcBorders>
            <w:shd w:val="clear" w:color="auto" w:fill="FFFFFF"/>
          </w:tcPr>
          <w:p w14:paraId="09BBADAB"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00023F1C"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713BBB4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,053330182607771</w:t>
            </w:r>
          </w:p>
        </w:tc>
        <w:tc>
          <w:tcPr>
            <w:tcW w:w="1476" w:type="dxa"/>
            <w:tcBorders>
              <w:top w:val="nil"/>
              <w:bottom w:val="nil"/>
            </w:tcBorders>
            <w:shd w:val="clear" w:color="auto" w:fill="FFFFFF"/>
            <w:vAlign w:val="center"/>
          </w:tcPr>
          <w:p w14:paraId="1B8DB10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,064247623784465</w:t>
            </w:r>
          </w:p>
        </w:tc>
        <w:tc>
          <w:tcPr>
            <w:tcW w:w="1029" w:type="dxa"/>
            <w:tcBorders>
              <w:top w:val="nil"/>
              <w:bottom w:val="nil"/>
            </w:tcBorders>
            <w:shd w:val="clear" w:color="auto" w:fill="FFFFFF"/>
            <w:vAlign w:val="center"/>
          </w:tcPr>
          <w:p w14:paraId="25CC129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,407</w:t>
            </w:r>
          </w:p>
        </w:tc>
        <w:tc>
          <w:tcPr>
            <w:tcW w:w="1476" w:type="dxa"/>
            <w:tcBorders>
              <w:top w:val="nil"/>
              <w:bottom w:val="nil"/>
            </w:tcBorders>
            <w:shd w:val="clear" w:color="auto" w:fill="FFFFFF"/>
            <w:vAlign w:val="center"/>
          </w:tcPr>
          <w:p w14:paraId="20F2BAB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-,072623706325666</w:t>
            </w:r>
          </w:p>
        </w:tc>
        <w:tc>
          <w:tcPr>
            <w:tcW w:w="1476" w:type="dxa"/>
            <w:tcBorders>
              <w:top w:val="nil"/>
              <w:bottom w:val="nil"/>
              <w:right w:val="single" w:sz="16" w:space="0" w:color="000000"/>
            </w:tcBorders>
            <w:shd w:val="clear" w:color="auto" w:fill="FFFFFF"/>
            <w:vAlign w:val="center"/>
          </w:tcPr>
          <w:p w14:paraId="1AF1183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,179284071541209</w:t>
            </w:r>
          </w:p>
        </w:tc>
      </w:tr>
      <w:tr w:rsidR="00661F34" w:rsidRPr="003F4802" w14:paraId="1AD8522C" w14:textId="77777777" w:rsidTr="008E59D3">
        <w:trPr>
          <w:cantSplit/>
        </w:trPr>
        <w:tc>
          <w:tcPr>
            <w:tcW w:w="1045" w:type="dxa"/>
            <w:vMerge/>
            <w:tcBorders>
              <w:top w:val="nil"/>
              <w:left w:val="single" w:sz="16" w:space="0" w:color="000000"/>
              <w:right w:val="nil"/>
            </w:tcBorders>
            <w:shd w:val="clear" w:color="auto" w:fill="FFFFFF"/>
          </w:tcPr>
          <w:p w14:paraId="105D5F99"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69293D4E"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476" w:type="dxa"/>
            <w:tcBorders>
              <w:top w:val="nil"/>
              <w:left w:val="single" w:sz="16" w:space="0" w:color="000000"/>
              <w:bottom w:val="nil"/>
            </w:tcBorders>
            <w:shd w:val="clear" w:color="auto" w:fill="FFFFFF"/>
            <w:vAlign w:val="center"/>
          </w:tcPr>
          <w:p w14:paraId="6E21D98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,068129628761153</w:t>
            </w:r>
          </w:p>
        </w:tc>
        <w:tc>
          <w:tcPr>
            <w:tcW w:w="1476" w:type="dxa"/>
            <w:tcBorders>
              <w:top w:val="nil"/>
              <w:bottom w:val="nil"/>
            </w:tcBorders>
            <w:shd w:val="clear" w:color="auto" w:fill="FFFFFF"/>
            <w:vAlign w:val="center"/>
          </w:tcPr>
          <w:p w14:paraId="23A354C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,062721462795289</w:t>
            </w:r>
          </w:p>
        </w:tc>
        <w:tc>
          <w:tcPr>
            <w:tcW w:w="1029" w:type="dxa"/>
            <w:tcBorders>
              <w:top w:val="nil"/>
              <w:bottom w:val="nil"/>
            </w:tcBorders>
            <w:shd w:val="clear" w:color="auto" w:fill="FFFFFF"/>
            <w:vAlign w:val="center"/>
          </w:tcPr>
          <w:p w14:paraId="4BF93C6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,277</w:t>
            </w:r>
          </w:p>
        </w:tc>
        <w:tc>
          <w:tcPr>
            <w:tcW w:w="1476" w:type="dxa"/>
            <w:tcBorders>
              <w:top w:val="nil"/>
              <w:bottom w:val="nil"/>
            </w:tcBorders>
            <w:shd w:val="clear" w:color="auto" w:fill="FFFFFF"/>
            <w:vAlign w:val="center"/>
          </w:tcPr>
          <w:p w14:paraId="338E0B0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-,054832306534122</w:t>
            </w:r>
          </w:p>
        </w:tc>
        <w:tc>
          <w:tcPr>
            <w:tcW w:w="1476" w:type="dxa"/>
            <w:tcBorders>
              <w:top w:val="nil"/>
              <w:bottom w:val="nil"/>
              <w:right w:val="single" w:sz="16" w:space="0" w:color="000000"/>
            </w:tcBorders>
            <w:shd w:val="clear" w:color="auto" w:fill="FFFFFF"/>
            <w:vAlign w:val="center"/>
          </w:tcPr>
          <w:p w14:paraId="6B4A422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,191091564056428</w:t>
            </w:r>
          </w:p>
        </w:tc>
      </w:tr>
      <w:tr w:rsidR="00661F34" w:rsidRPr="003F4802" w14:paraId="21D6DFE7" w14:textId="77777777" w:rsidTr="008E59D3">
        <w:trPr>
          <w:cantSplit/>
        </w:trPr>
        <w:tc>
          <w:tcPr>
            <w:tcW w:w="1045" w:type="dxa"/>
            <w:vMerge/>
            <w:tcBorders>
              <w:top w:val="nil"/>
              <w:left w:val="single" w:sz="16" w:space="0" w:color="000000"/>
              <w:right w:val="nil"/>
            </w:tcBorders>
            <w:shd w:val="clear" w:color="auto" w:fill="FFFFFF"/>
          </w:tcPr>
          <w:p w14:paraId="77D51575"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right w:val="single" w:sz="16" w:space="0" w:color="000000"/>
            </w:tcBorders>
            <w:shd w:val="clear" w:color="auto" w:fill="FFFFFF"/>
          </w:tcPr>
          <w:p w14:paraId="44A5218A"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0E0484A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-,049565622100801</w:t>
            </w:r>
          </w:p>
        </w:tc>
        <w:tc>
          <w:tcPr>
            <w:tcW w:w="1476" w:type="dxa"/>
            <w:tcBorders>
              <w:top w:val="nil"/>
            </w:tcBorders>
            <w:shd w:val="clear" w:color="auto" w:fill="FFFFFF"/>
            <w:vAlign w:val="center"/>
          </w:tcPr>
          <w:p w14:paraId="5E6296A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,050235636741261</w:t>
            </w:r>
          </w:p>
        </w:tc>
        <w:tc>
          <w:tcPr>
            <w:tcW w:w="1029" w:type="dxa"/>
            <w:tcBorders>
              <w:top w:val="nil"/>
            </w:tcBorders>
            <w:shd w:val="clear" w:color="auto" w:fill="FFFFFF"/>
            <w:vAlign w:val="center"/>
          </w:tcPr>
          <w:p w14:paraId="073A21D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,324</w:t>
            </w:r>
          </w:p>
        </w:tc>
        <w:tc>
          <w:tcPr>
            <w:tcW w:w="1476" w:type="dxa"/>
            <w:tcBorders>
              <w:top w:val="nil"/>
            </w:tcBorders>
            <w:shd w:val="clear" w:color="auto" w:fill="FFFFFF"/>
            <w:vAlign w:val="center"/>
          </w:tcPr>
          <w:p w14:paraId="5C301BA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-,148049790664546</w:t>
            </w:r>
          </w:p>
        </w:tc>
        <w:tc>
          <w:tcPr>
            <w:tcW w:w="1476" w:type="dxa"/>
            <w:tcBorders>
              <w:top w:val="nil"/>
              <w:right w:val="single" w:sz="16" w:space="0" w:color="000000"/>
            </w:tcBorders>
            <w:shd w:val="clear" w:color="auto" w:fill="FFFFFF"/>
            <w:vAlign w:val="center"/>
          </w:tcPr>
          <w:p w14:paraId="3CA1AF8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,048918546462945</w:t>
            </w:r>
          </w:p>
        </w:tc>
      </w:tr>
      <w:tr w:rsidR="00661F34" w:rsidRPr="003F4802" w14:paraId="675C3726" w14:textId="77777777" w:rsidTr="008E59D3">
        <w:trPr>
          <w:cantSplit/>
        </w:trPr>
        <w:tc>
          <w:tcPr>
            <w:tcW w:w="1045" w:type="dxa"/>
            <w:vMerge w:val="restart"/>
            <w:tcBorders>
              <w:top w:val="nil"/>
              <w:left w:val="single" w:sz="16" w:space="0" w:color="000000"/>
              <w:right w:val="nil"/>
            </w:tcBorders>
            <w:shd w:val="clear" w:color="auto" w:fill="FFFFFF"/>
          </w:tcPr>
          <w:p w14:paraId="4B5853F2"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091" w:type="dxa"/>
            <w:tcBorders>
              <w:top w:val="nil"/>
              <w:left w:val="nil"/>
              <w:bottom w:val="nil"/>
              <w:right w:val="single" w:sz="16" w:space="0" w:color="000000"/>
            </w:tcBorders>
            <w:shd w:val="clear" w:color="auto" w:fill="FFFFFF"/>
          </w:tcPr>
          <w:p w14:paraId="1699392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0F31E5D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-,099961402019552</w:t>
            </w:r>
          </w:p>
        </w:tc>
        <w:tc>
          <w:tcPr>
            <w:tcW w:w="1476" w:type="dxa"/>
            <w:tcBorders>
              <w:top w:val="nil"/>
              <w:bottom w:val="nil"/>
            </w:tcBorders>
            <w:shd w:val="clear" w:color="auto" w:fill="FFFFFF"/>
            <w:vAlign w:val="center"/>
          </w:tcPr>
          <w:p w14:paraId="084AE85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,064550605521346</w:t>
            </w:r>
          </w:p>
        </w:tc>
        <w:tc>
          <w:tcPr>
            <w:tcW w:w="1029" w:type="dxa"/>
            <w:tcBorders>
              <w:top w:val="nil"/>
              <w:bottom w:val="nil"/>
            </w:tcBorders>
            <w:shd w:val="clear" w:color="auto" w:fill="FFFFFF"/>
            <w:vAlign w:val="center"/>
          </w:tcPr>
          <w:p w14:paraId="3CC0CBF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,122</w:t>
            </w:r>
          </w:p>
        </w:tc>
        <w:tc>
          <w:tcPr>
            <w:tcW w:w="1476" w:type="dxa"/>
            <w:tcBorders>
              <w:top w:val="nil"/>
              <w:bottom w:val="nil"/>
            </w:tcBorders>
            <w:shd w:val="clear" w:color="auto" w:fill="FFFFFF"/>
            <w:vAlign w:val="center"/>
          </w:tcPr>
          <w:p w14:paraId="4B5CB11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-,226509269777235</w:t>
            </w:r>
          </w:p>
        </w:tc>
        <w:tc>
          <w:tcPr>
            <w:tcW w:w="1476" w:type="dxa"/>
            <w:tcBorders>
              <w:top w:val="nil"/>
              <w:bottom w:val="nil"/>
              <w:right w:val="single" w:sz="16" w:space="0" w:color="000000"/>
            </w:tcBorders>
            <w:shd w:val="clear" w:color="auto" w:fill="FFFFFF"/>
            <w:vAlign w:val="center"/>
          </w:tcPr>
          <w:p w14:paraId="3E01D52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,026586465738132</w:t>
            </w:r>
          </w:p>
        </w:tc>
      </w:tr>
      <w:tr w:rsidR="00661F34" w:rsidRPr="003F4802" w14:paraId="38DA7DFD" w14:textId="77777777" w:rsidTr="008E59D3">
        <w:trPr>
          <w:cantSplit/>
        </w:trPr>
        <w:tc>
          <w:tcPr>
            <w:tcW w:w="1045" w:type="dxa"/>
            <w:vMerge/>
            <w:tcBorders>
              <w:top w:val="nil"/>
              <w:left w:val="single" w:sz="16" w:space="0" w:color="000000"/>
              <w:right w:val="nil"/>
            </w:tcBorders>
            <w:shd w:val="clear" w:color="auto" w:fill="FFFFFF"/>
          </w:tcPr>
          <w:p w14:paraId="57BCAD28"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C4BB723"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7FBDB13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-,022899558300213</w:t>
            </w:r>
          </w:p>
        </w:tc>
        <w:tc>
          <w:tcPr>
            <w:tcW w:w="1476" w:type="dxa"/>
            <w:tcBorders>
              <w:top w:val="nil"/>
              <w:bottom w:val="nil"/>
            </w:tcBorders>
            <w:shd w:val="clear" w:color="auto" w:fill="FFFFFF"/>
            <w:vAlign w:val="center"/>
          </w:tcPr>
          <w:p w14:paraId="2B44CD1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,084257032279377</w:t>
            </w:r>
          </w:p>
        </w:tc>
        <w:tc>
          <w:tcPr>
            <w:tcW w:w="1029" w:type="dxa"/>
            <w:tcBorders>
              <w:top w:val="nil"/>
              <w:bottom w:val="nil"/>
            </w:tcBorders>
            <w:shd w:val="clear" w:color="auto" w:fill="FFFFFF"/>
            <w:vAlign w:val="center"/>
          </w:tcPr>
          <w:p w14:paraId="097DEA0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,786</w:t>
            </w:r>
          </w:p>
        </w:tc>
        <w:tc>
          <w:tcPr>
            <w:tcW w:w="1476" w:type="dxa"/>
            <w:tcBorders>
              <w:top w:val="nil"/>
              <w:bottom w:val="nil"/>
            </w:tcBorders>
            <w:shd w:val="clear" w:color="auto" w:fill="FFFFFF"/>
            <w:vAlign w:val="center"/>
          </w:tcPr>
          <w:p w14:paraId="3E87676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-,188080778405412</w:t>
            </w:r>
          </w:p>
        </w:tc>
        <w:tc>
          <w:tcPr>
            <w:tcW w:w="1476" w:type="dxa"/>
            <w:tcBorders>
              <w:top w:val="nil"/>
              <w:bottom w:val="nil"/>
              <w:right w:val="single" w:sz="16" w:space="0" w:color="000000"/>
            </w:tcBorders>
            <w:shd w:val="clear" w:color="auto" w:fill="FFFFFF"/>
            <w:vAlign w:val="center"/>
          </w:tcPr>
          <w:p w14:paraId="6B97C7D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,142281661804986</w:t>
            </w:r>
          </w:p>
        </w:tc>
      </w:tr>
      <w:tr w:rsidR="00661F34" w:rsidRPr="003F4802" w14:paraId="03F54577" w14:textId="77777777" w:rsidTr="008E59D3">
        <w:trPr>
          <w:cantSplit/>
        </w:trPr>
        <w:tc>
          <w:tcPr>
            <w:tcW w:w="1045" w:type="dxa"/>
            <w:vMerge/>
            <w:tcBorders>
              <w:top w:val="nil"/>
              <w:left w:val="single" w:sz="16" w:space="0" w:color="000000"/>
              <w:right w:val="nil"/>
            </w:tcBorders>
            <w:shd w:val="clear" w:color="auto" w:fill="FFFFFF"/>
          </w:tcPr>
          <w:p w14:paraId="3120288E"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9C09AAA"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2CFA45C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-,110513977900572</w:t>
            </w:r>
          </w:p>
        </w:tc>
        <w:tc>
          <w:tcPr>
            <w:tcW w:w="1476" w:type="dxa"/>
            <w:tcBorders>
              <w:top w:val="nil"/>
              <w:bottom w:val="nil"/>
            </w:tcBorders>
            <w:shd w:val="clear" w:color="auto" w:fill="FFFFFF"/>
            <w:vAlign w:val="center"/>
          </w:tcPr>
          <w:p w14:paraId="18528FF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,079938068534765</w:t>
            </w:r>
          </w:p>
        </w:tc>
        <w:tc>
          <w:tcPr>
            <w:tcW w:w="1029" w:type="dxa"/>
            <w:tcBorders>
              <w:top w:val="nil"/>
              <w:bottom w:val="nil"/>
            </w:tcBorders>
            <w:shd w:val="clear" w:color="auto" w:fill="FFFFFF"/>
            <w:vAlign w:val="center"/>
          </w:tcPr>
          <w:p w14:paraId="326AFAC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,167</w:t>
            </w:r>
          </w:p>
        </w:tc>
        <w:tc>
          <w:tcPr>
            <w:tcW w:w="1476" w:type="dxa"/>
            <w:tcBorders>
              <w:top w:val="nil"/>
              <w:bottom w:val="nil"/>
            </w:tcBorders>
            <w:shd w:val="clear" w:color="auto" w:fill="FFFFFF"/>
            <w:vAlign w:val="center"/>
          </w:tcPr>
          <w:p w14:paraId="4D23BFF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-,267228110077020</w:t>
            </w:r>
          </w:p>
        </w:tc>
        <w:tc>
          <w:tcPr>
            <w:tcW w:w="1476" w:type="dxa"/>
            <w:tcBorders>
              <w:top w:val="nil"/>
              <w:bottom w:val="nil"/>
              <w:right w:val="single" w:sz="16" w:space="0" w:color="000000"/>
            </w:tcBorders>
            <w:shd w:val="clear" w:color="auto" w:fill="FFFFFF"/>
            <w:vAlign w:val="center"/>
          </w:tcPr>
          <w:p w14:paraId="6F895E5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,046200154275876</w:t>
            </w:r>
          </w:p>
        </w:tc>
      </w:tr>
      <w:tr w:rsidR="00661F34" w:rsidRPr="003F4802" w14:paraId="0D376EFF" w14:textId="77777777" w:rsidTr="008E59D3">
        <w:trPr>
          <w:cantSplit/>
        </w:trPr>
        <w:tc>
          <w:tcPr>
            <w:tcW w:w="1045" w:type="dxa"/>
            <w:vMerge/>
            <w:tcBorders>
              <w:top w:val="nil"/>
              <w:left w:val="single" w:sz="16" w:space="0" w:color="000000"/>
              <w:right w:val="nil"/>
            </w:tcBorders>
            <w:shd w:val="clear" w:color="auto" w:fill="FFFFFF"/>
          </w:tcPr>
          <w:p w14:paraId="7376A47E"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299173CE"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4C146D6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-,017895813194951</w:t>
            </w:r>
          </w:p>
        </w:tc>
        <w:tc>
          <w:tcPr>
            <w:tcW w:w="1476" w:type="dxa"/>
            <w:tcBorders>
              <w:top w:val="nil"/>
              <w:bottom w:val="nil"/>
            </w:tcBorders>
            <w:shd w:val="clear" w:color="auto" w:fill="FFFFFF"/>
            <w:vAlign w:val="center"/>
          </w:tcPr>
          <w:p w14:paraId="46B5811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,072785787784774</w:t>
            </w:r>
          </w:p>
        </w:tc>
        <w:tc>
          <w:tcPr>
            <w:tcW w:w="1029" w:type="dxa"/>
            <w:tcBorders>
              <w:top w:val="nil"/>
              <w:bottom w:val="nil"/>
            </w:tcBorders>
            <w:shd w:val="clear" w:color="auto" w:fill="FFFFFF"/>
            <w:vAlign w:val="center"/>
          </w:tcPr>
          <w:p w14:paraId="3C25976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,806</w:t>
            </w:r>
          </w:p>
        </w:tc>
        <w:tc>
          <w:tcPr>
            <w:tcW w:w="1476" w:type="dxa"/>
            <w:tcBorders>
              <w:top w:val="nil"/>
              <w:bottom w:val="nil"/>
            </w:tcBorders>
            <w:shd w:val="clear" w:color="auto" w:fill="FFFFFF"/>
            <w:vAlign w:val="center"/>
          </w:tcPr>
          <w:p w14:paraId="092D708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-,160588297220997</w:t>
            </w:r>
          </w:p>
        </w:tc>
        <w:tc>
          <w:tcPr>
            <w:tcW w:w="1476" w:type="dxa"/>
            <w:tcBorders>
              <w:top w:val="nil"/>
              <w:bottom w:val="nil"/>
              <w:right w:val="single" w:sz="16" w:space="0" w:color="000000"/>
            </w:tcBorders>
            <w:shd w:val="clear" w:color="auto" w:fill="FFFFFF"/>
            <w:vAlign w:val="center"/>
          </w:tcPr>
          <w:p w14:paraId="2F41DFE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,124796670831096</w:t>
            </w:r>
          </w:p>
        </w:tc>
      </w:tr>
      <w:tr w:rsidR="00661F34" w:rsidRPr="003F4802" w14:paraId="4E9C918B" w14:textId="77777777" w:rsidTr="008E59D3">
        <w:trPr>
          <w:cantSplit/>
        </w:trPr>
        <w:tc>
          <w:tcPr>
            <w:tcW w:w="1045" w:type="dxa"/>
            <w:vMerge/>
            <w:tcBorders>
              <w:top w:val="nil"/>
              <w:left w:val="single" w:sz="16" w:space="0" w:color="000000"/>
              <w:right w:val="nil"/>
            </w:tcBorders>
            <w:shd w:val="clear" w:color="auto" w:fill="FFFFFF"/>
          </w:tcPr>
          <w:p w14:paraId="22A9EA74"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6B94385C"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3043018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-,015090687306353</w:t>
            </w:r>
          </w:p>
        </w:tc>
        <w:tc>
          <w:tcPr>
            <w:tcW w:w="1476" w:type="dxa"/>
            <w:tcBorders>
              <w:top w:val="nil"/>
              <w:bottom w:val="nil"/>
            </w:tcBorders>
            <w:shd w:val="clear" w:color="auto" w:fill="FFFFFF"/>
            <w:vAlign w:val="center"/>
          </w:tcPr>
          <w:p w14:paraId="159F803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,067980081585156</w:t>
            </w:r>
          </w:p>
        </w:tc>
        <w:tc>
          <w:tcPr>
            <w:tcW w:w="1029" w:type="dxa"/>
            <w:tcBorders>
              <w:top w:val="nil"/>
              <w:bottom w:val="nil"/>
            </w:tcBorders>
            <w:shd w:val="clear" w:color="auto" w:fill="FFFFFF"/>
            <w:vAlign w:val="center"/>
          </w:tcPr>
          <w:p w14:paraId="2306EA2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,824</w:t>
            </w:r>
          </w:p>
        </w:tc>
        <w:tc>
          <w:tcPr>
            <w:tcW w:w="1476" w:type="dxa"/>
            <w:tcBorders>
              <w:top w:val="nil"/>
              <w:bottom w:val="nil"/>
            </w:tcBorders>
            <w:shd w:val="clear" w:color="auto" w:fill="FFFFFF"/>
            <w:vAlign w:val="center"/>
          </w:tcPr>
          <w:p w14:paraId="5B5236D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-,148361851923856</w:t>
            </w:r>
          </w:p>
        </w:tc>
        <w:tc>
          <w:tcPr>
            <w:tcW w:w="1476" w:type="dxa"/>
            <w:tcBorders>
              <w:top w:val="nil"/>
              <w:bottom w:val="nil"/>
              <w:right w:val="single" w:sz="16" w:space="0" w:color="000000"/>
            </w:tcBorders>
            <w:shd w:val="clear" w:color="auto" w:fill="FFFFFF"/>
            <w:vAlign w:val="center"/>
          </w:tcPr>
          <w:p w14:paraId="7C0E609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,118180477311149</w:t>
            </w:r>
          </w:p>
        </w:tc>
      </w:tr>
      <w:tr w:rsidR="00661F34" w:rsidRPr="003F4802" w14:paraId="5F65E6F3" w14:textId="77777777" w:rsidTr="008E59D3">
        <w:trPr>
          <w:cantSplit/>
        </w:trPr>
        <w:tc>
          <w:tcPr>
            <w:tcW w:w="1045" w:type="dxa"/>
            <w:vMerge/>
            <w:tcBorders>
              <w:top w:val="nil"/>
              <w:left w:val="single" w:sz="16" w:space="0" w:color="000000"/>
              <w:right w:val="nil"/>
            </w:tcBorders>
            <w:shd w:val="clear" w:color="auto" w:fill="FFFFFF"/>
          </w:tcPr>
          <w:p w14:paraId="678851BE"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3B4D477"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7B47CF6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-,098147700370535</w:t>
            </w:r>
          </w:p>
        </w:tc>
        <w:tc>
          <w:tcPr>
            <w:tcW w:w="1476" w:type="dxa"/>
            <w:tcBorders>
              <w:top w:val="nil"/>
              <w:bottom w:val="nil"/>
            </w:tcBorders>
            <w:shd w:val="clear" w:color="auto" w:fill="FFFFFF"/>
            <w:vAlign w:val="center"/>
          </w:tcPr>
          <w:p w14:paraId="0CEC1A6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,066585987943475</w:t>
            </w:r>
          </w:p>
        </w:tc>
        <w:tc>
          <w:tcPr>
            <w:tcW w:w="1029" w:type="dxa"/>
            <w:tcBorders>
              <w:top w:val="nil"/>
              <w:bottom w:val="nil"/>
            </w:tcBorders>
            <w:shd w:val="clear" w:color="auto" w:fill="FFFFFF"/>
            <w:vAlign w:val="center"/>
          </w:tcPr>
          <w:p w14:paraId="58BDAA9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,141</w:t>
            </w:r>
          </w:p>
        </w:tc>
        <w:tc>
          <w:tcPr>
            <w:tcW w:w="1476" w:type="dxa"/>
            <w:tcBorders>
              <w:top w:val="nil"/>
              <w:bottom w:val="nil"/>
            </w:tcBorders>
            <w:shd w:val="clear" w:color="auto" w:fill="FFFFFF"/>
            <w:vAlign w:val="center"/>
          </w:tcPr>
          <w:p w14:paraId="7F47815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-,228685822030742</w:t>
            </w:r>
          </w:p>
        </w:tc>
        <w:tc>
          <w:tcPr>
            <w:tcW w:w="1476" w:type="dxa"/>
            <w:tcBorders>
              <w:top w:val="nil"/>
              <w:bottom w:val="nil"/>
              <w:right w:val="single" w:sz="16" w:space="0" w:color="000000"/>
            </w:tcBorders>
            <w:shd w:val="clear" w:color="auto" w:fill="FFFFFF"/>
            <w:vAlign w:val="center"/>
          </w:tcPr>
          <w:p w14:paraId="753A79F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,032390421289672</w:t>
            </w:r>
          </w:p>
        </w:tc>
      </w:tr>
      <w:tr w:rsidR="00661F34" w:rsidRPr="003F4802" w14:paraId="6745382D" w14:textId="77777777" w:rsidTr="008E59D3">
        <w:trPr>
          <w:cantSplit/>
        </w:trPr>
        <w:tc>
          <w:tcPr>
            <w:tcW w:w="1045" w:type="dxa"/>
            <w:vMerge/>
            <w:tcBorders>
              <w:top w:val="nil"/>
              <w:left w:val="single" w:sz="16" w:space="0" w:color="000000"/>
              <w:right w:val="nil"/>
            </w:tcBorders>
            <w:shd w:val="clear" w:color="auto" w:fill="FFFFFF"/>
          </w:tcPr>
          <w:p w14:paraId="6359D99B"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08FE0DA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155E097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-,014799446153382</w:t>
            </w:r>
          </w:p>
        </w:tc>
        <w:tc>
          <w:tcPr>
            <w:tcW w:w="1476" w:type="dxa"/>
            <w:tcBorders>
              <w:top w:val="nil"/>
              <w:bottom w:val="nil"/>
            </w:tcBorders>
            <w:shd w:val="clear" w:color="auto" w:fill="FFFFFF"/>
            <w:vAlign w:val="center"/>
          </w:tcPr>
          <w:p w14:paraId="539F1A7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,065079748677742</w:t>
            </w:r>
          </w:p>
        </w:tc>
        <w:tc>
          <w:tcPr>
            <w:tcW w:w="1029" w:type="dxa"/>
            <w:tcBorders>
              <w:top w:val="nil"/>
              <w:bottom w:val="nil"/>
            </w:tcBorders>
            <w:shd w:val="clear" w:color="auto" w:fill="FFFFFF"/>
            <w:vAlign w:val="center"/>
          </w:tcPr>
          <w:p w14:paraId="19C70C1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,820</w:t>
            </w:r>
          </w:p>
        </w:tc>
        <w:tc>
          <w:tcPr>
            <w:tcW w:w="1476" w:type="dxa"/>
            <w:tcBorders>
              <w:top w:val="nil"/>
              <w:bottom w:val="nil"/>
            </w:tcBorders>
            <w:shd w:val="clear" w:color="auto" w:fill="FFFFFF"/>
            <w:vAlign w:val="center"/>
          </w:tcPr>
          <w:p w14:paraId="0427A56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-,142384669604937</w:t>
            </w:r>
          </w:p>
        </w:tc>
        <w:tc>
          <w:tcPr>
            <w:tcW w:w="1476" w:type="dxa"/>
            <w:tcBorders>
              <w:top w:val="nil"/>
              <w:bottom w:val="nil"/>
              <w:right w:val="single" w:sz="16" w:space="0" w:color="000000"/>
            </w:tcBorders>
            <w:shd w:val="clear" w:color="auto" w:fill="FFFFFF"/>
            <w:vAlign w:val="center"/>
          </w:tcPr>
          <w:p w14:paraId="0001FCA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,112785777298174</w:t>
            </w:r>
          </w:p>
        </w:tc>
      </w:tr>
      <w:tr w:rsidR="00661F34" w:rsidRPr="003F4802" w14:paraId="18D1BCB2" w14:textId="77777777" w:rsidTr="008E59D3">
        <w:trPr>
          <w:cantSplit/>
        </w:trPr>
        <w:tc>
          <w:tcPr>
            <w:tcW w:w="1045" w:type="dxa"/>
            <w:vMerge/>
            <w:tcBorders>
              <w:top w:val="nil"/>
              <w:left w:val="single" w:sz="16" w:space="0" w:color="000000"/>
              <w:right w:val="nil"/>
            </w:tcBorders>
            <w:shd w:val="clear" w:color="auto" w:fill="FFFFFF"/>
          </w:tcPr>
          <w:p w14:paraId="6588FD13"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5361AABA"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64DF7FD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-,068129628761153</w:t>
            </w:r>
          </w:p>
        </w:tc>
        <w:tc>
          <w:tcPr>
            <w:tcW w:w="1476" w:type="dxa"/>
            <w:tcBorders>
              <w:top w:val="nil"/>
              <w:bottom w:val="nil"/>
            </w:tcBorders>
            <w:shd w:val="clear" w:color="auto" w:fill="FFFFFF"/>
            <w:vAlign w:val="center"/>
          </w:tcPr>
          <w:p w14:paraId="6D37D52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,062721462795289</w:t>
            </w:r>
          </w:p>
        </w:tc>
        <w:tc>
          <w:tcPr>
            <w:tcW w:w="1029" w:type="dxa"/>
            <w:tcBorders>
              <w:top w:val="nil"/>
              <w:bottom w:val="nil"/>
            </w:tcBorders>
            <w:shd w:val="clear" w:color="auto" w:fill="FFFFFF"/>
            <w:vAlign w:val="center"/>
          </w:tcPr>
          <w:p w14:paraId="11FA5ED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,277</w:t>
            </w:r>
          </w:p>
        </w:tc>
        <w:tc>
          <w:tcPr>
            <w:tcW w:w="1476" w:type="dxa"/>
            <w:tcBorders>
              <w:top w:val="nil"/>
              <w:bottom w:val="nil"/>
            </w:tcBorders>
            <w:shd w:val="clear" w:color="auto" w:fill="FFFFFF"/>
            <w:vAlign w:val="center"/>
          </w:tcPr>
          <w:p w14:paraId="4D16289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-,191091564056428</w:t>
            </w:r>
          </w:p>
        </w:tc>
        <w:tc>
          <w:tcPr>
            <w:tcW w:w="1476" w:type="dxa"/>
            <w:tcBorders>
              <w:top w:val="nil"/>
              <w:bottom w:val="nil"/>
              <w:right w:val="single" w:sz="16" w:space="0" w:color="000000"/>
            </w:tcBorders>
            <w:shd w:val="clear" w:color="auto" w:fill="FFFFFF"/>
            <w:vAlign w:val="center"/>
          </w:tcPr>
          <w:p w14:paraId="6620F13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,054832306534122</w:t>
            </w:r>
          </w:p>
        </w:tc>
      </w:tr>
      <w:tr w:rsidR="00661F34" w:rsidRPr="003F4802" w14:paraId="2C62B2D3" w14:textId="77777777" w:rsidTr="008E59D3">
        <w:trPr>
          <w:cantSplit/>
        </w:trPr>
        <w:tc>
          <w:tcPr>
            <w:tcW w:w="1045" w:type="dxa"/>
            <w:vMerge/>
            <w:tcBorders>
              <w:top w:val="nil"/>
              <w:left w:val="single" w:sz="16" w:space="0" w:color="000000"/>
              <w:right w:val="nil"/>
            </w:tcBorders>
            <w:shd w:val="clear" w:color="auto" w:fill="FFFFFF"/>
          </w:tcPr>
          <w:p w14:paraId="4140AE9D"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right w:val="single" w:sz="16" w:space="0" w:color="000000"/>
            </w:tcBorders>
            <w:shd w:val="clear" w:color="auto" w:fill="FFFFFF"/>
          </w:tcPr>
          <w:p w14:paraId="69778E7B"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476" w:type="dxa"/>
            <w:tcBorders>
              <w:top w:val="nil"/>
              <w:left w:val="single" w:sz="16" w:space="0" w:color="000000"/>
            </w:tcBorders>
            <w:shd w:val="clear" w:color="auto" w:fill="FFFFFF"/>
            <w:vAlign w:val="center"/>
          </w:tcPr>
          <w:p w14:paraId="2AA1EF88" w14:textId="07569A89" w:rsidR="00661F34" w:rsidRPr="003F4802" w:rsidRDefault="008E59D3"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-,1176952508</w:t>
            </w:r>
            <w:r w:rsidR="00661F34" w:rsidRPr="003F4802">
              <w:rPr>
                <w:rFonts w:cs="Arial"/>
                <w:color w:val="000000"/>
                <w:sz w:val="16"/>
                <w:szCs w:val="16"/>
                <w:lang w:val="en-GB"/>
              </w:rPr>
              <w:t>1954</w:t>
            </w:r>
            <w:r w:rsidR="00661F34" w:rsidRPr="003F4802">
              <w:rPr>
                <w:rFonts w:cs="Arial"/>
                <w:color w:val="000000"/>
                <w:sz w:val="16"/>
                <w:szCs w:val="16"/>
                <w:vertAlign w:val="superscript"/>
                <w:lang w:val="en-GB"/>
              </w:rPr>
              <w:t>*</w:t>
            </w:r>
          </w:p>
        </w:tc>
        <w:tc>
          <w:tcPr>
            <w:tcW w:w="1476" w:type="dxa"/>
            <w:tcBorders>
              <w:top w:val="nil"/>
            </w:tcBorders>
            <w:shd w:val="clear" w:color="auto" w:fill="FFFFFF"/>
            <w:vAlign w:val="center"/>
          </w:tcPr>
          <w:p w14:paraId="216F0EF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,051295572175461</w:t>
            </w:r>
          </w:p>
        </w:tc>
        <w:tc>
          <w:tcPr>
            <w:tcW w:w="1029" w:type="dxa"/>
            <w:tcBorders>
              <w:top w:val="nil"/>
            </w:tcBorders>
            <w:shd w:val="clear" w:color="auto" w:fill="FFFFFF"/>
            <w:vAlign w:val="center"/>
          </w:tcPr>
          <w:p w14:paraId="3C9F174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,022</w:t>
            </w:r>
          </w:p>
        </w:tc>
        <w:tc>
          <w:tcPr>
            <w:tcW w:w="1476" w:type="dxa"/>
            <w:tcBorders>
              <w:top w:val="nil"/>
            </w:tcBorders>
            <w:shd w:val="clear" w:color="auto" w:fill="FFFFFF"/>
            <w:vAlign w:val="center"/>
          </w:tcPr>
          <w:p w14:paraId="3E4C623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-,218257363824136</w:t>
            </w:r>
          </w:p>
        </w:tc>
        <w:tc>
          <w:tcPr>
            <w:tcW w:w="1476" w:type="dxa"/>
            <w:tcBorders>
              <w:top w:val="nil"/>
              <w:right w:val="single" w:sz="16" w:space="0" w:color="000000"/>
            </w:tcBorders>
            <w:shd w:val="clear" w:color="auto" w:fill="FFFFFF"/>
            <w:vAlign w:val="center"/>
          </w:tcPr>
          <w:p w14:paraId="1361DCD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-,017133137899771</w:t>
            </w:r>
          </w:p>
        </w:tc>
      </w:tr>
      <w:tr w:rsidR="00661F34" w:rsidRPr="003F4802" w14:paraId="17819204" w14:textId="77777777" w:rsidTr="008E59D3">
        <w:trPr>
          <w:cantSplit/>
        </w:trPr>
        <w:tc>
          <w:tcPr>
            <w:tcW w:w="1045" w:type="dxa"/>
            <w:vMerge w:val="restart"/>
            <w:tcBorders>
              <w:top w:val="nil"/>
              <w:left w:val="single" w:sz="16" w:space="0" w:color="000000"/>
              <w:bottom w:val="single" w:sz="16" w:space="0" w:color="000000"/>
              <w:right w:val="nil"/>
            </w:tcBorders>
            <w:shd w:val="clear" w:color="auto" w:fill="FFFFFF"/>
          </w:tcPr>
          <w:p w14:paraId="6173066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10,0</w:t>
            </w:r>
          </w:p>
        </w:tc>
        <w:tc>
          <w:tcPr>
            <w:tcW w:w="1091" w:type="dxa"/>
            <w:tcBorders>
              <w:top w:val="nil"/>
              <w:left w:val="nil"/>
              <w:bottom w:val="nil"/>
              <w:right w:val="single" w:sz="16" w:space="0" w:color="000000"/>
            </w:tcBorders>
            <w:shd w:val="clear" w:color="auto" w:fill="FFFFFF"/>
          </w:tcPr>
          <w:p w14:paraId="14C91DF2"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1,0</w:t>
            </w:r>
          </w:p>
        </w:tc>
        <w:tc>
          <w:tcPr>
            <w:tcW w:w="1476" w:type="dxa"/>
            <w:tcBorders>
              <w:top w:val="nil"/>
              <w:left w:val="single" w:sz="16" w:space="0" w:color="000000"/>
              <w:bottom w:val="nil"/>
            </w:tcBorders>
            <w:shd w:val="clear" w:color="auto" w:fill="FFFFFF"/>
            <w:vAlign w:val="center"/>
          </w:tcPr>
          <w:p w14:paraId="028E8AC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,017733848842402</w:t>
            </w:r>
          </w:p>
        </w:tc>
        <w:tc>
          <w:tcPr>
            <w:tcW w:w="1476" w:type="dxa"/>
            <w:tcBorders>
              <w:top w:val="nil"/>
              <w:bottom w:val="nil"/>
            </w:tcBorders>
            <w:shd w:val="clear" w:color="auto" w:fill="FFFFFF"/>
            <w:vAlign w:val="center"/>
          </w:tcPr>
          <w:p w14:paraId="316FDC0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,052501599754594</w:t>
            </w:r>
          </w:p>
        </w:tc>
        <w:tc>
          <w:tcPr>
            <w:tcW w:w="1029" w:type="dxa"/>
            <w:tcBorders>
              <w:top w:val="nil"/>
              <w:bottom w:val="nil"/>
            </w:tcBorders>
            <w:shd w:val="clear" w:color="auto" w:fill="FFFFFF"/>
            <w:vAlign w:val="center"/>
          </w:tcPr>
          <w:p w14:paraId="2B58AE3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,736</w:t>
            </w:r>
          </w:p>
        </w:tc>
        <w:tc>
          <w:tcPr>
            <w:tcW w:w="1476" w:type="dxa"/>
            <w:tcBorders>
              <w:top w:val="nil"/>
              <w:bottom w:val="nil"/>
            </w:tcBorders>
            <w:shd w:val="clear" w:color="auto" w:fill="FFFFFF"/>
            <w:vAlign w:val="center"/>
          </w:tcPr>
          <w:p w14:paraId="041F80B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-,085192614033522</w:t>
            </w:r>
          </w:p>
        </w:tc>
        <w:tc>
          <w:tcPr>
            <w:tcW w:w="1476" w:type="dxa"/>
            <w:tcBorders>
              <w:top w:val="nil"/>
              <w:bottom w:val="nil"/>
              <w:right w:val="single" w:sz="16" w:space="0" w:color="000000"/>
            </w:tcBorders>
            <w:shd w:val="clear" w:color="auto" w:fill="FFFFFF"/>
            <w:vAlign w:val="center"/>
          </w:tcPr>
          <w:p w14:paraId="479AC4E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,120660311718325</w:t>
            </w:r>
          </w:p>
        </w:tc>
      </w:tr>
      <w:tr w:rsidR="00661F34" w:rsidRPr="003F4802" w14:paraId="7517C987" w14:textId="77777777" w:rsidTr="008E59D3">
        <w:trPr>
          <w:cantSplit/>
        </w:trPr>
        <w:tc>
          <w:tcPr>
            <w:tcW w:w="1045" w:type="dxa"/>
            <w:vMerge/>
            <w:tcBorders>
              <w:top w:val="nil"/>
              <w:left w:val="single" w:sz="16" w:space="0" w:color="000000"/>
              <w:bottom w:val="single" w:sz="16" w:space="0" w:color="000000"/>
              <w:right w:val="nil"/>
            </w:tcBorders>
            <w:shd w:val="clear" w:color="auto" w:fill="FFFFFF"/>
          </w:tcPr>
          <w:p w14:paraId="60CB55BA"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3A4BC33"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2,0</w:t>
            </w:r>
          </w:p>
        </w:tc>
        <w:tc>
          <w:tcPr>
            <w:tcW w:w="1476" w:type="dxa"/>
            <w:tcBorders>
              <w:top w:val="nil"/>
              <w:left w:val="single" w:sz="16" w:space="0" w:color="000000"/>
              <w:bottom w:val="nil"/>
            </w:tcBorders>
            <w:shd w:val="clear" w:color="auto" w:fill="FFFFFF"/>
            <w:vAlign w:val="center"/>
          </w:tcPr>
          <w:p w14:paraId="11D4E57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,094795692561741</w:t>
            </w:r>
          </w:p>
        </w:tc>
        <w:tc>
          <w:tcPr>
            <w:tcW w:w="1476" w:type="dxa"/>
            <w:tcBorders>
              <w:top w:val="nil"/>
              <w:bottom w:val="nil"/>
            </w:tcBorders>
            <w:shd w:val="clear" w:color="auto" w:fill="FFFFFF"/>
            <w:vAlign w:val="center"/>
          </w:tcPr>
          <w:p w14:paraId="2F74DB15"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,075424696168742</w:t>
            </w:r>
          </w:p>
        </w:tc>
        <w:tc>
          <w:tcPr>
            <w:tcW w:w="1029" w:type="dxa"/>
            <w:tcBorders>
              <w:top w:val="nil"/>
              <w:bottom w:val="nil"/>
            </w:tcBorders>
            <w:shd w:val="clear" w:color="auto" w:fill="FFFFFF"/>
            <w:vAlign w:val="center"/>
          </w:tcPr>
          <w:p w14:paraId="310572F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,209</w:t>
            </w:r>
          </w:p>
        </w:tc>
        <w:tc>
          <w:tcPr>
            <w:tcW w:w="1476" w:type="dxa"/>
            <w:tcBorders>
              <w:top w:val="nil"/>
              <w:bottom w:val="nil"/>
            </w:tcBorders>
            <w:shd w:val="clear" w:color="auto" w:fill="FFFFFF"/>
            <w:vAlign w:val="center"/>
          </w:tcPr>
          <w:p w14:paraId="391872B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-,053070224408922</w:t>
            </w:r>
          </w:p>
        </w:tc>
        <w:tc>
          <w:tcPr>
            <w:tcW w:w="1476" w:type="dxa"/>
            <w:tcBorders>
              <w:top w:val="nil"/>
              <w:bottom w:val="nil"/>
              <w:right w:val="single" w:sz="16" w:space="0" w:color="000000"/>
            </w:tcBorders>
            <w:shd w:val="clear" w:color="auto" w:fill="FFFFFF"/>
            <w:vAlign w:val="center"/>
          </w:tcPr>
          <w:p w14:paraId="79F6333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,242661609532404</w:t>
            </w:r>
          </w:p>
        </w:tc>
      </w:tr>
      <w:tr w:rsidR="00661F34" w:rsidRPr="003F4802" w14:paraId="29E4EC57" w14:textId="77777777" w:rsidTr="008E59D3">
        <w:trPr>
          <w:cantSplit/>
        </w:trPr>
        <w:tc>
          <w:tcPr>
            <w:tcW w:w="1045" w:type="dxa"/>
            <w:vMerge/>
            <w:tcBorders>
              <w:top w:val="nil"/>
              <w:left w:val="single" w:sz="16" w:space="0" w:color="000000"/>
              <w:bottom w:val="single" w:sz="16" w:space="0" w:color="000000"/>
              <w:right w:val="nil"/>
            </w:tcBorders>
            <w:shd w:val="clear" w:color="auto" w:fill="FFFFFF"/>
          </w:tcPr>
          <w:p w14:paraId="2C9B2652"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5719EF61"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3,0</w:t>
            </w:r>
          </w:p>
        </w:tc>
        <w:tc>
          <w:tcPr>
            <w:tcW w:w="1476" w:type="dxa"/>
            <w:tcBorders>
              <w:top w:val="nil"/>
              <w:left w:val="single" w:sz="16" w:space="0" w:color="000000"/>
              <w:bottom w:val="nil"/>
            </w:tcBorders>
            <w:shd w:val="clear" w:color="auto" w:fill="FFFFFF"/>
            <w:vAlign w:val="center"/>
          </w:tcPr>
          <w:p w14:paraId="1901430B"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,007181272961381</w:t>
            </w:r>
          </w:p>
        </w:tc>
        <w:tc>
          <w:tcPr>
            <w:tcW w:w="1476" w:type="dxa"/>
            <w:tcBorders>
              <w:top w:val="nil"/>
              <w:bottom w:val="nil"/>
            </w:tcBorders>
            <w:shd w:val="clear" w:color="auto" w:fill="FFFFFF"/>
            <w:vAlign w:val="center"/>
          </w:tcPr>
          <w:p w14:paraId="6075B89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,070567216926048</w:t>
            </w:r>
          </w:p>
        </w:tc>
        <w:tc>
          <w:tcPr>
            <w:tcW w:w="1029" w:type="dxa"/>
            <w:tcBorders>
              <w:top w:val="nil"/>
              <w:bottom w:val="nil"/>
            </w:tcBorders>
            <w:shd w:val="clear" w:color="auto" w:fill="FFFFFF"/>
            <w:vAlign w:val="center"/>
          </w:tcPr>
          <w:p w14:paraId="1F3655A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,919</w:t>
            </w:r>
          </w:p>
        </w:tc>
        <w:tc>
          <w:tcPr>
            <w:tcW w:w="1476" w:type="dxa"/>
            <w:tcBorders>
              <w:top w:val="nil"/>
              <w:bottom w:val="nil"/>
            </w:tcBorders>
            <w:shd w:val="clear" w:color="auto" w:fill="FFFFFF"/>
            <w:vAlign w:val="center"/>
          </w:tcPr>
          <w:p w14:paraId="02811D1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-,131161826432661</w:t>
            </w:r>
          </w:p>
        </w:tc>
        <w:tc>
          <w:tcPr>
            <w:tcW w:w="1476" w:type="dxa"/>
            <w:tcBorders>
              <w:top w:val="nil"/>
              <w:bottom w:val="nil"/>
              <w:right w:val="single" w:sz="16" w:space="0" w:color="000000"/>
            </w:tcBorders>
            <w:shd w:val="clear" w:color="auto" w:fill="FFFFFF"/>
            <w:vAlign w:val="center"/>
          </w:tcPr>
          <w:p w14:paraId="2E450BD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,145524372355424</w:t>
            </w:r>
          </w:p>
        </w:tc>
      </w:tr>
      <w:tr w:rsidR="00661F34" w:rsidRPr="003F4802" w14:paraId="11384C0F" w14:textId="77777777" w:rsidTr="008E59D3">
        <w:trPr>
          <w:cantSplit/>
        </w:trPr>
        <w:tc>
          <w:tcPr>
            <w:tcW w:w="1045" w:type="dxa"/>
            <w:vMerge/>
            <w:tcBorders>
              <w:top w:val="nil"/>
              <w:left w:val="single" w:sz="16" w:space="0" w:color="000000"/>
              <w:bottom w:val="single" w:sz="16" w:space="0" w:color="000000"/>
              <w:right w:val="nil"/>
            </w:tcBorders>
            <w:shd w:val="clear" w:color="auto" w:fill="FFFFFF"/>
          </w:tcPr>
          <w:p w14:paraId="4E4B81EC"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41C41D0A"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4,0</w:t>
            </w:r>
          </w:p>
        </w:tc>
        <w:tc>
          <w:tcPr>
            <w:tcW w:w="1476" w:type="dxa"/>
            <w:tcBorders>
              <w:top w:val="nil"/>
              <w:left w:val="single" w:sz="16" w:space="0" w:color="000000"/>
              <w:bottom w:val="nil"/>
            </w:tcBorders>
            <w:shd w:val="clear" w:color="auto" w:fill="FFFFFF"/>
            <w:vAlign w:val="center"/>
          </w:tcPr>
          <w:p w14:paraId="1B9AEE7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,099799437667003</w:t>
            </w:r>
          </w:p>
        </w:tc>
        <w:tc>
          <w:tcPr>
            <w:tcW w:w="1476" w:type="dxa"/>
            <w:tcBorders>
              <w:top w:val="nil"/>
              <w:bottom w:val="nil"/>
            </w:tcBorders>
            <w:shd w:val="clear" w:color="auto" w:fill="FFFFFF"/>
            <w:vAlign w:val="center"/>
          </w:tcPr>
          <w:p w14:paraId="21BAF8F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,062349083450114</w:t>
            </w:r>
          </w:p>
        </w:tc>
        <w:tc>
          <w:tcPr>
            <w:tcW w:w="1029" w:type="dxa"/>
            <w:tcBorders>
              <w:top w:val="nil"/>
              <w:bottom w:val="nil"/>
            </w:tcBorders>
            <w:shd w:val="clear" w:color="auto" w:fill="FFFFFF"/>
            <w:vAlign w:val="center"/>
          </w:tcPr>
          <w:p w14:paraId="1CECE16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,110</w:t>
            </w:r>
          </w:p>
        </w:tc>
        <w:tc>
          <w:tcPr>
            <w:tcW w:w="1476" w:type="dxa"/>
            <w:tcBorders>
              <w:top w:val="nil"/>
              <w:bottom w:val="nil"/>
            </w:tcBorders>
            <w:shd w:val="clear" w:color="auto" w:fill="FFFFFF"/>
            <w:vAlign w:val="center"/>
          </w:tcPr>
          <w:p w14:paraId="468F506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-,022432468657231</w:t>
            </w:r>
          </w:p>
        </w:tc>
        <w:tc>
          <w:tcPr>
            <w:tcW w:w="1476" w:type="dxa"/>
            <w:tcBorders>
              <w:top w:val="nil"/>
              <w:bottom w:val="nil"/>
              <w:right w:val="single" w:sz="16" w:space="0" w:color="000000"/>
            </w:tcBorders>
            <w:shd w:val="clear" w:color="auto" w:fill="FFFFFF"/>
            <w:vAlign w:val="center"/>
          </w:tcPr>
          <w:p w14:paraId="030C7D87"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,222031343991237</w:t>
            </w:r>
          </w:p>
        </w:tc>
      </w:tr>
      <w:tr w:rsidR="00661F34" w:rsidRPr="003F4802" w14:paraId="6C2DCE28" w14:textId="77777777" w:rsidTr="008E59D3">
        <w:trPr>
          <w:cantSplit/>
        </w:trPr>
        <w:tc>
          <w:tcPr>
            <w:tcW w:w="1045" w:type="dxa"/>
            <w:vMerge/>
            <w:tcBorders>
              <w:top w:val="nil"/>
              <w:left w:val="single" w:sz="16" w:space="0" w:color="000000"/>
              <w:bottom w:val="single" w:sz="16" w:space="0" w:color="000000"/>
              <w:right w:val="nil"/>
            </w:tcBorders>
            <w:shd w:val="clear" w:color="auto" w:fill="FFFFFF"/>
          </w:tcPr>
          <w:p w14:paraId="37CA8EC7"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70D44307"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5,0</w:t>
            </w:r>
          </w:p>
        </w:tc>
        <w:tc>
          <w:tcPr>
            <w:tcW w:w="1476" w:type="dxa"/>
            <w:tcBorders>
              <w:top w:val="nil"/>
              <w:left w:val="single" w:sz="16" w:space="0" w:color="000000"/>
              <w:bottom w:val="nil"/>
            </w:tcBorders>
            <w:shd w:val="clear" w:color="auto" w:fill="FFFFFF"/>
            <w:vAlign w:val="center"/>
          </w:tcPr>
          <w:p w14:paraId="1A1C627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,102604563555600</w:t>
            </w:r>
          </w:p>
        </w:tc>
        <w:tc>
          <w:tcPr>
            <w:tcW w:w="1476" w:type="dxa"/>
            <w:tcBorders>
              <w:top w:val="nil"/>
              <w:bottom w:val="nil"/>
            </w:tcBorders>
            <w:shd w:val="clear" w:color="auto" w:fill="FFFFFF"/>
            <w:vAlign w:val="center"/>
          </w:tcPr>
          <w:p w14:paraId="4DFA8A6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,056665057980589</w:t>
            </w:r>
          </w:p>
        </w:tc>
        <w:tc>
          <w:tcPr>
            <w:tcW w:w="1029" w:type="dxa"/>
            <w:tcBorders>
              <w:top w:val="nil"/>
              <w:bottom w:val="nil"/>
            </w:tcBorders>
            <w:shd w:val="clear" w:color="auto" w:fill="FFFFFF"/>
            <w:vAlign w:val="center"/>
          </w:tcPr>
          <w:p w14:paraId="1F9C987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,070</w:t>
            </w:r>
          </w:p>
        </w:tc>
        <w:tc>
          <w:tcPr>
            <w:tcW w:w="1476" w:type="dxa"/>
            <w:tcBorders>
              <w:top w:val="nil"/>
              <w:bottom w:val="nil"/>
            </w:tcBorders>
            <w:shd w:val="clear" w:color="auto" w:fill="FFFFFF"/>
            <w:vAlign w:val="center"/>
          </w:tcPr>
          <w:p w14:paraId="5590E6AA"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-,008484127338829</w:t>
            </w:r>
          </w:p>
        </w:tc>
        <w:tc>
          <w:tcPr>
            <w:tcW w:w="1476" w:type="dxa"/>
            <w:tcBorders>
              <w:top w:val="nil"/>
              <w:bottom w:val="nil"/>
              <w:right w:val="single" w:sz="16" w:space="0" w:color="000000"/>
            </w:tcBorders>
            <w:shd w:val="clear" w:color="auto" w:fill="FFFFFF"/>
            <w:vAlign w:val="center"/>
          </w:tcPr>
          <w:p w14:paraId="32EDE9C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,213693254450029</w:t>
            </w:r>
          </w:p>
        </w:tc>
      </w:tr>
      <w:tr w:rsidR="00661F34" w:rsidRPr="003F4802" w14:paraId="7A4DC461" w14:textId="77777777" w:rsidTr="008E59D3">
        <w:trPr>
          <w:cantSplit/>
        </w:trPr>
        <w:tc>
          <w:tcPr>
            <w:tcW w:w="1045" w:type="dxa"/>
            <w:vMerge/>
            <w:tcBorders>
              <w:top w:val="nil"/>
              <w:left w:val="single" w:sz="16" w:space="0" w:color="000000"/>
              <w:bottom w:val="single" w:sz="16" w:space="0" w:color="000000"/>
              <w:right w:val="nil"/>
            </w:tcBorders>
            <w:shd w:val="clear" w:color="auto" w:fill="FFFFFF"/>
          </w:tcPr>
          <w:p w14:paraId="344AB916"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1AB51D7"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6,0</w:t>
            </w:r>
          </w:p>
        </w:tc>
        <w:tc>
          <w:tcPr>
            <w:tcW w:w="1476" w:type="dxa"/>
            <w:tcBorders>
              <w:top w:val="nil"/>
              <w:left w:val="single" w:sz="16" w:space="0" w:color="000000"/>
              <w:bottom w:val="nil"/>
            </w:tcBorders>
            <w:shd w:val="clear" w:color="auto" w:fill="FFFFFF"/>
            <w:vAlign w:val="center"/>
          </w:tcPr>
          <w:p w14:paraId="146F7E93"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,019547550491418</w:t>
            </w:r>
          </w:p>
        </w:tc>
        <w:tc>
          <w:tcPr>
            <w:tcW w:w="1476" w:type="dxa"/>
            <w:tcBorders>
              <w:top w:val="nil"/>
              <w:bottom w:val="nil"/>
            </w:tcBorders>
            <w:shd w:val="clear" w:color="auto" w:fill="FFFFFF"/>
            <w:vAlign w:val="center"/>
          </w:tcPr>
          <w:p w14:paraId="14577C3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,054984826034350</w:t>
            </w:r>
          </w:p>
        </w:tc>
        <w:tc>
          <w:tcPr>
            <w:tcW w:w="1029" w:type="dxa"/>
            <w:tcBorders>
              <w:top w:val="nil"/>
              <w:bottom w:val="nil"/>
            </w:tcBorders>
            <w:shd w:val="clear" w:color="auto" w:fill="FFFFFF"/>
            <w:vAlign w:val="center"/>
          </w:tcPr>
          <w:p w14:paraId="7B45D16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,722</w:t>
            </w:r>
          </w:p>
        </w:tc>
        <w:tc>
          <w:tcPr>
            <w:tcW w:w="1476" w:type="dxa"/>
            <w:tcBorders>
              <w:top w:val="nil"/>
              <w:bottom w:val="nil"/>
            </w:tcBorders>
            <w:shd w:val="clear" w:color="auto" w:fill="FFFFFF"/>
            <w:vAlign w:val="center"/>
          </w:tcPr>
          <w:p w14:paraId="4080355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-,088247139232648</w:t>
            </w:r>
          </w:p>
        </w:tc>
        <w:tc>
          <w:tcPr>
            <w:tcW w:w="1476" w:type="dxa"/>
            <w:tcBorders>
              <w:top w:val="nil"/>
              <w:bottom w:val="nil"/>
              <w:right w:val="single" w:sz="16" w:space="0" w:color="000000"/>
            </w:tcBorders>
            <w:shd w:val="clear" w:color="auto" w:fill="FFFFFF"/>
            <w:vAlign w:val="center"/>
          </w:tcPr>
          <w:p w14:paraId="118A1B8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,127342240215484</w:t>
            </w:r>
          </w:p>
        </w:tc>
      </w:tr>
      <w:tr w:rsidR="00661F34" w:rsidRPr="003F4802" w14:paraId="30C21360" w14:textId="77777777" w:rsidTr="008E59D3">
        <w:trPr>
          <w:cantSplit/>
        </w:trPr>
        <w:tc>
          <w:tcPr>
            <w:tcW w:w="1045" w:type="dxa"/>
            <w:vMerge/>
            <w:tcBorders>
              <w:top w:val="nil"/>
              <w:left w:val="single" w:sz="16" w:space="0" w:color="000000"/>
              <w:bottom w:val="single" w:sz="16" w:space="0" w:color="000000"/>
              <w:right w:val="nil"/>
            </w:tcBorders>
            <w:shd w:val="clear" w:color="auto" w:fill="FFFFFF"/>
          </w:tcPr>
          <w:p w14:paraId="1473B700"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64034EC"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7,0</w:t>
            </w:r>
          </w:p>
        </w:tc>
        <w:tc>
          <w:tcPr>
            <w:tcW w:w="1476" w:type="dxa"/>
            <w:tcBorders>
              <w:top w:val="nil"/>
              <w:left w:val="single" w:sz="16" w:space="0" w:color="000000"/>
              <w:bottom w:val="nil"/>
            </w:tcBorders>
            <w:shd w:val="clear" w:color="auto" w:fill="FFFFFF"/>
            <w:vAlign w:val="center"/>
          </w:tcPr>
          <w:p w14:paraId="583B04D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,102895804708572</w:t>
            </w:r>
          </w:p>
        </w:tc>
        <w:tc>
          <w:tcPr>
            <w:tcW w:w="1476" w:type="dxa"/>
            <w:tcBorders>
              <w:top w:val="nil"/>
              <w:bottom w:val="nil"/>
            </w:tcBorders>
            <w:shd w:val="clear" w:color="auto" w:fill="FFFFFF"/>
            <w:vAlign w:val="center"/>
          </w:tcPr>
          <w:p w14:paraId="6B36AF4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,053150832463634</w:t>
            </w:r>
          </w:p>
        </w:tc>
        <w:tc>
          <w:tcPr>
            <w:tcW w:w="1029" w:type="dxa"/>
            <w:tcBorders>
              <w:top w:val="nil"/>
              <w:bottom w:val="nil"/>
            </w:tcBorders>
            <w:shd w:val="clear" w:color="auto" w:fill="FFFFFF"/>
            <w:vAlign w:val="center"/>
          </w:tcPr>
          <w:p w14:paraId="2BEE656C"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,053</w:t>
            </w:r>
          </w:p>
        </w:tc>
        <w:tc>
          <w:tcPr>
            <w:tcW w:w="1476" w:type="dxa"/>
            <w:tcBorders>
              <w:top w:val="nil"/>
              <w:bottom w:val="nil"/>
            </w:tcBorders>
            <w:shd w:val="clear" w:color="auto" w:fill="FFFFFF"/>
            <w:vAlign w:val="center"/>
          </w:tcPr>
          <w:p w14:paraId="73B5B02E"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-,001303442742242</w:t>
            </w:r>
          </w:p>
        </w:tc>
        <w:tc>
          <w:tcPr>
            <w:tcW w:w="1476" w:type="dxa"/>
            <w:tcBorders>
              <w:top w:val="nil"/>
              <w:bottom w:val="nil"/>
              <w:right w:val="single" w:sz="16" w:space="0" w:color="000000"/>
            </w:tcBorders>
            <w:shd w:val="clear" w:color="auto" w:fill="FFFFFF"/>
            <w:vAlign w:val="center"/>
          </w:tcPr>
          <w:p w14:paraId="1C34CDA6"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,207095052159386</w:t>
            </w:r>
          </w:p>
        </w:tc>
      </w:tr>
      <w:tr w:rsidR="00661F34" w:rsidRPr="003F4802" w14:paraId="5FA0DCB1" w14:textId="77777777" w:rsidTr="008E59D3">
        <w:trPr>
          <w:cantSplit/>
        </w:trPr>
        <w:tc>
          <w:tcPr>
            <w:tcW w:w="1045" w:type="dxa"/>
            <w:vMerge/>
            <w:tcBorders>
              <w:top w:val="nil"/>
              <w:left w:val="single" w:sz="16" w:space="0" w:color="000000"/>
              <w:bottom w:val="single" w:sz="16" w:space="0" w:color="000000"/>
              <w:right w:val="nil"/>
            </w:tcBorders>
            <w:shd w:val="clear" w:color="auto" w:fill="FFFFFF"/>
          </w:tcPr>
          <w:p w14:paraId="206E1AF3"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nil"/>
              <w:right w:val="single" w:sz="16" w:space="0" w:color="000000"/>
            </w:tcBorders>
            <w:shd w:val="clear" w:color="auto" w:fill="FFFFFF"/>
          </w:tcPr>
          <w:p w14:paraId="3B0CA449"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8,0</w:t>
            </w:r>
          </w:p>
        </w:tc>
        <w:tc>
          <w:tcPr>
            <w:tcW w:w="1476" w:type="dxa"/>
            <w:tcBorders>
              <w:top w:val="nil"/>
              <w:left w:val="single" w:sz="16" w:space="0" w:color="000000"/>
              <w:bottom w:val="nil"/>
            </w:tcBorders>
            <w:shd w:val="clear" w:color="auto" w:fill="FFFFFF"/>
            <w:vAlign w:val="center"/>
          </w:tcPr>
          <w:p w14:paraId="6F074D5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,049565622100801</w:t>
            </w:r>
          </w:p>
        </w:tc>
        <w:tc>
          <w:tcPr>
            <w:tcW w:w="1476" w:type="dxa"/>
            <w:tcBorders>
              <w:top w:val="nil"/>
              <w:bottom w:val="nil"/>
            </w:tcBorders>
            <w:shd w:val="clear" w:color="auto" w:fill="FFFFFF"/>
            <w:vAlign w:val="center"/>
          </w:tcPr>
          <w:p w14:paraId="062F3E74"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,050235636741261</w:t>
            </w:r>
          </w:p>
        </w:tc>
        <w:tc>
          <w:tcPr>
            <w:tcW w:w="1029" w:type="dxa"/>
            <w:tcBorders>
              <w:top w:val="nil"/>
              <w:bottom w:val="nil"/>
            </w:tcBorders>
            <w:shd w:val="clear" w:color="auto" w:fill="FFFFFF"/>
            <w:vAlign w:val="center"/>
          </w:tcPr>
          <w:p w14:paraId="5D7BAA00"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,324</w:t>
            </w:r>
          </w:p>
        </w:tc>
        <w:tc>
          <w:tcPr>
            <w:tcW w:w="1476" w:type="dxa"/>
            <w:tcBorders>
              <w:top w:val="nil"/>
              <w:bottom w:val="nil"/>
            </w:tcBorders>
            <w:shd w:val="clear" w:color="auto" w:fill="FFFFFF"/>
            <w:vAlign w:val="center"/>
          </w:tcPr>
          <w:p w14:paraId="6C35B53D"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-,048918546462945</w:t>
            </w:r>
          </w:p>
        </w:tc>
        <w:tc>
          <w:tcPr>
            <w:tcW w:w="1476" w:type="dxa"/>
            <w:tcBorders>
              <w:top w:val="nil"/>
              <w:bottom w:val="nil"/>
              <w:right w:val="single" w:sz="16" w:space="0" w:color="000000"/>
            </w:tcBorders>
            <w:shd w:val="clear" w:color="auto" w:fill="FFFFFF"/>
            <w:vAlign w:val="center"/>
          </w:tcPr>
          <w:p w14:paraId="6376CCE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,148049790664546</w:t>
            </w:r>
          </w:p>
        </w:tc>
      </w:tr>
      <w:tr w:rsidR="00661F34" w:rsidRPr="003F4802" w14:paraId="5B910DE6" w14:textId="77777777" w:rsidTr="008E59D3">
        <w:trPr>
          <w:cantSplit/>
        </w:trPr>
        <w:tc>
          <w:tcPr>
            <w:tcW w:w="1045" w:type="dxa"/>
            <w:vMerge/>
            <w:tcBorders>
              <w:top w:val="nil"/>
              <w:left w:val="single" w:sz="16" w:space="0" w:color="000000"/>
              <w:bottom w:val="single" w:sz="16" w:space="0" w:color="000000"/>
              <w:right w:val="nil"/>
            </w:tcBorders>
            <w:shd w:val="clear" w:color="auto" w:fill="FFFFFF"/>
          </w:tcPr>
          <w:p w14:paraId="393F5369" w14:textId="77777777" w:rsidR="00661F34" w:rsidRPr="003F4802" w:rsidRDefault="00661F34" w:rsidP="008E59D3">
            <w:pPr>
              <w:autoSpaceDE w:val="0"/>
              <w:autoSpaceDN w:val="0"/>
              <w:adjustRightInd w:val="0"/>
              <w:spacing w:after="0" w:line="240" w:lineRule="auto"/>
              <w:rPr>
                <w:rFonts w:cs="Arial"/>
                <w:color w:val="000000"/>
                <w:sz w:val="16"/>
                <w:szCs w:val="16"/>
                <w:lang w:val="en-GB"/>
              </w:rPr>
            </w:pPr>
          </w:p>
        </w:tc>
        <w:tc>
          <w:tcPr>
            <w:tcW w:w="1091" w:type="dxa"/>
            <w:tcBorders>
              <w:top w:val="nil"/>
              <w:left w:val="nil"/>
              <w:bottom w:val="single" w:sz="16" w:space="0" w:color="000000"/>
              <w:right w:val="single" w:sz="16" w:space="0" w:color="000000"/>
            </w:tcBorders>
            <w:shd w:val="clear" w:color="auto" w:fill="FFFFFF"/>
          </w:tcPr>
          <w:p w14:paraId="4D6FA634" w14:textId="77777777" w:rsidR="00661F34" w:rsidRPr="003F4802" w:rsidRDefault="00661F34" w:rsidP="008E59D3">
            <w:pPr>
              <w:autoSpaceDE w:val="0"/>
              <w:autoSpaceDN w:val="0"/>
              <w:adjustRightInd w:val="0"/>
              <w:spacing w:after="0" w:line="240" w:lineRule="auto"/>
              <w:ind w:left="60" w:right="60"/>
              <w:rPr>
                <w:rFonts w:cs="Arial"/>
                <w:color w:val="000000"/>
                <w:sz w:val="16"/>
                <w:szCs w:val="16"/>
                <w:lang w:val="en-GB"/>
              </w:rPr>
            </w:pPr>
            <w:r w:rsidRPr="003F4802">
              <w:rPr>
                <w:rFonts w:cs="Arial"/>
                <w:color w:val="000000"/>
                <w:sz w:val="16"/>
                <w:szCs w:val="16"/>
                <w:lang w:val="en-GB"/>
              </w:rPr>
              <w:t>9,0</w:t>
            </w:r>
          </w:p>
        </w:tc>
        <w:tc>
          <w:tcPr>
            <w:tcW w:w="1476" w:type="dxa"/>
            <w:tcBorders>
              <w:top w:val="nil"/>
              <w:left w:val="single" w:sz="16" w:space="0" w:color="000000"/>
              <w:bottom w:val="single" w:sz="16" w:space="0" w:color="000000"/>
            </w:tcBorders>
            <w:shd w:val="clear" w:color="auto" w:fill="FFFFFF"/>
            <w:vAlign w:val="center"/>
          </w:tcPr>
          <w:p w14:paraId="4F480888"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,117695250861954</w:t>
            </w:r>
            <w:r w:rsidRPr="003F4802">
              <w:rPr>
                <w:rFonts w:cs="Arial"/>
                <w:color w:val="000000"/>
                <w:sz w:val="16"/>
                <w:szCs w:val="16"/>
                <w:vertAlign w:val="superscript"/>
                <w:lang w:val="en-GB"/>
              </w:rPr>
              <w:t>*</w:t>
            </w:r>
          </w:p>
        </w:tc>
        <w:tc>
          <w:tcPr>
            <w:tcW w:w="1476" w:type="dxa"/>
            <w:tcBorders>
              <w:top w:val="nil"/>
              <w:bottom w:val="single" w:sz="16" w:space="0" w:color="000000"/>
            </w:tcBorders>
            <w:shd w:val="clear" w:color="auto" w:fill="FFFFFF"/>
            <w:vAlign w:val="center"/>
          </w:tcPr>
          <w:p w14:paraId="197C3BF9"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,051295572175461</w:t>
            </w:r>
          </w:p>
        </w:tc>
        <w:tc>
          <w:tcPr>
            <w:tcW w:w="1029" w:type="dxa"/>
            <w:tcBorders>
              <w:top w:val="nil"/>
              <w:bottom w:val="single" w:sz="16" w:space="0" w:color="000000"/>
            </w:tcBorders>
            <w:shd w:val="clear" w:color="auto" w:fill="FFFFFF"/>
            <w:vAlign w:val="center"/>
          </w:tcPr>
          <w:p w14:paraId="4E158EE1"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,022</w:t>
            </w:r>
          </w:p>
        </w:tc>
        <w:tc>
          <w:tcPr>
            <w:tcW w:w="1476" w:type="dxa"/>
            <w:tcBorders>
              <w:top w:val="nil"/>
              <w:bottom w:val="single" w:sz="16" w:space="0" w:color="000000"/>
            </w:tcBorders>
            <w:shd w:val="clear" w:color="auto" w:fill="FFFFFF"/>
            <w:vAlign w:val="center"/>
          </w:tcPr>
          <w:p w14:paraId="2C173C42"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,017133137899771</w:t>
            </w:r>
          </w:p>
        </w:tc>
        <w:tc>
          <w:tcPr>
            <w:tcW w:w="1476" w:type="dxa"/>
            <w:tcBorders>
              <w:top w:val="nil"/>
              <w:bottom w:val="single" w:sz="16" w:space="0" w:color="000000"/>
              <w:right w:val="single" w:sz="16" w:space="0" w:color="000000"/>
            </w:tcBorders>
            <w:shd w:val="clear" w:color="auto" w:fill="FFFFFF"/>
            <w:vAlign w:val="center"/>
          </w:tcPr>
          <w:p w14:paraId="126F86BF" w14:textId="77777777" w:rsidR="00661F34" w:rsidRPr="003F4802" w:rsidRDefault="00661F34" w:rsidP="008E59D3">
            <w:pPr>
              <w:autoSpaceDE w:val="0"/>
              <w:autoSpaceDN w:val="0"/>
              <w:adjustRightInd w:val="0"/>
              <w:spacing w:after="0" w:line="240" w:lineRule="auto"/>
              <w:ind w:left="60" w:right="60"/>
              <w:jc w:val="right"/>
              <w:rPr>
                <w:rFonts w:cs="Arial"/>
                <w:color w:val="000000"/>
                <w:sz w:val="16"/>
                <w:szCs w:val="16"/>
                <w:lang w:val="en-GB"/>
              </w:rPr>
            </w:pPr>
            <w:r w:rsidRPr="003F4802">
              <w:rPr>
                <w:rFonts w:cs="Arial"/>
                <w:color w:val="000000"/>
                <w:sz w:val="16"/>
                <w:szCs w:val="16"/>
                <w:lang w:val="en-GB"/>
              </w:rPr>
              <w:t>,218257363824136</w:t>
            </w:r>
          </w:p>
        </w:tc>
      </w:tr>
    </w:tbl>
    <w:p w14:paraId="38B46B33" w14:textId="77777777" w:rsidR="00661F34" w:rsidRPr="00661F34" w:rsidRDefault="00661F34" w:rsidP="00661F34">
      <w:pPr>
        <w:autoSpaceDE w:val="0"/>
        <w:autoSpaceDN w:val="0"/>
        <w:adjustRightInd w:val="0"/>
        <w:spacing w:after="0" w:line="400" w:lineRule="atLeast"/>
        <w:rPr>
          <w:rFonts w:ascii="Times New Roman" w:hAnsi="Times New Roman" w:cs="Times New Roman"/>
          <w:sz w:val="24"/>
          <w:szCs w:val="24"/>
          <w:lang w:val="en-GB"/>
        </w:rPr>
      </w:pPr>
    </w:p>
    <w:p w14:paraId="4F744599" w14:textId="77777777" w:rsidR="00661F34" w:rsidRDefault="00661F34">
      <w:pPr>
        <w:rPr>
          <w:rFonts w:asciiTheme="majorHAnsi" w:eastAsiaTheme="majorEastAsia" w:hAnsiTheme="majorHAnsi" w:cstheme="majorBidi"/>
          <w:b/>
          <w:bCs/>
          <w:color w:val="4F81BD" w:themeColor="accent1"/>
          <w:sz w:val="26"/>
          <w:szCs w:val="26"/>
          <w:lang w:val="en-GB"/>
        </w:rPr>
      </w:pPr>
    </w:p>
    <w:sectPr w:rsidR="00661F34" w:rsidSect="0096660E">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ACA0A" w14:textId="77777777" w:rsidR="004518B7" w:rsidRDefault="004518B7" w:rsidP="0096660E">
      <w:pPr>
        <w:spacing w:after="0" w:line="240" w:lineRule="auto"/>
      </w:pPr>
      <w:r>
        <w:separator/>
      </w:r>
    </w:p>
    <w:p w14:paraId="5EC5BF5E" w14:textId="77777777" w:rsidR="004518B7" w:rsidRDefault="004518B7"/>
  </w:endnote>
  <w:endnote w:type="continuationSeparator" w:id="0">
    <w:p w14:paraId="5D119631" w14:textId="77777777" w:rsidR="004518B7" w:rsidRDefault="004518B7" w:rsidP="0096660E">
      <w:pPr>
        <w:spacing w:after="0" w:line="240" w:lineRule="auto"/>
      </w:pPr>
      <w:r>
        <w:continuationSeparator/>
      </w:r>
    </w:p>
    <w:p w14:paraId="06BBB783" w14:textId="77777777" w:rsidR="004518B7" w:rsidRDefault="00451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12433"/>
      <w:docPartObj>
        <w:docPartGallery w:val="Page Numbers (Bottom of Page)"/>
        <w:docPartUnique/>
      </w:docPartObj>
    </w:sdtPr>
    <w:sdtContent>
      <w:p w14:paraId="065E1859" w14:textId="77777777" w:rsidR="00A726AB" w:rsidRDefault="00A726AB">
        <w:pPr>
          <w:pStyle w:val="Voettekst"/>
          <w:jc w:val="center"/>
        </w:pPr>
        <w:r>
          <w:fldChar w:fldCharType="begin"/>
        </w:r>
        <w:r>
          <w:instrText>PAGE   \* MERGEFORMAT</w:instrText>
        </w:r>
        <w:r>
          <w:fldChar w:fldCharType="separate"/>
        </w:r>
        <w:r w:rsidR="004043A1">
          <w:rPr>
            <w:noProof/>
          </w:rPr>
          <w:t>7</w:t>
        </w:r>
        <w:r>
          <w:fldChar w:fldCharType="end"/>
        </w:r>
      </w:p>
    </w:sdtContent>
  </w:sdt>
  <w:p w14:paraId="62D8CD6B" w14:textId="77777777" w:rsidR="00A726AB" w:rsidRDefault="00A726AB">
    <w:pPr>
      <w:pStyle w:val="Voettekst"/>
    </w:pPr>
  </w:p>
  <w:p w14:paraId="23358B71" w14:textId="77777777" w:rsidR="00A726AB" w:rsidRDefault="00A726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CEEB" w14:textId="77777777" w:rsidR="004518B7" w:rsidRDefault="004518B7" w:rsidP="0096660E">
      <w:pPr>
        <w:spacing w:after="0" w:line="240" w:lineRule="auto"/>
      </w:pPr>
      <w:r>
        <w:separator/>
      </w:r>
    </w:p>
    <w:p w14:paraId="6DEC1045" w14:textId="77777777" w:rsidR="004518B7" w:rsidRDefault="004518B7"/>
  </w:footnote>
  <w:footnote w:type="continuationSeparator" w:id="0">
    <w:p w14:paraId="6BC7804D" w14:textId="77777777" w:rsidR="004518B7" w:rsidRDefault="004518B7" w:rsidP="0096660E">
      <w:pPr>
        <w:spacing w:after="0" w:line="240" w:lineRule="auto"/>
      </w:pPr>
      <w:r>
        <w:continuationSeparator/>
      </w:r>
    </w:p>
    <w:p w14:paraId="5F91E888" w14:textId="77777777" w:rsidR="004518B7" w:rsidRDefault="004518B7"/>
  </w:footnote>
  <w:footnote w:id="1">
    <w:p w14:paraId="59BC0529" w14:textId="77777777" w:rsidR="00A726AB" w:rsidRPr="00711CE3" w:rsidRDefault="00A726AB" w:rsidP="009A675C">
      <w:pPr>
        <w:pStyle w:val="Voetnoottekst"/>
        <w:jc w:val="both"/>
        <w:rPr>
          <w:lang w:val="en-GB"/>
        </w:rPr>
      </w:pPr>
      <w:r w:rsidRPr="00711CE3">
        <w:rPr>
          <w:rStyle w:val="Voetnootmarkering"/>
          <w:lang w:val="en-GB"/>
        </w:rPr>
        <w:footnoteRef/>
      </w:r>
      <w:r w:rsidRPr="00711CE3">
        <w:rPr>
          <w:lang w:val="en-GB"/>
        </w:rPr>
        <w:t xml:space="preserve"> </w:t>
      </w:r>
      <w:r w:rsidRPr="00711CE3">
        <w:rPr>
          <w:shd w:val="clear" w:color="auto" w:fill="FFFFFF"/>
          <w:lang w:val="en-GB"/>
        </w:rPr>
        <w:t xml:space="preserve">A fiduciary duty is an obligation to act in the best interest of another party. For instance, a corporation's board member has a fiduciary duty to the shareholders, a trustee has a fiduciary duty to the trust's beneficiaries, and an attorney has a fiduciary duty to a client </w:t>
      </w:r>
      <w:r w:rsidRPr="00711CE3">
        <w:rPr>
          <w:shd w:val="clear" w:color="auto" w:fill="FFFFFF"/>
          <w:lang w:val="en-GB"/>
        </w:rPr>
        <w:fldChar w:fldCharType="begin"/>
      </w:r>
      <w:r w:rsidRPr="00711CE3">
        <w:rPr>
          <w:shd w:val="clear" w:color="auto" w:fill="FFFFFF"/>
          <w:lang w:val="en-GB"/>
        </w:rPr>
        <w:instrText>ADDIN RW.CITE{{16 USLegal 2015 ~f~k}}</w:instrText>
      </w:r>
      <w:r w:rsidRPr="00711CE3">
        <w:rPr>
          <w:shd w:val="clear" w:color="auto" w:fill="FFFFFF"/>
          <w:lang w:val="en-GB"/>
        </w:rPr>
        <w:fldChar w:fldCharType="separate"/>
      </w:r>
      <w:r w:rsidRPr="00711CE3">
        <w:rPr>
          <w:rFonts w:ascii="Calibri" w:hAnsi="Calibri"/>
          <w:shd w:val="clear" w:color="auto" w:fill="FFFFFF"/>
          <w:lang w:val="en-GB"/>
        </w:rPr>
        <w:t>(US Legal, 2015)</w:t>
      </w:r>
      <w:r w:rsidRPr="00711CE3">
        <w:rPr>
          <w:shd w:val="clear" w:color="auto" w:fill="FFFFFF"/>
          <w:lang w:val="en-GB"/>
        </w:rPr>
        <w:fldChar w:fldCharType="end"/>
      </w:r>
      <w:r w:rsidRPr="00711CE3">
        <w:rPr>
          <w:shd w:val="clear" w:color="auto" w:fill="FFFFFF"/>
          <w:lang w:val="en-GB"/>
        </w:rPr>
        <w:t>.</w:t>
      </w:r>
    </w:p>
  </w:footnote>
  <w:footnote w:id="2">
    <w:p w14:paraId="51A1E376" w14:textId="77777777" w:rsidR="00A726AB" w:rsidRPr="002879E4" w:rsidRDefault="00A726AB" w:rsidP="00F51C55">
      <w:pPr>
        <w:pStyle w:val="Voetnoottekst"/>
        <w:jc w:val="both"/>
        <w:rPr>
          <w:lang w:val="en-GB"/>
        </w:rPr>
      </w:pPr>
      <w:r>
        <w:rPr>
          <w:rStyle w:val="Voetnootmarkering"/>
        </w:rPr>
        <w:footnoteRef/>
      </w:r>
      <w:r w:rsidRPr="002879E4">
        <w:rPr>
          <w:lang w:val="en-GB"/>
        </w:rPr>
        <w:t xml:space="preserve"> </w:t>
      </w:r>
      <w:r>
        <w:rPr>
          <w:lang w:val="en-GB"/>
        </w:rPr>
        <w:t>Public firms reduced the percentage of bonus contingent to financial performance, where financial performance is interpreted as the measure for CFO’s managerial performance.</w:t>
      </w:r>
    </w:p>
  </w:footnote>
  <w:footnote w:id="3">
    <w:p w14:paraId="61DB46EB" w14:textId="662C7C8B" w:rsidR="00A726AB" w:rsidRPr="00711CE3" w:rsidRDefault="00A726AB" w:rsidP="009A675C">
      <w:pPr>
        <w:pStyle w:val="Voetnoottekst"/>
        <w:jc w:val="both"/>
        <w:rPr>
          <w:lang w:val="en-GB"/>
        </w:rPr>
      </w:pPr>
      <w:r w:rsidRPr="00711CE3">
        <w:rPr>
          <w:rStyle w:val="Voetnootmarkering"/>
          <w:lang w:val="en-GB"/>
        </w:rPr>
        <w:footnoteRef/>
      </w:r>
      <w:r w:rsidRPr="00711CE3">
        <w:rPr>
          <w:lang w:val="en-GB"/>
        </w:rPr>
        <w:t xml:space="preserve"> For example: </w:t>
      </w:r>
      <w:r>
        <w:rPr>
          <w:lang w:val="en-GB"/>
        </w:rPr>
        <w:t>“</w:t>
      </w:r>
      <w:r w:rsidRPr="00711CE3">
        <w:rPr>
          <w:lang w:val="en-GB"/>
        </w:rPr>
        <w:t>physical appointments of the office, the attractiveness of the office staff, the level of employee discipline, the kind and amount of charitable contributions, personal relations with employees, a larger than optimal computer to play with</w:t>
      </w:r>
      <w:r>
        <w:rPr>
          <w:lang w:val="en-GB"/>
        </w:rPr>
        <w:t>”</w:t>
      </w:r>
      <w:r w:rsidRPr="00711CE3">
        <w:rPr>
          <w:lang w:val="en-GB"/>
        </w:rPr>
        <w:t xml:space="preserve"> </w:t>
      </w:r>
      <w:r w:rsidRPr="00711CE3">
        <w:rPr>
          <w:lang w:val="en-GB"/>
        </w:rPr>
        <w:fldChar w:fldCharType="begin"/>
      </w:r>
      <w:r w:rsidRPr="00711CE3">
        <w:rPr>
          <w:lang w:val="en-GB"/>
        </w:rPr>
        <w:instrText>ADDIN RW.CITE{{25 Jensen,Michael.C. 1976 ~f~k}}</w:instrText>
      </w:r>
      <w:r w:rsidRPr="00711CE3">
        <w:rPr>
          <w:lang w:val="en-GB"/>
        </w:rPr>
        <w:fldChar w:fldCharType="separate"/>
      </w:r>
      <w:r w:rsidRPr="00254F5A">
        <w:rPr>
          <w:rFonts w:ascii="Calibri" w:hAnsi="Calibri"/>
          <w:lang w:val="en-GB"/>
        </w:rPr>
        <w:t>(Jensen &amp; Meckling, 1976)</w:t>
      </w:r>
      <w:r w:rsidRPr="00711CE3">
        <w:rPr>
          <w:lang w:val="en-GB"/>
        </w:rPr>
        <w:fldChar w:fldCharType="end"/>
      </w:r>
      <w:r w:rsidRPr="00711CE3">
        <w:rPr>
          <w:lang w:val="en-GB"/>
        </w:rPr>
        <w:t>.</w:t>
      </w:r>
    </w:p>
  </w:footnote>
  <w:footnote w:id="4">
    <w:p w14:paraId="5B971C1A" w14:textId="0B7733FA" w:rsidR="00A726AB" w:rsidRPr="00E325BD" w:rsidRDefault="00A726AB" w:rsidP="00C9241F">
      <w:pPr>
        <w:pStyle w:val="Voetnoottekst"/>
        <w:jc w:val="both"/>
        <w:rPr>
          <w:lang w:val="en-GB"/>
        </w:rPr>
      </w:pPr>
      <w:r>
        <w:rPr>
          <w:rStyle w:val="Voetnootmarkering"/>
        </w:rPr>
        <w:footnoteRef/>
      </w:r>
      <w:r w:rsidRPr="00E325BD">
        <w:rPr>
          <w:lang w:val="en-GB"/>
        </w:rPr>
        <w:t xml:space="preserve"> </w:t>
      </w:r>
      <w:r>
        <w:rPr>
          <w:lang w:val="en-GB"/>
        </w:rPr>
        <w:t xml:space="preserve">“All out-of-pocket, monetary costs required to design and implement the control system such as cash bonuses or the costs of maintaining an audit staff” </w:t>
      </w:r>
      <w:r>
        <w:rPr>
          <w:lang w:val="en-GB"/>
        </w:rPr>
        <w:fldChar w:fldCharType="begin"/>
      </w:r>
      <w:r>
        <w:rPr>
          <w:lang w:val="en-GB"/>
        </w:rPr>
        <w:instrText>ADDIN RW.CITE{{32 Merchant,KennethA. 2007 ~f~k}}</w:instrText>
      </w:r>
      <w:r>
        <w:rPr>
          <w:lang w:val="en-GB"/>
        </w:rPr>
        <w:fldChar w:fldCharType="separate"/>
      </w:r>
      <w:r w:rsidRPr="00254F5A">
        <w:rPr>
          <w:rFonts w:ascii="Calibri" w:hAnsi="Calibri"/>
          <w:lang w:val="en-GB"/>
        </w:rPr>
        <w:t>(Merchant &amp; Van der Stede, 2007)</w:t>
      </w:r>
      <w:r>
        <w:rPr>
          <w:lang w:val="en-GB"/>
        </w:rPr>
        <w:fldChar w:fldCharType="end"/>
      </w:r>
      <w:r>
        <w:rPr>
          <w:lang w:val="en-GB"/>
        </w:rPr>
        <w:t>.</w:t>
      </w:r>
    </w:p>
  </w:footnote>
  <w:footnote w:id="5">
    <w:p w14:paraId="55E8CDC4" w14:textId="7B41B3FF" w:rsidR="00A726AB" w:rsidRPr="008F7161" w:rsidRDefault="00A726AB" w:rsidP="00C9241F">
      <w:pPr>
        <w:pStyle w:val="Voetnoottekst"/>
        <w:jc w:val="both"/>
        <w:rPr>
          <w:lang w:val="en-GB"/>
        </w:rPr>
      </w:pPr>
      <w:r>
        <w:rPr>
          <w:rStyle w:val="Voetnootmarkering"/>
        </w:rPr>
        <w:footnoteRef/>
      </w:r>
      <w:r w:rsidRPr="008F7161">
        <w:rPr>
          <w:lang w:val="en-GB"/>
        </w:rPr>
        <w:t xml:space="preserve"> </w:t>
      </w:r>
      <w:r>
        <w:rPr>
          <w:lang w:val="en-GB"/>
        </w:rPr>
        <w:t xml:space="preserve">“Costs of control caused by any number of harmful side effects, including behavioural displacement, gamesmanship, operating delays, and negative attitudes” </w:t>
      </w:r>
      <w:r>
        <w:rPr>
          <w:lang w:val="en-GB"/>
        </w:rPr>
        <w:fldChar w:fldCharType="begin"/>
      </w:r>
      <w:r>
        <w:rPr>
          <w:lang w:val="en-GB"/>
        </w:rPr>
        <w:instrText>ADDIN RW.CITE{{32 Merchant,KennethA. 2007 ~f~k}}</w:instrText>
      </w:r>
      <w:r>
        <w:rPr>
          <w:lang w:val="en-GB"/>
        </w:rPr>
        <w:fldChar w:fldCharType="separate"/>
      </w:r>
      <w:r w:rsidRPr="00254F5A">
        <w:rPr>
          <w:rFonts w:ascii="Calibri" w:hAnsi="Calibri"/>
          <w:lang w:val="en-GB"/>
        </w:rPr>
        <w:t>(Merchant &amp; Van der Stede, 2007)</w:t>
      </w:r>
      <w:r>
        <w:rPr>
          <w:lang w:val="en-GB"/>
        </w:rPr>
        <w:fldChar w:fldCharType="end"/>
      </w:r>
      <w:r>
        <w:rPr>
          <w:lang w:val="en-GB"/>
        </w:rPr>
        <w:t>.</w:t>
      </w:r>
    </w:p>
  </w:footnote>
  <w:footnote w:id="6">
    <w:p w14:paraId="0DF03357" w14:textId="09BDBC74" w:rsidR="00A726AB" w:rsidRPr="00AC37B8" w:rsidRDefault="00A726AB" w:rsidP="00C9241F">
      <w:pPr>
        <w:pStyle w:val="Voetnoottekst"/>
        <w:jc w:val="both"/>
        <w:rPr>
          <w:lang w:val="en-GB"/>
        </w:rPr>
      </w:pPr>
      <w:r>
        <w:rPr>
          <w:rStyle w:val="Voetnootmarkering"/>
        </w:rPr>
        <w:footnoteRef/>
      </w:r>
      <w:r w:rsidRPr="00AC37B8">
        <w:rPr>
          <w:lang w:val="en-GB"/>
        </w:rPr>
        <w:t xml:space="preserve"> </w:t>
      </w:r>
      <w:r>
        <w:rPr>
          <w:lang w:val="en-GB"/>
        </w:rPr>
        <w:t xml:space="preserve">“Direct form of control by making the actions themselves the focus of control, such as behavioural constraints, pre-action reviews, action accountability, and redundancy” </w:t>
      </w:r>
      <w:r>
        <w:rPr>
          <w:lang w:val="en-GB"/>
        </w:rPr>
        <w:fldChar w:fldCharType="begin"/>
      </w:r>
      <w:r>
        <w:rPr>
          <w:lang w:val="en-GB"/>
        </w:rPr>
        <w:instrText>ADDIN RW.CITE{{32 Merchant,KennethA. 2007 ~f~k}}</w:instrText>
      </w:r>
      <w:r>
        <w:rPr>
          <w:lang w:val="en-GB"/>
        </w:rPr>
        <w:fldChar w:fldCharType="separate"/>
      </w:r>
      <w:r w:rsidRPr="00254F5A">
        <w:rPr>
          <w:rFonts w:ascii="Calibri" w:hAnsi="Calibri"/>
          <w:lang w:val="en-GB"/>
        </w:rPr>
        <w:t>(Merchant &amp; Van der Stede, 2007)</w:t>
      </w:r>
      <w:r>
        <w:rPr>
          <w:lang w:val="en-GB"/>
        </w:rPr>
        <w:fldChar w:fldCharType="end"/>
      </w:r>
      <w:r>
        <w:rPr>
          <w:lang w:val="en-GB"/>
        </w:rPr>
        <w:t>.</w:t>
      </w:r>
    </w:p>
  </w:footnote>
  <w:footnote w:id="7">
    <w:p w14:paraId="4525D41F" w14:textId="6BCF06BB" w:rsidR="00A726AB" w:rsidRPr="00AC37B8" w:rsidRDefault="00A726AB" w:rsidP="00C9241F">
      <w:pPr>
        <w:pStyle w:val="Voetnoottekst"/>
        <w:jc w:val="both"/>
        <w:rPr>
          <w:lang w:val="en-GB"/>
        </w:rPr>
      </w:pPr>
      <w:r>
        <w:rPr>
          <w:rStyle w:val="Voetnootmarkering"/>
        </w:rPr>
        <w:footnoteRef/>
      </w:r>
      <w:r w:rsidRPr="00AC37B8">
        <w:rPr>
          <w:lang w:val="en-GB"/>
        </w:rPr>
        <w:t xml:space="preserve"> </w:t>
      </w:r>
      <w:r>
        <w:rPr>
          <w:lang w:val="en-GB"/>
        </w:rPr>
        <w:t xml:space="preserve">“Controls by mutual monitoring, such as a powerful form of group pressure on individuals who deviate from group norms and values” </w:t>
      </w:r>
      <w:r>
        <w:rPr>
          <w:lang w:val="en-GB"/>
        </w:rPr>
        <w:fldChar w:fldCharType="begin"/>
      </w:r>
      <w:r>
        <w:rPr>
          <w:lang w:val="en-GB"/>
        </w:rPr>
        <w:instrText>ADDIN RW.CITE{{32 Merchant,KennethA. 2007 ~f~k}}</w:instrText>
      </w:r>
      <w:r>
        <w:rPr>
          <w:lang w:val="en-GB"/>
        </w:rPr>
        <w:fldChar w:fldCharType="separate"/>
      </w:r>
      <w:r w:rsidRPr="00254F5A">
        <w:rPr>
          <w:rFonts w:ascii="Calibri" w:hAnsi="Calibri"/>
          <w:lang w:val="en-GB"/>
        </w:rPr>
        <w:t>(Merchant &amp; Van der Stede, 2007)</w:t>
      </w:r>
      <w:r>
        <w:rPr>
          <w:lang w:val="en-GB"/>
        </w:rPr>
        <w:fldChar w:fldCharType="end"/>
      </w:r>
      <w:r>
        <w:rPr>
          <w:lang w:val="en-GB"/>
        </w:rPr>
        <w:t>.</w:t>
      </w:r>
    </w:p>
  </w:footnote>
  <w:footnote w:id="8">
    <w:p w14:paraId="22C3E1EF" w14:textId="4F1A4AA5" w:rsidR="00A726AB" w:rsidRPr="00AC37B8" w:rsidRDefault="00A726AB" w:rsidP="00C9241F">
      <w:pPr>
        <w:pStyle w:val="Voetnoottekst"/>
        <w:jc w:val="both"/>
        <w:rPr>
          <w:lang w:val="en-GB"/>
        </w:rPr>
      </w:pPr>
      <w:r>
        <w:rPr>
          <w:rStyle w:val="Voetnootmarkering"/>
        </w:rPr>
        <w:footnoteRef/>
      </w:r>
      <w:r w:rsidRPr="00AC37B8">
        <w:rPr>
          <w:lang w:val="en-GB"/>
        </w:rPr>
        <w:t xml:space="preserve"> </w:t>
      </w:r>
      <w:r>
        <w:rPr>
          <w:lang w:val="en-GB"/>
        </w:rPr>
        <w:t>“Personnel controls build on employees’ natural tendencies to control or motivate themselves.</w:t>
      </w:r>
    </w:p>
  </w:footnote>
  <w:footnote w:id="9">
    <w:p w14:paraId="36A71926" w14:textId="029B454C" w:rsidR="00A726AB" w:rsidRPr="00C95882" w:rsidRDefault="00A726AB" w:rsidP="004B5AED">
      <w:pPr>
        <w:pStyle w:val="Voetnoottekst"/>
        <w:jc w:val="both"/>
        <w:rPr>
          <w:lang w:val="en-GB"/>
        </w:rPr>
      </w:pPr>
      <w:r>
        <w:rPr>
          <w:rStyle w:val="Voetnootmarkering"/>
        </w:rPr>
        <w:footnoteRef/>
      </w:r>
      <w:r w:rsidRPr="00C95882">
        <w:rPr>
          <w:lang w:val="en-GB"/>
        </w:rPr>
        <w:t xml:space="preserve"> </w:t>
      </w:r>
      <w:r>
        <w:rPr>
          <w:lang w:val="en-GB"/>
        </w:rPr>
        <w:t>“Clear and unambiguous articulation of what needs to be done”</w:t>
      </w:r>
      <w:r>
        <w:rPr>
          <w:lang w:val="en-GB"/>
        </w:rPr>
        <w:fldChar w:fldCharType="begin"/>
      </w:r>
      <w:r>
        <w:rPr>
          <w:lang w:val="en-GB"/>
        </w:rPr>
        <w:instrText>ADDIN RW.CITE{{62 Kerr,Steven 2004 ~f~k}}</w:instrText>
      </w:r>
      <w:r>
        <w:rPr>
          <w:lang w:val="en-GB"/>
        </w:rPr>
        <w:fldChar w:fldCharType="separate"/>
      </w:r>
      <w:r w:rsidRPr="00254F5A">
        <w:rPr>
          <w:rFonts w:ascii="Calibri" w:hAnsi="Calibri"/>
          <w:lang w:val="en-GB"/>
        </w:rPr>
        <w:t>(Kerr &amp; Landauer, 2004)</w:t>
      </w:r>
      <w:r>
        <w:rPr>
          <w:lang w:val="en-GB"/>
        </w:rPr>
        <w:fldChar w:fldCharType="end"/>
      </w:r>
      <w:r>
        <w:rPr>
          <w:lang w:val="en-GB"/>
        </w:rPr>
        <w:t>. See chapter 2.3 for CFO responsibilities.</w:t>
      </w:r>
    </w:p>
  </w:footnote>
  <w:footnote w:id="10">
    <w:p w14:paraId="37FAD796" w14:textId="56B7DDD0" w:rsidR="00A726AB" w:rsidRPr="00461D51" w:rsidRDefault="00A726AB">
      <w:pPr>
        <w:pStyle w:val="Voetnoottekst"/>
        <w:rPr>
          <w:lang w:val="en-GB"/>
        </w:rPr>
      </w:pPr>
      <w:r>
        <w:rPr>
          <w:rStyle w:val="Voetnootmarkering"/>
        </w:rPr>
        <w:footnoteRef/>
      </w:r>
      <w:r w:rsidRPr="00461D51">
        <w:rPr>
          <w:lang w:val="en-GB"/>
        </w:rPr>
        <w:t xml:space="preserve"> </w:t>
      </w:r>
      <w:r>
        <w:rPr>
          <w:lang w:val="en-GB"/>
        </w:rPr>
        <w:t xml:space="preserve">Until 2005, it was not compulsory for firms to account for stock option plans as an expense that decreases earnings. This flaw in the accounting rules resulted in firms to grant options rather than other forms of compensation that would cause an accountable expense.   </w:t>
      </w:r>
    </w:p>
  </w:footnote>
  <w:footnote w:id="11">
    <w:p w14:paraId="0FEE0D0B" w14:textId="29DC1FD3" w:rsidR="00A726AB" w:rsidRPr="00711CE3" w:rsidRDefault="00A726AB" w:rsidP="009A675C">
      <w:pPr>
        <w:pStyle w:val="Voetnoottekst"/>
        <w:jc w:val="both"/>
        <w:rPr>
          <w:lang w:val="en-GB"/>
        </w:rPr>
      </w:pPr>
      <w:r w:rsidRPr="00711CE3">
        <w:rPr>
          <w:rStyle w:val="Voetnootmarkering"/>
          <w:lang w:val="en-GB"/>
        </w:rPr>
        <w:footnoteRef/>
      </w:r>
      <w:r w:rsidRPr="00711CE3">
        <w:rPr>
          <w:lang w:val="en-GB"/>
        </w:rPr>
        <w:t xml:space="preserve"> </w:t>
      </w:r>
      <w:r>
        <w:rPr>
          <w:lang w:val="en-GB"/>
        </w:rPr>
        <w:t xml:space="preserve">Revenues that have been earned, but are not yet recorded in the accounts and expenses that have been incurred but are not yet recorded in the accounts. </w:t>
      </w:r>
      <w:r w:rsidRPr="00711CE3">
        <w:rPr>
          <w:lang w:val="en-GB"/>
        </w:rPr>
        <w:t xml:space="preserve">Accrual earnings is regarded as a superior measure of firm performance than cash flows because it mitigates timing and mismatching problems inherent in measuring cash flows over short intervals </w:t>
      </w:r>
      <w:r w:rsidRPr="00711CE3">
        <w:rPr>
          <w:lang w:val="en-GB"/>
        </w:rPr>
        <w:fldChar w:fldCharType="begin"/>
      </w:r>
      <w:r w:rsidRPr="00711CE3">
        <w:rPr>
          <w:lang w:val="en-GB"/>
        </w:rPr>
        <w:instrText>ADDIN RW.CITE{{26 Dechow,PatriciaM. 1994 ~f~k}}</w:instrText>
      </w:r>
      <w:r w:rsidRPr="00711CE3">
        <w:rPr>
          <w:lang w:val="en-GB"/>
        </w:rPr>
        <w:fldChar w:fldCharType="separate"/>
      </w:r>
      <w:r w:rsidRPr="00711CE3">
        <w:rPr>
          <w:rFonts w:ascii="Calibri" w:hAnsi="Calibri"/>
          <w:lang w:val="en-GB"/>
        </w:rPr>
        <w:t>(Dechow, 1994)</w:t>
      </w:r>
      <w:r w:rsidRPr="00711CE3">
        <w:rPr>
          <w:lang w:val="en-GB"/>
        </w:rPr>
        <w:fldChar w:fldCharType="end"/>
      </w:r>
      <w:r>
        <w:rPr>
          <w:lang w:val="en-GB"/>
        </w:rPr>
        <w:t>.</w:t>
      </w:r>
    </w:p>
  </w:footnote>
  <w:footnote w:id="12">
    <w:p w14:paraId="0E6BBB33" w14:textId="5685F3DA" w:rsidR="00A726AB" w:rsidRPr="00711CE3" w:rsidRDefault="00A726AB" w:rsidP="00495161">
      <w:pPr>
        <w:pStyle w:val="Voetnoottekst"/>
        <w:jc w:val="both"/>
        <w:rPr>
          <w:lang w:val="en-GB"/>
        </w:rPr>
      </w:pPr>
      <w:r w:rsidRPr="00711CE3">
        <w:rPr>
          <w:rStyle w:val="Voetnootmarkering"/>
          <w:lang w:val="en-GB"/>
        </w:rPr>
        <w:footnoteRef/>
      </w:r>
      <w:r w:rsidRPr="00711CE3">
        <w:rPr>
          <w:lang w:val="en-GB"/>
        </w:rPr>
        <w:t xml:space="preserve"> A material weakness must be reported if there is more than a remote chance that a material error could results from the deficiency</w:t>
      </w:r>
      <w:r>
        <w:rPr>
          <w:lang w:val="en-GB"/>
        </w:rPr>
        <w:t xml:space="preserve"> </w:t>
      </w:r>
      <w:r>
        <w:rPr>
          <w:lang w:val="en-GB"/>
        </w:rPr>
        <w:fldChar w:fldCharType="begin"/>
      </w:r>
      <w:r>
        <w:rPr>
          <w:lang w:val="en-GB"/>
        </w:rPr>
        <w:instrText>ADDIN RW.CITE{{42 Ramos,M. 2004 ~f~k}}</w:instrText>
      </w:r>
      <w:r>
        <w:rPr>
          <w:lang w:val="en-GB"/>
        </w:rPr>
        <w:fldChar w:fldCharType="separate"/>
      </w:r>
      <w:r w:rsidRPr="000579D4">
        <w:rPr>
          <w:rFonts w:ascii="Calibri" w:hAnsi="Calibri"/>
          <w:lang w:val="en-GB"/>
        </w:rPr>
        <w:t>(Ramos, 2004)</w:t>
      </w:r>
      <w:r>
        <w:rPr>
          <w:lang w:val="en-GB"/>
        </w:rPr>
        <w:fldChar w:fldCharType="end"/>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CDA"/>
    <w:multiLevelType w:val="hybridMultilevel"/>
    <w:tmpl w:val="FC248D6A"/>
    <w:lvl w:ilvl="0" w:tplc="D2800F5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700736"/>
    <w:multiLevelType w:val="hybridMultilevel"/>
    <w:tmpl w:val="F06604DC"/>
    <w:lvl w:ilvl="0" w:tplc="2946EBF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D4"/>
    <w:rsid w:val="00000773"/>
    <w:rsid w:val="00001A6A"/>
    <w:rsid w:val="000026B4"/>
    <w:rsid w:val="000068F3"/>
    <w:rsid w:val="00007654"/>
    <w:rsid w:val="0000796F"/>
    <w:rsid w:val="00010AFE"/>
    <w:rsid w:val="000126B5"/>
    <w:rsid w:val="0001309E"/>
    <w:rsid w:val="00014636"/>
    <w:rsid w:val="00017BAA"/>
    <w:rsid w:val="000210CE"/>
    <w:rsid w:val="00023813"/>
    <w:rsid w:val="00026320"/>
    <w:rsid w:val="00033B90"/>
    <w:rsid w:val="00036A41"/>
    <w:rsid w:val="00036ACB"/>
    <w:rsid w:val="00037836"/>
    <w:rsid w:val="00037867"/>
    <w:rsid w:val="00040DC4"/>
    <w:rsid w:val="00043D52"/>
    <w:rsid w:val="0004536D"/>
    <w:rsid w:val="00045A4C"/>
    <w:rsid w:val="00045D7C"/>
    <w:rsid w:val="0004631D"/>
    <w:rsid w:val="00046786"/>
    <w:rsid w:val="00047A06"/>
    <w:rsid w:val="00055645"/>
    <w:rsid w:val="000579D4"/>
    <w:rsid w:val="000601F2"/>
    <w:rsid w:val="0006082F"/>
    <w:rsid w:val="00063F28"/>
    <w:rsid w:val="000673B8"/>
    <w:rsid w:val="00067856"/>
    <w:rsid w:val="00070F72"/>
    <w:rsid w:val="00076938"/>
    <w:rsid w:val="000813BC"/>
    <w:rsid w:val="00081BE9"/>
    <w:rsid w:val="000856CF"/>
    <w:rsid w:val="0008794F"/>
    <w:rsid w:val="00090BCE"/>
    <w:rsid w:val="00092266"/>
    <w:rsid w:val="00095EC0"/>
    <w:rsid w:val="000A171B"/>
    <w:rsid w:val="000A76EA"/>
    <w:rsid w:val="000B4933"/>
    <w:rsid w:val="000B6A73"/>
    <w:rsid w:val="000C5358"/>
    <w:rsid w:val="000C7099"/>
    <w:rsid w:val="000C7D41"/>
    <w:rsid w:val="000C7F59"/>
    <w:rsid w:val="000D0D26"/>
    <w:rsid w:val="000D0D3E"/>
    <w:rsid w:val="000D19CD"/>
    <w:rsid w:val="000D2C78"/>
    <w:rsid w:val="000D500A"/>
    <w:rsid w:val="000D539B"/>
    <w:rsid w:val="000D5772"/>
    <w:rsid w:val="000D6618"/>
    <w:rsid w:val="000D79A5"/>
    <w:rsid w:val="000E1345"/>
    <w:rsid w:val="000E32F8"/>
    <w:rsid w:val="000E3F57"/>
    <w:rsid w:val="000E454F"/>
    <w:rsid w:val="000E5AEB"/>
    <w:rsid w:val="001041A0"/>
    <w:rsid w:val="00104509"/>
    <w:rsid w:val="00105362"/>
    <w:rsid w:val="00105480"/>
    <w:rsid w:val="00106D21"/>
    <w:rsid w:val="00107508"/>
    <w:rsid w:val="00107D35"/>
    <w:rsid w:val="0011406B"/>
    <w:rsid w:val="001147D1"/>
    <w:rsid w:val="00114F36"/>
    <w:rsid w:val="00116A62"/>
    <w:rsid w:val="0011704C"/>
    <w:rsid w:val="001210D8"/>
    <w:rsid w:val="0012178A"/>
    <w:rsid w:val="00123754"/>
    <w:rsid w:val="00124628"/>
    <w:rsid w:val="001253F4"/>
    <w:rsid w:val="00125791"/>
    <w:rsid w:val="00125D09"/>
    <w:rsid w:val="00132BDC"/>
    <w:rsid w:val="001330D0"/>
    <w:rsid w:val="00134C78"/>
    <w:rsid w:val="00135684"/>
    <w:rsid w:val="001362E4"/>
    <w:rsid w:val="00136B97"/>
    <w:rsid w:val="00141367"/>
    <w:rsid w:val="001419F6"/>
    <w:rsid w:val="00143D12"/>
    <w:rsid w:val="00144379"/>
    <w:rsid w:val="001474B5"/>
    <w:rsid w:val="00147F66"/>
    <w:rsid w:val="001516E8"/>
    <w:rsid w:val="00152C98"/>
    <w:rsid w:val="00154E71"/>
    <w:rsid w:val="0015716D"/>
    <w:rsid w:val="00157E4A"/>
    <w:rsid w:val="00160BF9"/>
    <w:rsid w:val="00163CC2"/>
    <w:rsid w:val="00170DA3"/>
    <w:rsid w:val="001740A9"/>
    <w:rsid w:val="0017440F"/>
    <w:rsid w:val="001746B6"/>
    <w:rsid w:val="00175182"/>
    <w:rsid w:val="0017526D"/>
    <w:rsid w:val="001777DE"/>
    <w:rsid w:val="00182356"/>
    <w:rsid w:val="001828B9"/>
    <w:rsid w:val="00182AA9"/>
    <w:rsid w:val="00182FE5"/>
    <w:rsid w:val="001A0D3E"/>
    <w:rsid w:val="001A2332"/>
    <w:rsid w:val="001A2491"/>
    <w:rsid w:val="001A40DA"/>
    <w:rsid w:val="001A6E9E"/>
    <w:rsid w:val="001A7794"/>
    <w:rsid w:val="001B0CC0"/>
    <w:rsid w:val="001B330E"/>
    <w:rsid w:val="001C1896"/>
    <w:rsid w:val="001C34CD"/>
    <w:rsid w:val="001C3834"/>
    <w:rsid w:val="001C3CF7"/>
    <w:rsid w:val="001C4772"/>
    <w:rsid w:val="001C4EA0"/>
    <w:rsid w:val="001D673B"/>
    <w:rsid w:val="001E2067"/>
    <w:rsid w:val="001E281C"/>
    <w:rsid w:val="001E65BA"/>
    <w:rsid w:val="001E6FFC"/>
    <w:rsid w:val="001F1B86"/>
    <w:rsid w:val="001F2C19"/>
    <w:rsid w:val="001F49DC"/>
    <w:rsid w:val="001F5178"/>
    <w:rsid w:val="001F6F10"/>
    <w:rsid w:val="001F7F74"/>
    <w:rsid w:val="00201502"/>
    <w:rsid w:val="0020233A"/>
    <w:rsid w:val="00202969"/>
    <w:rsid w:val="00203BBC"/>
    <w:rsid w:val="002050AA"/>
    <w:rsid w:val="002054B4"/>
    <w:rsid w:val="002075A6"/>
    <w:rsid w:val="00207D34"/>
    <w:rsid w:val="00211A0C"/>
    <w:rsid w:val="002172C5"/>
    <w:rsid w:val="0022199A"/>
    <w:rsid w:val="00225225"/>
    <w:rsid w:val="002320D2"/>
    <w:rsid w:val="0023526C"/>
    <w:rsid w:val="00235D98"/>
    <w:rsid w:val="00236D31"/>
    <w:rsid w:val="00236EDF"/>
    <w:rsid w:val="00242901"/>
    <w:rsid w:val="00244D9C"/>
    <w:rsid w:val="00245419"/>
    <w:rsid w:val="00245E81"/>
    <w:rsid w:val="00246E45"/>
    <w:rsid w:val="0025157D"/>
    <w:rsid w:val="00253367"/>
    <w:rsid w:val="00253FEB"/>
    <w:rsid w:val="00254F5A"/>
    <w:rsid w:val="00255AA8"/>
    <w:rsid w:val="00255BF6"/>
    <w:rsid w:val="002604B3"/>
    <w:rsid w:val="00261B2F"/>
    <w:rsid w:val="002647FD"/>
    <w:rsid w:val="00264ADA"/>
    <w:rsid w:val="002654B6"/>
    <w:rsid w:val="0028498F"/>
    <w:rsid w:val="00286402"/>
    <w:rsid w:val="002873FF"/>
    <w:rsid w:val="002879E4"/>
    <w:rsid w:val="00291ECC"/>
    <w:rsid w:val="00292254"/>
    <w:rsid w:val="00292527"/>
    <w:rsid w:val="00294CB7"/>
    <w:rsid w:val="002958DC"/>
    <w:rsid w:val="002A1F3C"/>
    <w:rsid w:val="002A467F"/>
    <w:rsid w:val="002A4738"/>
    <w:rsid w:val="002A6954"/>
    <w:rsid w:val="002A79CE"/>
    <w:rsid w:val="002B1ACB"/>
    <w:rsid w:val="002B1B8B"/>
    <w:rsid w:val="002B2F7B"/>
    <w:rsid w:val="002B43F9"/>
    <w:rsid w:val="002B504B"/>
    <w:rsid w:val="002B5DCA"/>
    <w:rsid w:val="002C0157"/>
    <w:rsid w:val="002C1D8A"/>
    <w:rsid w:val="002C42B4"/>
    <w:rsid w:val="002C5F60"/>
    <w:rsid w:val="002C6235"/>
    <w:rsid w:val="002C71AA"/>
    <w:rsid w:val="002D008B"/>
    <w:rsid w:val="002D0739"/>
    <w:rsid w:val="002D2BC1"/>
    <w:rsid w:val="002D4F66"/>
    <w:rsid w:val="002D50E3"/>
    <w:rsid w:val="002D77DD"/>
    <w:rsid w:val="002E4650"/>
    <w:rsid w:val="002E4E66"/>
    <w:rsid w:val="002E51FA"/>
    <w:rsid w:val="002E5A40"/>
    <w:rsid w:val="002E6E85"/>
    <w:rsid w:val="002F00A1"/>
    <w:rsid w:val="002F090C"/>
    <w:rsid w:val="002F3195"/>
    <w:rsid w:val="00300019"/>
    <w:rsid w:val="00300BB1"/>
    <w:rsid w:val="00300EFB"/>
    <w:rsid w:val="0030121C"/>
    <w:rsid w:val="003016C7"/>
    <w:rsid w:val="00302F64"/>
    <w:rsid w:val="00307A6C"/>
    <w:rsid w:val="00317272"/>
    <w:rsid w:val="00317E5A"/>
    <w:rsid w:val="00320226"/>
    <w:rsid w:val="003202F7"/>
    <w:rsid w:val="00320656"/>
    <w:rsid w:val="00320A5D"/>
    <w:rsid w:val="00320B9A"/>
    <w:rsid w:val="00322FF6"/>
    <w:rsid w:val="00324723"/>
    <w:rsid w:val="00324F49"/>
    <w:rsid w:val="003321B7"/>
    <w:rsid w:val="00333369"/>
    <w:rsid w:val="00333A1B"/>
    <w:rsid w:val="00334846"/>
    <w:rsid w:val="00335702"/>
    <w:rsid w:val="003410D9"/>
    <w:rsid w:val="0034189D"/>
    <w:rsid w:val="00341AB4"/>
    <w:rsid w:val="00344338"/>
    <w:rsid w:val="00344E3F"/>
    <w:rsid w:val="00344F2A"/>
    <w:rsid w:val="00345548"/>
    <w:rsid w:val="003469B0"/>
    <w:rsid w:val="00346AC1"/>
    <w:rsid w:val="00352EBD"/>
    <w:rsid w:val="003535F4"/>
    <w:rsid w:val="00353787"/>
    <w:rsid w:val="00353EF4"/>
    <w:rsid w:val="0036127B"/>
    <w:rsid w:val="0036185E"/>
    <w:rsid w:val="00363F8E"/>
    <w:rsid w:val="00364211"/>
    <w:rsid w:val="00364322"/>
    <w:rsid w:val="0036453A"/>
    <w:rsid w:val="003649D9"/>
    <w:rsid w:val="00366309"/>
    <w:rsid w:val="003678EC"/>
    <w:rsid w:val="0036799D"/>
    <w:rsid w:val="003748F9"/>
    <w:rsid w:val="00377A50"/>
    <w:rsid w:val="00380C7D"/>
    <w:rsid w:val="00380F12"/>
    <w:rsid w:val="0038385D"/>
    <w:rsid w:val="00385B6B"/>
    <w:rsid w:val="0038674F"/>
    <w:rsid w:val="00390CC6"/>
    <w:rsid w:val="00393102"/>
    <w:rsid w:val="00393E05"/>
    <w:rsid w:val="0039406E"/>
    <w:rsid w:val="003952D0"/>
    <w:rsid w:val="003959C2"/>
    <w:rsid w:val="003A0992"/>
    <w:rsid w:val="003A166F"/>
    <w:rsid w:val="003A3ED6"/>
    <w:rsid w:val="003A5948"/>
    <w:rsid w:val="003A5B70"/>
    <w:rsid w:val="003B1E71"/>
    <w:rsid w:val="003B25CA"/>
    <w:rsid w:val="003B3020"/>
    <w:rsid w:val="003B44B7"/>
    <w:rsid w:val="003B5600"/>
    <w:rsid w:val="003B740C"/>
    <w:rsid w:val="003C0C79"/>
    <w:rsid w:val="003C32D9"/>
    <w:rsid w:val="003C3591"/>
    <w:rsid w:val="003C38F4"/>
    <w:rsid w:val="003C6F78"/>
    <w:rsid w:val="003D0079"/>
    <w:rsid w:val="003D2EF1"/>
    <w:rsid w:val="003D3955"/>
    <w:rsid w:val="003D712D"/>
    <w:rsid w:val="003E0D45"/>
    <w:rsid w:val="003E2B00"/>
    <w:rsid w:val="003E30B9"/>
    <w:rsid w:val="003E3B4B"/>
    <w:rsid w:val="003E7372"/>
    <w:rsid w:val="003E7F2E"/>
    <w:rsid w:val="003F3181"/>
    <w:rsid w:val="003F41D4"/>
    <w:rsid w:val="003F4802"/>
    <w:rsid w:val="003F511F"/>
    <w:rsid w:val="003F60D2"/>
    <w:rsid w:val="00400D25"/>
    <w:rsid w:val="00401F84"/>
    <w:rsid w:val="00402CB8"/>
    <w:rsid w:val="004043A1"/>
    <w:rsid w:val="00410940"/>
    <w:rsid w:val="00412C3E"/>
    <w:rsid w:val="00413AFE"/>
    <w:rsid w:val="00414FE0"/>
    <w:rsid w:val="004248A7"/>
    <w:rsid w:val="00424DCE"/>
    <w:rsid w:val="00425D5A"/>
    <w:rsid w:val="00427E2A"/>
    <w:rsid w:val="00431C22"/>
    <w:rsid w:val="00435C83"/>
    <w:rsid w:val="00436EEC"/>
    <w:rsid w:val="00442392"/>
    <w:rsid w:val="00443178"/>
    <w:rsid w:val="00444451"/>
    <w:rsid w:val="00450653"/>
    <w:rsid w:val="00450E23"/>
    <w:rsid w:val="004518B7"/>
    <w:rsid w:val="004534AA"/>
    <w:rsid w:val="004540D7"/>
    <w:rsid w:val="004545E0"/>
    <w:rsid w:val="00461D51"/>
    <w:rsid w:val="0046406E"/>
    <w:rsid w:val="0047315F"/>
    <w:rsid w:val="00474EE3"/>
    <w:rsid w:val="004752A9"/>
    <w:rsid w:val="004757F5"/>
    <w:rsid w:val="00476A49"/>
    <w:rsid w:val="004845EF"/>
    <w:rsid w:val="004900E4"/>
    <w:rsid w:val="00491887"/>
    <w:rsid w:val="004923B3"/>
    <w:rsid w:val="00492641"/>
    <w:rsid w:val="004949F6"/>
    <w:rsid w:val="00495161"/>
    <w:rsid w:val="004955DF"/>
    <w:rsid w:val="00495C0A"/>
    <w:rsid w:val="004A1CE9"/>
    <w:rsid w:val="004A28F2"/>
    <w:rsid w:val="004A68A1"/>
    <w:rsid w:val="004A7775"/>
    <w:rsid w:val="004B19FF"/>
    <w:rsid w:val="004B4361"/>
    <w:rsid w:val="004B5AED"/>
    <w:rsid w:val="004B5D9F"/>
    <w:rsid w:val="004C1C19"/>
    <w:rsid w:val="004C2679"/>
    <w:rsid w:val="004C4CBD"/>
    <w:rsid w:val="004D4CB1"/>
    <w:rsid w:val="004D733B"/>
    <w:rsid w:val="004E0BA3"/>
    <w:rsid w:val="004E1454"/>
    <w:rsid w:val="004E35F5"/>
    <w:rsid w:val="004E3E12"/>
    <w:rsid w:val="004E3F62"/>
    <w:rsid w:val="004F045C"/>
    <w:rsid w:val="004F0CBF"/>
    <w:rsid w:val="004F38B2"/>
    <w:rsid w:val="004F4827"/>
    <w:rsid w:val="004F5A76"/>
    <w:rsid w:val="004F6B69"/>
    <w:rsid w:val="00500D32"/>
    <w:rsid w:val="00501C0D"/>
    <w:rsid w:val="005038FC"/>
    <w:rsid w:val="005057DF"/>
    <w:rsid w:val="005062DE"/>
    <w:rsid w:val="005129CC"/>
    <w:rsid w:val="005135E1"/>
    <w:rsid w:val="005147FA"/>
    <w:rsid w:val="00520670"/>
    <w:rsid w:val="00525012"/>
    <w:rsid w:val="00525041"/>
    <w:rsid w:val="00526BE8"/>
    <w:rsid w:val="0053536E"/>
    <w:rsid w:val="00541F67"/>
    <w:rsid w:val="0054357D"/>
    <w:rsid w:val="0054372B"/>
    <w:rsid w:val="00545067"/>
    <w:rsid w:val="005458D5"/>
    <w:rsid w:val="0055051F"/>
    <w:rsid w:val="00550594"/>
    <w:rsid w:val="00556813"/>
    <w:rsid w:val="005611EE"/>
    <w:rsid w:val="00561608"/>
    <w:rsid w:val="005628F9"/>
    <w:rsid w:val="0056349E"/>
    <w:rsid w:val="005640D8"/>
    <w:rsid w:val="00564B2D"/>
    <w:rsid w:val="0056642F"/>
    <w:rsid w:val="0057082B"/>
    <w:rsid w:val="00571795"/>
    <w:rsid w:val="00573A64"/>
    <w:rsid w:val="00577199"/>
    <w:rsid w:val="005804EC"/>
    <w:rsid w:val="005838D0"/>
    <w:rsid w:val="005839A2"/>
    <w:rsid w:val="005844FA"/>
    <w:rsid w:val="005846C0"/>
    <w:rsid w:val="005847C4"/>
    <w:rsid w:val="00587A95"/>
    <w:rsid w:val="00590CEA"/>
    <w:rsid w:val="00591A24"/>
    <w:rsid w:val="0059297A"/>
    <w:rsid w:val="00592A48"/>
    <w:rsid w:val="00593957"/>
    <w:rsid w:val="00597E77"/>
    <w:rsid w:val="005A22D9"/>
    <w:rsid w:val="005A2DD6"/>
    <w:rsid w:val="005A4BBD"/>
    <w:rsid w:val="005A4BF4"/>
    <w:rsid w:val="005A55BC"/>
    <w:rsid w:val="005A61F9"/>
    <w:rsid w:val="005B0A4D"/>
    <w:rsid w:val="005B30D9"/>
    <w:rsid w:val="005B3D06"/>
    <w:rsid w:val="005B7698"/>
    <w:rsid w:val="005C07BB"/>
    <w:rsid w:val="005C219B"/>
    <w:rsid w:val="005C384F"/>
    <w:rsid w:val="005D02B4"/>
    <w:rsid w:val="005E2C8F"/>
    <w:rsid w:val="005E46BA"/>
    <w:rsid w:val="005E58E2"/>
    <w:rsid w:val="005F6677"/>
    <w:rsid w:val="005F7685"/>
    <w:rsid w:val="00601BD4"/>
    <w:rsid w:val="00603BC1"/>
    <w:rsid w:val="006065DC"/>
    <w:rsid w:val="00617148"/>
    <w:rsid w:val="006203AC"/>
    <w:rsid w:val="00620ED5"/>
    <w:rsid w:val="00621306"/>
    <w:rsid w:val="0062303C"/>
    <w:rsid w:val="00624B0D"/>
    <w:rsid w:val="00626957"/>
    <w:rsid w:val="0063004F"/>
    <w:rsid w:val="00630B95"/>
    <w:rsid w:val="00631CBF"/>
    <w:rsid w:val="00632085"/>
    <w:rsid w:val="00632452"/>
    <w:rsid w:val="00632955"/>
    <w:rsid w:val="00633056"/>
    <w:rsid w:val="006338F4"/>
    <w:rsid w:val="00633BC1"/>
    <w:rsid w:val="00633D3B"/>
    <w:rsid w:val="0063678B"/>
    <w:rsid w:val="0064435D"/>
    <w:rsid w:val="00644395"/>
    <w:rsid w:val="0064494E"/>
    <w:rsid w:val="006466FA"/>
    <w:rsid w:val="00651487"/>
    <w:rsid w:val="0065619B"/>
    <w:rsid w:val="006574F5"/>
    <w:rsid w:val="00661F34"/>
    <w:rsid w:val="006624E3"/>
    <w:rsid w:val="00663B3A"/>
    <w:rsid w:val="0066541B"/>
    <w:rsid w:val="00670786"/>
    <w:rsid w:val="0067306C"/>
    <w:rsid w:val="006738D7"/>
    <w:rsid w:val="00674602"/>
    <w:rsid w:val="0067537B"/>
    <w:rsid w:val="006765D0"/>
    <w:rsid w:val="00676805"/>
    <w:rsid w:val="00676ED9"/>
    <w:rsid w:val="00681486"/>
    <w:rsid w:val="0068280D"/>
    <w:rsid w:val="00684998"/>
    <w:rsid w:val="006849E4"/>
    <w:rsid w:val="006866DC"/>
    <w:rsid w:val="00687CAB"/>
    <w:rsid w:val="00691526"/>
    <w:rsid w:val="006929ED"/>
    <w:rsid w:val="00692EA4"/>
    <w:rsid w:val="006948D6"/>
    <w:rsid w:val="006960B0"/>
    <w:rsid w:val="006A2528"/>
    <w:rsid w:val="006A2F20"/>
    <w:rsid w:val="006A442F"/>
    <w:rsid w:val="006A515B"/>
    <w:rsid w:val="006A6B58"/>
    <w:rsid w:val="006A79F7"/>
    <w:rsid w:val="006B0A96"/>
    <w:rsid w:val="006C2974"/>
    <w:rsid w:val="006C2F13"/>
    <w:rsid w:val="006C3CF6"/>
    <w:rsid w:val="006C3DF1"/>
    <w:rsid w:val="006C5910"/>
    <w:rsid w:val="006C65BD"/>
    <w:rsid w:val="006C79DC"/>
    <w:rsid w:val="006C7EEE"/>
    <w:rsid w:val="006D21E8"/>
    <w:rsid w:val="006D5212"/>
    <w:rsid w:val="006D6985"/>
    <w:rsid w:val="006D71A8"/>
    <w:rsid w:val="006D7EF2"/>
    <w:rsid w:val="006E184C"/>
    <w:rsid w:val="006E33E6"/>
    <w:rsid w:val="006E348E"/>
    <w:rsid w:val="006E6DD6"/>
    <w:rsid w:val="006F35E3"/>
    <w:rsid w:val="006F38EF"/>
    <w:rsid w:val="006F6F21"/>
    <w:rsid w:val="006F7320"/>
    <w:rsid w:val="0070149F"/>
    <w:rsid w:val="00704233"/>
    <w:rsid w:val="00705F56"/>
    <w:rsid w:val="00711CE3"/>
    <w:rsid w:val="007138BE"/>
    <w:rsid w:val="00713C83"/>
    <w:rsid w:val="00717295"/>
    <w:rsid w:val="007238BE"/>
    <w:rsid w:val="0072526A"/>
    <w:rsid w:val="00731FEA"/>
    <w:rsid w:val="00732636"/>
    <w:rsid w:val="00732E7D"/>
    <w:rsid w:val="007338F7"/>
    <w:rsid w:val="00741D86"/>
    <w:rsid w:val="007422E0"/>
    <w:rsid w:val="00744389"/>
    <w:rsid w:val="00752E90"/>
    <w:rsid w:val="0075475B"/>
    <w:rsid w:val="007549DE"/>
    <w:rsid w:val="00754A62"/>
    <w:rsid w:val="00757994"/>
    <w:rsid w:val="00761F0D"/>
    <w:rsid w:val="00763013"/>
    <w:rsid w:val="00764743"/>
    <w:rsid w:val="0077166E"/>
    <w:rsid w:val="00780B10"/>
    <w:rsid w:val="00781DF1"/>
    <w:rsid w:val="007820B1"/>
    <w:rsid w:val="00782DA9"/>
    <w:rsid w:val="00783837"/>
    <w:rsid w:val="00793EE4"/>
    <w:rsid w:val="00794C76"/>
    <w:rsid w:val="00795274"/>
    <w:rsid w:val="007A056E"/>
    <w:rsid w:val="007A0DD1"/>
    <w:rsid w:val="007B04D2"/>
    <w:rsid w:val="007B162F"/>
    <w:rsid w:val="007B1A1D"/>
    <w:rsid w:val="007B529F"/>
    <w:rsid w:val="007B76D4"/>
    <w:rsid w:val="007B7874"/>
    <w:rsid w:val="007C0E8F"/>
    <w:rsid w:val="007C120F"/>
    <w:rsid w:val="007C2C67"/>
    <w:rsid w:val="007C3430"/>
    <w:rsid w:val="007C4061"/>
    <w:rsid w:val="007C4646"/>
    <w:rsid w:val="007C52B7"/>
    <w:rsid w:val="007C6564"/>
    <w:rsid w:val="007C662D"/>
    <w:rsid w:val="007D2800"/>
    <w:rsid w:val="007D41C2"/>
    <w:rsid w:val="007D5144"/>
    <w:rsid w:val="007E113B"/>
    <w:rsid w:val="007E12CB"/>
    <w:rsid w:val="007E28B8"/>
    <w:rsid w:val="007E34CC"/>
    <w:rsid w:val="007E5FAC"/>
    <w:rsid w:val="007E6130"/>
    <w:rsid w:val="00803794"/>
    <w:rsid w:val="0080404A"/>
    <w:rsid w:val="008046F6"/>
    <w:rsid w:val="008107EC"/>
    <w:rsid w:val="00816AC1"/>
    <w:rsid w:val="00817962"/>
    <w:rsid w:val="00817DB5"/>
    <w:rsid w:val="00817E36"/>
    <w:rsid w:val="008202E6"/>
    <w:rsid w:val="00823888"/>
    <w:rsid w:val="00824D98"/>
    <w:rsid w:val="00830781"/>
    <w:rsid w:val="00830CF6"/>
    <w:rsid w:val="0083213F"/>
    <w:rsid w:val="00832B98"/>
    <w:rsid w:val="00835F08"/>
    <w:rsid w:val="00837976"/>
    <w:rsid w:val="00841A67"/>
    <w:rsid w:val="008460C0"/>
    <w:rsid w:val="00846F58"/>
    <w:rsid w:val="00847282"/>
    <w:rsid w:val="0085001F"/>
    <w:rsid w:val="00850BFB"/>
    <w:rsid w:val="0085434A"/>
    <w:rsid w:val="00855DA1"/>
    <w:rsid w:val="00860798"/>
    <w:rsid w:val="00861BC2"/>
    <w:rsid w:val="00867C43"/>
    <w:rsid w:val="00867D4E"/>
    <w:rsid w:val="00870C9B"/>
    <w:rsid w:val="00874D2A"/>
    <w:rsid w:val="008751E4"/>
    <w:rsid w:val="00875AC0"/>
    <w:rsid w:val="0087604D"/>
    <w:rsid w:val="00880DB3"/>
    <w:rsid w:val="0089077F"/>
    <w:rsid w:val="0089330D"/>
    <w:rsid w:val="00893988"/>
    <w:rsid w:val="008944A2"/>
    <w:rsid w:val="008A1164"/>
    <w:rsid w:val="008A37D9"/>
    <w:rsid w:val="008A3CDE"/>
    <w:rsid w:val="008A5002"/>
    <w:rsid w:val="008A6670"/>
    <w:rsid w:val="008B0C46"/>
    <w:rsid w:val="008B0D0B"/>
    <w:rsid w:val="008B3F11"/>
    <w:rsid w:val="008B528D"/>
    <w:rsid w:val="008C1AB8"/>
    <w:rsid w:val="008C6B2F"/>
    <w:rsid w:val="008D08F6"/>
    <w:rsid w:val="008D09A1"/>
    <w:rsid w:val="008D3B14"/>
    <w:rsid w:val="008D3D41"/>
    <w:rsid w:val="008D4588"/>
    <w:rsid w:val="008D4E74"/>
    <w:rsid w:val="008D59AA"/>
    <w:rsid w:val="008D5DB2"/>
    <w:rsid w:val="008D6E0D"/>
    <w:rsid w:val="008E58A5"/>
    <w:rsid w:val="008E59D3"/>
    <w:rsid w:val="008E6D77"/>
    <w:rsid w:val="008E6DDF"/>
    <w:rsid w:val="008E72B9"/>
    <w:rsid w:val="008F1609"/>
    <w:rsid w:val="008F3DEB"/>
    <w:rsid w:val="008F47AC"/>
    <w:rsid w:val="008F5924"/>
    <w:rsid w:val="008F6B98"/>
    <w:rsid w:val="008F7161"/>
    <w:rsid w:val="008F7DFE"/>
    <w:rsid w:val="008F7ECD"/>
    <w:rsid w:val="00900D65"/>
    <w:rsid w:val="009020B0"/>
    <w:rsid w:val="009022AE"/>
    <w:rsid w:val="00902794"/>
    <w:rsid w:val="00902E06"/>
    <w:rsid w:val="00902EBB"/>
    <w:rsid w:val="00903D1E"/>
    <w:rsid w:val="009041F0"/>
    <w:rsid w:val="00904595"/>
    <w:rsid w:val="00907BE7"/>
    <w:rsid w:val="009145D1"/>
    <w:rsid w:val="00921D67"/>
    <w:rsid w:val="00923433"/>
    <w:rsid w:val="009235FC"/>
    <w:rsid w:val="00926866"/>
    <w:rsid w:val="00935A4E"/>
    <w:rsid w:val="00937B62"/>
    <w:rsid w:val="009407E4"/>
    <w:rsid w:val="00940C95"/>
    <w:rsid w:val="00941070"/>
    <w:rsid w:val="00942C16"/>
    <w:rsid w:val="0094424B"/>
    <w:rsid w:val="009463EC"/>
    <w:rsid w:val="009477BE"/>
    <w:rsid w:val="00947CD9"/>
    <w:rsid w:val="0095113D"/>
    <w:rsid w:val="009514B2"/>
    <w:rsid w:val="009601C6"/>
    <w:rsid w:val="00961885"/>
    <w:rsid w:val="00961FFF"/>
    <w:rsid w:val="00963FB0"/>
    <w:rsid w:val="0096660E"/>
    <w:rsid w:val="00966B73"/>
    <w:rsid w:val="00973076"/>
    <w:rsid w:val="0097512B"/>
    <w:rsid w:val="009776BE"/>
    <w:rsid w:val="00977D0C"/>
    <w:rsid w:val="00977FEC"/>
    <w:rsid w:val="009803B1"/>
    <w:rsid w:val="00980DE5"/>
    <w:rsid w:val="00991732"/>
    <w:rsid w:val="00994754"/>
    <w:rsid w:val="00997974"/>
    <w:rsid w:val="009A033A"/>
    <w:rsid w:val="009A05A8"/>
    <w:rsid w:val="009A243D"/>
    <w:rsid w:val="009A4B30"/>
    <w:rsid w:val="009A542F"/>
    <w:rsid w:val="009A5A14"/>
    <w:rsid w:val="009A675C"/>
    <w:rsid w:val="009A6B5C"/>
    <w:rsid w:val="009A7D8C"/>
    <w:rsid w:val="009B0D87"/>
    <w:rsid w:val="009B5EEC"/>
    <w:rsid w:val="009B6011"/>
    <w:rsid w:val="009B6855"/>
    <w:rsid w:val="009C4034"/>
    <w:rsid w:val="009C5B31"/>
    <w:rsid w:val="009C5CB4"/>
    <w:rsid w:val="009C6E05"/>
    <w:rsid w:val="009D1316"/>
    <w:rsid w:val="009D1868"/>
    <w:rsid w:val="009D4A8D"/>
    <w:rsid w:val="009D7FC5"/>
    <w:rsid w:val="009E0094"/>
    <w:rsid w:val="009E03E3"/>
    <w:rsid w:val="009E12E5"/>
    <w:rsid w:val="009E1BB6"/>
    <w:rsid w:val="009E3690"/>
    <w:rsid w:val="009E4850"/>
    <w:rsid w:val="009F491A"/>
    <w:rsid w:val="009F4A5D"/>
    <w:rsid w:val="009F5756"/>
    <w:rsid w:val="009F604A"/>
    <w:rsid w:val="009F6774"/>
    <w:rsid w:val="00A0199B"/>
    <w:rsid w:val="00A028DE"/>
    <w:rsid w:val="00A05E91"/>
    <w:rsid w:val="00A06D7D"/>
    <w:rsid w:val="00A1183F"/>
    <w:rsid w:val="00A11922"/>
    <w:rsid w:val="00A14181"/>
    <w:rsid w:val="00A14FDA"/>
    <w:rsid w:val="00A16D93"/>
    <w:rsid w:val="00A1752E"/>
    <w:rsid w:val="00A1781C"/>
    <w:rsid w:val="00A23399"/>
    <w:rsid w:val="00A249DA"/>
    <w:rsid w:val="00A253C0"/>
    <w:rsid w:val="00A26D9E"/>
    <w:rsid w:val="00A26FC9"/>
    <w:rsid w:val="00A271E2"/>
    <w:rsid w:val="00A276C5"/>
    <w:rsid w:val="00A30E60"/>
    <w:rsid w:val="00A317AE"/>
    <w:rsid w:val="00A327F6"/>
    <w:rsid w:val="00A32CCE"/>
    <w:rsid w:val="00A36489"/>
    <w:rsid w:val="00A36D43"/>
    <w:rsid w:val="00A400D5"/>
    <w:rsid w:val="00A41E96"/>
    <w:rsid w:val="00A428FD"/>
    <w:rsid w:val="00A43300"/>
    <w:rsid w:val="00A4432A"/>
    <w:rsid w:val="00A44883"/>
    <w:rsid w:val="00A4531F"/>
    <w:rsid w:val="00A471E5"/>
    <w:rsid w:val="00A50783"/>
    <w:rsid w:val="00A5585E"/>
    <w:rsid w:val="00A568CA"/>
    <w:rsid w:val="00A56A82"/>
    <w:rsid w:val="00A6444D"/>
    <w:rsid w:val="00A70458"/>
    <w:rsid w:val="00A726AB"/>
    <w:rsid w:val="00A77FC1"/>
    <w:rsid w:val="00A81963"/>
    <w:rsid w:val="00A83FBA"/>
    <w:rsid w:val="00A90BCD"/>
    <w:rsid w:val="00A92D7D"/>
    <w:rsid w:val="00AA0A4C"/>
    <w:rsid w:val="00AA1A1A"/>
    <w:rsid w:val="00AA2B29"/>
    <w:rsid w:val="00AA3BDB"/>
    <w:rsid w:val="00AA6241"/>
    <w:rsid w:val="00AA6F71"/>
    <w:rsid w:val="00AA7A24"/>
    <w:rsid w:val="00AB6A00"/>
    <w:rsid w:val="00AC00A5"/>
    <w:rsid w:val="00AC37B8"/>
    <w:rsid w:val="00AC5ACA"/>
    <w:rsid w:val="00AD0037"/>
    <w:rsid w:val="00AD03BC"/>
    <w:rsid w:val="00AD26BB"/>
    <w:rsid w:val="00AD3FE1"/>
    <w:rsid w:val="00AD72D3"/>
    <w:rsid w:val="00AD7684"/>
    <w:rsid w:val="00AE3556"/>
    <w:rsid w:val="00AE3766"/>
    <w:rsid w:val="00AE4536"/>
    <w:rsid w:val="00AE4BD7"/>
    <w:rsid w:val="00AF32AF"/>
    <w:rsid w:val="00AF3D49"/>
    <w:rsid w:val="00AF5696"/>
    <w:rsid w:val="00B00BEF"/>
    <w:rsid w:val="00B017FD"/>
    <w:rsid w:val="00B01958"/>
    <w:rsid w:val="00B04BB1"/>
    <w:rsid w:val="00B07621"/>
    <w:rsid w:val="00B115F4"/>
    <w:rsid w:val="00B11C93"/>
    <w:rsid w:val="00B12767"/>
    <w:rsid w:val="00B1482B"/>
    <w:rsid w:val="00B21D5A"/>
    <w:rsid w:val="00B2335F"/>
    <w:rsid w:val="00B236A0"/>
    <w:rsid w:val="00B238B1"/>
    <w:rsid w:val="00B239E7"/>
    <w:rsid w:val="00B264A4"/>
    <w:rsid w:val="00B2783B"/>
    <w:rsid w:val="00B3349C"/>
    <w:rsid w:val="00B35F81"/>
    <w:rsid w:val="00B3607A"/>
    <w:rsid w:val="00B36E9C"/>
    <w:rsid w:val="00B37415"/>
    <w:rsid w:val="00B43D57"/>
    <w:rsid w:val="00B44C65"/>
    <w:rsid w:val="00B55485"/>
    <w:rsid w:val="00B608A5"/>
    <w:rsid w:val="00B63637"/>
    <w:rsid w:val="00B661F9"/>
    <w:rsid w:val="00B671D5"/>
    <w:rsid w:val="00B712B1"/>
    <w:rsid w:val="00B7598F"/>
    <w:rsid w:val="00B878F3"/>
    <w:rsid w:val="00B90079"/>
    <w:rsid w:val="00B91194"/>
    <w:rsid w:val="00B926A5"/>
    <w:rsid w:val="00B94343"/>
    <w:rsid w:val="00B94A07"/>
    <w:rsid w:val="00B94BA5"/>
    <w:rsid w:val="00B94ED4"/>
    <w:rsid w:val="00B959E8"/>
    <w:rsid w:val="00B962EB"/>
    <w:rsid w:val="00BA3394"/>
    <w:rsid w:val="00BB24B9"/>
    <w:rsid w:val="00BB319F"/>
    <w:rsid w:val="00BB336D"/>
    <w:rsid w:val="00BB346F"/>
    <w:rsid w:val="00BB4E6C"/>
    <w:rsid w:val="00BB5EE8"/>
    <w:rsid w:val="00BB61B1"/>
    <w:rsid w:val="00BB6544"/>
    <w:rsid w:val="00BB78BC"/>
    <w:rsid w:val="00BC1EAA"/>
    <w:rsid w:val="00BC2A46"/>
    <w:rsid w:val="00BC2C56"/>
    <w:rsid w:val="00BC3F8D"/>
    <w:rsid w:val="00BC541A"/>
    <w:rsid w:val="00BC56F7"/>
    <w:rsid w:val="00BC607B"/>
    <w:rsid w:val="00BD56A8"/>
    <w:rsid w:val="00BD7BB5"/>
    <w:rsid w:val="00BE4477"/>
    <w:rsid w:val="00BE4868"/>
    <w:rsid w:val="00BE68D2"/>
    <w:rsid w:val="00BE7DE9"/>
    <w:rsid w:val="00BF19CB"/>
    <w:rsid w:val="00BF28E4"/>
    <w:rsid w:val="00BF2BA8"/>
    <w:rsid w:val="00BF309A"/>
    <w:rsid w:val="00BF798C"/>
    <w:rsid w:val="00C02AF9"/>
    <w:rsid w:val="00C04DC5"/>
    <w:rsid w:val="00C05087"/>
    <w:rsid w:val="00C108FC"/>
    <w:rsid w:val="00C11681"/>
    <w:rsid w:val="00C14BB7"/>
    <w:rsid w:val="00C1729C"/>
    <w:rsid w:val="00C21B34"/>
    <w:rsid w:val="00C21E7A"/>
    <w:rsid w:val="00C21F33"/>
    <w:rsid w:val="00C277E1"/>
    <w:rsid w:val="00C317B0"/>
    <w:rsid w:val="00C35A4E"/>
    <w:rsid w:val="00C36329"/>
    <w:rsid w:val="00C378D4"/>
    <w:rsid w:val="00C407FB"/>
    <w:rsid w:val="00C44B23"/>
    <w:rsid w:val="00C46A75"/>
    <w:rsid w:val="00C500BA"/>
    <w:rsid w:val="00C52621"/>
    <w:rsid w:val="00C536DF"/>
    <w:rsid w:val="00C54C49"/>
    <w:rsid w:val="00C554AB"/>
    <w:rsid w:val="00C568FE"/>
    <w:rsid w:val="00C608C0"/>
    <w:rsid w:val="00C62B87"/>
    <w:rsid w:val="00C62D2C"/>
    <w:rsid w:val="00C66698"/>
    <w:rsid w:val="00C6718A"/>
    <w:rsid w:val="00C67866"/>
    <w:rsid w:val="00C67EF2"/>
    <w:rsid w:val="00C70AA0"/>
    <w:rsid w:val="00C82614"/>
    <w:rsid w:val="00C83000"/>
    <w:rsid w:val="00C841AF"/>
    <w:rsid w:val="00C843EB"/>
    <w:rsid w:val="00C8551C"/>
    <w:rsid w:val="00C86876"/>
    <w:rsid w:val="00C86D51"/>
    <w:rsid w:val="00C914C9"/>
    <w:rsid w:val="00C9241F"/>
    <w:rsid w:val="00C95882"/>
    <w:rsid w:val="00C960A1"/>
    <w:rsid w:val="00C961EC"/>
    <w:rsid w:val="00CA08AE"/>
    <w:rsid w:val="00CA0BDB"/>
    <w:rsid w:val="00CB0CDB"/>
    <w:rsid w:val="00CB2E5B"/>
    <w:rsid w:val="00CB4A30"/>
    <w:rsid w:val="00CB68C7"/>
    <w:rsid w:val="00CC4494"/>
    <w:rsid w:val="00CD294F"/>
    <w:rsid w:val="00CD3AD4"/>
    <w:rsid w:val="00CD6A83"/>
    <w:rsid w:val="00CE107B"/>
    <w:rsid w:val="00CE286E"/>
    <w:rsid w:val="00CE75CD"/>
    <w:rsid w:val="00CF1130"/>
    <w:rsid w:val="00CF11B0"/>
    <w:rsid w:val="00CF3F55"/>
    <w:rsid w:val="00CF503B"/>
    <w:rsid w:val="00CF6BAE"/>
    <w:rsid w:val="00CF7AD5"/>
    <w:rsid w:val="00D05703"/>
    <w:rsid w:val="00D05C5E"/>
    <w:rsid w:val="00D0772F"/>
    <w:rsid w:val="00D07FA5"/>
    <w:rsid w:val="00D15F03"/>
    <w:rsid w:val="00D15FFB"/>
    <w:rsid w:val="00D179FC"/>
    <w:rsid w:val="00D17C23"/>
    <w:rsid w:val="00D20214"/>
    <w:rsid w:val="00D20853"/>
    <w:rsid w:val="00D208DA"/>
    <w:rsid w:val="00D2098E"/>
    <w:rsid w:val="00D20FE7"/>
    <w:rsid w:val="00D2151D"/>
    <w:rsid w:val="00D22B16"/>
    <w:rsid w:val="00D2389D"/>
    <w:rsid w:val="00D24734"/>
    <w:rsid w:val="00D25F27"/>
    <w:rsid w:val="00D26796"/>
    <w:rsid w:val="00D27DF7"/>
    <w:rsid w:val="00D32118"/>
    <w:rsid w:val="00D329E6"/>
    <w:rsid w:val="00D32C45"/>
    <w:rsid w:val="00D34FA9"/>
    <w:rsid w:val="00D36204"/>
    <w:rsid w:val="00D369B5"/>
    <w:rsid w:val="00D36C9A"/>
    <w:rsid w:val="00D44916"/>
    <w:rsid w:val="00D45BF8"/>
    <w:rsid w:val="00D467CF"/>
    <w:rsid w:val="00D46A96"/>
    <w:rsid w:val="00D51049"/>
    <w:rsid w:val="00D525CE"/>
    <w:rsid w:val="00D54C75"/>
    <w:rsid w:val="00D57D4D"/>
    <w:rsid w:val="00D60D24"/>
    <w:rsid w:val="00D62D2F"/>
    <w:rsid w:val="00D6413D"/>
    <w:rsid w:val="00D67001"/>
    <w:rsid w:val="00D677A8"/>
    <w:rsid w:val="00D71895"/>
    <w:rsid w:val="00D76BD7"/>
    <w:rsid w:val="00D82639"/>
    <w:rsid w:val="00D87BF6"/>
    <w:rsid w:val="00D87FBD"/>
    <w:rsid w:val="00D911F5"/>
    <w:rsid w:val="00D91343"/>
    <w:rsid w:val="00D92622"/>
    <w:rsid w:val="00D9515F"/>
    <w:rsid w:val="00D970D7"/>
    <w:rsid w:val="00DA03C4"/>
    <w:rsid w:val="00DA341A"/>
    <w:rsid w:val="00DA7F4F"/>
    <w:rsid w:val="00DB0A13"/>
    <w:rsid w:val="00DB306A"/>
    <w:rsid w:val="00DB3183"/>
    <w:rsid w:val="00DB59E5"/>
    <w:rsid w:val="00DB5C09"/>
    <w:rsid w:val="00DB5CD5"/>
    <w:rsid w:val="00DB6FED"/>
    <w:rsid w:val="00DC0B11"/>
    <w:rsid w:val="00DC0B20"/>
    <w:rsid w:val="00DC1981"/>
    <w:rsid w:val="00DC1B80"/>
    <w:rsid w:val="00DC357C"/>
    <w:rsid w:val="00DC769B"/>
    <w:rsid w:val="00DC7CD4"/>
    <w:rsid w:val="00DD14ED"/>
    <w:rsid w:val="00DD1928"/>
    <w:rsid w:val="00DD20F1"/>
    <w:rsid w:val="00DD3278"/>
    <w:rsid w:val="00DD495C"/>
    <w:rsid w:val="00DD7D6B"/>
    <w:rsid w:val="00DE0157"/>
    <w:rsid w:val="00DE082A"/>
    <w:rsid w:val="00DE20BA"/>
    <w:rsid w:val="00DE7052"/>
    <w:rsid w:val="00DE73F4"/>
    <w:rsid w:val="00DF224C"/>
    <w:rsid w:val="00DF337B"/>
    <w:rsid w:val="00DF7A1A"/>
    <w:rsid w:val="00E01A34"/>
    <w:rsid w:val="00E071EB"/>
    <w:rsid w:val="00E07371"/>
    <w:rsid w:val="00E11761"/>
    <w:rsid w:val="00E15040"/>
    <w:rsid w:val="00E16AE0"/>
    <w:rsid w:val="00E20D34"/>
    <w:rsid w:val="00E210B1"/>
    <w:rsid w:val="00E213F8"/>
    <w:rsid w:val="00E2154D"/>
    <w:rsid w:val="00E223B5"/>
    <w:rsid w:val="00E24AFA"/>
    <w:rsid w:val="00E27155"/>
    <w:rsid w:val="00E30C2C"/>
    <w:rsid w:val="00E312AD"/>
    <w:rsid w:val="00E325BD"/>
    <w:rsid w:val="00E32A28"/>
    <w:rsid w:val="00E32A4E"/>
    <w:rsid w:val="00E338F8"/>
    <w:rsid w:val="00E3532B"/>
    <w:rsid w:val="00E3758D"/>
    <w:rsid w:val="00E43035"/>
    <w:rsid w:val="00E43893"/>
    <w:rsid w:val="00E43A89"/>
    <w:rsid w:val="00E4465E"/>
    <w:rsid w:val="00E468EC"/>
    <w:rsid w:val="00E46D68"/>
    <w:rsid w:val="00E47E93"/>
    <w:rsid w:val="00E50FDC"/>
    <w:rsid w:val="00E534AB"/>
    <w:rsid w:val="00E560B3"/>
    <w:rsid w:val="00E566F4"/>
    <w:rsid w:val="00E56F6F"/>
    <w:rsid w:val="00E57137"/>
    <w:rsid w:val="00E621CA"/>
    <w:rsid w:val="00E648E1"/>
    <w:rsid w:val="00E65B9B"/>
    <w:rsid w:val="00E65D3A"/>
    <w:rsid w:val="00E728DC"/>
    <w:rsid w:val="00E73763"/>
    <w:rsid w:val="00E76043"/>
    <w:rsid w:val="00E768EE"/>
    <w:rsid w:val="00E771AB"/>
    <w:rsid w:val="00E7729C"/>
    <w:rsid w:val="00E80D7C"/>
    <w:rsid w:val="00E81962"/>
    <w:rsid w:val="00E83C3D"/>
    <w:rsid w:val="00E8478C"/>
    <w:rsid w:val="00E852D8"/>
    <w:rsid w:val="00E96454"/>
    <w:rsid w:val="00E96799"/>
    <w:rsid w:val="00EA20D9"/>
    <w:rsid w:val="00EA5361"/>
    <w:rsid w:val="00EA5A5A"/>
    <w:rsid w:val="00EA5D9C"/>
    <w:rsid w:val="00EB4AF6"/>
    <w:rsid w:val="00EB6407"/>
    <w:rsid w:val="00EB66C7"/>
    <w:rsid w:val="00ED1412"/>
    <w:rsid w:val="00ED49CB"/>
    <w:rsid w:val="00EE1A96"/>
    <w:rsid w:val="00EE2D3E"/>
    <w:rsid w:val="00EE4946"/>
    <w:rsid w:val="00EE4F54"/>
    <w:rsid w:val="00EE5658"/>
    <w:rsid w:val="00EE57B4"/>
    <w:rsid w:val="00EF01D5"/>
    <w:rsid w:val="00EF1279"/>
    <w:rsid w:val="00EF2A7B"/>
    <w:rsid w:val="00EF3624"/>
    <w:rsid w:val="00EF3712"/>
    <w:rsid w:val="00EF60F4"/>
    <w:rsid w:val="00F00C5C"/>
    <w:rsid w:val="00F01253"/>
    <w:rsid w:val="00F0132D"/>
    <w:rsid w:val="00F034A9"/>
    <w:rsid w:val="00F0427B"/>
    <w:rsid w:val="00F04625"/>
    <w:rsid w:val="00F12862"/>
    <w:rsid w:val="00F15866"/>
    <w:rsid w:val="00F17A84"/>
    <w:rsid w:val="00F20370"/>
    <w:rsid w:val="00F203B9"/>
    <w:rsid w:val="00F23063"/>
    <w:rsid w:val="00F31A1E"/>
    <w:rsid w:val="00F32861"/>
    <w:rsid w:val="00F32C04"/>
    <w:rsid w:val="00F338DD"/>
    <w:rsid w:val="00F35228"/>
    <w:rsid w:val="00F36161"/>
    <w:rsid w:val="00F41B98"/>
    <w:rsid w:val="00F41FAE"/>
    <w:rsid w:val="00F42558"/>
    <w:rsid w:val="00F43B0B"/>
    <w:rsid w:val="00F43E78"/>
    <w:rsid w:val="00F444D5"/>
    <w:rsid w:val="00F454C8"/>
    <w:rsid w:val="00F46B3F"/>
    <w:rsid w:val="00F51C55"/>
    <w:rsid w:val="00F54109"/>
    <w:rsid w:val="00F5417A"/>
    <w:rsid w:val="00F55BCD"/>
    <w:rsid w:val="00F6103F"/>
    <w:rsid w:val="00F64769"/>
    <w:rsid w:val="00F64943"/>
    <w:rsid w:val="00F64B99"/>
    <w:rsid w:val="00F6518D"/>
    <w:rsid w:val="00F72F96"/>
    <w:rsid w:val="00F77677"/>
    <w:rsid w:val="00F80194"/>
    <w:rsid w:val="00F80CE4"/>
    <w:rsid w:val="00F81467"/>
    <w:rsid w:val="00F8456A"/>
    <w:rsid w:val="00F84D59"/>
    <w:rsid w:val="00F90D41"/>
    <w:rsid w:val="00F91583"/>
    <w:rsid w:val="00F95BD0"/>
    <w:rsid w:val="00F965EE"/>
    <w:rsid w:val="00F96E21"/>
    <w:rsid w:val="00F97F6B"/>
    <w:rsid w:val="00FA0D4F"/>
    <w:rsid w:val="00FA26F4"/>
    <w:rsid w:val="00FA2EF7"/>
    <w:rsid w:val="00FA4BCF"/>
    <w:rsid w:val="00FA53A8"/>
    <w:rsid w:val="00FA61FA"/>
    <w:rsid w:val="00FA6922"/>
    <w:rsid w:val="00FA6997"/>
    <w:rsid w:val="00FA7D2A"/>
    <w:rsid w:val="00FB03F5"/>
    <w:rsid w:val="00FB3557"/>
    <w:rsid w:val="00FC681F"/>
    <w:rsid w:val="00FC72A9"/>
    <w:rsid w:val="00FC769B"/>
    <w:rsid w:val="00FD10E5"/>
    <w:rsid w:val="00FD6C61"/>
    <w:rsid w:val="00FE1DC2"/>
    <w:rsid w:val="00FE6428"/>
    <w:rsid w:val="00FF0D02"/>
    <w:rsid w:val="00FF106F"/>
    <w:rsid w:val="00FF3033"/>
    <w:rsid w:val="00FF4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7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726AB"/>
    <w:pPr>
      <w:keepNext/>
      <w:keepLines/>
      <w:spacing w:before="480" w:after="0"/>
      <w:outlineLvl w:val="0"/>
    </w:pPr>
    <w:rPr>
      <w:rFonts w:asciiTheme="majorHAnsi" w:eastAsiaTheme="majorEastAsia" w:hAnsiTheme="majorHAnsi" w:cstheme="majorBidi"/>
      <w:b/>
      <w:bCs/>
      <w:sz w:val="28"/>
      <w:szCs w:val="28"/>
      <w:lang w:val="en-GB"/>
    </w:rPr>
  </w:style>
  <w:style w:type="paragraph" w:styleId="Kop2">
    <w:name w:val="heading 2"/>
    <w:basedOn w:val="Standaard"/>
    <w:next w:val="Standaard"/>
    <w:link w:val="Kop2Char"/>
    <w:uiPriority w:val="9"/>
    <w:unhideWhenUsed/>
    <w:qFormat/>
    <w:rsid w:val="00A726AB"/>
    <w:pPr>
      <w:keepNext/>
      <w:keepLines/>
      <w:spacing w:before="200" w:after="0"/>
      <w:outlineLvl w:val="1"/>
    </w:pPr>
    <w:rPr>
      <w:rFonts w:asciiTheme="majorHAnsi" w:eastAsiaTheme="majorEastAsia" w:hAnsiTheme="majorHAnsi" w:cstheme="majorBidi"/>
      <w:b/>
      <w:bCs/>
      <w:sz w:val="26"/>
      <w:szCs w:val="26"/>
      <w:lang w:val="en-GB"/>
    </w:rPr>
  </w:style>
  <w:style w:type="paragraph" w:styleId="Kop3">
    <w:name w:val="heading 3"/>
    <w:basedOn w:val="Standaard"/>
    <w:next w:val="Standaard"/>
    <w:link w:val="Kop3Char"/>
    <w:uiPriority w:val="9"/>
    <w:unhideWhenUsed/>
    <w:qFormat/>
    <w:rsid w:val="00A726AB"/>
    <w:pPr>
      <w:keepNext/>
      <w:keepLines/>
      <w:spacing w:before="200" w:after="0"/>
      <w:outlineLvl w:val="2"/>
    </w:pPr>
    <w:rPr>
      <w:rFonts w:asciiTheme="majorHAnsi" w:eastAsiaTheme="majorEastAsia" w:hAnsiTheme="majorHAnsi" w:cstheme="majorBidi"/>
      <w:b/>
      <w:bCs/>
      <w:sz w:val="24"/>
      <w:lang w:val="en-GB"/>
    </w:rPr>
  </w:style>
  <w:style w:type="paragraph" w:styleId="Kop4">
    <w:name w:val="heading 4"/>
    <w:basedOn w:val="Standaard"/>
    <w:next w:val="Standaard"/>
    <w:link w:val="Kop4Char"/>
    <w:uiPriority w:val="9"/>
    <w:unhideWhenUsed/>
    <w:qFormat/>
    <w:rsid w:val="00A726AB"/>
    <w:pPr>
      <w:keepNext/>
      <w:keepLines/>
      <w:spacing w:before="200" w:after="0"/>
      <w:outlineLvl w:val="3"/>
    </w:pPr>
    <w:rPr>
      <w:rFonts w:asciiTheme="majorHAnsi" w:eastAsiaTheme="majorEastAsia" w:hAnsiTheme="majorHAnsi" w:cstheme="majorBidi"/>
      <w:b/>
      <w:bCs/>
      <w:iCs/>
      <w:lang w:val="en-GB"/>
    </w:rPr>
  </w:style>
  <w:style w:type="paragraph" w:styleId="Kop5">
    <w:name w:val="heading 5"/>
    <w:basedOn w:val="Bijschrift"/>
    <w:next w:val="Standaard"/>
    <w:link w:val="Kop5Char"/>
    <w:uiPriority w:val="9"/>
    <w:unhideWhenUsed/>
    <w:qFormat/>
    <w:rsid w:val="00A726AB"/>
    <w:pPr>
      <w:outlineLvl w:val="4"/>
    </w:pPr>
    <w:rPr>
      <w:color w:val="auto"/>
      <w:lang w:val="en-GB"/>
    </w:rPr>
  </w:style>
  <w:style w:type="paragraph" w:styleId="Kop6">
    <w:name w:val="heading 6"/>
    <w:basedOn w:val="Standaard"/>
    <w:next w:val="Standaard"/>
    <w:link w:val="Kop6Char"/>
    <w:uiPriority w:val="9"/>
    <w:unhideWhenUsed/>
    <w:qFormat/>
    <w:rsid w:val="001C38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503B"/>
    <w:pPr>
      <w:spacing w:after="0" w:line="240" w:lineRule="auto"/>
    </w:pPr>
  </w:style>
  <w:style w:type="paragraph" w:styleId="Ballontekst">
    <w:name w:val="Balloon Text"/>
    <w:basedOn w:val="Standaard"/>
    <w:link w:val="BallontekstChar"/>
    <w:uiPriority w:val="99"/>
    <w:semiHidden/>
    <w:unhideWhenUsed/>
    <w:rsid w:val="00380F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F12"/>
    <w:rPr>
      <w:rFonts w:ascii="Tahoma" w:hAnsi="Tahoma" w:cs="Tahoma"/>
      <w:sz w:val="16"/>
      <w:szCs w:val="16"/>
    </w:rPr>
  </w:style>
  <w:style w:type="character" w:customStyle="1" w:styleId="Kop1Char">
    <w:name w:val="Kop 1 Char"/>
    <w:basedOn w:val="Standaardalinea-lettertype"/>
    <w:link w:val="Kop1"/>
    <w:uiPriority w:val="9"/>
    <w:rsid w:val="00A726AB"/>
    <w:rPr>
      <w:rFonts w:asciiTheme="majorHAnsi" w:eastAsiaTheme="majorEastAsia" w:hAnsiTheme="majorHAnsi" w:cstheme="majorBidi"/>
      <w:b/>
      <w:bCs/>
      <w:sz w:val="28"/>
      <w:szCs w:val="28"/>
      <w:lang w:val="en-GB"/>
    </w:rPr>
  </w:style>
  <w:style w:type="paragraph" w:styleId="Kopvaninhoudsopgave">
    <w:name w:val="TOC Heading"/>
    <w:basedOn w:val="Kop1"/>
    <w:next w:val="Standaard"/>
    <w:uiPriority w:val="39"/>
    <w:semiHidden/>
    <w:unhideWhenUsed/>
    <w:qFormat/>
    <w:rsid w:val="004534AA"/>
    <w:pPr>
      <w:outlineLvl w:val="9"/>
    </w:pPr>
    <w:rPr>
      <w:lang w:eastAsia="nl-NL"/>
    </w:rPr>
  </w:style>
  <w:style w:type="paragraph" w:styleId="Bibliografie">
    <w:name w:val="Bibliography"/>
    <w:basedOn w:val="Standaard"/>
    <w:next w:val="Standaard"/>
    <w:uiPriority w:val="37"/>
    <w:unhideWhenUsed/>
    <w:rsid w:val="008D5DB2"/>
  </w:style>
  <w:style w:type="paragraph" w:styleId="Inhopg1">
    <w:name w:val="toc 1"/>
    <w:basedOn w:val="Standaard"/>
    <w:next w:val="Standaard"/>
    <w:autoRedefine/>
    <w:uiPriority w:val="39"/>
    <w:unhideWhenUsed/>
    <w:qFormat/>
    <w:rsid w:val="00D27DF7"/>
    <w:pPr>
      <w:spacing w:after="100"/>
    </w:pPr>
  </w:style>
  <w:style w:type="character" w:styleId="Hyperlink">
    <w:name w:val="Hyperlink"/>
    <w:basedOn w:val="Standaardalinea-lettertype"/>
    <w:uiPriority w:val="99"/>
    <w:unhideWhenUsed/>
    <w:rsid w:val="00D27DF7"/>
    <w:rPr>
      <w:color w:val="0000FF" w:themeColor="hyperlink"/>
      <w:u w:val="single"/>
    </w:rPr>
  </w:style>
  <w:style w:type="character" w:customStyle="1" w:styleId="Kop2Char">
    <w:name w:val="Kop 2 Char"/>
    <w:basedOn w:val="Standaardalinea-lettertype"/>
    <w:link w:val="Kop2"/>
    <w:uiPriority w:val="9"/>
    <w:rsid w:val="00A726AB"/>
    <w:rPr>
      <w:rFonts w:asciiTheme="majorHAnsi" w:eastAsiaTheme="majorEastAsia" w:hAnsiTheme="majorHAnsi" w:cstheme="majorBidi"/>
      <w:b/>
      <w:bCs/>
      <w:sz w:val="26"/>
      <w:szCs w:val="26"/>
      <w:lang w:val="en-GB"/>
    </w:rPr>
  </w:style>
  <w:style w:type="paragraph" w:styleId="Inhopg2">
    <w:name w:val="toc 2"/>
    <w:basedOn w:val="Standaard"/>
    <w:next w:val="Standaard"/>
    <w:autoRedefine/>
    <w:uiPriority w:val="39"/>
    <w:unhideWhenUsed/>
    <w:qFormat/>
    <w:rsid w:val="00D27DF7"/>
    <w:pPr>
      <w:spacing w:after="100"/>
      <w:ind w:left="220"/>
    </w:pPr>
  </w:style>
  <w:style w:type="character" w:customStyle="1" w:styleId="Kop3Char">
    <w:name w:val="Kop 3 Char"/>
    <w:basedOn w:val="Standaardalinea-lettertype"/>
    <w:link w:val="Kop3"/>
    <w:uiPriority w:val="9"/>
    <w:rsid w:val="00A726AB"/>
    <w:rPr>
      <w:rFonts w:asciiTheme="majorHAnsi" w:eastAsiaTheme="majorEastAsia" w:hAnsiTheme="majorHAnsi" w:cstheme="majorBidi"/>
      <w:b/>
      <w:bCs/>
      <w:sz w:val="24"/>
      <w:lang w:val="en-GB"/>
    </w:rPr>
  </w:style>
  <w:style w:type="paragraph" w:styleId="Inhopg3">
    <w:name w:val="toc 3"/>
    <w:basedOn w:val="Standaard"/>
    <w:next w:val="Standaard"/>
    <w:autoRedefine/>
    <w:uiPriority w:val="39"/>
    <w:unhideWhenUsed/>
    <w:qFormat/>
    <w:rsid w:val="00D27DF7"/>
    <w:pPr>
      <w:spacing w:after="100"/>
      <w:ind w:left="440"/>
    </w:pPr>
  </w:style>
  <w:style w:type="table" w:styleId="Tabelraster">
    <w:name w:val="Table Grid"/>
    <w:basedOn w:val="Standaardtabel"/>
    <w:uiPriority w:val="59"/>
    <w:rsid w:val="00D2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6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660E"/>
  </w:style>
  <w:style w:type="paragraph" w:styleId="Voettekst">
    <w:name w:val="footer"/>
    <w:basedOn w:val="Standaard"/>
    <w:link w:val="VoettekstChar"/>
    <w:uiPriority w:val="99"/>
    <w:unhideWhenUsed/>
    <w:rsid w:val="00966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660E"/>
  </w:style>
  <w:style w:type="paragraph" w:styleId="Bijschrift">
    <w:name w:val="caption"/>
    <w:basedOn w:val="Standaard"/>
    <w:next w:val="Standaard"/>
    <w:uiPriority w:val="35"/>
    <w:unhideWhenUsed/>
    <w:qFormat/>
    <w:rsid w:val="00B94ED4"/>
    <w:pPr>
      <w:spacing w:line="240" w:lineRule="auto"/>
    </w:pPr>
    <w:rPr>
      <w:b/>
      <w:bCs/>
      <w:color w:val="4F81BD" w:themeColor="accent1"/>
      <w:sz w:val="18"/>
      <w:szCs w:val="18"/>
    </w:rPr>
  </w:style>
  <w:style w:type="paragraph" w:styleId="Normaalweb">
    <w:name w:val="Normal (Web)"/>
    <w:basedOn w:val="Standaard"/>
    <w:uiPriority w:val="99"/>
    <w:semiHidden/>
    <w:unhideWhenUsed/>
    <w:rsid w:val="003B25CA"/>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Voetnoottekst">
    <w:name w:val="footnote text"/>
    <w:basedOn w:val="Standaard"/>
    <w:link w:val="VoetnoottekstChar"/>
    <w:uiPriority w:val="99"/>
    <w:unhideWhenUsed/>
    <w:rsid w:val="00402CB8"/>
    <w:pPr>
      <w:spacing w:after="0" w:line="240" w:lineRule="auto"/>
    </w:pPr>
    <w:rPr>
      <w:sz w:val="20"/>
      <w:szCs w:val="20"/>
    </w:rPr>
  </w:style>
  <w:style w:type="character" w:customStyle="1" w:styleId="VoetnoottekstChar">
    <w:name w:val="Voetnoottekst Char"/>
    <w:basedOn w:val="Standaardalinea-lettertype"/>
    <w:link w:val="Voetnoottekst"/>
    <w:uiPriority w:val="99"/>
    <w:rsid w:val="00402CB8"/>
    <w:rPr>
      <w:sz w:val="20"/>
      <w:szCs w:val="20"/>
    </w:rPr>
  </w:style>
  <w:style w:type="character" w:styleId="Voetnootmarkering">
    <w:name w:val="footnote reference"/>
    <w:basedOn w:val="Standaardalinea-lettertype"/>
    <w:uiPriority w:val="99"/>
    <w:semiHidden/>
    <w:unhideWhenUsed/>
    <w:rsid w:val="00402CB8"/>
    <w:rPr>
      <w:vertAlign w:val="superscript"/>
    </w:rPr>
  </w:style>
  <w:style w:type="character" w:customStyle="1" w:styleId="Kop4Char">
    <w:name w:val="Kop 4 Char"/>
    <w:basedOn w:val="Standaardalinea-lettertype"/>
    <w:link w:val="Kop4"/>
    <w:uiPriority w:val="9"/>
    <w:rsid w:val="00A726AB"/>
    <w:rPr>
      <w:rFonts w:asciiTheme="majorHAnsi" w:eastAsiaTheme="majorEastAsia" w:hAnsiTheme="majorHAnsi" w:cstheme="majorBidi"/>
      <w:b/>
      <w:bCs/>
      <w:iCs/>
      <w:lang w:val="en-GB"/>
    </w:rPr>
  </w:style>
  <w:style w:type="character" w:styleId="Verwijzingopmerking">
    <w:name w:val="annotation reference"/>
    <w:basedOn w:val="Standaardalinea-lettertype"/>
    <w:uiPriority w:val="99"/>
    <w:semiHidden/>
    <w:unhideWhenUsed/>
    <w:rsid w:val="00160BF9"/>
    <w:rPr>
      <w:sz w:val="16"/>
      <w:szCs w:val="16"/>
    </w:rPr>
  </w:style>
  <w:style w:type="paragraph" w:styleId="Tekstopmerking">
    <w:name w:val="annotation text"/>
    <w:basedOn w:val="Standaard"/>
    <w:link w:val="TekstopmerkingChar"/>
    <w:uiPriority w:val="99"/>
    <w:semiHidden/>
    <w:unhideWhenUsed/>
    <w:rsid w:val="00160B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0BF9"/>
    <w:rPr>
      <w:sz w:val="20"/>
      <w:szCs w:val="20"/>
    </w:rPr>
  </w:style>
  <w:style w:type="paragraph" w:styleId="Onderwerpvanopmerking">
    <w:name w:val="annotation subject"/>
    <w:basedOn w:val="Tekstopmerking"/>
    <w:next w:val="Tekstopmerking"/>
    <w:link w:val="OnderwerpvanopmerkingChar"/>
    <w:uiPriority w:val="99"/>
    <w:semiHidden/>
    <w:unhideWhenUsed/>
    <w:rsid w:val="00160BF9"/>
    <w:rPr>
      <w:b/>
      <w:bCs/>
    </w:rPr>
  </w:style>
  <w:style w:type="character" w:customStyle="1" w:styleId="OnderwerpvanopmerkingChar">
    <w:name w:val="Onderwerp van opmerking Char"/>
    <w:basedOn w:val="TekstopmerkingChar"/>
    <w:link w:val="Onderwerpvanopmerking"/>
    <w:uiPriority w:val="99"/>
    <w:semiHidden/>
    <w:rsid w:val="00160BF9"/>
    <w:rPr>
      <w:b/>
      <w:bCs/>
      <w:sz w:val="20"/>
      <w:szCs w:val="20"/>
    </w:rPr>
  </w:style>
  <w:style w:type="paragraph" w:styleId="HTML-voorafopgemaakt">
    <w:name w:val="HTML Preformatted"/>
    <w:basedOn w:val="Standaard"/>
    <w:link w:val="HTML-voorafopgemaaktChar"/>
    <w:uiPriority w:val="99"/>
    <w:unhideWhenUsed/>
    <w:rsid w:val="0005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rsid w:val="000579D4"/>
    <w:rPr>
      <w:rFonts w:ascii="Courier New" w:eastAsia="Times New Roman" w:hAnsi="Courier New" w:cs="Courier New"/>
      <w:sz w:val="20"/>
      <w:szCs w:val="20"/>
      <w:lang w:val="en-GB" w:eastAsia="en-GB"/>
    </w:rPr>
  </w:style>
  <w:style w:type="character" w:customStyle="1" w:styleId="apple-converted-space">
    <w:name w:val="apple-converted-space"/>
    <w:basedOn w:val="Standaardalinea-lettertype"/>
    <w:rsid w:val="007C662D"/>
  </w:style>
  <w:style w:type="paragraph" w:styleId="Lijstalinea">
    <w:name w:val="List Paragraph"/>
    <w:basedOn w:val="Standaard"/>
    <w:uiPriority w:val="34"/>
    <w:qFormat/>
    <w:rsid w:val="00E76043"/>
    <w:pPr>
      <w:ind w:left="720"/>
      <w:contextualSpacing/>
    </w:pPr>
  </w:style>
  <w:style w:type="paragraph" w:styleId="Inhopg4">
    <w:name w:val="toc 4"/>
    <w:basedOn w:val="Standaard"/>
    <w:next w:val="Standaard"/>
    <w:autoRedefine/>
    <w:uiPriority w:val="39"/>
    <w:unhideWhenUsed/>
    <w:rsid w:val="00B712B1"/>
    <w:pPr>
      <w:spacing w:after="100"/>
      <w:ind w:left="660"/>
    </w:pPr>
  </w:style>
  <w:style w:type="character" w:styleId="Tekstvantijdelijkeaanduiding">
    <w:name w:val="Placeholder Text"/>
    <w:basedOn w:val="Standaardalinea-lettertype"/>
    <w:uiPriority w:val="99"/>
    <w:semiHidden/>
    <w:rsid w:val="0063004F"/>
    <w:rPr>
      <w:color w:val="808080"/>
    </w:rPr>
  </w:style>
  <w:style w:type="character" w:customStyle="1" w:styleId="Kop6Char">
    <w:name w:val="Kop 6 Char"/>
    <w:basedOn w:val="Standaardalinea-lettertype"/>
    <w:link w:val="Kop6"/>
    <w:uiPriority w:val="9"/>
    <w:rsid w:val="001C3834"/>
    <w:rPr>
      <w:rFonts w:asciiTheme="majorHAnsi" w:eastAsiaTheme="majorEastAsia" w:hAnsiTheme="majorHAnsi" w:cstheme="majorBidi"/>
      <w:i/>
      <w:iCs/>
      <w:color w:val="243F60" w:themeColor="accent1" w:themeShade="7F"/>
    </w:rPr>
  </w:style>
  <w:style w:type="character" w:customStyle="1" w:styleId="Kop5Char">
    <w:name w:val="Kop 5 Char"/>
    <w:basedOn w:val="Standaardalinea-lettertype"/>
    <w:link w:val="Kop5"/>
    <w:uiPriority w:val="9"/>
    <w:rsid w:val="00A726AB"/>
    <w:rPr>
      <w:b/>
      <w:bCs/>
      <w:sz w:val="18"/>
      <w:szCs w:val="18"/>
      <w:lang w:val="en-GB"/>
    </w:rPr>
  </w:style>
  <w:style w:type="paragraph" w:styleId="Inhopg5">
    <w:name w:val="toc 5"/>
    <w:basedOn w:val="Standaard"/>
    <w:next w:val="Standaard"/>
    <w:autoRedefine/>
    <w:uiPriority w:val="39"/>
    <w:unhideWhenUsed/>
    <w:rsid w:val="009A5A14"/>
    <w:pPr>
      <w:spacing w:after="100"/>
      <w:ind w:left="880"/>
    </w:pPr>
    <w:rPr>
      <w:rFonts w:eastAsiaTheme="minorEastAsia"/>
      <w:lang w:val="en-GB" w:eastAsia="en-GB"/>
    </w:rPr>
  </w:style>
  <w:style w:type="paragraph" w:styleId="Inhopg6">
    <w:name w:val="toc 6"/>
    <w:basedOn w:val="Standaard"/>
    <w:next w:val="Standaard"/>
    <w:autoRedefine/>
    <w:uiPriority w:val="39"/>
    <w:unhideWhenUsed/>
    <w:rsid w:val="009A5A14"/>
    <w:pPr>
      <w:spacing w:after="100"/>
      <w:ind w:left="1100"/>
    </w:pPr>
    <w:rPr>
      <w:rFonts w:eastAsiaTheme="minorEastAsia"/>
      <w:lang w:val="en-GB" w:eastAsia="en-GB"/>
    </w:rPr>
  </w:style>
  <w:style w:type="paragraph" w:styleId="Inhopg7">
    <w:name w:val="toc 7"/>
    <w:basedOn w:val="Standaard"/>
    <w:next w:val="Standaard"/>
    <w:autoRedefine/>
    <w:uiPriority w:val="39"/>
    <w:unhideWhenUsed/>
    <w:rsid w:val="009A5A14"/>
    <w:pPr>
      <w:spacing w:after="100"/>
      <w:ind w:left="1320"/>
    </w:pPr>
    <w:rPr>
      <w:rFonts w:eastAsiaTheme="minorEastAsia"/>
      <w:lang w:val="en-GB" w:eastAsia="en-GB"/>
    </w:rPr>
  </w:style>
  <w:style w:type="paragraph" w:styleId="Inhopg8">
    <w:name w:val="toc 8"/>
    <w:basedOn w:val="Standaard"/>
    <w:next w:val="Standaard"/>
    <w:autoRedefine/>
    <w:uiPriority w:val="39"/>
    <w:unhideWhenUsed/>
    <w:rsid w:val="009A5A14"/>
    <w:pPr>
      <w:spacing w:after="100"/>
      <w:ind w:left="1540"/>
    </w:pPr>
    <w:rPr>
      <w:rFonts w:eastAsiaTheme="minorEastAsia"/>
      <w:lang w:val="en-GB" w:eastAsia="en-GB"/>
    </w:rPr>
  </w:style>
  <w:style w:type="paragraph" w:styleId="Inhopg9">
    <w:name w:val="toc 9"/>
    <w:basedOn w:val="Standaard"/>
    <w:next w:val="Standaard"/>
    <w:autoRedefine/>
    <w:uiPriority w:val="39"/>
    <w:unhideWhenUsed/>
    <w:rsid w:val="009A5A14"/>
    <w:pPr>
      <w:spacing w:after="100"/>
      <w:ind w:left="1760"/>
    </w:pPr>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726AB"/>
    <w:pPr>
      <w:keepNext/>
      <w:keepLines/>
      <w:spacing w:before="480" w:after="0"/>
      <w:outlineLvl w:val="0"/>
    </w:pPr>
    <w:rPr>
      <w:rFonts w:asciiTheme="majorHAnsi" w:eastAsiaTheme="majorEastAsia" w:hAnsiTheme="majorHAnsi" w:cstheme="majorBidi"/>
      <w:b/>
      <w:bCs/>
      <w:sz w:val="28"/>
      <w:szCs w:val="28"/>
      <w:lang w:val="en-GB"/>
    </w:rPr>
  </w:style>
  <w:style w:type="paragraph" w:styleId="Kop2">
    <w:name w:val="heading 2"/>
    <w:basedOn w:val="Standaard"/>
    <w:next w:val="Standaard"/>
    <w:link w:val="Kop2Char"/>
    <w:uiPriority w:val="9"/>
    <w:unhideWhenUsed/>
    <w:qFormat/>
    <w:rsid w:val="00A726AB"/>
    <w:pPr>
      <w:keepNext/>
      <w:keepLines/>
      <w:spacing w:before="200" w:after="0"/>
      <w:outlineLvl w:val="1"/>
    </w:pPr>
    <w:rPr>
      <w:rFonts w:asciiTheme="majorHAnsi" w:eastAsiaTheme="majorEastAsia" w:hAnsiTheme="majorHAnsi" w:cstheme="majorBidi"/>
      <w:b/>
      <w:bCs/>
      <w:sz w:val="26"/>
      <w:szCs w:val="26"/>
      <w:lang w:val="en-GB"/>
    </w:rPr>
  </w:style>
  <w:style w:type="paragraph" w:styleId="Kop3">
    <w:name w:val="heading 3"/>
    <w:basedOn w:val="Standaard"/>
    <w:next w:val="Standaard"/>
    <w:link w:val="Kop3Char"/>
    <w:uiPriority w:val="9"/>
    <w:unhideWhenUsed/>
    <w:qFormat/>
    <w:rsid w:val="00A726AB"/>
    <w:pPr>
      <w:keepNext/>
      <w:keepLines/>
      <w:spacing w:before="200" w:after="0"/>
      <w:outlineLvl w:val="2"/>
    </w:pPr>
    <w:rPr>
      <w:rFonts w:asciiTheme="majorHAnsi" w:eastAsiaTheme="majorEastAsia" w:hAnsiTheme="majorHAnsi" w:cstheme="majorBidi"/>
      <w:b/>
      <w:bCs/>
      <w:sz w:val="24"/>
      <w:lang w:val="en-GB"/>
    </w:rPr>
  </w:style>
  <w:style w:type="paragraph" w:styleId="Kop4">
    <w:name w:val="heading 4"/>
    <w:basedOn w:val="Standaard"/>
    <w:next w:val="Standaard"/>
    <w:link w:val="Kop4Char"/>
    <w:uiPriority w:val="9"/>
    <w:unhideWhenUsed/>
    <w:qFormat/>
    <w:rsid w:val="00A726AB"/>
    <w:pPr>
      <w:keepNext/>
      <w:keepLines/>
      <w:spacing w:before="200" w:after="0"/>
      <w:outlineLvl w:val="3"/>
    </w:pPr>
    <w:rPr>
      <w:rFonts w:asciiTheme="majorHAnsi" w:eastAsiaTheme="majorEastAsia" w:hAnsiTheme="majorHAnsi" w:cstheme="majorBidi"/>
      <w:b/>
      <w:bCs/>
      <w:iCs/>
      <w:lang w:val="en-GB"/>
    </w:rPr>
  </w:style>
  <w:style w:type="paragraph" w:styleId="Kop5">
    <w:name w:val="heading 5"/>
    <w:basedOn w:val="Bijschrift"/>
    <w:next w:val="Standaard"/>
    <w:link w:val="Kop5Char"/>
    <w:uiPriority w:val="9"/>
    <w:unhideWhenUsed/>
    <w:qFormat/>
    <w:rsid w:val="00A726AB"/>
    <w:pPr>
      <w:outlineLvl w:val="4"/>
    </w:pPr>
    <w:rPr>
      <w:color w:val="auto"/>
      <w:lang w:val="en-GB"/>
    </w:rPr>
  </w:style>
  <w:style w:type="paragraph" w:styleId="Kop6">
    <w:name w:val="heading 6"/>
    <w:basedOn w:val="Standaard"/>
    <w:next w:val="Standaard"/>
    <w:link w:val="Kop6Char"/>
    <w:uiPriority w:val="9"/>
    <w:unhideWhenUsed/>
    <w:qFormat/>
    <w:rsid w:val="001C38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503B"/>
    <w:pPr>
      <w:spacing w:after="0" w:line="240" w:lineRule="auto"/>
    </w:pPr>
  </w:style>
  <w:style w:type="paragraph" w:styleId="Ballontekst">
    <w:name w:val="Balloon Text"/>
    <w:basedOn w:val="Standaard"/>
    <w:link w:val="BallontekstChar"/>
    <w:uiPriority w:val="99"/>
    <w:semiHidden/>
    <w:unhideWhenUsed/>
    <w:rsid w:val="00380F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F12"/>
    <w:rPr>
      <w:rFonts w:ascii="Tahoma" w:hAnsi="Tahoma" w:cs="Tahoma"/>
      <w:sz w:val="16"/>
      <w:szCs w:val="16"/>
    </w:rPr>
  </w:style>
  <w:style w:type="character" w:customStyle="1" w:styleId="Kop1Char">
    <w:name w:val="Kop 1 Char"/>
    <w:basedOn w:val="Standaardalinea-lettertype"/>
    <w:link w:val="Kop1"/>
    <w:uiPriority w:val="9"/>
    <w:rsid w:val="00A726AB"/>
    <w:rPr>
      <w:rFonts w:asciiTheme="majorHAnsi" w:eastAsiaTheme="majorEastAsia" w:hAnsiTheme="majorHAnsi" w:cstheme="majorBidi"/>
      <w:b/>
      <w:bCs/>
      <w:sz w:val="28"/>
      <w:szCs w:val="28"/>
      <w:lang w:val="en-GB"/>
    </w:rPr>
  </w:style>
  <w:style w:type="paragraph" w:styleId="Kopvaninhoudsopgave">
    <w:name w:val="TOC Heading"/>
    <w:basedOn w:val="Kop1"/>
    <w:next w:val="Standaard"/>
    <w:uiPriority w:val="39"/>
    <w:semiHidden/>
    <w:unhideWhenUsed/>
    <w:qFormat/>
    <w:rsid w:val="004534AA"/>
    <w:pPr>
      <w:outlineLvl w:val="9"/>
    </w:pPr>
    <w:rPr>
      <w:lang w:eastAsia="nl-NL"/>
    </w:rPr>
  </w:style>
  <w:style w:type="paragraph" w:styleId="Bibliografie">
    <w:name w:val="Bibliography"/>
    <w:basedOn w:val="Standaard"/>
    <w:next w:val="Standaard"/>
    <w:uiPriority w:val="37"/>
    <w:unhideWhenUsed/>
    <w:rsid w:val="008D5DB2"/>
  </w:style>
  <w:style w:type="paragraph" w:styleId="Inhopg1">
    <w:name w:val="toc 1"/>
    <w:basedOn w:val="Standaard"/>
    <w:next w:val="Standaard"/>
    <w:autoRedefine/>
    <w:uiPriority w:val="39"/>
    <w:unhideWhenUsed/>
    <w:qFormat/>
    <w:rsid w:val="00D27DF7"/>
    <w:pPr>
      <w:spacing w:after="100"/>
    </w:pPr>
  </w:style>
  <w:style w:type="character" w:styleId="Hyperlink">
    <w:name w:val="Hyperlink"/>
    <w:basedOn w:val="Standaardalinea-lettertype"/>
    <w:uiPriority w:val="99"/>
    <w:unhideWhenUsed/>
    <w:rsid w:val="00D27DF7"/>
    <w:rPr>
      <w:color w:val="0000FF" w:themeColor="hyperlink"/>
      <w:u w:val="single"/>
    </w:rPr>
  </w:style>
  <w:style w:type="character" w:customStyle="1" w:styleId="Kop2Char">
    <w:name w:val="Kop 2 Char"/>
    <w:basedOn w:val="Standaardalinea-lettertype"/>
    <w:link w:val="Kop2"/>
    <w:uiPriority w:val="9"/>
    <w:rsid w:val="00A726AB"/>
    <w:rPr>
      <w:rFonts w:asciiTheme="majorHAnsi" w:eastAsiaTheme="majorEastAsia" w:hAnsiTheme="majorHAnsi" w:cstheme="majorBidi"/>
      <w:b/>
      <w:bCs/>
      <w:sz w:val="26"/>
      <w:szCs w:val="26"/>
      <w:lang w:val="en-GB"/>
    </w:rPr>
  </w:style>
  <w:style w:type="paragraph" w:styleId="Inhopg2">
    <w:name w:val="toc 2"/>
    <w:basedOn w:val="Standaard"/>
    <w:next w:val="Standaard"/>
    <w:autoRedefine/>
    <w:uiPriority w:val="39"/>
    <w:unhideWhenUsed/>
    <w:qFormat/>
    <w:rsid w:val="00D27DF7"/>
    <w:pPr>
      <w:spacing w:after="100"/>
      <w:ind w:left="220"/>
    </w:pPr>
  </w:style>
  <w:style w:type="character" w:customStyle="1" w:styleId="Kop3Char">
    <w:name w:val="Kop 3 Char"/>
    <w:basedOn w:val="Standaardalinea-lettertype"/>
    <w:link w:val="Kop3"/>
    <w:uiPriority w:val="9"/>
    <w:rsid w:val="00A726AB"/>
    <w:rPr>
      <w:rFonts w:asciiTheme="majorHAnsi" w:eastAsiaTheme="majorEastAsia" w:hAnsiTheme="majorHAnsi" w:cstheme="majorBidi"/>
      <w:b/>
      <w:bCs/>
      <w:sz w:val="24"/>
      <w:lang w:val="en-GB"/>
    </w:rPr>
  </w:style>
  <w:style w:type="paragraph" w:styleId="Inhopg3">
    <w:name w:val="toc 3"/>
    <w:basedOn w:val="Standaard"/>
    <w:next w:val="Standaard"/>
    <w:autoRedefine/>
    <w:uiPriority w:val="39"/>
    <w:unhideWhenUsed/>
    <w:qFormat/>
    <w:rsid w:val="00D27DF7"/>
    <w:pPr>
      <w:spacing w:after="100"/>
      <w:ind w:left="440"/>
    </w:pPr>
  </w:style>
  <w:style w:type="table" w:styleId="Tabelraster">
    <w:name w:val="Table Grid"/>
    <w:basedOn w:val="Standaardtabel"/>
    <w:uiPriority w:val="59"/>
    <w:rsid w:val="00D2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6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660E"/>
  </w:style>
  <w:style w:type="paragraph" w:styleId="Voettekst">
    <w:name w:val="footer"/>
    <w:basedOn w:val="Standaard"/>
    <w:link w:val="VoettekstChar"/>
    <w:uiPriority w:val="99"/>
    <w:unhideWhenUsed/>
    <w:rsid w:val="00966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660E"/>
  </w:style>
  <w:style w:type="paragraph" w:styleId="Bijschrift">
    <w:name w:val="caption"/>
    <w:basedOn w:val="Standaard"/>
    <w:next w:val="Standaard"/>
    <w:uiPriority w:val="35"/>
    <w:unhideWhenUsed/>
    <w:qFormat/>
    <w:rsid w:val="00B94ED4"/>
    <w:pPr>
      <w:spacing w:line="240" w:lineRule="auto"/>
    </w:pPr>
    <w:rPr>
      <w:b/>
      <w:bCs/>
      <w:color w:val="4F81BD" w:themeColor="accent1"/>
      <w:sz w:val="18"/>
      <w:szCs w:val="18"/>
    </w:rPr>
  </w:style>
  <w:style w:type="paragraph" w:styleId="Normaalweb">
    <w:name w:val="Normal (Web)"/>
    <w:basedOn w:val="Standaard"/>
    <w:uiPriority w:val="99"/>
    <w:semiHidden/>
    <w:unhideWhenUsed/>
    <w:rsid w:val="003B25CA"/>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Voetnoottekst">
    <w:name w:val="footnote text"/>
    <w:basedOn w:val="Standaard"/>
    <w:link w:val="VoetnoottekstChar"/>
    <w:uiPriority w:val="99"/>
    <w:unhideWhenUsed/>
    <w:rsid w:val="00402CB8"/>
    <w:pPr>
      <w:spacing w:after="0" w:line="240" w:lineRule="auto"/>
    </w:pPr>
    <w:rPr>
      <w:sz w:val="20"/>
      <w:szCs w:val="20"/>
    </w:rPr>
  </w:style>
  <w:style w:type="character" w:customStyle="1" w:styleId="VoetnoottekstChar">
    <w:name w:val="Voetnoottekst Char"/>
    <w:basedOn w:val="Standaardalinea-lettertype"/>
    <w:link w:val="Voetnoottekst"/>
    <w:uiPriority w:val="99"/>
    <w:rsid w:val="00402CB8"/>
    <w:rPr>
      <w:sz w:val="20"/>
      <w:szCs w:val="20"/>
    </w:rPr>
  </w:style>
  <w:style w:type="character" w:styleId="Voetnootmarkering">
    <w:name w:val="footnote reference"/>
    <w:basedOn w:val="Standaardalinea-lettertype"/>
    <w:uiPriority w:val="99"/>
    <w:semiHidden/>
    <w:unhideWhenUsed/>
    <w:rsid w:val="00402CB8"/>
    <w:rPr>
      <w:vertAlign w:val="superscript"/>
    </w:rPr>
  </w:style>
  <w:style w:type="character" w:customStyle="1" w:styleId="Kop4Char">
    <w:name w:val="Kop 4 Char"/>
    <w:basedOn w:val="Standaardalinea-lettertype"/>
    <w:link w:val="Kop4"/>
    <w:uiPriority w:val="9"/>
    <w:rsid w:val="00A726AB"/>
    <w:rPr>
      <w:rFonts w:asciiTheme="majorHAnsi" w:eastAsiaTheme="majorEastAsia" w:hAnsiTheme="majorHAnsi" w:cstheme="majorBidi"/>
      <w:b/>
      <w:bCs/>
      <w:iCs/>
      <w:lang w:val="en-GB"/>
    </w:rPr>
  </w:style>
  <w:style w:type="character" w:styleId="Verwijzingopmerking">
    <w:name w:val="annotation reference"/>
    <w:basedOn w:val="Standaardalinea-lettertype"/>
    <w:uiPriority w:val="99"/>
    <w:semiHidden/>
    <w:unhideWhenUsed/>
    <w:rsid w:val="00160BF9"/>
    <w:rPr>
      <w:sz w:val="16"/>
      <w:szCs w:val="16"/>
    </w:rPr>
  </w:style>
  <w:style w:type="paragraph" w:styleId="Tekstopmerking">
    <w:name w:val="annotation text"/>
    <w:basedOn w:val="Standaard"/>
    <w:link w:val="TekstopmerkingChar"/>
    <w:uiPriority w:val="99"/>
    <w:semiHidden/>
    <w:unhideWhenUsed/>
    <w:rsid w:val="00160B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0BF9"/>
    <w:rPr>
      <w:sz w:val="20"/>
      <w:szCs w:val="20"/>
    </w:rPr>
  </w:style>
  <w:style w:type="paragraph" w:styleId="Onderwerpvanopmerking">
    <w:name w:val="annotation subject"/>
    <w:basedOn w:val="Tekstopmerking"/>
    <w:next w:val="Tekstopmerking"/>
    <w:link w:val="OnderwerpvanopmerkingChar"/>
    <w:uiPriority w:val="99"/>
    <w:semiHidden/>
    <w:unhideWhenUsed/>
    <w:rsid w:val="00160BF9"/>
    <w:rPr>
      <w:b/>
      <w:bCs/>
    </w:rPr>
  </w:style>
  <w:style w:type="character" w:customStyle="1" w:styleId="OnderwerpvanopmerkingChar">
    <w:name w:val="Onderwerp van opmerking Char"/>
    <w:basedOn w:val="TekstopmerkingChar"/>
    <w:link w:val="Onderwerpvanopmerking"/>
    <w:uiPriority w:val="99"/>
    <w:semiHidden/>
    <w:rsid w:val="00160BF9"/>
    <w:rPr>
      <w:b/>
      <w:bCs/>
      <w:sz w:val="20"/>
      <w:szCs w:val="20"/>
    </w:rPr>
  </w:style>
  <w:style w:type="paragraph" w:styleId="HTML-voorafopgemaakt">
    <w:name w:val="HTML Preformatted"/>
    <w:basedOn w:val="Standaard"/>
    <w:link w:val="HTML-voorafopgemaaktChar"/>
    <w:uiPriority w:val="99"/>
    <w:unhideWhenUsed/>
    <w:rsid w:val="0005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rsid w:val="000579D4"/>
    <w:rPr>
      <w:rFonts w:ascii="Courier New" w:eastAsia="Times New Roman" w:hAnsi="Courier New" w:cs="Courier New"/>
      <w:sz w:val="20"/>
      <w:szCs w:val="20"/>
      <w:lang w:val="en-GB" w:eastAsia="en-GB"/>
    </w:rPr>
  </w:style>
  <w:style w:type="character" w:customStyle="1" w:styleId="apple-converted-space">
    <w:name w:val="apple-converted-space"/>
    <w:basedOn w:val="Standaardalinea-lettertype"/>
    <w:rsid w:val="007C662D"/>
  </w:style>
  <w:style w:type="paragraph" w:styleId="Lijstalinea">
    <w:name w:val="List Paragraph"/>
    <w:basedOn w:val="Standaard"/>
    <w:uiPriority w:val="34"/>
    <w:qFormat/>
    <w:rsid w:val="00E76043"/>
    <w:pPr>
      <w:ind w:left="720"/>
      <w:contextualSpacing/>
    </w:pPr>
  </w:style>
  <w:style w:type="paragraph" w:styleId="Inhopg4">
    <w:name w:val="toc 4"/>
    <w:basedOn w:val="Standaard"/>
    <w:next w:val="Standaard"/>
    <w:autoRedefine/>
    <w:uiPriority w:val="39"/>
    <w:unhideWhenUsed/>
    <w:rsid w:val="00B712B1"/>
    <w:pPr>
      <w:spacing w:after="100"/>
      <w:ind w:left="660"/>
    </w:pPr>
  </w:style>
  <w:style w:type="character" w:styleId="Tekstvantijdelijkeaanduiding">
    <w:name w:val="Placeholder Text"/>
    <w:basedOn w:val="Standaardalinea-lettertype"/>
    <w:uiPriority w:val="99"/>
    <w:semiHidden/>
    <w:rsid w:val="0063004F"/>
    <w:rPr>
      <w:color w:val="808080"/>
    </w:rPr>
  </w:style>
  <w:style w:type="character" w:customStyle="1" w:styleId="Kop6Char">
    <w:name w:val="Kop 6 Char"/>
    <w:basedOn w:val="Standaardalinea-lettertype"/>
    <w:link w:val="Kop6"/>
    <w:uiPriority w:val="9"/>
    <w:rsid w:val="001C3834"/>
    <w:rPr>
      <w:rFonts w:asciiTheme="majorHAnsi" w:eastAsiaTheme="majorEastAsia" w:hAnsiTheme="majorHAnsi" w:cstheme="majorBidi"/>
      <w:i/>
      <w:iCs/>
      <w:color w:val="243F60" w:themeColor="accent1" w:themeShade="7F"/>
    </w:rPr>
  </w:style>
  <w:style w:type="character" w:customStyle="1" w:styleId="Kop5Char">
    <w:name w:val="Kop 5 Char"/>
    <w:basedOn w:val="Standaardalinea-lettertype"/>
    <w:link w:val="Kop5"/>
    <w:uiPriority w:val="9"/>
    <w:rsid w:val="00A726AB"/>
    <w:rPr>
      <w:b/>
      <w:bCs/>
      <w:sz w:val="18"/>
      <w:szCs w:val="18"/>
      <w:lang w:val="en-GB"/>
    </w:rPr>
  </w:style>
  <w:style w:type="paragraph" w:styleId="Inhopg5">
    <w:name w:val="toc 5"/>
    <w:basedOn w:val="Standaard"/>
    <w:next w:val="Standaard"/>
    <w:autoRedefine/>
    <w:uiPriority w:val="39"/>
    <w:unhideWhenUsed/>
    <w:rsid w:val="009A5A14"/>
    <w:pPr>
      <w:spacing w:after="100"/>
      <w:ind w:left="880"/>
    </w:pPr>
    <w:rPr>
      <w:rFonts w:eastAsiaTheme="minorEastAsia"/>
      <w:lang w:val="en-GB" w:eastAsia="en-GB"/>
    </w:rPr>
  </w:style>
  <w:style w:type="paragraph" w:styleId="Inhopg6">
    <w:name w:val="toc 6"/>
    <w:basedOn w:val="Standaard"/>
    <w:next w:val="Standaard"/>
    <w:autoRedefine/>
    <w:uiPriority w:val="39"/>
    <w:unhideWhenUsed/>
    <w:rsid w:val="009A5A14"/>
    <w:pPr>
      <w:spacing w:after="100"/>
      <w:ind w:left="1100"/>
    </w:pPr>
    <w:rPr>
      <w:rFonts w:eastAsiaTheme="minorEastAsia"/>
      <w:lang w:val="en-GB" w:eastAsia="en-GB"/>
    </w:rPr>
  </w:style>
  <w:style w:type="paragraph" w:styleId="Inhopg7">
    <w:name w:val="toc 7"/>
    <w:basedOn w:val="Standaard"/>
    <w:next w:val="Standaard"/>
    <w:autoRedefine/>
    <w:uiPriority w:val="39"/>
    <w:unhideWhenUsed/>
    <w:rsid w:val="009A5A14"/>
    <w:pPr>
      <w:spacing w:after="100"/>
      <w:ind w:left="1320"/>
    </w:pPr>
    <w:rPr>
      <w:rFonts w:eastAsiaTheme="minorEastAsia"/>
      <w:lang w:val="en-GB" w:eastAsia="en-GB"/>
    </w:rPr>
  </w:style>
  <w:style w:type="paragraph" w:styleId="Inhopg8">
    <w:name w:val="toc 8"/>
    <w:basedOn w:val="Standaard"/>
    <w:next w:val="Standaard"/>
    <w:autoRedefine/>
    <w:uiPriority w:val="39"/>
    <w:unhideWhenUsed/>
    <w:rsid w:val="009A5A14"/>
    <w:pPr>
      <w:spacing w:after="100"/>
      <w:ind w:left="1540"/>
    </w:pPr>
    <w:rPr>
      <w:rFonts w:eastAsiaTheme="minorEastAsia"/>
      <w:lang w:val="en-GB" w:eastAsia="en-GB"/>
    </w:rPr>
  </w:style>
  <w:style w:type="paragraph" w:styleId="Inhopg9">
    <w:name w:val="toc 9"/>
    <w:basedOn w:val="Standaard"/>
    <w:next w:val="Standaard"/>
    <w:autoRedefine/>
    <w:uiPriority w:val="39"/>
    <w:unhideWhenUsed/>
    <w:rsid w:val="009A5A14"/>
    <w:pPr>
      <w:spacing w:after="100"/>
      <w:ind w:left="1760"/>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64">
      <w:bodyDiv w:val="1"/>
      <w:marLeft w:val="0"/>
      <w:marRight w:val="0"/>
      <w:marTop w:val="0"/>
      <w:marBottom w:val="0"/>
      <w:divBdr>
        <w:top w:val="none" w:sz="0" w:space="0" w:color="auto"/>
        <w:left w:val="none" w:sz="0" w:space="0" w:color="auto"/>
        <w:bottom w:val="none" w:sz="0" w:space="0" w:color="auto"/>
        <w:right w:val="none" w:sz="0" w:space="0" w:color="auto"/>
      </w:divBdr>
    </w:div>
    <w:div w:id="22945346">
      <w:bodyDiv w:val="1"/>
      <w:marLeft w:val="0"/>
      <w:marRight w:val="0"/>
      <w:marTop w:val="0"/>
      <w:marBottom w:val="0"/>
      <w:divBdr>
        <w:top w:val="none" w:sz="0" w:space="0" w:color="auto"/>
        <w:left w:val="none" w:sz="0" w:space="0" w:color="auto"/>
        <w:bottom w:val="none" w:sz="0" w:space="0" w:color="auto"/>
        <w:right w:val="none" w:sz="0" w:space="0" w:color="auto"/>
      </w:divBdr>
    </w:div>
    <w:div w:id="26611053">
      <w:bodyDiv w:val="1"/>
      <w:marLeft w:val="0"/>
      <w:marRight w:val="0"/>
      <w:marTop w:val="0"/>
      <w:marBottom w:val="0"/>
      <w:divBdr>
        <w:top w:val="none" w:sz="0" w:space="0" w:color="auto"/>
        <w:left w:val="none" w:sz="0" w:space="0" w:color="auto"/>
        <w:bottom w:val="none" w:sz="0" w:space="0" w:color="auto"/>
        <w:right w:val="none" w:sz="0" w:space="0" w:color="auto"/>
      </w:divBdr>
    </w:div>
    <w:div w:id="33770971">
      <w:bodyDiv w:val="1"/>
      <w:marLeft w:val="0"/>
      <w:marRight w:val="0"/>
      <w:marTop w:val="0"/>
      <w:marBottom w:val="0"/>
      <w:divBdr>
        <w:top w:val="none" w:sz="0" w:space="0" w:color="auto"/>
        <w:left w:val="none" w:sz="0" w:space="0" w:color="auto"/>
        <w:bottom w:val="none" w:sz="0" w:space="0" w:color="auto"/>
        <w:right w:val="none" w:sz="0" w:space="0" w:color="auto"/>
      </w:divBdr>
    </w:div>
    <w:div w:id="34233891">
      <w:bodyDiv w:val="1"/>
      <w:marLeft w:val="0"/>
      <w:marRight w:val="0"/>
      <w:marTop w:val="0"/>
      <w:marBottom w:val="0"/>
      <w:divBdr>
        <w:top w:val="none" w:sz="0" w:space="0" w:color="auto"/>
        <w:left w:val="none" w:sz="0" w:space="0" w:color="auto"/>
        <w:bottom w:val="none" w:sz="0" w:space="0" w:color="auto"/>
        <w:right w:val="none" w:sz="0" w:space="0" w:color="auto"/>
      </w:divBdr>
    </w:div>
    <w:div w:id="36711292">
      <w:bodyDiv w:val="1"/>
      <w:marLeft w:val="0"/>
      <w:marRight w:val="0"/>
      <w:marTop w:val="0"/>
      <w:marBottom w:val="0"/>
      <w:divBdr>
        <w:top w:val="none" w:sz="0" w:space="0" w:color="auto"/>
        <w:left w:val="none" w:sz="0" w:space="0" w:color="auto"/>
        <w:bottom w:val="none" w:sz="0" w:space="0" w:color="auto"/>
        <w:right w:val="none" w:sz="0" w:space="0" w:color="auto"/>
      </w:divBdr>
    </w:div>
    <w:div w:id="47847158">
      <w:bodyDiv w:val="1"/>
      <w:marLeft w:val="0"/>
      <w:marRight w:val="0"/>
      <w:marTop w:val="0"/>
      <w:marBottom w:val="0"/>
      <w:divBdr>
        <w:top w:val="none" w:sz="0" w:space="0" w:color="auto"/>
        <w:left w:val="none" w:sz="0" w:space="0" w:color="auto"/>
        <w:bottom w:val="none" w:sz="0" w:space="0" w:color="auto"/>
        <w:right w:val="none" w:sz="0" w:space="0" w:color="auto"/>
      </w:divBdr>
    </w:div>
    <w:div w:id="63066490">
      <w:bodyDiv w:val="1"/>
      <w:marLeft w:val="0"/>
      <w:marRight w:val="0"/>
      <w:marTop w:val="0"/>
      <w:marBottom w:val="0"/>
      <w:divBdr>
        <w:top w:val="none" w:sz="0" w:space="0" w:color="auto"/>
        <w:left w:val="none" w:sz="0" w:space="0" w:color="auto"/>
        <w:bottom w:val="none" w:sz="0" w:space="0" w:color="auto"/>
        <w:right w:val="none" w:sz="0" w:space="0" w:color="auto"/>
      </w:divBdr>
    </w:div>
    <w:div w:id="66271572">
      <w:bodyDiv w:val="1"/>
      <w:marLeft w:val="0"/>
      <w:marRight w:val="0"/>
      <w:marTop w:val="0"/>
      <w:marBottom w:val="0"/>
      <w:divBdr>
        <w:top w:val="none" w:sz="0" w:space="0" w:color="auto"/>
        <w:left w:val="none" w:sz="0" w:space="0" w:color="auto"/>
        <w:bottom w:val="none" w:sz="0" w:space="0" w:color="auto"/>
        <w:right w:val="none" w:sz="0" w:space="0" w:color="auto"/>
      </w:divBdr>
    </w:div>
    <w:div w:id="84501468">
      <w:bodyDiv w:val="1"/>
      <w:marLeft w:val="0"/>
      <w:marRight w:val="0"/>
      <w:marTop w:val="0"/>
      <w:marBottom w:val="0"/>
      <w:divBdr>
        <w:top w:val="none" w:sz="0" w:space="0" w:color="auto"/>
        <w:left w:val="none" w:sz="0" w:space="0" w:color="auto"/>
        <w:bottom w:val="none" w:sz="0" w:space="0" w:color="auto"/>
        <w:right w:val="none" w:sz="0" w:space="0" w:color="auto"/>
      </w:divBdr>
    </w:div>
    <w:div w:id="86387710">
      <w:bodyDiv w:val="1"/>
      <w:marLeft w:val="0"/>
      <w:marRight w:val="0"/>
      <w:marTop w:val="0"/>
      <w:marBottom w:val="0"/>
      <w:divBdr>
        <w:top w:val="none" w:sz="0" w:space="0" w:color="auto"/>
        <w:left w:val="none" w:sz="0" w:space="0" w:color="auto"/>
        <w:bottom w:val="none" w:sz="0" w:space="0" w:color="auto"/>
        <w:right w:val="none" w:sz="0" w:space="0" w:color="auto"/>
      </w:divBdr>
    </w:div>
    <w:div w:id="90514828">
      <w:bodyDiv w:val="1"/>
      <w:marLeft w:val="0"/>
      <w:marRight w:val="0"/>
      <w:marTop w:val="0"/>
      <w:marBottom w:val="0"/>
      <w:divBdr>
        <w:top w:val="none" w:sz="0" w:space="0" w:color="auto"/>
        <w:left w:val="none" w:sz="0" w:space="0" w:color="auto"/>
        <w:bottom w:val="none" w:sz="0" w:space="0" w:color="auto"/>
        <w:right w:val="none" w:sz="0" w:space="0" w:color="auto"/>
      </w:divBdr>
    </w:div>
    <w:div w:id="90666257">
      <w:bodyDiv w:val="1"/>
      <w:marLeft w:val="0"/>
      <w:marRight w:val="0"/>
      <w:marTop w:val="0"/>
      <w:marBottom w:val="0"/>
      <w:divBdr>
        <w:top w:val="none" w:sz="0" w:space="0" w:color="auto"/>
        <w:left w:val="none" w:sz="0" w:space="0" w:color="auto"/>
        <w:bottom w:val="none" w:sz="0" w:space="0" w:color="auto"/>
        <w:right w:val="none" w:sz="0" w:space="0" w:color="auto"/>
      </w:divBdr>
    </w:div>
    <w:div w:id="102963281">
      <w:bodyDiv w:val="1"/>
      <w:marLeft w:val="0"/>
      <w:marRight w:val="0"/>
      <w:marTop w:val="0"/>
      <w:marBottom w:val="0"/>
      <w:divBdr>
        <w:top w:val="none" w:sz="0" w:space="0" w:color="auto"/>
        <w:left w:val="none" w:sz="0" w:space="0" w:color="auto"/>
        <w:bottom w:val="none" w:sz="0" w:space="0" w:color="auto"/>
        <w:right w:val="none" w:sz="0" w:space="0" w:color="auto"/>
      </w:divBdr>
    </w:div>
    <w:div w:id="134611736">
      <w:bodyDiv w:val="1"/>
      <w:marLeft w:val="0"/>
      <w:marRight w:val="0"/>
      <w:marTop w:val="0"/>
      <w:marBottom w:val="0"/>
      <w:divBdr>
        <w:top w:val="none" w:sz="0" w:space="0" w:color="auto"/>
        <w:left w:val="none" w:sz="0" w:space="0" w:color="auto"/>
        <w:bottom w:val="none" w:sz="0" w:space="0" w:color="auto"/>
        <w:right w:val="none" w:sz="0" w:space="0" w:color="auto"/>
      </w:divBdr>
    </w:div>
    <w:div w:id="137573695">
      <w:bodyDiv w:val="1"/>
      <w:marLeft w:val="0"/>
      <w:marRight w:val="0"/>
      <w:marTop w:val="0"/>
      <w:marBottom w:val="0"/>
      <w:divBdr>
        <w:top w:val="none" w:sz="0" w:space="0" w:color="auto"/>
        <w:left w:val="none" w:sz="0" w:space="0" w:color="auto"/>
        <w:bottom w:val="none" w:sz="0" w:space="0" w:color="auto"/>
        <w:right w:val="none" w:sz="0" w:space="0" w:color="auto"/>
      </w:divBdr>
    </w:div>
    <w:div w:id="143394917">
      <w:bodyDiv w:val="1"/>
      <w:marLeft w:val="0"/>
      <w:marRight w:val="0"/>
      <w:marTop w:val="0"/>
      <w:marBottom w:val="0"/>
      <w:divBdr>
        <w:top w:val="none" w:sz="0" w:space="0" w:color="auto"/>
        <w:left w:val="none" w:sz="0" w:space="0" w:color="auto"/>
        <w:bottom w:val="none" w:sz="0" w:space="0" w:color="auto"/>
        <w:right w:val="none" w:sz="0" w:space="0" w:color="auto"/>
      </w:divBdr>
    </w:div>
    <w:div w:id="153423902">
      <w:bodyDiv w:val="1"/>
      <w:marLeft w:val="0"/>
      <w:marRight w:val="0"/>
      <w:marTop w:val="0"/>
      <w:marBottom w:val="0"/>
      <w:divBdr>
        <w:top w:val="none" w:sz="0" w:space="0" w:color="auto"/>
        <w:left w:val="none" w:sz="0" w:space="0" w:color="auto"/>
        <w:bottom w:val="none" w:sz="0" w:space="0" w:color="auto"/>
        <w:right w:val="none" w:sz="0" w:space="0" w:color="auto"/>
      </w:divBdr>
    </w:div>
    <w:div w:id="161288204">
      <w:bodyDiv w:val="1"/>
      <w:marLeft w:val="0"/>
      <w:marRight w:val="0"/>
      <w:marTop w:val="0"/>
      <w:marBottom w:val="0"/>
      <w:divBdr>
        <w:top w:val="none" w:sz="0" w:space="0" w:color="auto"/>
        <w:left w:val="none" w:sz="0" w:space="0" w:color="auto"/>
        <w:bottom w:val="none" w:sz="0" w:space="0" w:color="auto"/>
        <w:right w:val="none" w:sz="0" w:space="0" w:color="auto"/>
      </w:divBdr>
    </w:div>
    <w:div w:id="184943737">
      <w:bodyDiv w:val="1"/>
      <w:marLeft w:val="0"/>
      <w:marRight w:val="0"/>
      <w:marTop w:val="0"/>
      <w:marBottom w:val="0"/>
      <w:divBdr>
        <w:top w:val="none" w:sz="0" w:space="0" w:color="auto"/>
        <w:left w:val="none" w:sz="0" w:space="0" w:color="auto"/>
        <w:bottom w:val="none" w:sz="0" w:space="0" w:color="auto"/>
        <w:right w:val="none" w:sz="0" w:space="0" w:color="auto"/>
      </w:divBdr>
    </w:div>
    <w:div w:id="185338523">
      <w:bodyDiv w:val="1"/>
      <w:marLeft w:val="0"/>
      <w:marRight w:val="0"/>
      <w:marTop w:val="0"/>
      <w:marBottom w:val="0"/>
      <w:divBdr>
        <w:top w:val="none" w:sz="0" w:space="0" w:color="auto"/>
        <w:left w:val="none" w:sz="0" w:space="0" w:color="auto"/>
        <w:bottom w:val="none" w:sz="0" w:space="0" w:color="auto"/>
        <w:right w:val="none" w:sz="0" w:space="0" w:color="auto"/>
      </w:divBdr>
    </w:div>
    <w:div w:id="185406800">
      <w:bodyDiv w:val="1"/>
      <w:marLeft w:val="0"/>
      <w:marRight w:val="0"/>
      <w:marTop w:val="0"/>
      <w:marBottom w:val="0"/>
      <w:divBdr>
        <w:top w:val="none" w:sz="0" w:space="0" w:color="auto"/>
        <w:left w:val="none" w:sz="0" w:space="0" w:color="auto"/>
        <w:bottom w:val="none" w:sz="0" w:space="0" w:color="auto"/>
        <w:right w:val="none" w:sz="0" w:space="0" w:color="auto"/>
      </w:divBdr>
    </w:div>
    <w:div w:id="197671046">
      <w:bodyDiv w:val="1"/>
      <w:marLeft w:val="0"/>
      <w:marRight w:val="0"/>
      <w:marTop w:val="0"/>
      <w:marBottom w:val="0"/>
      <w:divBdr>
        <w:top w:val="none" w:sz="0" w:space="0" w:color="auto"/>
        <w:left w:val="none" w:sz="0" w:space="0" w:color="auto"/>
        <w:bottom w:val="none" w:sz="0" w:space="0" w:color="auto"/>
        <w:right w:val="none" w:sz="0" w:space="0" w:color="auto"/>
      </w:divBdr>
    </w:div>
    <w:div w:id="208732761">
      <w:bodyDiv w:val="1"/>
      <w:marLeft w:val="0"/>
      <w:marRight w:val="0"/>
      <w:marTop w:val="0"/>
      <w:marBottom w:val="0"/>
      <w:divBdr>
        <w:top w:val="none" w:sz="0" w:space="0" w:color="auto"/>
        <w:left w:val="none" w:sz="0" w:space="0" w:color="auto"/>
        <w:bottom w:val="none" w:sz="0" w:space="0" w:color="auto"/>
        <w:right w:val="none" w:sz="0" w:space="0" w:color="auto"/>
      </w:divBdr>
    </w:div>
    <w:div w:id="218444003">
      <w:bodyDiv w:val="1"/>
      <w:marLeft w:val="0"/>
      <w:marRight w:val="0"/>
      <w:marTop w:val="0"/>
      <w:marBottom w:val="0"/>
      <w:divBdr>
        <w:top w:val="none" w:sz="0" w:space="0" w:color="auto"/>
        <w:left w:val="none" w:sz="0" w:space="0" w:color="auto"/>
        <w:bottom w:val="none" w:sz="0" w:space="0" w:color="auto"/>
        <w:right w:val="none" w:sz="0" w:space="0" w:color="auto"/>
      </w:divBdr>
    </w:div>
    <w:div w:id="222449502">
      <w:bodyDiv w:val="1"/>
      <w:marLeft w:val="0"/>
      <w:marRight w:val="0"/>
      <w:marTop w:val="0"/>
      <w:marBottom w:val="0"/>
      <w:divBdr>
        <w:top w:val="none" w:sz="0" w:space="0" w:color="auto"/>
        <w:left w:val="none" w:sz="0" w:space="0" w:color="auto"/>
        <w:bottom w:val="none" w:sz="0" w:space="0" w:color="auto"/>
        <w:right w:val="none" w:sz="0" w:space="0" w:color="auto"/>
      </w:divBdr>
    </w:div>
    <w:div w:id="224067700">
      <w:bodyDiv w:val="1"/>
      <w:marLeft w:val="0"/>
      <w:marRight w:val="0"/>
      <w:marTop w:val="0"/>
      <w:marBottom w:val="0"/>
      <w:divBdr>
        <w:top w:val="none" w:sz="0" w:space="0" w:color="auto"/>
        <w:left w:val="none" w:sz="0" w:space="0" w:color="auto"/>
        <w:bottom w:val="none" w:sz="0" w:space="0" w:color="auto"/>
        <w:right w:val="none" w:sz="0" w:space="0" w:color="auto"/>
      </w:divBdr>
    </w:div>
    <w:div w:id="228274010">
      <w:bodyDiv w:val="1"/>
      <w:marLeft w:val="0"/>
      <w:marRight w:val="0"/>
      <w:marTop w:val="0"/>
      <w:marBottom w:val="0"/>
      <w:divBdr>
        <w:top w:val="none" w:sz="0" w:space="0" w:color="auto"/>
        <w:left w:val="none" w:sz="0" w:space="0" w:color="auto"/>
        <w:bottom w:val="none" w:sz="0" w:space="0" w:color="auto"/>
        <w:right w:val="none" w:sz="0" w:space="0" w:color="auto"/>
      </w:divBdr>
    </w:div>
    <w:div w:id="236788714">
      <w:bodyDiv w:val="1"/>
      <w:marLeft w:val="0"/>
      <w:marRight w:val="0"/>
      <w:marTop w:val="0"/>
      <w:marBottom w:val="0"/>
      <w:divBdr>
        <w:top w:val="none" w:sz="0" w:space="0" w:color="auto"/>
        <w:left w:val="none" w:sz="0" w:space="0" w:color="auto"/>
        <w:bottom w:val="none" w:sz="0" w:space="0" w:color="auto"/>
        <w:right w:val="none" w:sz="0" w:space="0" w:color="auto"/>
      </w:divBdr>
    </w:div>
    <w:div w:id="237905436">
      <w:bodyDiv w:val="1"/>
      <w:marLeft w:val="0"/>
      <w:marRight w:val="0"/>
      <w:marTop w:val="0"/>
      <w:marBottom w:val="0"/>
      <w:divBdr>
        <w:top w:val="none" w:sz="0" w:space="0" w:color="auto"/>
        <w:left w:val="none" w:sz="0" w:space="0" w:color="auto"/>
        <w:bottom w:val="none" w:sz="0" w:space="0" w:color="auto"/>
        <w:right w:val="none" w:sz="0" w:space="0" w:color="auto"/>
      </w:divBdr>
    </w:div>
    <w:div w:id="238292368">
      <w:bodyDiv w:val="1"/>
      <w:marLeft w:val="0"/>
      <w:marRight w:val="0"/>
      <w:marTop w:val="0"/>
      <w:marBottom w:val="0"/>
      <w:divBdr>
        <w:top w:val="none" w:sz="0" w:space="0" w:color="auto"/>
        <w:left w:val="none" w:sz="0" w:space="0" w:color="auto"/>
        <w:bottom w:val="none" w:sz="0" w:space="0" w:color="auto"/>
        <w:right w:val="none" w:sz="0" w:space="0" w:color="auto"/>
      </w:divBdr>
    </w:div>
    <w:div w:id="247429941">
      <w:bodyDiv w:val="1"/>
      <w:marLeft w:val="0"/>
      <w:marRight w:val="0"/>
      <w:marTop w:val="0"/>
      <w:marBottom w:val="0"/>
      <w:divBdr>
        <w:top w:val="none" w:sz="0" w:space="0" w:color="auto"/>
        <w:left w:val="none" w:sz="0" w:space="0" w:color="auto"/>
        <w:bottom w:val="none" w:sz="0" w:space="0" w:color="auto"/>
        <w:right w:val="none" w:sz="0" w:space="0" w:color="auto"/>
      </w:divBdr>
    </w:div>
    <w:div w:id="252249924">
      <w:bodyDiv w:val="1"/>
      <w:marLeft w:val="0"/>
      <w:marRight w:val="0"/>
      <w:marTop w:val="0"/>
      <w:marBottom w:val="0"/>
      <w:divBdr>
        <w:top w:val="none" w:sz="0" w:space="0" w:color="auto"/>
        <w:left w:val="none" w:sz="0" w:space="0" w:color="auto"/>
        <w:bottom w:val="none" w:sz="0" w:space="0" w:color="auto"/>
        <w:right w:val="none" w:sz="0" w:space="0" w:color="auto"/>
      </w:divBdr>
    </w:div>
    <w:div w:id="255987477">
      <w:bodyDiv w:val="1"/>
      <w:marLeft w:val="0"/>
      <w:marRight w:val="0"/>
      <w:marTop w:val="0"/>
      <w:marBottom w:val="0"/>
      <w:divBdr>
        <w:top w:val="none" w:sz="0" w:space="0" w:color="auto"/>
        <w:left w:val="none" w:sz="0" w:space="0" w:color="auto"/>
        <w:bottom w:val="none" w:sz="0" w:space="0" w:color="auto"/>
        <w:right w:val="none" w:sz="0" w:space="0" w:color="auto"/>
      </w:divBdr>
    </w:div>
    <w:div w:id="256448085">
      <w:bodyDiv w:val="1"/>
      <w:marLeft w:val="0"/>
      <w:marRight w:val="0"/>
      <w:marTop w:val="0"/>
      <w:marBottom w:val="0"/>
      <w:divBdr>
        <w:top w:val="none" w:sz="0" w:space="0" w:color="auto"/>
        <w:left w:val="none" w:sz="0" w:space="0" w:color="auto"/>
        <w:bottom w:val="none" w:sz="0" w:space="0" w:color="auto"/>
        <w:right w:val="none" w:sz="0" w:space="0" w:color="auto"/>
      </w:divBdr>
    </w:div>
    <w:div w:id="262300331">
      <w:bodyDiv w:val="1"/>
      <w:marLeft w:val="0"/>
      <w:marRight w:val="0"/>
      <w:marTop w:val="0"/>
      <w:marBottom w:val="0"/>
      <w:divBdr>
        <w:top w:val="none" w:sz="0" w:space="0" w:color="auto"/>
        <w:left w:val="none" w:sz="0" w:space="0" w:color="auto"/>
        <w:bottom w:val="none" w:sz="0" w:space="0" w:color="auto"/>
        <w:right w:val="none" w:sz="0" w:space="0" w:color="auto"/>
      </w:divBdr>
    </w:div>
    <w:div w:id="267279883">
      <w:bodyDiv w:val="1"/>
      <w:marLeft w:val="0"/>
      <w:marRight w:val="0"/>
      <w:marTop w:val="0"/>
      <w:marBottom w:val="0"/>
      <w:divBdr>
        <w:top w:val="none" w:sz="0" w:space="0" w:color="auto"/>
        <w:left w:val="none" w:sz="0" w:space="0" w:color="auto"/>
        <w:bottom w:val="none" w:sz="0" w:space="0" w:color="auto"/>
        <w:right w:val="none" w:sz="0" w:space="0" w:color="auto"/>
      </w:divBdr>
    </w:div>
    <w:div w:id="271325548">
      <w:bodyDiv w:val="1"/>
      <w:marLeft w:val="0"/>
      <w:marRight w:val="0"/>
      <w:marTop w:val="0"/>
      <w:marBottom w:val="0"/>
      <w:divBdr>
        <w:top w:val="none" w:sz="0" w:space="0" w:color="auto"/>
        <w:left w:val="none" w:sz="0" w:space="0" w:color="auto"/>
        <w:bottom w:val="none" w:sz="0" w:space="0" w:color="auto"/>
        <w:right w:val="none" w:sz="0" w:space="0" w:color="auto"/>
      </w:divBdr>
    </w:div>
    <w:div w:id="272833605">
      <w:bodyDiv w:val="1"/>
      <w:marLeft w:val="0"/>
      <w:marRight w:val="0"/>
      <w:marTop w:val="0"/>
      <w:marBottom w:val="0"/>
      <w:divBdr>
        <w:top w:val="none" w:sz="0" w:space="0" w:color="auto"/>
        <w:left w:val="none" w:sz="0" w:space="0" w:color="auto"/>
        <w:bottom w:val="none" w:sz="0" w:space="0" w:color="auto"/>
        <w:right w:val="none" w:sz="0" w:space="0" w:color="auto"/>
      </w:divBdr>
    </w:div>
    <w:div w:id="277104068">
      <w:bodyDiv w:val="1"/>
      <w:marLeft w:val="0"/>
      <w:marRight w:val="0"/>
      <w:marTop w:val="0"/>
      <w:marBottom w:val="0"/>
      <w:divBdr>
        <w:top w:val="none" w:sz="0" w:space="0" w:color="auto"/>
        <w:left w:val="none" w:sz="0" w:space="0" w:color="auto"/>
        <w:bottom w:val="none" w:sz="0" w:space="0" w:color="auto"/>
        <w:right w:val="none" w:sz="0" w:space="0" w:color="auto"/>
      </w:divBdr>
    </w:div>
    <w:div w:id="278878872">
      <w:bodyDiv w:val="1"/>
      <w:marLeft w:val="0"/>
      <w:marRight w:val="0"/>
      <w:marTop w:val="0"/>
      <w:marBottom w:val="0"/>
      <w:divBdr>
        <w:top w:val="none" w:sz="0" w:space="0" w:color="auto"/>
        <w:left w:val="none" w:sz="0" w:space="0" w:color="auto"/>
        <w:bottom w:val="none" w:sz="0" w:space="0" w:color="auto"/>
        <w:right w:val="none" w:sz="0" w:space="0" w:color="auto"/>
      </w:divBdr>
    </w:div>
    <w:div w:id="281352309">
      <w:bodyDiv w:val="1"/>
      <w:marLeft w:val="0"/>
      <w:marRight w:val="0"/>
      <w:marTop w:val="0"/>
      <w:marBottom w:val="0"/>
      <w:divBdr>
        <w:top w:val="none" w:sz="0" w:space="0" w:color="auto"/>
        <w:left w:val="none" w:sz="0" w:space="0" w:color="auto"/>
        <w:bottom w:val="none" w:sz="0" w:space="0" w:color="auto"/>
        <w:right w:val="none" w:sz="0" w:space="0" w:color="auto"/>
      </w:divBdr>
    </w:div>
    <w:div w:id="288823311">
      <w:bodyDiv w:val="1"/>
      <w:marLeft w:val="0"/>
      <w:marRight w:val="0"/>
      <w:marTop w:val="0"/>
      <w:marBottom w:val="0"/>
      <w:divBdr>
        <w:top w:val="none" w:sz="0" w:space="0" w:color="auto"/>
        <w:left w:val="none" w:sz="0" w:space="0" w:color="auto"/>
        <w:bottom w:val="none" w:sz="0" w:space="0" w:color="auto"/>
        <w:right w:val="none" w:sz="0" w:space="0" w:color="auto"/>
      </w:divBdr>
    </w:div>
    <w:div w:id="307443322">
      <w:bodyDiv w:val="1"/>
      <w:marLeft w:val="0"/>
      <w:marRight w:val="0"/>
      <w:marTop w:val="0"/>
      <w:marBottom w:val="0"/>
      <w:divBdr>
        <w:top w:val="none" w:sz="0" w:space="0" w:color="auto"/>
        <w:left w:val="none" w:sz="0" w:space="0" w:color="auto"/>
        <w:bottom w:val="none" w:sz="0" w:space="0" w:color="auto"/>
        <w:right w:val="none" w:sz="0" w:space="0" w:color="auto"/>
      </w:divBdr>
    </w:div>
    <w:div w:id="318047994">
      <w:bodyDiv w:val="1"/>
      <w:marLeft w:val="0"/>
      <w:marRight w:val="0"/>
      <w:marTop w:val="0"/>
      <w:marBottom w:val="0"/>
      <w:divBdr>
        <w:top w:val="none" w:sz="0" w:space="0" w:color="auto"/>
        <w:left w:val="none" w:sz="0" w:space="0" w:color="auto"/>
        <w:bottom w:val="none" w:sz="0" w:space="0" w:color="auto"/>
        <w:right w:val="none" w:sz="0" w:space="0" w:color="auto"/>
      </w:divBdr>
    </w:div>
    <w:div w:id="322707063">
      <w:bodyDiv w:val="1"/>
      <w:marLeft w:val="0"/>
      <w:marRight w:val="0"/>
      <w:marTop w:val="0"/>
      <w:marBottom w:val="0"/>
      <w:divBdr>
        <w:top w:val="none" w:sz="0" w:space="0" w:color="auto"/>
        <w:left w:val="none" w:sz="0" w:space="0" w:color="auto"/>
        <w:bottom w:val="none" w:sz="0" w:space="0" w:color="auto"/>
        <w:right w:val="none" w:sz="0" w:space="0" w:color="auto"/>
      </w:divBdr>
    </w:div>
    <w:div w:id="346061474">
      <w:bodyDiv w:val="1"/>
      <w:marLeft w:val="0"/>
      <w:marRight w:val="0"/>
      <w:marTop w:val="0"/>
      <w:marBottom w:val="0"/>
      <w:divBdr>
        <w:top w:val="none" w:sz="0" w:space="0" w:color="auto"/>
        <w:left w:val="none" w:sz="0" w:space="0" w:color="auto"/>
        <w:bottom w:val="none" w:sz="0" w:space="0" w:color="auto"/>
        <w:right w:val="none" w:sz="0" w:space="0" w:color="auto"/>
      </w:divBdr>
    </w:div>
    <w:div w:id="348724701">
      <w:bodyDiv w:val="1"/>
      <w:marLeft w:val="0"/>
      <w:marRight w:val="0"/>
      <w:marTop w:val="0"/>
      <w:marBottom w:val="0"/>
      <w:divBdr>
        <w:top w:val="none" w:sz="0" w:space="0" w:color="auto"/>
        <w:left w:val="none" w:sz="0" w:space="0" w:color="auto"/>
        <w:bottom w:val="none" w:sz="0" w:space="0" w:color="auto"/>
        <w:right w:val="none" w:sz="0" w:space="0" w:color="auto"/>
      </w:divBdr>
    </w:div>
    <w:div w:id="352077373">
      <w:bodyDiv w:val="1"/>
      <w:marLeft w:val="0"/>
      <w:marRight w:val="0"/>
      <w:marTop w:val="0"/>
      <w:marBottom w:val="0"/>
      <w:divBdr>
        <w:top w:val="none" w:sz="0" w:space="0" w:color="auto"/>
        <w:left w:val="none" w:sz="0" w:space="0" w:color="auto"/>
        <w:bottom w:val="none" w:sz="0" w:space="0" w:color="auto"/>
        <w:right w:val="none" w:sz="0" w:space="0" w:color="auto"/>
      </w:divBdr>
    </w:div>
    <w:div w:id="352650638">
      <w:bodyDiv w:val="1"/>
      <w:marLeft w:val="0"/>
      <w:marRight w:val="0"/>
      <w:marTop w:val="0"/>
      <w:marBottom w:val="0"/>
      <w:divBdr>
        <w:top w:val="none" w:sz="0" w:space="0" w:color="auto"/>
        <w:left w:val="none" w:sz="0" w:space="0" w:color="auto"/>
        <w:bottom w:val="none" w:sz="0" w:space="0" w:color="auto"/>
        <w:right w:val="none" w:sz="0" w:space="0" w:color="auto"/>
      </w:divBdr>
    </w:div>
    <w:div w:id="353071302">
      <w:bodyDiv w:val="1"/>
      <w:marLeft w:val="0"/>
      <w:marRight w:val="0"/>
      <w:marTop w:val="0"/>
      <w:marBottom w:val="0"/>
      <w:divBdr>
        <w:top w:val="none" w:sz="0" w:space="0" w:color="auto"/>
        <w:left w:val="none" w:sz="0" w:space="0" w:color="auto"/>
        <w:bottom w:val="none" w:sz="0" w:space="0" w:color="auto"/>
        <w:right w:val="none" w:sz="0" w:space="0" w:color="auto"/>
      </w:divBdr>
    </w:div>
    <w:div w:id="353923659">
      <w:bodyDiv w:val="1"/>
      <w:marLeft w:val="0"/>
      <w:marRight w:val="0"/>
      <w:marTop w:val="0"/>
      <w:marBottom w:val="0"/>
      <w:divBdr>
        <w:top w:val="none" w:sz="0" w:space="0" w:color="auto"/>
        <w:left w:val="none" w:sz="0" w:space="0" w:color="auto"/>
        <w:bottom w:val="none" w:sz="0" w:space="0" w:color="auto"/>
        <w:right w:val="none" w:sz="0" w:space="0" w:color="auto"/>
      </w:divBdr>
    </w:div>
    <w:div w:id="357237887">
      <w:bodyDiv w:val="1"/>
      <w:marLeft w:val="0"/>
      <w:marRight w:val="0"/>
      <w:marTop w:val="0"/>
      <w:marBottom w:val="0"/>
      <w:divBdr>
        <w:top w:val="none" w:sz="0" w:space="0" w:color="auto"/>
        <w:left w:val="none" w:sz="0" w:space="0" w:color="auto"/>
        <w:bottom w:val="none" w:sz="0" w:space="0" w:color="auto"/>
        <w:right w:val="none" w:sz="0" w:space="0" w:color="auto"/>
      </w:divBdr>
    </w:div>
    <w:div w:id="364140007">
      <w:bodyDiv w:val="1"/>
      <w:marLeft w:val="0"/>
      <w:marRight w:val="0"/>
      <w:marTop w:val="0"/>
      <w:marBottom w:val="0"/>
      <w:divBdr>
        <w:top w:val="none" w:sz="0" w:space="0" w:color="auto"/>
        <w:left w:val="none" w:sz="0" w:space="0" w:color="auto"/>
        <w:bottom w:val="none" w:sz="0" w:space="0" w:color="auto"/>
        <w:right w:val="none" w:sz="0" w:space="0" w:color="auto"/>
      </w:divBdr>
    </w:div>
    <w:div w:id="381372322">
      <w:bodyDiv w:val="1"/>
      <w:marLeft w:val="0"/>
      <w:marRight w:val="0"/>
      <w:marTop w:val="0"/>
      <w:marBottom w:val="0"/>
      <w:divBdr>
        <w:top w:val="none" w:sz="0" w:space="0" w:color="auto"/>
        <w:left w:val="none" w:sz="0" w:space="0" w:color="auto"/>
        <w:bottom w:val="none" w:sz="0" w:space="0" w:color="auto"/>
        <w:right w:val="none" w:sz="0" w:space="0" w:color="auto"/>
      </w:divBdr>
    </w:div>
    <w:div w:id="387270260">
      <w:bodyDiv w:val="1"/>
      <w:marLeft w:val="0"/>
      <w:marRight w:val="0"/>
      <w:marTop w:val="0"/>
      <w:marBottom w:val="0"/>
      <w:divBdr>
        <w:top w:val="none" w:sz="0" w:space="0" w:color="auto"/>
        <w:left w:val="none" w:sz="0" w:space="0" w:color="auto"/>
        <w:bottom w:val="none" w:sz="0" w:space="0" w:color="auto"/>
        <w:right w:val="none" w:sz="0" w:space="0" w:color="auto"/>
      </w:divBdr>
    </w:div>
    <w:div w:id="387999555">
      <w:bodyDiv w:val="1"/>
      <w:marLeft w:val="0"/>
      <w:marRight w:val="0"/>
      <w:marTop w:val="0"/>
      <w:marBottom w:val="0"/>
      <w:divBdr>
        <w:top w:val="none" w:sz="0" w:space="0" w:color="auto"/>
        <w:left w:val="none" w:sz="0" w:space="0" w:color="auto"/>
        <w:bottom w:val="none" w:sz="0" w:space="0" w:color="auto"/>
        <w:right w:val="none" w:sz="0" w:space="0" w:color="auto"/>
      </w:divBdr>
    </w:div>
    <w:div w:id="398555340">
      <w:bodyDiv w:val="1"/>
      <w:marLeft w:val="0"/>
      <w:marRight w:val="0"/>
      <w:marTop w:val="0"/>
      <w:marBottom w:val="0"/>
      <w:divBdr>
        <w:top w:val="none" w:sz="0" w:space="0" w:color="auto"/>
        <w:left w:val="none" w:sz="0" w:space="0" w:color="auto"/>
        <w:bottom w:val="none" w:sz="0" w:space="0" w:color="auto"/>
        <w:right w:val="none" w:sz="0" w:space="0" w:color="auto"/>
      </w:divBdr>
    </w:div>
    <w:div w:id="416291954">
      <w:bodyDiv w:val="1"/>
      <w:marLeft w:val="0"/>
      <w:marRight w:val="0"/>
      <w:marTop w:val="0"/>
      <w:marBottom w:val="0"/>
      <w:divBdr>
        <w:top w:val="none" w:sz="0" w:space="0" w:color="auto"/>
        <w:left w:val="none" w:sz="0" w:space="0" w:color="auto"/>
        <w:bottom w:val="none" w:sz="0" w:space="0" w:color="auto"/>
        <w:right w:val="none" w:sz="0" w:space="0" w:color="auto"/>
      </w:divBdr>
    </w:div>
    <w:div w:id="422260138">
      <w:bodyDiv w:val="1"/>
      <w:marLeft w:val="0"/>
      <w:marRight w:val="0"/>
      <w:marTop w:val="0"/>
      <w:marBottom w:val="0"/>
      <w:divBdr>
        <w:top w:val="none" w:sz="0" w:space="0" w:color="auto"/>
        <w:left w:val="none" w:sz="0" w:space="0" w:color="auto"/>
        <w:bottom w:val="none" w:sz="0" w:space="0" w:color="auto"/>
        <w:right w:val="none" w:sz="0" w:space="0" w:color="auto"/>
      </w:divBdr>
    </w:div>
    <w:div w:id="427239959">
      <w:bodyDiv w:val="1"/>
      <w:marLeft w:val="0"/>
      <w:marRight w:val="0"/>
      <w:marTop w:val="0"/>
      <w:marBottom w:val="0"/>
      <w:divBdr>
        <w:top w:val="none" w:sz="0" w:space="0" w:color="auto"/>
        <w:left w:val="none" w:sz="0" w:space="0" w:color="auto"/>
        <w:bottom w:val="none" w:sz="0" w:space="0" w:color="auto"/>
        <w:right w:val="none" w:sz="0" w:space="0" w:color="auto"/>
      </w:divBdr>
    </w:div>
    <w:div w:id="430122332">
      <w:bodyDiv w:val="1"/>
      <w:marLeft w:val="0"/>
      <w:marRight w:val="0"/>
      <w:marTop w:val="0"/>
      <w:marBottom w:val="0"/>
      <w:divBdr>
        <w:top w:val="none" w:sz="0" w:space="0" w:color="auto"/>
        <w:left w:val="none" w:sz="0" w:space="0" w:color="auto"/>
        <w:bottom w:val="none" w:sz="0" w:space="0" w:color="auto"/>
        <w:right w:val="none" w:sz="0" w:space="0" w:color="auto"/>
      </w:divBdr>
    </w:div>
    <w:div w:id="430323980">
      <w:bodyDiv w:val="1"/>
      <w:marLeft w:val="0"/>
      <w:marRight w:val="0"/>
      <w:marTop w:val="0"/>
      <w:marBottom w:val="0"/>
      <w:divBdr>
        <w:top w:val="none" w:sz="0" w:space="0" w:color="auto"/>
        <w:left w:val="none" w:sz="0" w:space="0" w:color="auto"/>
        <w:bottom w:val="none" w:sz="0" w:space="0" w:color="auto"/>
        <w:right w:val="none" w:sz="0" w:space="0" w:color="auto"/>
      </w:divBdr>
    </w:div>
    <w:div w:id="430930891">
      <w:bodyDiv w:val="1"/>
      <w:marLeft w:val="0"/>
      <w:marRight w:val="0"/>
      <w:marTop w:val="0"/>
      <w:marBottom w:val="0"/>
      <w:divBdr>
        <w:top w:val="none" w:sz="0" w:space="0" w:color="auto"/>
        <w:left w:val="none" w:sz="0" w:space="0" w:color="auto"/>
        <w:bottom w:val="none" w:sz="0" w:space="0" w:color="auto"/>
        <w:right w:val="none" w:sz="0" w:space="0" w:color="auto"/>
      </w:divBdr>
    </w:div>
    <w:div w:id="435489930">
      <w:bodyDiv w:val="1"/>
      <w:marLeft w:val="0"/>
      <w:marRight w:val="0"/>
      <w:marTop w:val="0"/>
      <w:marBottom w:val="0"/>
      <w:divBdr>
        <w:top w:val="none" w:sz="0" w:space="0" w:color="auto"/>
        <w:left w:val="none" w:sz="0" w:space="0" w:color="auto"/>
        <w:bottom w:val="none" w:sz="0" w:space="0" w:color="auto"/>
        <w:right w:val="none" w:sz="0" w:space="0" w:color="auto"/>
      </w:divBdr>
    </w:div>
    <w:div w:id="437484242">
      <w:bodyDiv w:val="1"/>
      <w:marLeft w:val="0"/>
      <w:marRight w:val="0"/>
      <w:marTop w:val="0"/>
      <w:marBottom w:val="0"/>
      <w:divBdr>
        <w:top w:val="none" w:sz="0" w:space="0" w:color="auto"/>
        <w:left w:val="none" w:sz="0" w:space="0" w:color="auto"/>
        <w:bottom w:val="none" w:sz="0" w:space="0" w:color="auto"/>
        <w:right w:val="none" w:sz="0" w:space="0" w:color="auto"/>
      </w:divBdr>
    </w:div>
    <w:div w:id="439037097">
      <w:bodyDiv w:val="1"/>
      <w:marLeft w:val="0"/>
      <w:marRight w:val="0"/>
      <w:marTop w:val="0"/>
      <w:marBottom w:val="0"/>
      <w:divBdr>
        <w:top w:val="none" w:sz="0" w:space="0" w:color="auto"/>
        <w:left w:val="none" w:sz="0" w:space="0" w:color="auto"/>
        <w:bottom w:val="none" w:sz="0" w:space="0" w:color="auto"/>
        <w:right w:val="none" w:sz="0" w:space="0" w:color="auto"/>
      </w:divBdr>
    </w:div>
    <w:div w:id="442962794">
      <w:bodyDiv w:val="1"/>
      <w:marLeft w:val="0"/>
      <w:marRight w:val="0"/>
      <w:marTop w:val="0"/>
      <w:marBottom w:val="0"/>
      <w:divBdr>
        <w:top w:val="none" w:sz="0" w:space="0" w:color="auto"/>
        <w:left w:val="none" w:sz="0" w:space="0" w:color="auto"/>
        <w:bottom w:val="none" w:sz="0" w:space="0" w:color="auto"/>
        <w:right w:val="none" w:sz="0" w:space="0" w:color="auto"/>
      </w:divBdr>
    </w:div>
    <w:div w:id="463891045">
      <w:bodyDiv w:val="1"/>
      <w:marLeft w:val="0"/>
      <w:marRight w:val="0"/>
      <w:marTop w:val="0"/>
      <w:marBottom w:val="0"/>
      <w:divBdr>
        <w:top w:val="none" w:sz="0" w:space="0" w:color="auto"/>
        <w:left w:val="none" w:sz="0" w:space="0" w:color="auto"/>
        <w:bottom w:val="none" w:sz="0" w:space="0" w:color="auto"/>
        <w:right w:val="none" w:sz="0" w:space="0" w:color="auto"/>
      </w:divBdr>
    </w:div>
    <w:div w:id="474957971">
      <w:bodyDiv w:val="1"/>
      <w:marLeft w:val="0"/>
      <w:marRight w:val="0"/>
      <w:marTop w:val="0"/>
      <w:marBottom w:val="0"/>
      <w:divBdr>
        <w:top w:val="none" w:sz="0" w:space="0" w:color="auto"/>
        <w:left w:val="none" w:sz="0" w:space="0" w:color="auto"/>
        <w:bottom w:val="none" w:sz="0" w:space="0" w:color="auto"/>
        <w:right w:val="none" w:sz="0" w:space="0" w:color="auto"/>
      </w:divBdr>
    </w:div>
    <w:div w:id="475148790">
      <w:bodyDiv w:val="1"/>
      <w:marLeft w:val="0"/>
      <w:marRight w:val="0"/>
      <w:marTop w:val="0"/>
      <w:marBottom w:val="0"/>
      <w:divBdr>
        <w:top w:val="none" w:sz="0" w:space="0" w:color="auto"/>
        <w:left w:val="none" w:sz="0" w:space="0" w:color="auto"/>
        <w:bottom w:val="none" w:sz="0" w:space="0" w:color="auto"/>
        <w:right w:val="none" w:sz="0" w:space="0" w:color="auto"/>
      </w:divBdr>
    </w:div>
    <w:div w:id="477891061">
      <w:bodyDiv w:val="1"/>
      <w:marLeft w:val="0"/>
      <w:marRight w:val="0"/>
      <w:marTop w:val="0"/>
      <w:marBottom w:val="0"/>
      <w:divBdr>
        <w:top w:val="none" w:sz="0" w:space="0" w:color="auto"/>
        <w:left w:val="none" w:sz="0" w:space="0" w:color="auto"/>
        <w:bottom w:val="none" w:sz="0" w:space="0" w:color="auto"/>
        <w:right w:val="none" w:sz="0" w:space="0" w:color="auto"/>
      </w:divBdr>
    </w:div>
    <w:div w:id="489099700">
      <w:bodyDiv w:val="1"/>
      <w:marLeft w:val="0"/>
      <w:marRight w:val="0"/>
      <w:marTop w:val="0"/>
      <w:marBottom w:val="0"/>
      <w:divBdr>
        <w:top w:val="none" w:sz="0" w:space="0" w:color="auto"/>
        <w:left w:val="none" w:sz="0" w:space="0" w:color="auto"/>
        <w:bottom w:val="none" w:sz="0" w:space="0" w:color="auto"/>
        <w:right w:val="none" w:sz="0" w:space="0" w:color="auto"/>
      </w:divBdr>
    </w:div>
    <w:div w:id="501968560">
      <w:bodyDiv w:val="1"/>
      <w:marLeft w:val="0"/>
      <w:marRight w:val="0"/>
      <w:marTop w:val="0"/>
      <w:marBottom w:val="0"/>
      <w:divBdr>
        <w:top w:val="none" w:sz="0" w:space="0" w:color="auto"/>
        <w:left w:val="none" w:sz="0" w:space="0" w:color="auto"/>
        <w:bottom w:val="none" w:sz="0" w:space="0" w:color="auto"/>
        <w:right w:val="none" w:sz="0" w:space="0" w:color="auto"/>
      </w:divBdr>
    </w:div>
    <w:div w:id="525368471">
      <w:bodyDiv w:val="1"/>
      <w:marLeft w:val="0"/>
      <w:marRight w:val="0"/>
      <w:marTop w:val="0"/>
      <w:marBottom w:val="0"/>
      <w:divBdr>
        <w:top w:val="none" w:sz="0" w:space="0" w:color="auto"/>
        <w:left w:val="none" w:sz="0" w:space="0" w:color="auto"/>
        <w:bottom w:val="none" w:sz="0" w:space="0" w:color="auto"/>
        <w:right w:val="none" w:sz="0" w:space="0" w:color="auto"/>
      </w:divBdr>
    </w:div>
    <w:div w:id="542912377">
      <w:bodyDiv w:val="1"/>
      <w:marLeft w:val="0"/>
      <w:marRight w:val="0"/>
      <w:marTop w:val="0"/>
      <w:marBottom w:val="0"/>
      <w:divBdr>
        <w:top w:val="none" w:sz="0" w:space="0" w:color="auto"/>
        <w:left w:val="none" w:sz="0" w:space="0" w:color="auto"/>
        <w:bottom w:val="none" w:sz="0" w:space="0" w:color="auto"/>
        <w:right w:val="none" w:sz="0" w:space="0" w:color="auto"/>
      </w:divBdr>
    </w:div>
    <w:div w:id="548343277">
      <w:bodyDiv w:val="1"/>
      <w:marLeft w:val="0"/>
      <w:marRight w:val="0"/>
      <w:marTop w:val="0"/>
      <w:marBottom w:val="0"/>
      <w:divBdr>
        <w:top w:val="none" w:sz="0" w:space="0" w:color="auto"/>
        <w:left w:val="none" w:sz="0" w:space="0" w:color="auto"/>
        <w:bottom w:val="none" w:sz="0" w:space="0" w:color="auto"/>
        <w:right w:val="none" w:sz="0" w:space="0" w:color="auto"/>
      </w:divBdr>
    </w:div>
    <w:div w:id="548348107">
      <w:bodyDiv w:val="1"/>
      <w:marLeft w:val="0"/>
      <w:marRight w:val="0"/>
      <w:marTop w:val="0"/>
      <w:marBottom w:val="0"/>
      <w:divBdr>
        <w:top w:val="none" w:sz="0" w:space="0" w:color="auto"/>
        <w:left w:val="none" w:sz="0" w:space="0" w:color="auto"/>
        <w:bottom w:val="none" w:sz="0" w:space="0" w:color="auto"/>
        <w:right w:val="none" w:sz="0" w:space="0" w:color="auto"/>
      </w:divBdr>
    </w:div>
    <w:div w:id="550269622">
      <w:bodyDiv w:val="1"/>
      <w:marLeft w:val="0"/>
      <w:marRight w:val="0"/>
      <w:marTop w:val="0"/>
      <w:marBottom w:val="0"/>
      <w:divBdr>
        <w:top w:val="none" w:sz="0" w:space="0" w:color="auto"/>
        <w:left w:val="none" w:sz="0" w:space="0" w:color="auto"/>
        <w:bottom w:val="none" w:sz="0" w:space="0" w:color="auto"/>
        <w:right w:val="none" w:sz="0" w:space="0" w:color="auto"/>
      </w:divBdr>
    </w:div>
    <w:div w:id="552426532">
      <w:bodyDiv w:val="1"/>
      <w:marLeft w:val="0"/>
      <w:marRight w:val="0"/>
      <w:marTop w:val="0"/>
      <w:marBottom w:val="0"/>
      <w:divBdr>
        <w:top w:val="none" w:sz="0" w:space="0" w:color="auto"/>
        <w:left w:val="none" w:sz="0" w:space="0" w:color="auto"/>
        <w:bottom w:val="none" w:sz="0" w:space="0" w:color="auto"/>
        <w:right w:val="none" w:sz="0" w:space="0" w:color="auto"/>
      </w:divBdr>
    </w:div>
    <w:div w:id="562837528">
      <w:bodyDiv w:val="1"/>
      <w:marLeft w:val="0"/>
      <w:marRight w:val="0"/>
      <w:marTop w:val="0"/>
      <w:marBottom w:val="0"/>
      <w:divBdr>
        <w:top w:val="none" w:sz="0" w:space="0" w:color="auto"/>
        <w:left w:val="none" w:sz="0" w:space="0" w:color="auto"/>
        <w:bottom w:val="none" w:sz="0" w:space="0" w:color="auto"/>
        <w:right w:val="none" w:sz="0" w:space="0" w:color="auto"/>
      </w:divBdr>
    </w:div>
    <w:div w:id="566917899">
      <w:bodyDiv w:val="1"/>
      <w:marLeft w:val="0"/>
      <w:marRight w:val="0"/>
      <w:marTop w:val="0"/>
      <w:marBottom w:val="0"/>
      <w:divBdr>
        <w:top w:val="none" w:sz="0" w:space="0" w:color="auto"/>
        <w:left w:val="none" w:sz="0" w:space="0" w:color="auto"/>
        <w:bottom w:val="none" w:sz="0" w:space="0" w:color="auto"/>
        <w:right w:val="none" w:sz="0" w:space="0" w:color="auto"/>
      </w:divBdr>
    </w:div>
    <w:div w:id="586619809">
      <w:bodyDiv w:val="1"/>
      <w:marLeft w:val="0"/>
      <w:marRight w:val="0"/>
      <w:marTop w:val="0"/>
      <w:marBottom w:val="0"/>
      <w:divBdr>
        <w:top w:val="none" w:sz="0" w:space="0" w:color="auto"/>
        <w:left w:val="none" w:sz="0" w:space="0" w:color="auto"/>
        <w:bottom w:val="none" w:sz="0" w:space="0" w:color="auto"/>
        <w:right w:val="none" w:sz="0" w:space="0" w:color="auto"/>
      </w:divBdr>
    </w:div>
    <w:div w:id="587351955">
      <w:bodyDiv w:val="1"/>
      <w:marLeft w:val="0"/>
      <w:marRight w:val="0"/>
      <w:marTop w:val="0"/>
      <w:marBottom w:val="0"/>
      <w:divBdr>
        <w:top w:val="none" w:sz="0" w:space="0" w:color="auto"/>
        <w:left w:val="none" w:sz="0" w:space="0" w:color="auto"/>
        <w:bottom w:val="none" w:sz="0" w:space="0" w:color="auto"/>
        <w:right w:val="none" w:sz="0" w:space="0" w:color="auto"/>
      </w:divBdr>
    </w:div>
    <w:div w:id="591016177">
      <w:bodyDiv w:val="1"/>
      <w:marLeft w:val="0"/>
      <w:marRight w:val="0"/>
      <w:marTop w:val="0"/>
      <w:marBottom w:val="0"/>
      <w:divBdr>
        <w:top w:val="none" w:sz="0" w:space="0" w:color="auto"/>
        <w:left w:val="none" w:sz="0" w:space="0" w:color="auto"/>
        <w:bottom w:val="none" w:sz="0" w:space="0" w:color="auto"/>
        <w:right w:val="none" w:sz="0" w:space="0" w:color="auto"/>
      </w:divBdr>
    </w:div>
    <w:div w:id="599147092">
      <w:bodyDiv w:val="1"/>
      <w:marLeft w:val="0"/>
      <w:marRight w:val="0"/>
      <w:marTop w:val="0"/>
      <w:marBottom w:val="0"/>
      <w:divBdr>
        <w:top w:val="none" w:sz="0" w:space="0" w:color="auto"/>
        <w:left w:val="none" w:sz="0" w:space="0" w:color="auto"/>
        <w:bottom w:val="none" w:sz="0" w:space="0" w:color="auto"/>
        <w:right w:val="none" w:sz="0" w:space="0" w:color="auto"/>
      </w:divBdr>
    </w:div>
    <w:div w:id="605386237">
      <w:bodyDiv w:val="1"/>
      <w:marLeft w:val="0"/>
      <w:marRight w:val="0"/>
      <w:marTop w:val="0"/>
      <w:marBottom w:val="0"/>
      <w:divBdr>
        <w:top w:val="none" w:sz="0" w:space="0" w:color="auto"/>
        <w:left w:val="none" w:sz="0" w:space="0" w:color="auto"/>
        <w:bottom w:val="none" w:sz="0" w:space="0" w:color="auto"/>
        <w:right w:val="none" w:sz="0" w:space="0" w:color="auto"/>
      </w:divBdr>
    </w:div>
    <w:div w:id="610626495">
      <w:bodyDiv w:val="1"/>
      <w:marLeft w:val="0"/>
      <w:marRight w:val="0"/>
      <w:marTop w:val="0"/>
      <w:marBottom w:val="0"/>
      <w:divBdr>
        <w:top w:val="none" w:sz="0" w:space="0" w:color="auto"/>
        <w:left w:val="none" w:sz="0" w:space="0" w:color="auto"/>
        <w:bottom w:val="none" w:sz="0" w:space="0" w:color="auto"/>
        <w:right w:val="none" w:sz="0" w:space="0" w:color="auto"/>
      </w:divBdr>
    </w:div>
    <w:div w:id="614556988">
      <w:bodyDiv w:val="1"/>
      <w:marLeft w:val="0"/>
      <w:marRight w:val="0"/>
      <w:marTop w:val="0"/>
      <w:marBottom w:val="0"/>
      <w:divBdr>
        <w:top w:val="none" w:sz="0" w:space="0" w:color="auto"/>
        <w:left w:val="none" w:sz="0" w:space="0" w:color="auto"/>
        <w:bottom w:val="none" w:sz="0" w:space="0" w:color="auto"/>
        <w:right w:val="none" w:sz="0" w:space="0" w:color="auto"/>
      </w:divBdr>
    </w:div>
    <w:div w:id="625504963">
      <w:bodyDiv w:val="1"/>
      <w:marLeft w:val="0"/>
      <w:marRight w:val="0"/>
      <w:marTop w:val="0"/>
      <w:marBottom w:val="0"/>
      <w:divBdr>
        <w:top w:val="none" w:sz="0" w:space="0" w:color="auto"/>
        <w:left w:val="none" w:sz="0" w:space="0" w:color="auto"/>
        <w:bottom w:val="none" w:sz="0" w:space="0" w:color="auto"/>
        <w:right w:val="none" w:sz="0" w:space="0" w:color="auto"/>
      </w:divBdr>
    </w:div>
    <w:div w:id="630673840">
      <w:bodyDiv w:val="1"/>
      <w:marLeft w:val="0"/>
      <w:marRight w:val="0"/>
      <w:marTop w:val="0"/>
      <w:marBottom w:val="0"/>
      <w:divBdr>
        <w:top w:val="none" w:sz="0" w:space="0" w:color="auto"/>
        <w:left w:val="none" w:sz="0" w:space="0" w:color="auto"/>
        <w:bottom w:val="none" w:sz="0" w:space="0" w:color="auto"/>
        <w:right w:val="none" w:sz="0" w:space="0" w:color="auto"/>
      </w:divBdr>
    </w:div>
    <w:div w:id="645746610">
      <w:bodyDiv w:val="1"/>
      <w:marLeft w:val="0"/>
      <w:marRight w:val="0"/>
      <w:marTop w:val="0"/>
      <w:marBottom w:val="0"/>
      <w:divBdr>
        <w:top w:val="none" w:sz="0" w:space="0" w:color="auto"/>
        <w:left w:val="none" w:sz="0" w:space="0" w:color="auto"/>
        <w:bottom w:val="none" w:sz="0" w:space="0" w:color="auto"/>
        <w:right w:val="none" w:sz="0" w:space="0" w:color="auto"/>
      </w:divBdr>
    </w:div>
    <w:div w:id="660082079">
      <w:bodyDiv w:val="1"/>
      <w:marLeft w:val="0"/>
      <w:marRight w:val="0"/>
      <w:marTop w:val="0"/>
      <w:marBottom w:val="0"/>
      <w:divBdr>
        <w:top w:val="none" w:sz="0" w:space="0" w:color="auto"/>
        <w:left w:val="none" w:sz="0" w:space="0" w:color="auto"/>
        <w:bottom w:val="none" w:sz="0" w:space="0" w:color="auto"/>
        <w:right w:val="none" w:sz="0" w:space="0" w:color="auto"/>
      </w:divBdr>
    </w:div>
    <w:div w:id="660692079">
      <w:bodyDiv w:val="1"/>
      <w:marLeft w:val="0"/>
      <w:marRight w:val="0"/>
      <w:marTop w:val="0"/>
      <w:marBottom w:val="0"/>
      <w:divBdr>
        <w:top w:val="none" w:sz="0" w:space="0" w:color="auto"/>
        <w:left w:val="none" w:sz="0" w:space="0" w:color="auto"/>
        <w:bottom w:val="none" w:sz="0" w:space="0" w:color="auto"/>
        <w:right w:val="none" w:sz="0" w:space="0" w:color="auto"/>
      </w:divBdr>
    </w:div>
    <w:div w:id="665326353">
      <w:bodyDiv w:val="1"/>
      <w:marLeft w:val="0"/>
      <w:marRight w:val="0"/>
      <w:marTop w:val="0"/>
      <w:marBottom w:val="0"/>
      <w:divBdr>
        <w:top w:val="none" w:sz="0" w:space="0" w:color="auto"/>
        <w:left w:val="none" w:sz="0" w:space="0" w:color="auto"/>
        <w:bottom w:val="none" w:sz="0" w:space="0" w:color="auto"/>
        <w:right w:val="none" w:sz="0" w:space="0" w:color="auto"/>
      </w:divBdr>
    </w:div>
    <w:div w:id="669451329">
      <w:bodyDiv w:val="1"/>
      <w:marLeft w:val="0"/>
      <w:marRight w:val="0"/>
      <w:marTop w:val="0"/>
      <w:marBottom w:val="0"/>
      <w:divBdr>
        <w:top w:val="none" w:sz="0" w:space="0" w:color="auto"/>
        <w:left w:val="none" w:sz="0" w:space="0" w:color="auto"/>
        <w:bottom w:val="none" w:sz="0" w:space="0" w:color="auto"/>
        <w:right w:val="none" w:sz="0" w:space="0" w:color="auto"/>
      </w:divBdr>
    </w:div>
    <w:div w:id="676883018">
      <w:bodyDiv w:val="1"/>
      <w:marLeft w:val="0"/>
      <w:marRight w:val="0"/>
      <w:marTop w:val="0"/>
      <w:marBottom w:val="0"/>
      <w:divBdr>
        <w:top w:val="none" w:sz="0" w:space="0" w:color="auto"/>
        <w:left w:val="none" w:sz="0" w:space="0" w:color="auto"/>
        <w:bottom w:val="none" w:sz="0" w:space="0" w:color="auto"/>
        <w:right w:val="none" w:sz="0" w:space="0" w:color="auto"/>
      </w:divBdr>
    </w:div>
    <w:div w:id="681784163">
      <w:bodyDiv w:val="1"/>
      <w:marLeft w:val="0"/>
      <w:marRight w:val="0"/>
      <w:marTop w:val="0"/>
      <w:marBottom w:val="0"/>
      <w:divBdr>
        <w:top w:val="none" w:sz="0" w:space="0" w:color="auto"/>
        <w:left w:val="none" w:sz="0" w:space="0" w:color="auto"/>
        <w:bottom w:val="none" w:sz="0" w:space="0" w:color="auto"/>
        <w:right w:val="none" w:sz="0" w:space="0" w:color="auto"/>
      </w:divBdr>
    </w:div>
    <w:div w:id="688993888">
      <w:bodyDiv w:val="1"/>
      <w:marLeft w:val="0"/>
      <w:marRight w:val="0"/>
      <w:marTop w:val="0"/>
      <w:marBottom w:val="0"/>
      <w:divBdr>
        <w:top w:val="none" w:sz="0" w:space="0" w:color="auto"/>
        <w:left w:val="none" w:sz="0" w:space="0" w:color="auto"/>
        <w:bottom w:val="none" w:sz="0" w:space="0" w:color="auto"/>
        <w:right w:val="none" w:sz="0" w:space="0" w:color="auto"/>
      </w:divBdr>
    </w:div>
    <w:div w:id="690228766">
      <w:bodyDiv w:val="1"/>
      <w:marLeft w:val="0"/>
      <w:marRight w:val="0"/>
      <w:marTop w:val="0"/>
      <w:marBottom w:val="0"/>
      <w:divBdr>
        <w:top w:val="none" w:sz="0" w:space="0" w:color="auto"/>
        <w:left w:val="none" w:sz="0" w:space="0" w:color="auto"/>
        <w:bottom w:val="none" w:sz="0" w:space="0" w:color="auto"/>
        <w:right w:val="none" w:sz="0" w:space="0" w:color="auto"/>
      </w:divBdr>
    </w:div>
    <w:div w:id="694037931">
      <w:bodyDiv w:val="1"/>
      <w:marLeft w:val="0"/>
      <w:marRight w:val="0"/>
      <w:marTop w:val="0"/>
      <w:marBottom w:val="0"/>
      <w:divBdr>
        <w:top w:val="none" w:sz="0" w:space="0" w:color="auto"/>
        <w:left w:val="none" w:sz="0" w:space="0" w:color="auto"/>
        <w:bottom w:val="none" w:sz="0" w:space="0" w:color="auto"/>
        <w:right w:val="none" w:sz="0" w:space="0" w:color="auto"/>
      </w:divBdr>
    </w:div>
    <w:div w:id="712391042">
      <w:bodyDiv w:val="1"/>
      <w:marLeft w:val="0"/>
      <w:marRight w:val="0"/>
      <w:marTop w:val="0"/>
      <w:marBottom w:val="0"/>
      <w:divBdr>
        <w:top w:val="none" w:sz="0" w:space="0" w:color="auto"/>
        <w:left w:val="none" w:sz="0" w:space="0" w:color="auto"/>
        <w:bottom w:val="none" w:sz="0" w:space="0" w:color="auto"/>
        <w:right w:val="none" w:sz="0" w:space="0" w:color="auto"/>
      </w:divBdr>
    </w:div>
    <w:div w:id="721946410">
      <w:bodyDiv w:val="1"/>
      <w:marLeft w:val="0"/>
      <w:marRight w:val="0"/>
      <w:marTop w:val="0"/>
      <w:marBottom w:val="0"/>
      <w:divBdr>
        <w:top w:val="none" w:sz="0" w:space="0" w:color="auto"/>
        <w:left w:val="none" w:sz="0" w:space="0" w:color="auto"/>
        <w:bottom w:val="none" w:sz="0" w:space="0" w:color="auto"/>
        <w:right w:val="none" w:sz="0" w:space="0" w:color="auto"/>
      </w:divBdr>
    </w:div>
    <w:div w:id="732891894">
      <w:bodyDiv w:val="1"/>
      <w:marLeft w:val="0"/>
      <w:marRight w:val="0"/>
      <w:marTop w:val="0"/>
      <w:marBottom w:val="0"/>
      <w:divBdr>
        <w:top w:val="none" w:sz="0" w:space="0" w:color="auto"/>
        <w:left w:val="none" w:sz="0" w:space="0" w:color="auto"/>
        <w:bottom w:val="none" w:sz="0" w:space="0" w:color="auto"/>
        <w:right w:val="none" w:sz="0" w:space="0" w:color="auto"/>
      </w:divBdr>
    </w:div>
    <w:div w:id="735903869">
      <w:bodyDiv w:val="1"/>
      <w:marLeft w:val="0"/>
      <w:marRight w:val="0"/>
      <w:marTop w:val="0"/>
      <w:marBottom w:val="0"/>
      <w:divBdr>
        <w:top w:val="none" w:sz="0" w:space="0" w:color="auto"/>
        <w:left w:val="none" w:sz="0" w:space="0" w:color="auto"/>
        <w:bottom w:val="none" w:sz="0" w:space="0" w:color="auto"/>
        <w:right w:val="none" w:sz="0" w:space="0" w:color="auto"/>
      </w:divBdr>
    </w:div>
    <w:div w:id="745080415">
      <w:bodyDiv w:val="1"/>
      <w:marLeft w:val="0"/>
      <w:marRight w:val="0"/>
      <w:marTop w:val="0"/>
      <w:marBottom w:val="0"/>
      <w:divBdr>
        <w:top w:val="none" w:sz="0" w:space="0" w:color="auto"/>
        <w:left w:val="none" w:sz="0" w:space="0" w:color="auto"/>
        <w:bottom w:val="none" w:sz="0" w:space="0" w:color="auto"/>
        <w:right w:val="none" w:sz="0" w:space="0" w:color="auto"/>
      </w:divBdr>
    </w:div>
    <w:div w:id="751925262">
      <w:bodyDiv w:val="1"/>
      <w:marLeft w:val="0"/>
      <w:marRight w:val="0"/>
      <w:marTop w:val="0"/>
      <w:marBottom w:val="0"/>
      <w:divBdr>
        <w:top w:val="none" w:sz="0" w:space="0" w:color="auto"/>
        <w:left w:val="none" w:sz="0" w:space="0" w:color="auto"/>
        <w:bottom w:val="none" w:sz="0" w:space="0" w:color="auto"/>
        <w:right w:val="none" w:sz="0" w:space="0" w:color="auto"/>
      </w:divBdr>
    </w:div>
    <w:div w:id="760371186">
      <w:bodyDiv w:val="1"/>
      <w:marLeft w:val="0"/>
      <w:marRight w:val="0"/>
      <w:marTop w:val="0"/>
      <w:marBottom w:val="0"/>
      <w:divBdr>
        <w:top w:val="none" w:sz="0" w:space="0" w:color="auto"/>
        <w:left w:val="none" w:sz="0" w:space="0" w:color="auto"/>
        <w:bottom w:val="none" w:sz="0" w:space="0" w:color="auto"/>
        <w:right w:val="none" w:sz="0" w:space="0" w:color="auto"/>
      </w:divBdr>
    </w:div>
    <w:div w:id="775369118">
      <w:bodyDiv w:val="1"/>
      <w:marLeft w:val="0"/>
      <w:marRight w:val="0"/>
      <w:marTop w:val="0"/>
      <w:marBottom w:val="0"/>
      <w:divBdr>
        <w:top w:val="none" w:sz="0" w:space="0" w:color="auto"/>
        <w:left w:val="none" w:sz="0" w:space="0" w:color="auto"/>
        <w:bottom w:val="none" w:sz="0" w:space="0" w:color="auto"/>
        <w:right w:val="none" w:sz="0" w:space="0" w:color="auto"/>
      </w:divBdr>
    </w:div>
    <w:div w:id="789203391">
      <w:bodyDiv w:val="1"/>
      <w:marLeft w:val="0"/>
      <w:marRight w:val="0"/>
      <w:marTop w:val="0"/>
      <w:marBottom w:val="0"/>
      <w:divBdr>
        <w:top w:val="none" w:sz="0" w:space="0" w:color="auto"/>
        <w:left w:val="none" w:sz="0" w:space="0" w:color="auto"/>
        <w:bottom w:val="none" w:sz="0" w:space="0" w:color="auto"/>
        <w:right w:val="none" w:sz="0" w:space="0" w:color="auto"/>
      </w:divBdr>
    </w:div>
    <w:div w:id="801114556">
      <w:bodyDiv w:val="1"/>
      <w:marLeft w:val="0"/>
      <w:marRight w:val="0"/>
      <w:marTop w:val="0"/>
      <w:marBottom w:val="0"/>
      <w:divBdr>
        <w:top w:val="none" w:sz="0" w:space="0" w:color="auto"/>
        <w:left w:val="none" w:sz="0" w:space="0" w:color="auto"/>
        <w:bottom w:val="none" w:sz="0" w:space="0" w:color="auto"/>
        <w:right w:val="none" w:sz="0" w:space="0" w:color="auto"/>
      </w:divBdr>
    </w:div>
    <w:div w:id="807894680">
      <w:bodyDiv w:val="1"/>
      <w:marLeft w:val="0"/>
      <w:marRight w:val="0"/>
      <w:marTop w:val="0"/>
      <w:marBottom w:val="0"/>
      <w:divBdr>
        <w:top w:val="none" w:sz="0" w:space="0" w:color="auto"/>
        <w:left w:val="none" w:sz="0" w:space="0" w:color="auto"/>
        <w:bottom w:val="none" w:sz="0" w:space="0" w:color="auto"/>
        <w:right w:val="none" w:sz="0" w:space="0" w:color="auto"/>
      </w:divBdr>
    </w:div>
    <w:div w:id="812648030">
      <w:bodyDiv w:val="1"/>
      <w:marLeft w:val="0"/>
      <w:marRight w:val="0"/>
      <w:marTop w:val="0"/>
      <w:marBottom w:val="0"/>
      <w:divBdr>
        <w:top w:val="none" w:sz="0" w:space="0" w:color="auto"/>
        <w:left w:val="none" w:sz="0" w:space="0" w:color="auto"/>
        <w:bottom w:val="none" w:sz="0" w:space="0" w:color="auto"/>
        <w:right w:val="none" w:sz="0" w:space="0" w:color="auto"/>
      </w:divBdr>
    </w:div>
    <w:div w:id="813183945">
      <w:bodyDiv w:val="1"/>
      <w:marLeft w:val="0"/>
      <w:marRight w:val="0"/>
      <w:marTop w:val="0"/>
      <w:marBottom w:val="0"/>
      <w:divBdr>
        <w:top w:val="none" w:sz="0" w:space="0" w:color="auto"/>
        <w:left w:val="none" w:sz="0" w:space="0" w:color="auto"/>
        <w:bottom w:val="none" w:sz="0" w:space="0" w:color="auto"/>
        <w:right w:val="none" w:sz="0" w:space="0" w:color="auto"/>
      </w:divBdr>
    </w:div>
    <w:div w:id="817844993">
      <w:bodyDiv w:val="1"/>
      <w:marLeft w:val="0"/>
      <w:marRight w:val="0"/>
      <w:marTop w:val="0"/>
      <w:marBottom w:val="0"/>
      <w:divBdr>
        <w:top w:val="none" w:sz="0" w:space="0" w:color="auto"/>
        <w:left w:val="none" w:sz="0" w:space="0" w:color="auto"/>
        <w:bottom w:val="none" w:sz="0" w:space="0" w:color="auto"/>
        <w:right w:val="none" w:sz="0" w:space="0" w:color="auto"/>
      </w:divBdr>
    </w:div>
    <w:div w:id="820072977">
      <w:bodyDiv w:val="1"/>
      <w:marLeft w:val="0"/>
      <w:marRight w:val="0"/>
      <w:marTop w:val="0"/>
      <w:marBottom w:val="0"/>
      <w:divBdr>
        <w:top w:val="none" w:sz="0" w:space="0" w:color="auto"/>
        <w:left w:val="none" w:sz="0" w:space="0" w:color="auto"/>
        <w:bottom w:val="none" w:sz="0" w:space="0" w:color="auto"/>
        <w:right w:val="none" w:sz="0" w:space="0" w:color="auto"/>
      </w:divBdr>
    </w:div>
    <w:div w:id="823544841">
      <w:bodyDiv w:val="1"/>
      <w:marLeft w:val="0"/>
      <w:marRight w:val="0"/>
      <w:marTop w:val="0"/>
      <w:marBottom w:val="0"/>
      <w:divBdr>
        <w:top w:val="none" w:sz="0" w:space="0" w:color="auto"/>
        <w:left w:val="none" w:sz="0" w:space="0" w:color="auto"/>
        <w:bottom w:val="none" w:sz="0" w:space="0" w:color="auto"/>
        <w:right w:val="none" w:sz="0" w:space="0" w:color="auto"/>
      </w:divBdr>
    </w:div>
    <w:div w:id="838228629">
      <w:bodyDiv w:val="1"/>
      <w:marLeft w:val="0"/>
      <w:marRight w:val="0"/>
      <w:marTop w:val="0"/>
      <w:marBottom w:val="0"/>
      <w:divBdr>
        <w:top w:val="none" w:sz="0" w:space="0" w:color="auto"/>
        <w:left w:val="none" w:sz="0" w:space="0" w:color="auto"/>
        <w:bottom w:val="none" w:sz="0" w:space="0" w:color="auto"/>
        <w:right w:val="none" w:sz="0" w:space="0" w:color="auto"/>
      </w:divBdr>
    </w:div>
    <w:div w:id="843711491">
      <w:bodyDiv w:val="1"/>
      <w:marLeft w:val="0"/>
      <w:marRight w:val="0"/>
      <w:marTop w:val="0"/>
      <w:marBottom w:val="0"/>
      <w:divBdr>
        <w:top w:val="none" w:sz="0" w:space="0" w:color="auto"/>
        <w:left w:val="none" w:sz="0" w:space="0" w:color="auto"/>
        <w:bottom w:val="none" w:sz="0" w:space="0" w:color="auto"/>
        <w:right w:val="none" w:sz="0" w:space="0" w:color="auto"/>
      </w:divBdr>
    </w:div>
    <w:div w:id="845678580">
      <w:bodyDiv w:val="1"/>
      <w:marLeft w:val="0"/>
      <w:marRight w:val="0"/>
      <w:marTop w:val="0"/>
      <w:marBottom w:val="0"/>
      <w:divBdr>
        <w:top w:val="none" w:sz="0" w:space="0" w:color="auto"/>
        <w:left w:val="none" w:sz="0" w:space="0" w:color="auto"/>
        <w:bottom w:val="none" w:sz="0" w:space="0" w:color="auto"/>
        <w:right w:val="none" w:sz="0" w:space="0" w:color="auto"/>
      </w:divBdr>
    </w:div>
    <w:div w:id="847214452">
      <w:bodyDiv w:val="1"/>
      <w:marLeft w:val="0"/>
      <w:marRight w:val="0"/>
      <w:marTop w:val="0"/>
      <w:marBottom w:val="0"/>
      <w:divBdr>
        <w:top w:val="none" w:sz="0" w:space="0" w:color="auto"/>
        <w:left w:val="none" w:sz="0" w:space="0" w:color="auto"/>
        <w:bottom w:val="none" w:sz="0" w:space="0" w:color="auto"/>
        <w:right w:val="none" w:sz="0" w:space="0" w:color="auto"/>
      </w:divBdr>
    </w:div>
    <w:div w:id="850609321">
      <w:bodyDiv w:val="1"/>
      <w:marLeft w:val="0"/>
      <w:marRight w:val="0"/>
      <w:marTop w:val="0"/>
      <w:marBottom w:val="0"/>
      <w:divBdr>
        <w:top w:val="none" w:sz="0" w:space="0" w:color="auto"/>
        <w:left w:val="none" w:sz="0" w:space="0" w:color="auto"/>
        <w:bottom w:val="none" w:sz="0" w:space="0" w:color="auto"/>
        <w:right w:val="none" w:sz="0" w:space="0" w:color="auto"/>
      </w:divBdr>
    </w:div>
    <w:div w:id="862792725">
      <w:bodyDiv w:val="1"/>
      <w:marLeft w:val="0"/>
      <w:marRight w:val="0"/>
      <w:marTop w:val="0"/>
      <w:marBottom w:val="0"/>
      <w:divBdr>
        <w:top w:val="none" w:sz="0" w:space="0" w:color="auto"/>
        <w:left w:val="none" w:sz="0" w:space="0" w:color="auto"/>
        <w:bottom w:val="none" w:sz="0" w:space="0" w:color="auto"/>
        <w:right w:val="none" w:sz="0" w:space="0" w:color="auto"/>
      </w:divBdr>
    </w:div>
    <w:div w:id="863784611">
      <w:bodyDiv w:val="1"/>
      <w:marLeft w:val="0"/>
      <w:marRight w:val="0"/>
      <w:marTop w:val="0"/>
      <w:marBottom w:val="0"/>
      <w:divBdr>
        <w:top w:val="none" w:sz="0" w:space="0" w:color="auto"/>
        <w:left w:val="none" w:sz="0" w:space="0" w:color="auto"/>
        <w:bottom w:val="none" w:sz="0" w:space="0" w:color="auto"/>
        <w:right w:val="none" w:sz="0" w:space="0" w:color="auto"/>
      </w:divBdr>
    </w:div>
    <w:div w:id="875049090">
      <w:bodyDiv w:val="1"/>
      <w:marLeft w:val="0"/>
      <w:marRight w:val="0"/>
      <w:marTop w:val="0"/>
      <w:marBottom w:val="0"/>
      <w:divBdr>
        <w:top w:val="none" w:sz="0" w:space="0" w:color="auto"/>
        <w:left w:val="none" w:sz="0" w:space="0" w:color="auto"/>
        <w:bottom w:val="none" w:sz="0" w:space="0" w:color="auto"/>
        <w:right w:val="none" w:sz="0" w:space="0" w:color="auto"/>
      </w:divBdr>
    </w:div>
    <w:div w:id="881358023">
      <w:bodyDiv w:val="1"/>
      <w:marLeft w:val="0"/>
      <w:marRight w:val="0"/>
      <w:marTop w:val="0"/>
      <w:marBottom w:val="0"/>
      <w:divBdr>
        <w:top w:val="none" w:sz="0" w:space="0" w:color="auto"/>
        <w:left w:val="none" w:sz="0" w:space="0" w:color="auto"/>
        <w:bottom w:val="none" w:sz="0" w:space="0" w:color="auto"/>
        <w:right w:val="none" w:sz="0" w:space="0" w:color="auto"/>
      </w:divBdr>
    </w:div>
    <w:div w:id="883102111">
      <w:bodyDiv w:val="1"/>
      <w:marLeft w:val="0"/>
      <w:marRight w:val="0"/>
      <w:marTop w:val="0"/>
      <w:marBottom w:val="0"/>
      <w:divBdr>
        <w:top w:val="none" w:sz="0" w:space="0" w:color="auto"/>
        <w:left w:val="none" w:sz="0" w:space="0" w:color="auto"/>
        <w:bottom w:val="none" w:sz="0" w:space="0" w:color="auto"/>
        <w:right w:val="none" w:sz="0" w:space="0" w:color="auto"/>
      </w:divBdr>
    </w:div>
    <w:div w:id="893782152">
      <w:bodyDiv w:val="1"/>
      <w:marLeft w:val="0"/>
      <w:marRight w:val="0"/>
      <w:marTop w:val="0"/>
      <w:marBottom w:val="0"/>
      <w:divBdr>
        <w:top w:val="none" w:sz="0" w:space="0" w:color="auto"/>
        <w:left w:val="none" w:sz="0" w:space="0" w:color="auto"/>
        <w:bottom w:val="none" w:sz="0" w:space="0" w:color="auto"/>
        <w:right w:val="none" w:sz="0" w:space="0" w:color="auto"/>
      </w:divBdr>
    </w:div>
    <w:div w:id="911888870">
      <w:bodyDiv w:val="1"/>
      <w:marLeft w:val="0"/>
      <w:marRight w:val="0"/>
      <w:marTop w:val="0"/>
      <w:marBottom w:val="0"/>
      <w:divBdr>
        <w:top w:val="none" w:sz="0" w:space="0" w:color="auto"/>
        <w:left w:val="none" w:sz="0" w:space="0" w:color="auto"/>
        <w:bottom w:val="none" w:sz="0" w:space="0" w:color="auto"/>
        <w:right w:val="none" w:sz="0" w:space="0" w:color="auto"/>
      </w:divBdr>
    </w:div>
    <w:div w:id="920986975">
      <w:bodyDiv w:val="1"/>
      <w:marLeft w:val="0"/>
      <w:marRight w:val="0"/>
      <w:marTop w:val="0"/>
      <w:marBottom w:val="0"/>
      <w:divBdr>
        <w:top w:val="none" w:sz="0" w:space="0" w:color="auto"/>
        <w:left w:val="none" w:sz="0" w:space="0" w:color="auto"/>
        <w:bottom w:val="none" w:sz="0" w:space="0" w:color="auto"/>
        <w:right w:val="none" w:sz="0" w:space="0" w:color="auto"/>
      </w:divBdr>
    </w:div>
    <w:div w:id="923104307">
      <w:bodyDiv w:val="1"/>
      <w:marLeft w:val="0"/>
      <w:marRight w:val="0"/>
      <w:marTop w:val="0"/>
      <w:marBottom w:val="0"/>
      <w:divBdr>
        <w:top w:val="none" w:sz="0" w:space="0" w:color="auto"/>
        <w:left w:val="none" w:sz="0" w:space="0" w:color="auto"/>
        <w:bottom w:val="none" w:sz="0" w:space="0" w:color="auto"/>
        <w:right w:val="none" w:sz="0" w:space="0" w:color="auto"/>
      </w:divBdr>
    </w:div>
    <w:div w:id="933627770">
      <w:bodyDiv w:val="1"/>
      <w:marLeft w:val="0"/>
      <w:marRight w:val="0"/>
      <w:marTop w:val="0"/>
      <w:marBottom w:val="0"/>
      <w:divBdr>
        <w:top w:val="none" w:sz="0" w:space="0" w:color="auto"/>
        <w:left w:val="none" w:sz="0" w:space="0" w:color="auto"/>
        <w:bottom w:val="none" w:sz="0" w:space="0" w:color="auto"/>
        <w:right w:val="none" w:sz="0" w:space="0" w:color="auto"/>
      </w:divBdr>
    </w:div>
    <w:div w:id="939336056">
      <w:bodyDiv w:val="1"/>
      <w:marLeft w:val="0"/>
      <w:marRight w:val="0"/>
      <w:marTop w:val="0"/>
      <w:marBottom w:val="0"/>
      <w:divBdr>
        <w:top w:val="none" w:sz="0" w:space="0" w:color="auto"/>
        <w:left w:val="none" w:sz="0" w:space="0" w:color="auto"/>
        <w:bottom w:val="none" w:sz="0" w:space="0" w:color="auto"/>
        <w:right w:val="none" w:sz="0" w:space="0" w:color="auto"/>
      </w:divBdr>
    </w:div>
    <w:div w:id="947616602">
      <w:bodyDiv w:val="1"/>
      <w:marLeft w:val="0"/>
      <w:marRight w:val="0"/>
      <w:marTop w:val="0"/>
      <w:marBottom w:val="0"/>
      <w:divBdr>
        <w:top w:val="none" w:sz="0" w:space="0" w:color="auto"/>
        <w:left w:val="none" w:sz="0" w:space="0" w:color="auto"/>
        <w:bottom w:val="none" w:sz="0" w:space="0" w:color="auto"/>
        <w:right w:val="none" w:sz="0" w:space="0" w:color="auto"/>
      </w:divBdr>
    </w:div>
    <w:div w:id="950434999">
      <w:bodyDiv w:val="1"/>
      <w:marLeft w:val="0"/>
      <w:marRight w:val="0"/>
      <w:marTop w:val="0"/>
      <w:marBottom w:val="0"/>
      <w:divBdr>
        <w:top w:val="none" w:sz="0" w:space="0" w:color="auto"/>
        <w:left w:val="none" w:sz="0" w:space="0" w:color="auto"/>
        <w:bottom w:val="none" w:sz="0" w:space="0" w:color="auto"/>
        <w:right w:val="none" w:sz="0" w:space="0" w:color="auto"/>
      </w:divBdr>
    </w:div>
    <w:div w:id="953681037">
      <w:bodyDiv w:val="1"/>
      <w:marLeft w:val="0"/>
      <w:marRight w:val="0"/>
      <w:marTop w:val="0"/>
      <w:marBottom w:val="0"/>
      <w:divBdr>
        <w:top w:val="none" w:sz="0" w:space="0" w:color="auto"/>
        <w:left w:val="none" w:sz="0" w:space="0" w:color="auto"/>
        <w:bottom w:val="none" w:sz="0" w:space="0" w:color="auto"/>
        <w:right w:val="none" w:sz="0" w:space="0" w:color="auto"/>
      </w:divBdr>
    </w:div>
    <w:div w:id="956595241">
      <w:bodyDiv w:val="1"/>
      <w:marLeft w:val="0"/>
      <w:marRight w:val="0"/>
      <w:marTop w:val="0"/>
      <w:marBottom w:val="0"/>
      <w:divBdr>
        <w:top w:val="none" w:sz="0" w:space="0" w:color="auto"/>
        <w:left w:val="none" w:sz="0" w:space="0" w:color="auto"/>
        <w:bottom w:val="none" w:sz="0" w:space="0" w:color="auto"/>
        <w:right w:val="none" w:sz="0" w:space="0" w:color="auto"/>
      </w:divBdr>
    </w:div>
    <w:div w:id="961882287">
      <w:bodyDiv w:val="1"/>
      <w:marLeft w:val="0"/>
      <w:marRight w:val="0"/>
      <w:marTop w:val="0"/>
      <w:marBottom w:val="0"/>
      <w:divBdr>
        <w:top w:val="none" w:sz="0" w:space="0" w:color="auto"/>
        <w:left w:val="none" w:sz="0" w:space="0" w:color="auto"/>
        <w:bottom w:val="none" w:sz="0" w:space="0" w:color="auto"/>
        <w:right w:val="none" w:sz="0" w:space="0" w:color="auto"/>
      </w:divBdr>
    </w:div>
    <w:div w:id="968128760">
      <w:bodyDiv w:val="1"/>
      <w:marLeft w:val="0"/>
      <w:marRight w:val="0"/>
      <w:marTop w:val="0"/>
      <w:marBottom w:val="0"/>
      <w:divBdr>
        <w:top w:val="none" w:sz="0" w:space="0" w:color="auto"/>
        <w:left w:val="none" w:sz="0" w:space="0" w:color="auto"/>
        <w:bottom w:val="none" w:sz="0" w:space="0" w:color="auto"/>
        <w:right w:val="none" w:sz="0" w:space="0" w:color="auto"/>
      </w:divBdr>
    </w:div>
    <w:div w:id="974066264">
      <w:bodyDiv w:val="1"/>
      <w:marLeft w:val="0"/>
      <w:marRight w:val="0"/>
      <w:marTop w:val="0"/>
      <w:marBottom w:val="0"/>
      <w:divBdr>
        <w:top w:val="none" w:sz="0" w:space="0" w:color="auto"/>
        <w:left w:val="none" w:sz="0" w:space="0" w:color="auto"/>
        <w:bottom w:val="none" w:sz="0" w:space="0" w:color="auto"/>
        <w:right w:val="none" w:sz="0" w:space="0" w:color="auto"/>
      </w:divBdr>
    </w:div>
    <w:div w:id="984510133">
      <w:bodyDiv w:val="1"/>
      <w:marLeft w:val="0"/>
      <w:marRight w:val="0"/>
      <w:marTop w:val="0"/>
      <w:marBottom w:val="0"/>
      <w:divBdr>
        <w:top w:val="none" w:sz="0" w:space="0" w:color="auto"/>
        <w:left w:val="none" w:sz="0" w:space="0" w:color="auto"/>
        <w:bottom w:val="none" w:sz="0" w:space="0" w:color="auto"/>
        <w:right w:val="none" w:sz="0" w:space="0" w:color="auto"/>
      </w:divBdr>
    </w:div>
    <w:div w:id="995569895">
      <w:bodyDiv w:val="1"/>
      <w:marLeft w:val="0"/>
      <w:marRight w:val="0"/>
      <w:marTop w:val="0"/>
      <w:marBottom w:val="0"/>
      <w:divBdr>
        <w:top w:val="none" w:sz="0" w:space="0" w:color="auto"/>
        <w:left w:val="none" w:sz="0" w:space="0" w:color="auto"/>
        <w:bottom w:val="none" w:sz="0" w:space="0" w:color="auto"/>
        <w:right w:val="none" w:sz="0" w:space="0" w:color="auto"/>
      </w:divBdr>
    </w:div>
    <w:div w:id="999194356">
      <w:bodyDiv w:val="1"/>
      <w:marLeft w:val="0"/>
      <w:marRight w:val="0"/>
      <w:marTop w:val="0"/>
      <w:marBottom w:val="0"/>
      <w:divBdr>
        <w:top w:val="none" w:sz="0" w:space="0" w:color="auto"/>
        <w:left w:val="none" w:sz="0" w:space="0" w:color="auto"/>
        <w:bottom w:val="none" w:sz="0" w:space="0" w:color="auto"/>
        <w:right w:val="none" w:sz="0" w:space="0" w:color="auto"/>
      </w:divBdr>
    </w:div>
    <w:div w:id="1003094807">
      <w:bodyDiv w:val="1"/>
      <w:marLeft w:val="0"/>
      <w:marRight w:val="0"/>
      <w:marTop w:val="0"/>
      <w:marBottom w:val="0"/>
      <w:divBdr>
        <w:top w:val="none" w:sz="0" w:space="0" w:color="auto"/>
        <w:left w:val="none" w:sz="0" w:space="0" w:color="auto"/>
        <w:bottom w:val="none" w:sz="0" w:space="0" w:color="auto"/>
        <w:right w:val="none" w:sz="0" w:space="0" w:color="auto"/>
      </w:divBdr>
    </w:div>
    <w:div w:id="1011294777">
      <w:bodyDiv w:val="1"/>
      <w:marLeft w:val="0"/>
      <w:marRight w:val="0"/>
      <w:marTop w:val="0"/>
      <w:marBottom w:val="0"/>
      <w:divBdr>
        <w:top w:val="none" w:sz="0" w:space="0" w:color="auto"/>
        <w:left w:val="none" w:sz="0" w:space="0" w:color="auto"/>
        <w:bottom w:val="none" w:sz="0" w:space="0" w:color="auto"/>
        <w:right w:val="none" w:sz="0" w:space="0" w:color="auto"/>
      </w:divBdr>
    </w:div>
    <w:div w:id="1012800761">
      <w:bodyDiv w:val="1"/>
      <w:marLeft w:val="0"/>
      <w:marRight w:val="0"/>
      <w:marTop w:val="0"/>
      <w:marBottom w:val="0"/>
      <w:divBdr>
        <w:top w:val="none" w:sz="0" w:space="0" w:color="auto"/>
        <w:left w:val="none" w:sz="0" w:space="0" w:color="auto"/>
        <w:bottom w:val="none" w:sz="0" w:space="0" w:color="auto"/>
        <w:right w:val="none" w:sz="0" w:space="0" w:color="auto"/>
      </w:divBdr>
    </w:div>
    <w:div w:id="1014384299">
      <w:bodyDiv w:val="1"/>
      <w:marLeft w:val="0"/>
      <w:marRight w:val="0"/>
      <w:marTop w:val="0"/>
      <w:marBottom w:val="0"/>
      <w:divBdr>
        <w:top w:val="none" w:sz="0" w:space="0" w:color="auto"/>
        <w:left w:val="none" w:sz="0" w:space="0" w:color="auto"/>
        <w:bottom w:val="none" w:sz="0" w:space="0" w:color="auto"/>
        <w:right w:val="none" w:sz="0" w:space="0" w:color="auto"/>
      </w:divBdr>
    </w:div>
    <w:div w:id="1017079685">
      <w:bodyDiv w:val="1"/>
      <w:marLeft w:val="0"/>
      <w:marRight w:val="0"/>
      <w:marTop w:val="0"/>
      <w:marBottom w:val="0"/>
      <w:divBdr>
        <w:top w:val="none" w:sz="0" w:space="0" w:color="auto"/>
        <w:left w:val="none" w:sz="0" w:space="0" w:color="auto"/>
        <w:bottom w:val="none" w:sz="0" w:space="0" w:color="auto"/>
        <w:right w:val="none" w:sz="0" w:space="0" w:color="auto"/>
      </w:divBdr>
    </w:div>
    <w:div w:id="1023822090">
      <w:bodyDiv w:val="1"/>
      <w:marLeft w:val="0"/>
      <w:marRight w:val="0"/>
      <w:marTop w:val="0"/>
      <w:marBottom w:val="0"/>
      <w:divBdr>
        <w:top w:val="none" w:sz="0" w:space="0" w:color="auto"/>
        <w:left w:val="none" w:sz="0" w:space="0" w:color="auto"/>
        <w:bottom w:val="none" w:sz="0" w:space="0" w:color="auto"/>
        <w:right w:val="none" w:sz="0" w:space="0" w:color="auto"/>
      </w:divBdr>
    </w:div>
    <w:div w:id="1024481382">
      <w:bodyDiv w:val="1"/>
      <w:marLeft w:val="0"/>
      <w:marRight w:val="0"/>
      <w:marTop w:val="0"/>
      <w:marBottom w:val="0"/>
      <w:divBdr>
        <w:top w:val="none" w:sz="0" w:space="0" w:color="auto"/>
        <w:left w:val="none" w:sz="0" w:space="0" w:color="auto"/>
        <w:bottom w:val="none" w:sz="0" w:space="0" w:color="auto"/>
        <w:right w:val="none" w:sz="0" w:space="0" w:color="auto"/>
      </w:divBdr>
    </w:div>
    <w:div w:id="1030302291">
      <w:bodyDiv w:val="1"/>
      <w:marLeft w:val="0"/>
      <w:marRight w:val="0"/>
      <w:marTop w:val="0"/>
      <w:marBottom w:val="0"/>
      <w:divBdr>
        <w:top w:val="none" w:sz="0" w:space="0" w:color="auto"/>
        <w:left w:val="none" w:sz="0" w:space="0" w:color="auto"/>
        <w:bottom w:val="none" w:sz="0" w:space="0" w:color="auto"/>
        <w:right w:val="none" w:sz="0" w:space="0" w:color="auto"/>
      </w:divBdr>
    </w:div>
    <w:div w:id="1044595017">
      <w:bodyDiv w:val="1"/>
      <w:marLeft w:val="0"/>
      <w:marRight w:val="0"/>
      <w:marTop w:val="0"/>
      <w:marBottom w:val="0"/>
      <w:divBdr>
        <w:top w:val="none" w:sz="0" w:space="0" w:color="auto"/>
        <w:left w:val="none" w:sz="0" w:space="0" w:color="auto"/>
        <w:bottom w:val="none" w:sz="0" w:space="0" w:color="auto"/>
        <w:right w:val="none" w:sz="0" w:space="0" w:color="auto"/>
      </w:divBdr>
    </w:div>
    <w:div w:id="1047752713">
      <w:bodyDiv w:val="1"/>
      <w:marLeft w:val="0"/>
      <w:marRight w:val="0"/>
      <w:marTop w:val="0"/>
      <w:marBottom w:val="0"/>
      <w:divBdr>
        <w:top w:val="none" w:sz="0" w:space="0" w:color="auto"/>
        <w:left w:val="none" w:sz="0" w:space="0" w:color="auto"/>
        <w:bottom w:val="none" w:sz="0" w:space="0" w:color="auto"/>
        <w:right w:val="none" w:sz="0" w:space="0" w:color="auto"/>
      </w:divBdr>
    </w:div>
    <w:div w:id="1069109651">
      <w:bodyDiv w:val="1"/>
      <w:marLeft w:val="0"/>
      <w:marRight w:val="0"/>
      <w:marTop w:val="0"/>
      <w:marBottom w:val="0"/>
      <w:divBdr>
        <w:top w:val="none" w:sz="0" w:space="0" w:color="auto"/>
        <w:left w:val="none" w:sz="0" w:space="0" w:color="auto"/>
        <w:bottom w:val="none" w:sz="0" w:space="0" w:color="auto"/>
        <w:right w:val="none" w:sz="0" w:space="0" w:color="auto"/>
      </w:divBdr>
    </w:div>
    <w:div w:id="1071538862">
      <w:bodyDiv w:val="1"/>
      <w:marLeft w:val="0"/>
      <w:marRight w:val="0"/>
      <w:marTop w:val="0"/>
      <w:marBottom w:val="0"/>
      <w:divBdr>
        <w:top w:val="none" w:sz="0" w:space="0" w:color="auto"/>
        <w:left w:val="none" w:sz="0" w:space="0" w:color="auto"/>
        <w:bottom w:val="none" w:sz="0" w:space="0" w:color="auto"/>
        <w:right w:val="none" w:sz="0" w:space="0" w:color="auto"/>
      </w:divBdr>
    </w:div>
    <w:div w:id="1080447269">
      <w:bodyDiv w:val="1"/>
      <w:marLeft w:val="0"/>
      <w:marRight w:val="0"/>
      <w:marTop w:val="0"/>
      <w:marBottom w:val="0"/>
      <w:divBdr>
        <w:top w:val="none" w:sz="0" w:space="0" w:color="auto"/>
        <w:left w:val="none" w:sz="0" w:space="0" w:color="auto"/>
        <w:bottom w:val="none" w:sz="0" w:space="0" w:color="auto"/>
        <w:right w:val="none" w:sz="0" w:space="0" w:color="auto"/>
      </w:divBdr>
    </w:div>
    <w:div w:id="1083448733">
      <w:bodyDiv w:val="1"/>
      <w:marLeft w:val="0"/>
      <w:marRight w:val="0"/>
      <w:marTop w:val="0"/>
      <w:marBottom w:val="0"/>
      <w:divBdr>
        <w:top w:val="none" w:sz="0" w:space="0" w:color="auto"/>
        <w:left w:val="none" w:sz="0" w:space="0" w:color="auto"/>
        <w:bottom w:val="none" w:sz="0" w:space="0" w:color="auto"/>
        <w:right w:val="none" w:sz="0" w:space="0" w:color="auto"/>
      </w:divBdr>
    </w:div>
    <w:div w:id="1084763837">
      <w:bodyDiv w:val="1"/>
      <w:marLeft w:val="0"/>
      <w:marRight w:val="0"/>
      <w:marTop w:val="0"/>
      <w:marBottom w:val="0"/>
      <w:divBdr>
        <w:top w:val="none" w:sz="0" w:space="0" w:color="auto"/>
        <w:left w:val="none" w:sz="0" w:space="0" w:color="auto"/>
        <w:bottom w:val="none" w:sz="0" w:space="0" w:color="auto"/>
        <w:right w:val="none" w:sz="0" w:space="0" w:color="auto"/>
      </w:divBdr>
    </w:div>
    <w:div w:id="1095519497">
      <w:bodyDiv w:val="1"/>
      <w:marLeft w:val="0"/>
      <w:marRight w:val="0"/>
      <w:marTop w:val="0"/>
      <w:marBottom w:val="0"/>
      <w:divBdr>
        <w:top w:val="none" w:sz="0" w:space="0" w:color="auto"/>
        <w:left w:val="none" w:sz="0" w:space="0" w:color="auto"/>
        <w:bottom w:val="none" w:sz="0" w:space="0" w:color="auto"/>
        <w:right w:val="none" w:sz="0" w:space="0" w:color="auto"/>
      </w:divBdr>
    </w:div>
    <w:div w:id="1097866213">
      <w:bodyDiv w:val="1"/>
      <w:marLeft w:val="0"/>
      <w:marRight w:val="0"/>
      <w:marTop w:val="0"/>
      <w:marBottom w:val="0"/>
      <w:divBdr>
        <w:top w:val="none" w:sz="0" w:space="0" w:color="auto"/>
        <w:left w:val="none" w:sz="0" w:space="0" w:color="auto"/>
        <w:bottom w:val="none" w:sz="0" w:space="0" w:color="auto"/>
        <w:right w:val="none" w:sz="0" w:space="0" w:color="auto"/>
      </w:divBdr>
    </w:div>
    <w:div w:id="1098211902">
      <w:bodyDiv w:val="1"/>
      <w:marLeft w:val="0"/>
      <w:marRight w:val="0"/>
      <w:marTop w:val="0"/>
      <w:marBottom w:val="0"/>
      <w:divBdr>
        <w:top w:val="none" w:sz="0" w:space="0" w:color="auto"/>
        <w:left w:val="none" w:sz="0" w:space="0" w:color="auto"/>
        <w:bottom w:val="none" w:sz="0" w:space="0" w:color="auto"/>
        <w:right w:val="none" w:sz="0" w:space="0" w:color="auto"/>
      </w:divBdr>
    </w:div>
    <w:div w:id="1101679805">
      <w:bodyDiv w:val="1"/>
      <w:marLeft w:val="0"/>
      <w:marRight w:val="0"/>
      <w:marTop w:val="0"/>
      <w:marBottom w:val="0"/>
      <w:divBdr>
        <w:top w:val="none" w:sz="0" w:space="0" w:color="auto"/>
        <w:left w:val="none" w:sz="0" w:space="0" w:color="auto"/>
        <w:bottom w:val="none" w:sz="0" w:space="0" w:color="auto"/>
        <w:right w:val="none" w:sz="0" w:space="0" w:color="auto"/>
      </w:divBdr>
    </w:div>
    <w:div w:id="1111513857">
      <w:bodyDiv w:val="1"/>
      <w:marLeft w:val="0"/>
      <w:marRight w:val="0"/>
      <w:marTop w:val="0"/>
      <w:marBottom w:val="0"/>
      <w:divBdr>
        <w:top w:val="none" w:sz="0" w:space="0" w:color="auto"/>
        <w:left w:val="none" w:sz="0" w:space="0" w:color="auto"/>
        <w:bottom w:val="none" w:sz="0" w:space="0" w:color="auto"/>
        <w:right w:val="none" w:sz="0" w:space="0" w:color="auto"/>
      </w:divBdr>
    </w:div>
    <w:div w:id="1112473637">
      <w:bodyDiv w:val="1"/>
      <w:marLeft w:val="0"/>
      <w:marRight w:val="0"/>
      <w:marTop w:val="0"/>
      <w:marBottom w:val="0"/>
      <w:divBdr>
        <w:top w:val="none" w:sz="0" w:space="0" w:color="auto"/>
        <w:left w:val="none" w:sz="0" w:space="0" w:color="auto"/>
        <w:bottom w:val="none" w:sz="0" w:space="0" w:color="auto"/>
        <w:right w:val="none" w:sz="0" w:space="0" w:color="auto"/>
      </w:divBdr>
    </w:div>
    <w:div w:id="1115060304">
      <w:bodyDiv w:val="1"/>
      <w:marLeft w:val="0"/>
      <w:marRight w:val="0"/>
      <w:marTop w:val="0"/>
      <w:marBottom w:val="0"/>
      <w:divBdr>
        <w:top w:val="none" w:sz="0" w:space="0" w:color="auto"/>
        <w:left w:val="none" w:sz="0" w:space="0" w:color="auto"/>
        <w:bottom w:val="none" w:sz="0" w:space="0" w:color="auto"/>
        <w:right w:val="none" w:sz="0" w:space="0" w:color="auto"/>
      </w:divBdr>
    </w:div>
    <w:div w:id="1125805493">
      <w:bodyDiv w:val="1"/>
      <w:marLeft w:val="0"/>
      <w:marRight w:val="0"/>
      <w:marTop w:val="0"/>
      <w:marBottom w:val="0"/>
      <w:divBdr>
        <w:top w:val="none" w:sz="0" w:space="0" w:color="auto"/>
        <w:left w:val="none" w:sz="0" w:space="0" w:color="auto"/>
        <w:bottom w:val="none" w:sz="0" w:space="0" w:color="auto"/>
        <w:right w:val="none" w:sz="0" w:space="0" w:color="auto"/>
      </w:divBdr>
    </w:div>
    <w:div w:id="1125848458">
      <w:bodyDiv w:val="1"/>
      <w:marLeft w:val="0"/>
      <w:marRight w:val="0"/>
      <w:marTop w:val="0"/>
      <w:marBottom w:val="0"/>
      <w:divBdr>
        <w:top w:val="none" w:sz="0" w:space="0" w:color="auto"/>
        <w:left w:val="none" w:sz="0" w:space="0" w:color="auto"/>
        <w:bottom w:val="none" w:sz="0" w:space="0" w:color="auto"/>
        <w:right w:val="none" w:sz="0" w:space="0" w:color="auto"/>
      </w:divBdr>
    </w:div>
    <w:div w:id="1126505895">
      <w:bodyDiv w:val="1"/>
      <w:marLeft w:val="0"/>
      <w:marRight w:val="0"/>
      <w:marTop w:val="0"/>
      <w:marBottom w:val="0"/>
      <w:divBdr>
        <w:top w:val="none" w:sz="0" w:space="0" w:color="auto"/>
        <w:left w:val="none" w:sz="0" w:space="0" w:color="auto"/>
        <w:bottom w:val="none" w:sz="0" w:space="0" w:color="auto"/>
        <w:right w:val="none" w:sz="0" w:space="0" w:color="auto"/>
      </w:divBdr>
    </w:div>
    <w:div w:id="1134370213">
      <w:bodyDiv w:val="1"/>
      <w:marLeft w:val="0"/>
      <w:marRight w:val="0"/>
      <w:marTop w:val="0"/>
      <w:marBottom w:val="0"/>
      <w:divBdr>
        <w:top w:val="none" w:sz="0" w:space="0" w:color="auto"/>
        <w:left w:val="none" w:sz="0" w:space="0" w:color="auto"/>
        <w:bottom w:val="none" w:sz="0" w:space="0" w:color="auto"/>
        <w:right w:val="none" w:sz="0" w:space="0" w:color="auto"/>
      </w:divBdr>
    </w:div>
    <w:div w:id="1137378383">
      <w:bodyDiv w:val="1"/>
      <w:marLeft w:val="0"/>
      <w:marRight w:val="0"/>
      <w:marTop w:val="0"/>
      <w:marBottom w:val="0"/>
      <w:divBdr>
        <w:top w:val="none" w:sz="0" w:space="0" w:color="auto"/>
        <w:left w:val="none" w:sz="0" w:space="0" w:color="auto"/>
        <w:bottom w:val="none" w:sz="0" w:space="0" w:color="auto"/>
        <w:right w:val="none" w:sz="0" w:space="0" w:color="auto"/>
      </w:divBdr>
    </w:div>
    <w:div w:id="1145464810">
      <w:bodyDiv w:val="1"/>
      <w:marLeft w:val="0"/>
      <w:marRight w:val="0"/>
      <w:marTop w:val="0"/>
      <w:marBottom w:val="0"/>
      <w:divBdr>
        <w:top w:val="none" w:sz="0" w:space="0" w:color="auto"/>
        <w:left w:val="none" w:sz="0" w:space="0" w:color="auto"/>
        <w:bottom w:val="none" w:sz="0" w:space="0" w:color="auto"/>
        <w:right w:val="none" w:sz="0" w:space="0" w:color="auto"/>
      </w:divBdr>
    </w:div>
    <w:div w:id="1167213104">
      <w:bodyDiv w:val="1"/>
      <w:marLeft w:val="0"/>
      <w:marRight w:val="0"/>
      <w:marTop w:val="0"/>
      <w:marBottom w:val="0"/>
      <w:divBdr>
        <w:top w:val="none" w:sz="0" w:space="0" w:color="auto"/>
        <w:left w:val="none" w:sz="0" w:space="0" w:color="auto"/>
        <w:bottom w:val="none" w:sz="0" w:space="0" w:color="auto"/>
        <w:right w:val="none" w:sz="0" w:space="0" w:color="auto"/>
      </w:divBdr>
    </w:div>
    <w:div w:id="1179542237">
      <w:bodyDiv w:val="1"/>
      <w:marLeft w:val="0"/>
      <w:marRight w:val="0"/>
      <w:marTop w:val="0"/>
      <w:marBottom w:val="0"/>
      <w:divBdr>
        <w:top w:val="none" w:sz="0" w:space="0" w:color="auto"/>
        <w:left w:val="none" w:sz="0" w:space="0" w:color="auto"/>
        <w:bottom w:val="none" w:sz="0" w:space="0" w:color="auto"/>
        <w:right w:val="none" w:sz="0" w:space="0" w:color="auto"/>
      </w:divBdr>
    </w:div>
    <w:div w:id="1185485418">
      <w:bodyDiv w:val="1"/>
      <w:marLeft w:val="0"/>
      <w:marRight w:val="0"/>
      <w:marTop w:val="0"/>
      <w:marBottom w:val="0"/>
      <w:divBdr>
        <w:top w:val="none" w:sz="0" w:space="0" w:color="auto"/>
        <w:left w:val="none" w:sz="0" w:space="0" w:color="auto"/>
        <w:bottom w:val="none" w:sz="0" w:space="0" w:color="auto"/>
        <w:right w:val="none" w:sz="0" w:space="0" w:color="auto"/>
      </w:divBdr>
    </w:div>
    <w:div w:id="1195312361">
      <w:bodyDiv w:val="1"/>
      <w:marLeft w:val="0"/>
      <w:marRight w:val="0"/>
      <w:marTop w:val="0"/>
      <w:marBottom w:val="0"/>
      <w:divBdr>
        <w:top w:val="none" w:sz="0" w:space="0" w:color="auto"/>
        <w:left w:val="none" w:sz="0" w:space="0" w:color="auto"/>
        <w:bottom w:val="none" w:sz="0" w:space="0" w:color="auto"/>
        <w:right w:val="none" w:sz="0" w:space="0" w:color="auto"/>
      </w:divBdr>
    </w:div>
    <w:div w:id="1204054924">
      <w:bodyDiv w:val="1"/>
      <w:marLeft w:val="0"/>
      <w:marRight w:val="0"/>
      <w:marTop w:val="0"/>
      <w:marBottom w:val="0"/>
      <w:divBdr>
        <w:top w:val="none" w:sz="0" w:space="0" w:color="auto"/>
        <w:left w:val="none" w:sz="0" w:space="0" w:color="auto"/>
        <w:bottom w:val="none" w:sz="0" w:space="0" w:color="auto"/>
        <w:right w:val="none" w:sz="0" w:space="0" w:color="auto"/>
      </w:divBdr>
    </w:div>
    <w:div w:id="1223903187">
      <w:bodyDiv w:val="1"/>
      <w:marLeft w:val="0"/>
      <w:marRight w:val="0"/>
      <w:marTop w:val="0"/>
      <w:marBottom w:val="0"/>
      <w:divBdr>
        <w:top w:val="none" w:sz="0" w:space="0" w:color="auto"/>
        <w:left w:val="none" w:sz="0" w:space="0" w:color="auto"/>
        <w:bottom w:val="none" w:sz="0" w:space="0" w:color="auto"/>
        <w:right w:val="none" w:sz="0" w:space="0" w:color="auto"/>
      </w:divBdr>
    </w:div>
    <w:div w:id="1227766704">
      <w:bodyDiv w:val="1"/>
      <w:marLeft w:val="0"/>
      <w:marRight w:val="0"/>
      <w:marTop w:val="0"/>
      <w:marBottom w:val="0"/>
      <w:divBdr>
        <w:top w:val="none" w:sz="0" w:space="0" w:color="auto"/>
        <w:left w:val="none" w:sz="0" w:space="0" w:color="auto"/>
        <w:bottom w:val="none" w:sz="0" w:space="0" w:color="auto"/>
        <w:right w:val="none" w:sz="0" w:space="0" w:color="auto"/>
      </w:divBdr>
    </w:div>
    <w:div w:id="1229849989">
      <w:bodyDiv w:val="1"/>
      <w:marLeft w:val="0"/>
      <w:marRight w:val="0"/>
      <w:marTop w:val="0"/>
      <w:marBottom w:val="0"/>
      <w:divBdr>
        <w:top w:val="none" w:sz="0" w:space="0" w:color="auto"/>
        <w:left w:val="none" w:sz="0" w:space="0" w:color="auto"/>
        <w:bottom w:val="none" w:sz="0" w:space="0" w:color="auto"/>
        <w:right w:val="none" w:sz="0" w:space="0" w:color="auto"/>
      </w:divBdr>
    </w:div>
    <w:div w:id="1241256539">
      <w:bodyDiv w:val="1"/>
      <w:marLeft w:val="0"/>
      <w:marRight w:val="0"/>
      <w:marTop w:val="0"/>
      <w:marBottom w:val="0"/>
      <w:divBdr>
        <w:top w:val="none" w:sz="0" w:space="0" w:color="auto"/>
        <w:left w:val="none" w:sz="0" w:space="0" w:color="auto"/>
        <w:bottom w:val="none" w:sz="0" w:space="0" w:color="auto"/>
        <w:right w:val="none" w:sz="0" w:space="0" w:color="auto"/>
      </w:divBdr>
    </w:div>
    <w:div w:id="1243755801">
      <w:bodyDiv w:val="1"/>
      <w:marLeft w:val="0"/>
      <w:marRight w:val="0"/>
      <w:marTop w:val="0"/>
      <w:marBottom w:val="0"/>
      <w:divBdr>
        <w:top w:val="none" w:sz="0" w:space="0" w:color="auto"/>
        <w:left w:val="none" w:sz="0" w:space="0" w:color="auto"/>
        <w:bottom w:val="none" w:sz="0" w:space="0" w:color="auto"/>
        <w:right w:val="none" w:sz="0" w:space="0" w:color="auto"/>
      </w:divBdr>
    </w:div>
    <w:div w:id="1254556359">
      <w:bodyDiv w:val="1"/>
      <w:marLeft w:val="0"/>
      <w:marRight w:val="0"/>
      <w:marTop w:val="0"/>
      <w:marBottom w:val="0"/>
      <w:divBdr>
        <w:top w:val="none" w:sz="0" w:space="0" w:color="auto"/>
        <w:left w:val="none" w:sz="0" w:space="0" w:color="auto"/>
        <w:bottom w:val="none" w:sz="0" w:space="0" w:color="auto"/>
        <w:right w:val="none" w:sz="0" w:space="0" w:color="auto"/>
      </w:divBdr>
    </w:div>
    <w:div w:id="1271471530">
      <w:bodyDiv w:val="1"/>
      <w:marLeft w:val="0"/>
      <w:marRight w:val="0"/>
      <w:marTop w:val="0"/>
      <w:marBottom w:val="0"/>
      <w:divBdr>
        <w:top w:val="none" w:sz="0" w:space="0" w:color="auto"/>
        <w:left w:val="none" w:sz="0" w:space="0" w:color="auto"/>
        <w:bottom w:val="none" w:sz="0" w:space="0" w:color="auto"/>
        <w:right w:val="none" w:sz="0" w:space="0" w:color="auto"/>
      </w:divBdr>
    </w:div>
    <w:div w:id="1284967857">
      <w:bodyDiv w:val="1"/>
      <w:marLeft w:val="0"/>
      <w:marRight w:val="0"/>
      <w:marTop w:val="0"/>
      <w:marBottom w:val="0"/>
      <w:divBdr>
        <w:top w:val="none" w:sz="0" w:space="0" w:color="auto"/>
        <w:left w:val="none" w:sz="0" w:space="0" w:color="auto"/>
        <w:bottom w:val="none" w:sz="0" w:space="0" w:color="auto"/>
        <w:right w:val="none" w:sz="0" w:space="0" w:color="auto"/>
      </w:divBdr>
    </w:div>
    <w:div w:id="1287005836">
      <w:bodyDiv w:val="1"/>
      <w:marLeft w:val="0"/>
      <w:marRight w:val="0"/>
      <w:marTop w:val="0"/>
      <w:marBottom w:val="0"/>
      <w:divBdr>
        <w:top w:val="none" w:sz="0" w:space="0" w:color="auto"/>
        <w:left w:val="none" w:sz="0" w:space="0" w:color="auto"/>
        <w:bottom w:val="none" w:sz="0" w:space="0" w:color="auto"/>
        <w:right w:val="none" w:sz="0" w:space="0" w:color="auto"/>
      </w:divBdr>
    </w:div>
    <w:div w:id="1293756706">
      <w:bodyDiv w:val="1"/>
      <w:marLeft w:val="0"/>
      <w:marRight w:val="0"/>
      <w:marTop w:val="0"/>
      <w:marBottom w:val="0"/>
      <w:divBdr>
        <w:top w:val="none" w:sz="0" w:space="0" w:color="auto"/>
        <w:left w:val="none" w:sz="0" w:space="0" w:color="auto"/>
        <w:bottom w:val="none" w:sz="0" w:space="0" w:color="auto"/>
        <w:right w:val="none" w:sz="0" w:space="0" w:color="auto"/>
      </w:divBdr>
    </w:div>
    <w:div w:id="1299458836">
      <w:bodyDiv w:val="1"/>
      <w:marLeft w:val="0"/>
      <w:marRight w:val="0"/>
      <w:marTop w:val="0"/>
      <w:marBottom w:val="0"/>
      <w:divBdr>
        <w:top w:val="none" w:sz="0" w:space="0" w:color="auto"/>
        <w:left w:val="none" w:sz="0" w:space="0" w:color="auto"/>
        <w:bottom w:val="none" w:sz="0" w:space="0" w:color="auto"/>
        <w:right w:val="none" w:sz="0" w:space="0" w:color="auto"/>
      </w:divBdr>
    </w:div>
    <w:div w:id="1300376459">
      <w:bodyDiv w:val="1"/>
      <w:marLeft w:val="0"/>
      <w:marRight w:val="0"/>
      <w:marTop w:val="0"/>
      <w:marBottom w:val="0"/>
      <w:divBdr>
        <w:top w:val="none" w:sz="0" w:space="0" w:color="auto"/>
        <w:left w:val="none" w:sz="0" w:space="0" w:color="auto"/>
        <w:bottom w:val="none" w:sz="0" w:space="0" w:color="auto"/>
        <w:right w:val="none" w:sz="0" w:space="0" w:color="auto"/>
      </w:divBdr>
    </w:div>
    <w:div w:id="1301308074">
      <w:bodyDiv w:val="1"/>
      <w:marLeft w:val="0"/>
      <w:marRight w:val="0"/>
      <w:marTop w:val="0"/>
      <w:marBottom w:val="0"/>
      <w:divBdr>
        <w:top w:val="none" w:sz="0" w:space="0" w:color="auto"/>
        <w:left w:val="none" w:sz="0" w:space="0" w:color="auto"/>
        <w:bottom w:val="none" w:sz="0" w:space="0" w:color="auto"/>
        <w:right w:val="none" w:sz="0" w:space="0" w:color="auto"/>
      </w:divBdr>
    </w:div>
    <w:div w:id="1318609818">
      <w:bodyDiv w:val="1"/>
      <w:marLeft w:val="0"/>
      <w:marRight w:val="0"/>
      <w:marTop w:val="0"/>
      <w:marBottom w:val="0"/>
      <w:divBdr>
        <w:top w:val="none" w:sz="0" w:space="0" w:color="auto"/>
        <w:left w:val="none" w:sz="0" w:space="0" w:color="auto"/>
        <w:bottom w:val="none" w:sz="0" w:space="0" w:color="auto"/>
        <w:right w:val="none" w:sz="0" w:space="0" w:color="auto"/>
      </w:divBdr>
    </w:div>
    <w:div w:id="1325862271">
      <w:bodyDiv w:val="1"/>
      <w:marLeft w:val="0"/>
      <w:marRight w:val="0"/>
      <w:marTop w:val="0"/>
      <w:marBottom w:val="0"/>
      <w:divBdr>
        <w:top w:val="none" w:sz="0" w:space="0" w:color="auto"/>
        <w:left w:val="none" w:sz="0" w:space="0" w:color="auto"/>
        <w:bottom w:val="none" w:sz="0" w:space="0" w:color="auto"/>
        <w:right w:val="none" w:sz="0" w:space="0" w:color="auto"/>
      </w:divBdr>
    </w:div>
    <w:div w:id="1328248384">
      <w:bodyDiv w:val="1"/>
      <w:marLeft w:val="0"/>
      <w:marRight w:val="0"/>
      <w:marTop w:val="0"/>
      <w:marBottom w:val="0"/>
      <w:divBdr>
        <w:top w:val="none" w:sz="0" w:space="0" w:color="auto"/>
        <w:left w:val="none" w:sz="0" w:space="0" w:color="auto"/>
        <w:bottom w:val="none" w:sz="0" w:space="0" w:color="auto"/>
        <w:right w:val="none" w:sz="0" w:space="0" w:color="auto"/>
      </w:divBdr>
    </w:div>
    <w:div w:id="1334990167">
      <w:bodyDiv w:val="1"/>
      <w:marLeft w:val="0"/>
      <w:marRight w:val="0"/>
      <w:marTop w:val="0"/>
      <w:marBottom w:val="0"/>
      <w:divBdr>
        <w:top w:val="none" w:sz="0" w:space="0" w:color="auto"/>
        <w:left w:val="none" w:sz="0" w:space="0" w:color="auto"/>
        <w:bottom w:val="none" w:sz="0" w:space="0" w:color="auto"/>
        <w:right w:val="none" w:sz="0" w:space="0" w:color="auto"/>
      </w:divBdr>
    </w:div>
    <w:div w:id="1338193641">
      <w:bodyDiv w:val="1"/>
      <w:marLeft w:val="0"/>
      <w:marRight w:val="0"/>
      <w:marTop w:val="0"/>
      <w:marBottom w:val="0"/>
      <w:divBdr>
        <w:top w:val="none" w:sz="0" w:space="0" w:color="auto"/>
        <w:left w:val="none" w:sz="0" w:space="0" w:color="auto"/>
        <w:bottom w:val="none" w:sz="0" w:space="0" w:color="auto"/>
        <w:right w:val="none" w:sz="0" w:space="0" w:color="auto"/>
      </w:divBdr>
    </w:div>
    <w:div w:id="1340890667">
      <w:bodyDiv w:val="1"/>
      <w:marLeft w:val="0"/>
      <w:marRight w:val="0"/>
      <w:marTop w:val="0"/>
      <w:marBottom w:val="0"/>
      <w:divBdr>
        <w:top w:val="none" w:sz="0" w:space="0" w:color="auto"/>
        <w:left w:val="none" w:sz="0" w:space="0" w:color="auto"/>
        <w:bottom w:val="none" w:sz="0" w:space="0" w:color="auto"/>
        <w:right w:val="none" w:sz="0" w:space="0" w:color="auto"/>
      </w:divBdr>
    </w:div>
    <w:div w:id="1342851465">
      <w:bodyDiv w:val="1"/>
      <w:marLeft w:val="0"/>
      <w:marRight w:val="0"/>
      <w:marTop w:val="0"/>
      <w:marBottom w:val="0"/>
      <w:divBdr>
        <w:top w:val="none" w:sz="0" w:space="0" w:color="auto"/>
        <w:left w:val="none" w:sz="0" w:space="0" w:color="auto"/>
        <w:bottom w:val="none" w:sz="0" w:space="0" w:color="auto"/>
        <w:right w:val="none" w:sz="0" w:space="0" w:color="auto"/>
      </w:divBdr>
    </w:div>
    <w:div w:id="1345479493">
      <w:bodyDiv w:val="1"/>
      <w:marLeft w:val="0"/>
      <w:marRight w:val="0"/>
      <w:marTop w:val="0"/>
      <w:marBottom w:val="0"/>
      <w:divBdr>
        <w:top w:val="none" w:sz="0" w:space="0" w:color="auto"/>
        <w:left w:val="none" w:sz="0" w:space="0" w:color="auto"/>
        <w:bottom w:val="none" w:sz="0" w:space="0" w:color="auto"/>
        <w:right w:val="none" w:sz="0" w:space="0" w:color="auto"/>
      </w:divBdr>
    </w:div>
    <w:div w:id="1347487859">
      <w:bodyDiv w:val="1"/>
      <w:marLeft w:val="0"/>
      <w:marRight w:val="0"/>
      <w:marTop w:val="0"/>
      <w:marBottom w:val="0"/>
      <w:divBdr>
        <w:top w:val="none" w:sz="0" w:space="0" w:color="auto"/>
        <w:left w:val="none" w:sz="0" w:space="0" w:color="auto"/>
        <w:bottom w:val="none" w:sz="0" w:space="0" w:color="auto"/>
        <w:right w:val="none" w:sz="0" w:space="0" w:color="auto"/>
      </w:divBdr>
    </w:div>
    <w:div w:id="1348561979">
      <w:bodyDiv w:val="1"/>
      <w:marLeft w:val="0"/>
      <w:marRight w:val="0"/>
      <w:marTop w:val="0"/>
      <w:marBottom w:val="0"/>
      <w:divBdr>
        <w:top w:val="none" w:sz="0" w:space="0" w:color="auto"/>
        <w:left w:val="none" w:sz="0" w:space="0" w:color="auto"/>
        <w:bottom w:val="none" w:sz="0" w:space="0" w:color="auto"/>
        <w:right w:val="none" w:sz="0" w:space="0" w:color="auto"/>
      </w:divBdr>
    </w:div>
    <w:div w:id="1354765387">
      <w:bodyDiv w:val="1"/>
      <w:marLeft w:val="0"/>
      <w:marRight w:val="0"/>
      <w:marTop w:val="0"/>
      <w:marBottom w:val="0"/>
      <w:divBdr>
        <w:top w:val="none" w:sz="0" w:space="0" w:color="auto"/>
        <w:left w:val="none" w:sz="0" w:space="0" w:color="auto"/>
        <w:bottom w:val="none" w:sz="0" w:space="0" w:color="auto"/>
        <w:right w:val="none" w:sz="0" w:space="0" w:color="auto"/>
      </w:divBdr>
    </w:div>
    <w:div w:id="1359967376">
      <w:bodyDiv w:val="1"/>
      <w:marLeft w:val="0"/>
      <w:marRight w:val="0"/>
      <w:marTop w:val="0"/>
      <w:marBottom w:val="0"/>
      <w:divBdr>
        <w:top w:val="none" w:sz="0" w:space="0" w:color="auto"/>
        <w:left w:val="none" w:sz="0" w:space="0" w:color="auto"/>
        <w:bottom w:val="none" w:sz="0" w:space="0" w:color="auto"/>
        <w:right w:val="none" w:sz="0" w:space="0" w:color="auto"/>
      </w:divBdr>
    </w:div>
    <w:div w:id="1374184721">
      <w:bodyDiv w:val="1"/>
      <w:marLeft w:val="0"/>
      <w:marRight w:val="0"/>
      <w:marTop w:val="0"/>
      <w:marBottom w:val="0"/>
      <w:divBdr>
        <w:top w:val="none" w:sz="0" w:space="0" w:color="auto"/>
        <w:left w:val="none" w:sz="0" w:space="0" w:color="auto"/>
        <w:bottom w:val="none" w:sz="0" w:space="0" w:color="auto"/>
        <w:right w:val="none" w:sz="0" w:space="0" w:color="auto"/>
      </w:divBdr>
    </w:div>
    <w:div w:id="1384254341">
      <w:bodyDiv w:val="1"/>
      <w:marLeft w:val="0"/>
      <w:marRight w:val="0"/>
      <w:marTop w:val="0"/>
      <w:marBottom w:val="0"/>
      <w:divBdr>
        <w:top w:val="none" w:sz="0" w:space="0" w:color="auto"/>
        <w:left w:val="none" w:sz="0" w:space="0" w:color="auto"/>
        <w:bottom w:val="none" w:sz="0" w:space="0" w:color="auto"/>
        <w:right w:val="none" w:sz="0" w:space="0" w:color="auto"/>
      </w:divBdr>
    </w:div>
    <w:div w:id="1387679793">
      <w:bodyDiv w:val="1"/>
      <w:marLeft w:val="0"/>
      <w:marRight w:val="0"/>
      <w:marTop w:val="0"/>
      <w:marBottom w:val="0"/>
      <w:divBdr>
        <w:top w:val="none" w:sz="0" w:space="0" w:color="auto"/>
        <w:left w:val="none" w:sz="0" w:space="0" w:color="auto"/>
        <w:bottom w:val="none" w:sz="0" w:space="0" w:color="auto"/>
        <w:right w:val="none" w:sz="0" w:space="0" w:color="auto"/>
      </w:divBdr>
    </w:div>
    <w:div w:id="1392584416">
      <w:bodyDiv w:val="1"/>
      <w:marLeft w:val="0"/>
      <w:marRight w:val="0"/>
      <w:marTop w:val="0"/>
      <w:marBottom w:val="0"/>
      <w:divBdr>
        <w:top w:val="none" w:sz="0" w:space="0" w:color="auto"/>
        <w:left w:val="none" w:sz="0" w:space="0" w:color="auto"/>
        <w:bottom w:val="none" w:sz="0" w:space="0" w:color="auto"/>
        <w:right w:val="none" w:sz="0" w:space="0" w:color="auto"/>
      </w:divBdr>
    </w:div>
    <w:div w:id="1399137257">
      <w:bodyDiv w:val="1"/>
      <w:marLeft w:val="0"/>
      <w:marRight w:val="0"/>
      <w:marTop w:val="0"/>
      <w:marBottom w:val="0"/>
      <w:divBdr>
        <w:top w:val="none" w:sz="0" w:space="0" w:color="auto"/>
        <w:left w:val="none" w:sz="0" w:space="0" w:color="auto"/>
        <w:bottom w:val="none" w:sz="0" w:space="0" w:color="auto"/>
        <w:right w:val="none" w:sz="0" w:space="0" w:color="auto"/>
      </w:divBdr>
    </w:div>
    <w:div w:id="1402679747">
      <w:bodyDiv w:val="1"/>
      <w:marLeft w:val="0"/>
      <w:marRight w:val="0"/>
      <w:marTop w:val="0"/>
      <w:marBottom w:val="0"/>
      <w:divBdr>
        <w:top w:val="none" w:sz="0" w:space="0" w:color="auto"/>
        <w:left w:val="none" w:sz="0" w:space="0" w:color="auto"/>
        <w:bottom w:val="none" w:sz="0" w:space="0" w:color="auto"/>
        <w:right w:val="none" w:sz="0" w:space="0" w:color="auto"/>
      </w:divBdr>
    </w:div>
    <w:div w:id="1406685143">
      <w:bodyDiv w:val="1"/>
      <w:marLeft w:val="0"/>
      <w:marRight w:val="0"/>
      <w:marTop w:val="0"/>
      <w:marBottom w:val="0"/>
      <w:divBdr>
        <w:top w:val="none" w:sz="0" w:space="0" w:color="auto"/>
        <w:left w:val="none" w:sz="0" w:space="0" w:color="auto"/>
        <w:bottom w:val="none" w:sz="0" w:space="0" w:color="auto"/>
        <w:right w:val="none" w:sz="0" w:space="0" w:color="auto"/>
      </w:divBdr>
    </w:div>
    <w:div w:id="1412658293">
      <w:bodyDiv w:val="1"/>
      <w:marLeft w:val="0"/>
      <w:marRight w:val="0"/>
      <w:marTop w:val="0"/>
      <w:marBottom w:val="0"/>
      <w:divBdr>
        <w:top w:val="none" w:sz="0" w:space="0" w:color="auto"/>
        <w:left w:val="none" w:sz="0" w:space="0" w:color="auto"/>
        <w:bottom w:val="none" w:sz="0" w:space="0" w:color="auto"/>
        <w:right w:val="none" w:sz="0" w:space="0" w:color="auto"/>
      </w:divBdr>
    </w:div>
    <w:div w:id="1416434591">
      <w:bodyDiv w:val="1"/>
      <w:marLeft w:val="0"/>
      <w:marRight w:val="0"/>
      <w:marTop w:val="0"/>
      <w:marBottom w:val="0"/>
      <w:divBdr>
        <w:top w:val="none" w:sz="0" w:space="0" w:color="auto"/>
        <w:left w:val="none" w:sz="0" w:space="0" w:color="auto"/>
        <w:bottom w:val="none" w:sz="0" w:space="0" w:color="auto"/>
        <w:right w:val="none" w:sz="0" w:space="0" w:color="auto"/>
      </w:divBdr>
    </w:div>
    <w:div w:id="1420523486">
      <w:bodyDiv w:val="1"/>
      <w:marLeft w:val="0"/>
      <w:marRight w:val="0"/>
      <w:marTop w:val="0"/>
      <w:marBottom w:val="0"/>
      <w:divBdr>
        <w:top w:val="none" w:sz="0" w:space="0" w:color="auto"/>
        <w:left w:val="none" w:sz="0" w:space="0" w:color="auto"/>
        <w:bottom w:val="none" w:sz="0" w:space="0" w:color="auto"/>
        <w:right w:val="none" w:sz="0" w:space="0" w:color="auto"/>
      </w:divBdr>
    </w:div>
    <w:div w:id="1422680986">
      <w:bodyDiv w:val="1"/>
      <w:marLeft w:val="0"/>
      <w:marRight w:val="0"/>
      <w:marTop w:val="0"/>
      <w:marBottom w:val="0"/>
      <w:divBdr>
        <w:top w:val="none" w:sz="0" w:space="0" w:color="auto"/>
        <w:left w:val="none" w:sz="0" w:space="0" w:color="auto"/>
        <w:bottom w:val="none" w:sz="0" w:space="0" w:color="auto"/>
        <w:right w:val="none" w:sz="0" w:space="0" w:color="auto"/>
      </w:divBdr>
    </w:div>
    <w:div w:id="1424376344">
      <w:bodyDiv w:val="1"/>
      <w:marLeft w:val="0"/>
      <w:marRight w:val="0"/>
      <w:marTop w:val="0"/>
      <w:marBottom w:val="0"/>
      <w:divBdr>
        <w:top w:val="none" w:sz="0" w:space="0" w:color="auto"/>
        <w:left w:val="none" w:sz="0" w:space="0" w:color="auto"/>
        <w:bottom w:val="none" w:sz="0" w:space="0" w:color="auto"/>
        <w:right w:val="none" w:sz="0" w:space="0" w:color="auto"/>
      </w:divBdr>
    </w:div>
    <w:div w:id="1434789161">
      <w:bodyDiv w:val="1"/>
      <w:marLeft w:val="0"/>
      <w:marRight w:val="0"/>
      <w:marTop w:val="0"/>
      <w:marBottom w:val="0"/>
      <w:divBdr>
        <w:top w:val="none" w:sz="0" w:space="0" w:color="auto"/>
        <w:left w:val="none" w:sz="0" w:space="0" w:color="auto"/>
        <w:bottom w:val="none" w:sz="0" w:space="0" w:color="auto"/>
        <w:right w:val="none" w:sz="0" w:space="0" w:color="auto"/>
      </w:divBdr>
    </w:div>
    <w:div w:id="1441297160">
      <w:bodyDiv w:val="1"/>
      <w:marLeft w:val="0"/>
      <w:marRight w:val="0"/>
      <w:marTop w:val="0"/>
      <w:marBottom w:val="0"/>
      <w:divBdr>
        <w:top w:val="none" w:sz="0" w:space="0" w:color="auto"/>
        <w:left w:val="none" w:sz="0" w:space="0" w:color="auto"/>
        <w:bottom w:val="none" w:sz="0" w:space="0" w:color="auto"/>
        <w:right w:val="none" w:sz="0" w:space="0" w:color="auto"/>
      </w:divBdr>
    </w:div>
    <w:div w:id="1465192627">
      <w:bodyDiv w:val="1"/>
      <w:marLeft w:val="0"/>
      <w:marRight w:val="0"/>
      <w:marTop w:val="0"/>
      <w:marBottom w:val="0"/>
      <w:divBdr>
        <w:top w:val="none" w:sz="0" w:space="0" w:color="auto"/>
        <w:left w:val="none" w:sz="0" w:space="0" w:color="auto"/>
        <w:bottom w:val="none" w:sz="0" w:space="0" w:color="auto"/>
        <w:right w:val="none" w:sz="0" w:space="0" w:color="auto"/>
      </w:divBdr>
    </w:div>
    <w:div w:id="1477140608">
      <w:bodyDiv w:val="1"/>
      <w:marLeft w:val="0"/>
      <w:marRight w:val="0"/>
      <w:marTop w:val="0"/>
      <w:marBottom w:val="0"/>
      <w:divBdr>
        <w:top w:val="none" w:sz="0" w:space="0" w:color="auto"/>
        <w:left w:val="none" w:sz="0" w:space="0" w:color="auto"/>
        <w:bottom w:val="none" w:sz="0" w:space="0" w:color="auto"/>
        <w:right w:val="none" w:sz="0" w:space="0" w:color="auto"/>
      </w:divBdr>
    </w:div>
    <w:div w:id="1484816178">
      <w:bodyDiv w:val="1"/>
      <w:marLeft w:val="0"/>
      <w:marRight w:val="0"/>
      <w:marTop w:val="0"/>
      <w:marBottom w:val="0"/>
      <w:divBdr>
        <w:top w:val="none" w:sz="0" w:space="0" w:color="auto"/>
        <w:left w:val="none" w:sz="0" w:space="0" w:color="auto"/>
        <w:bottom w:val="none" w:sz="0" w:space="0" w:color="auto"/>
        <w:right w:val="none" w:sz="0" w:space="0" w:color="auto"/>
      </w:divBdr>
    </w:div>
    <w:div w:id="1497383433">
      <w:bodyDiv w:val="1"/>
      <w:marLeft w:val="0"/>
      <w:marRight w:val="0"/>
      <w:marTop w:val="0"/>
      <w:marBottom w:val="0"/>
      <w:divBdr>
        <w:top w:val="none" w:sz="0" w:space="0" w:color="auto"/>
        <w:left w:val="none" w:sz="0" w:space="0" w:color="auto"/>
        <w:bottom w:val="none" w:sz="0" w:space="0" w:color="auto"/>
        <w:right w:val="none" w:sz="0" w:space="0" w:color="auto"/>
      </w:divBdr>
    </w:div>
    <w:div w:id="1507599203">
      <w:bodyDiv w:val="1"/>
      <w:marLeft w:val="0"/>
      <w:marRight w:val="0"/>
      <w:marTop w:val="0"/>
      <w:marBottom w:val="0"/>
      <w:divBdr>
        <w:top w:val="none" w:sz="0" w:space="0" w:color="auto"/>
        <w:left w:val="none" w:sz="0" w:space="0" w:color="auto"/>
        <w:bottom w:val="none" w:sz="0" w:space="0" w:color="auto"/>
        <w:right w:val="none" w:sz="0" w:space="0" w:color="auto"/>
      </w:divBdr>
    </w:div>
    <w:div w:id="1507935071">
      <w:bodyDiv w:val="1"/>
      <w:marLeft w:val="0"/>
      <w:marRight w:val="0"/>
      <w:marTop w:val="0"/>
      <w:marBottom w:val="0"/>
      <w:divBdr>
        <w:top w:val="none" w:sz="0" w:space="0" w:color="auto"/>
        <w:left w:val="none" w:sz="0" w:space="0" w:color="auto"/>
        <w:bottom w:val="none" w:sz="0" w:space="0" w:color="auto"/>
        <w:right w:val="none" w:sz="0" w:space="0" w:color="auto"/>
      </w:divBdr>
    </w:div>
    <w:div w:id="1519386723">
      <w:bodyDiv w:val="1"/>
      <w:marLeft w:val="0"/>
      <w:marRight w:val="0"/>
      <w:marTop w:val="0"/>
      <w:marBottom w:val="0"/>
      <w:divBdr>
        <w:top w:val="none" w:sz="0" w:space="0" w:color="auto"/>
        <w:left w:val="none" w:sz="0" w:space="0" w:color="auto"/>
        <w:bottom w:val="none" w:sz="0" w:space="0" w:color="auto"/>
        <w:right w:val="none" w:sz="0" w:space="0" w:color="auto"/>
      </w:divBdr>
    </w:div>
    <w:div w:id="1530289708">
      <w:bodyDiv w:val="1"/>
      <w:marLeft w:val="0"/>
      <w:marRight w:val="0"/>
      <w:marTop w:val="0"/>
      <w:marBottom w:val="0"/>
      <w:divBdr>
        <w:top w:val="none" w:sz="0" w:space="0" w:color="auto"/>
        <w:left w:val="none" w:sz="0" w:space="0" w:color="auto"/>
        <w:bottom w:val="none" w:sz="0" w:space="0" w:color="auto"/>
        <w:right w:val="none" w:sz="0" w:space="0" w:color="auto"/>
      </w:divBdr>
    </w:div>
    <w:div w:id="1535732379">
      <w:bodyDiv w:val="1"/>
      <w:marLeft w:val="0"/>
      <w:marRight w:val="0"/>
      <w:marTop w:val="0"/>
      <w:marBottom w:val="0"/>
      <w:divBdr>
        <w:top w:val="none" w:sz="0" w:space="0" w:color="auto"/>
        <w:left w:val="none" w:sz="0" w:space="0" w:color="auto"/>
        <w:bottom w:val="none" w:sz="0" w:space="0" w:color="auto"/>
        <w:right w:val="none" w:sz="0" w:space="0" w:color="auto"/>
      </w:divBdr>
    </w:div>
    <w:div w:id="1536770036">
      <w:bodyDiv w:val="1"/>
      <w:marLeft w:val="0"/>
      <w:marRight w:val="0"/>
      <w:marTop w:val="0"/>
      <w:marBottom w:val="0"/>
      <w:divBdr>
        <w:top w:val="none" w:sz="0" w:space="0" w:color="auto"/>
        <w:left w:val="none" w:sz="0" w:space="0" w:color="auto"/>
        <w:bottom w:val="none" w:sz="0" w:space="0" w:color="auto"/>
        <w:right w:val="none" w:sz="0" w:space="0" w:color="auto"/>
      </w:divBdr>
    </w:div>
    <w:div w:id="1539971141">
      <w:bodyDiv w:val="1"/>
      <w:marLeft w:val="0"/>
      <w:marRight w:val="0"/>
      <w:marTop w:val="0"/>
      <w:marBottom w:val="0"/>
      <w:divBdr>
        <w:top w:val="none" w:sz="0" w:space="0" w:color="auto"/>
        <w:left w:val="none" w:sz="0" w:space="0" w:color="auto"/>
        <w:bottom w:val="none" w:sz="0" w:space="0" w:color="auto"/>
        <w:right w:val="none" w:sz="0" w:space="0" w:color="auto"/>
      </w:divBdr>
    </w:div>
    <w:div w:id="1545366290">
      <w:bodyDiv w:val="1"/>
      <w:marLeft w:val="0"/>
      <w:marRight w:val="0"/>
      <w:marTop w:val="0"/>
      <w:marBottom w:val="0"/>
      <w:divBdr>
        <w:top w:val="none" w:sz="0" w:space="0" w:color="auto"/>
        <w:left w:val="none" w:sz="0" w:space="0" w:color="auto"/>
        <w:bottom w:val="none" w:sz="0" w:space="0" w:color="auto"/>
        <w:right w:val="none" w:sz="0" w:space="0" w:color="auto"/>
      </w:divBdr>
    </w:div>
    <w:div w:id="1552421880">
      <w:bodyDiv w:val="1"/>
      <w:marLeft w:val="0"/>
      <w:marRight w:val="0"/>
      <w:marTop w:val="0"/>
      <w:marBottom w:val="0"/>
      <w:divBdr>
        <w:top w:val="none" w:sz="0" w:space="0" w:color="auto"/>
        <w:left w:val="none" w:sz="0" w:space="0" w:color="auto"/>
        <w:bottom w:val="none" w:sz="0" w:space="0" w:color="auto"/>
        <w:right w:val="none" w:sz="0" w:space="0" w:color="auto"/>
      </w:divBdr>
    </w:div>
    <w:div w:id="1558972301">
      <w:bodyDiv w:val="1"/>
      <w:marLeft w:val="0"/>
      <w:marRight w:val="0"/>
      <w:marTop w:val="0"/>
      <w:marBottom w:val="0"/>
      <w:divBdr>
        <w:top w:val="none" w:sz="0" w:space="0" w:color="auto"/>
        <w:left w:val="none" w:sz="0" w:space="0" w:color="auto"/>
        <w:bottom w:val="none" w:sz="0" w:space="0" w:color="auto"/>
        <w:right w:val="none" w:sz="0" w:space="0" w:color="auto"/>
      </w:divBdr>
    </w:div>
    <w:div w:id="1561089324">
      <w:bodyDiv w:val="1"/>
      <w:marLeft w:val="0"/>
      <w:marRight w:val="0"/>
      <w:marTop w:val="0"/>
      <w:marBottom w:val="0"/>
      <w:divBdr>
        <w:top w:val="none" w:sz="0" w:space="0" w:color="auto"/>
        <w:left w:val="none" w:sz="0" w:space="0" w:color="auto"/>
        <w:bottom w:val="none" w:sz="0" w:space="0" w:color="auto"/>
        <w:right w:val="none" w:sz="0" w:space="0" w:color="auto"/>
      </w:divBdr>
    </w:div>
    <w:div w:id="1563979819">
      <w:bodyDiv w:val="1"/>
      <w:marLeft w:val="0"/>
      <w:marRight w:val="0"/>
      <w:marTop w:val="0"/>
      <w:marBottom w:val="0"/>
      <w:divBdr>
        <w:top w:val="none" w:sz="0" w:space="0" w:color="auto"/>
        <w:left w:val="none" w:sz="0" w:space="0" w:color="auto"/>
        <w:bottom w:val="none" w:sz="0" w:space="0" w:color="auto"/>
        <w:right w:val="none" w:sz="0" w:space="0" w:color="auto"/>
      </w:divBdr>
    </w:div>
    <w:div w:id="1574194509">
      <w:bodyDiv w:val="1"/>
      <w:marLeft w:val="0"/>
      <w:marRight w:val="0"/>
      <w:marTop w:val="0"/>
      <w:marBottom w:val="0"/>
      <w:divBdr>
        <w:top w:val="none" w:sz="0" w:space="0" w:color="auto"/>
        <w:left w:val="none" w:sz="0" w:space="0" w:color="auto"/>
        <w:bottom w:val="none" w:sz="0" w:space="0" w:color="auto"/>
        <w:right w:val="none" w:sz="0" w:space="0" w:color="auto"/>
      </w:divBdr>
    </w:div>
    <w:div w:id="1575553887">
      <w:bodyDiv w:val="1"/>
      <w:marLeft w:val="0"/>
      <w:marRight w:val="0"/>
      <w:marTop w:val="0"/>
      <w:marBottom w:val="0"/>
      <w:divBdr>
        <w:top w:val="none" w:sz="0" w:space="0" w:color="auto"/>
        <w:left w:val="none" w:sz="0" w:space="0" w:color="auto"/>
        <w:bottom w:val="none" w:sz="0" w:space="0" w:color="auto"/>
        <w:right w:val="none" w:sz="0" w:space="0" w:color="auto"/>
      </w:divBdr>
    </w:div>
    <w:div w:id="1576740303">
      <w:bodyDiv w:val="1"/>
      <w:marLeft w:val="0"/>
      <w:marRight w:val="0"/>
      <w:marTop w:val="0"/>
      <w:marBottom w:val="0"/>
      <w:divBdr>
        <w:top w:val="none" w:sz="0" w:space="0" w:color="auto"/>
        <w:left w:val="none" w:sz="0" w:space="0" w:color="auto"/>
        <w:bottom w:val="none" w:sz="0" w:space="0" w:color="auto"/>
        <w:right w:val="none" w:sz="0" w:space="0" w:color="auto"/>
      </w:divBdr>
    </w:div>
    <w:div w:id="1586377823">
      <w:bodyDiv w:val="1"/>
      <w:marLeft w:val="0"/>
      <w:marRight w:val="0"/>
      <w:marTop w:val="0"/>
      <w:marBottom w:val="0"/>
      <w:divBdr>
        <w:top w:val="none" w:sz="0" w:space="0" w:color="auto"/>
        <w:left w:val="none" w:sz="0" w:space="0" w:color="auto"/>
        <w:bottom w:val="none" w:sz="0" w:space="0" w:color="auto"/>
        <w:right w:val="none" w:sz="0" w:space="0" w:color="auto"/>
      </w:divBdr>
    </w:div>
    <w:div w:id="1587566711">
      <w:bodyDiv w:val="1"/>
      <w:marLeft w:val="0"/>
      <w:marRight w:val="0"/>
      <w:marTop w:val="0"/>
      <w:marBottom w:val="0"/>
      <w:divBdr>
        <w:top w:val="none" w:sz="0" w:space="0" w:color="auto"/>
        <w:left w:val="none" w:sz="0" w:space="0" w:color="auto"/>
        <w:bottom w:val="none" w:sz="0" w:space="0" w:color="auto"/>
        <w:right w:val="none" w:sz="0" w:space="0" w:color="auto"/>
      </w:divBdr>
    </w:div>
    <w:div w:id="1601452070">
      <w:bodyDiv w:val="1"/>
      <w:marLeft w:val="0"/>
      <w:marRight w:val="0"/>
      <w:marTop w:val="0"/>
      <w:marBottom w:val="0"/>
      <w:divBdr>
        <w:top w:val="none" w:sz="0" w:space="0" w:color="auto"/>
        <w:left w:val="none" w:sz="0" w:space="0" w:color="auto"/>
        <w:bottom w:val="none" w:sz="0" w:space="0" w:color="auto"/>
        <w:right w:val="none" w:sz="0" w:space="0" w:color="auto"/>
      </w:divBdr>
    </w:div>
    <w:div w:id="1606112636">
      <w:bodyDiv w:val="1"/>
      <w:marLeft w:val="0"/>
      <w:marRight w:val="0"/>
      <w:marTop w:val="0"/>
      <w:marBottom w:val="0"/>
      <w:divBdr>
        <w:top w:val="none" w:sz="0" w:space="0" w:color="auto"/>
        <w:left w:val="none" w:sz="0" w:space="0" w:color="auto"/>
        <w:bottom w:val="none" w:sz="0" w:space="0" w:color="auto"/>
        <w:right w:val="none" w:sz="0" w:space="0" w:color="auto"/>
      </w:divBdr>
    </w:div>
    <w:div w:id="1631400372">
      <w:bodyDiv w:val="1"/>
      <w:marLeft w:val="0"/>
      <w:marRight w:val="0"/>
      <w:marTop w:val="0"/>
      <w:marBottom w:val="0"/>
      <w:divBdr>
        <w:top w:val="none" w:sz="0" w:space="0" w:color="auto"/>
        <w:left w:val="none" w:sz="0" w:space="0" w:color="auto"/>
        <w:bottom w:val="none" w:sz="0" w:space="0" w:color="auto"/>
        <w:right w:val="none" w:sz="0" w:space="0" w:color="auto"/>
      </w:divBdr>
    </w:div>
    <w:div w:id="1644309756">
      <w:bodyDiv w:val="1"/>
      <w:marLeft w:val="0"/>
      <w:marRight w:val="0"/>
      <w:marTop w:val="0"/>
      <w:marBottom w:val="0"/>
      <w:divBdr>
        <w:top w:val="none" w:sz="0" w:space="0" w:color="auto"/>
        <w:left w:val="none" w:sz="0" w:space="0" w:color="auto"/>
        <w:bottom w:val="none" w:sz="0" w:space="0" w:color="auto"/>
        <w:right w:val="none" w:sz="0" w:space="0" w:color="auto"/>
      </w:divBdr>
    </w:div>
    <w:div w:id="1653874630">
      <w:bodyDiv w:val="1"/>
      <w:marLeft w:val="0"/>
      <w:marRight w:val="0"/>
      <w:marTop w:val="0"/>
      <w:marBottom w:val="0"/>
      <w:divBdr>
        <w:top w:val="none" w:sz="0" w:space="0" w:color="auto"/>
        <w:left w:val="none" w:sz="0" w:space="0" w:color="auto"/>
        <w:bottom w:val="none" w:sz="0" w:space="0" w:color="auto"/>
        <w:right w:val="none" w:sz="0" w:space="0" w:color="auto"/>
      </w:divBdr>
    </w:div>
    <w:div w:id="1667241091">
      <w:bodyDiv w:val="1"/>
      <w:marLeft w:val="0"/>
      <w:marRight w:val="0"/>
      <w:marTop w:val="0"/>
      <w:marBottom w:val="0"/>
      <w:divBdr>
        <w:top w:val="none" w:sz="0" w:space="0" w:color="auto"/>
        <w:left w:val="none" w:sz="0" w:space="0" w:color="auto"/>
        <w:bottom w:val="none" w:sz="0" w:space="0" w:color="auto"/>
        <w:right w:val="none" w:sz="0" w:space="0" w:color="auto"/>
      </w:divBdr>
    </w:div>
    <w:div w:id="1668441130">
      <w:bodyDiv w:val="1"/>
      <w:marLeft w:val="0"/>
      <w:marRight w:val="0"/>
      <w:marTop w:val="0"/>
      <w:marBottom w:val="0"/>
      <w:divBdr>
        <w:top w:val="none" w:sz="0" w:space="0" w:color="auto"/>
        <w:left w:val="none" w:sz="0" w:space="0" w:color="auto"/>
        <w:bottom w:val="none" w:sz="0" w:space="0" w:color="auto"/>
        <w:right w:val="none" w:sz="0" w:space="0" w:color="auto"/>
      </w:divBdr>
    </w:div>
    <w:div w:id="1673413353">
      <w:bodyDiv w:val="1"/>
      <w:marLeft w:val="0"/>
      <w:marRight w:val="0"/>
      <w:marTop w:val="0"/>
      <w:marBottom w:val="0"/>
      <w:divBdr>
        <w:top w:val="none" w:sz="0" w:space="0" w:color="auto"/>
        <w:left w:val="none" w:sz="0" w:space="0" w:color="auto"/>
        <w:bottom w:val="none" w:sz="0" w:space="0" w:color="auto"/>
        <w:right w:val="none" w:sz="0" w:space="0" w:color="auto"/>
      </w:divBdr>
    </w:div>
    <w:div w:id="1680496872">
      <w:bodyDiv w:val="1"/>
      <w:marLeft w:val="0"/>
      <w:marRight w:val="0"/>
      <w:marTop w:val="0"/>
      <w:marBottom w:val="0"/>
      <w:divBdr>
        <w:top w:val="none" w:sz="0" w:space="0" w:color="auto"/>
        <w:left w:val="none" w:sz="0" w:space="0" w:color="auto"/>
        <w:bottom w:val="none" w:sz="0" w:space="0" w:color="auto"/>
        <w:right w:val="none" w:sz="0" w:space="0" w:color="auto"/>
      </w:divBdr>
    </w:div>
    <w:div w:id="1688171509">
      <w:bodyDiv w:val="1"/>
      <w:marLeft w:val="0"/>
      <w:marRight w:val="0"/>
      <w:marTop w:val="0"/>
      <w:marBottom w:val="0"/>
      <w:divBdr>
        <w:top w:val="none" w:sz="0" w:space="0" w:color="auto"/>
        <w:left w:val="none" w:sz="0" w:space="0" w:color="auto"/>
        <w:bottom w:val="none" w:sz="0" w:space="0" w:color="auto"/>
        <w:right w:val="none" w:sz="0" w:space="0" w:color="auto"/>
      </w:divBdr>
    </w:div>
    <w:div w:id="1701082681">
      <w:bodyDiv w:val="1"/>
      <w:marLeft w:val="0"/>
      <w:marRight w:val="0"/>
      <w:marTop w:val="0"/>
      <w:marBottom w:val="0"/>
      <w:divBdr>
        <w:top w:val="none" w:sz="0" w:space="0" w:color="auto"/>
        <w:left w:val="none" w:sz="0" w:space="0" w:color="auto"/>
        <w:bottom w:val="none" w:sz="0" w:space="0" w:color="auto"/>
        <w:right w:val="none" w:sz="0" w:space="0" w:color="auto"/>
      </w:divBdr>
    </w:div>
    <w:div w:id="1704018823">
      <w:bodyDiv w:val="1"/>
      <w:marLeft w:val="0"/>
      <w:marRight w:val="0"/>
      <w:marTop w:val="0"/>
      <w:marBottom w:val="0"/>
      <w:divBdr>
        <w:top w:val="none" w:sz="0" w:space="0" w:color="auto"/>
        <w:left w:val="none" w:sz="0" w:space="0" w:color="auto"/>
        <w:bottom w:val="none" w:sz="0" w:space="0" w:color="auto"/>
        <w:right w:val="none" w:sz="0" w:space="0" w:color="auto"/>
      </w:divBdr>
    </w:div>
    <w:div w:id="1717391322">
      <w:bodyDiv w:val="1"/>
      <w:marLeft w:val="0"/>
      <w:marRight w:val="0"/>
      <w:marTop w:val="0"/>
      <w:marBottom w:val="0"/>
      <w:divBdr>
        <w:top w:val="none" w:sz="0" w:space="0" w:color="auto"/>
        <w:left w:val="none" w:sz="0" w:space="0" w:color="auto"/>
        <w:bottom w:val="none" w:sz="0" w:space="0" w:color="auto"/>
        <w:right w:val="none" w:sz="0" w:space="0" w:color="auto"/>
      </w:divBdr>
    </w:div>
    <w:div w:id="1722051730">
      <w:bodyDiv w:val="1"/>
      <w:marLeft w:val="0"/>
      <w:marRight w:val="0"/>
      <w:marTop w:val="0"/>
      <w:marBottom w:val="0"/>
      <w:divBdr>
        <w:top w:val="none" w:sz="0" w:space="0" w:color="auto"/>
        <w:left w:val="none" w:sz="0" w:space="0" w:color="auto"/>
        <w:bottom w:val="none" w:sz="0" w:space="0" w:color="auto"/>
        <w:right w:val="none" w:sz="0" w:space="0" w:color="auto"/>
      </w:divBdr>
    </w:div>
    <w:div w:id="1724136511">
      <w:bodyDiv w:val="1"/>
      <w:marLeft w:val="0"/>
      <w:marRight w:val="0"/>
      <w:marTop w:val="0"/>
      <w:marBottom w:val="0"/>
      <w:divBdr>
        <w:top w:val="none" w:sz="0" w:space="0" w:color="auto"/>
        <w:left w:val="none" w:sz="0" w:space="0" w:color="auto"/>
        <w:bottom w:val="none" w:sz="0" w:space="0" w:color="auto"/>
        <w:right w:val="none" w:sz="0" w:space="0" w:color="auto"/>
      </w:divBdr>
    </w:div>
    <w:div w:id="1724328396">
      <w:bodyDiv w:val="1"/>
      <w:marLeft w:val="0"/>
      <w:marRight w:val="0"/>
      <w:marTop w:val="0"/>
      <w:marBottom w:val="0"/>
      <w:divBdr>
        <w:top w:val="none" w:sz="0" w:space="0" w:color="auto"/>
        <w:left w:val="none" w:sz="0" w:space="0" w:color="auto"/>
        <w:bottom w:val="none" w:sz="0" w:space="0" w:color="auto"/>
        <w:right w:val="none" w:sz="0" w:space="0" w:color="auto"/>
      </w:divBdr>
    </w:div>
    <w:div w:id="1730491706">
      <w:bodyDiv w:val="1"/>
      <w:marLeft w:val="0"/>
      <w:marRight w:val="0"/>
      <w:marTop w:val="0"/>
      <w:marBottom w:val="0"/>
      <w:divBdr>
        <w:top w:val="none" w:sz="0" w:space="0" w:color="auto"/>
        <w:left w:val="none" w:sz="0" w:space="0" w:color="auto"/>
        <w:bottom w:val="none" w:sz="0" w:space="0" w:color="auto"/>
        <w:right w:val="none" w:sz="0" w:space="0" w:color="auto"/>
      </w:divBdr>
    </w:div>
    <w:div w:id="1733498540">
      <w:bodyDiv w:val="1"/>
      <w:marLeft w:val="0"/>
      <w:marRight w:val="0"/>
      <w:marTop w:val="0"/>
      <w:marBottom w:val="0"/>
      <w:divBdr>
        <w:top w:val="none" w:sz="0" w:space="0" w:color="auto"/>
        <w:left w:val="none" w:sz="0" w:space="0" w:color="auto"/>
        <w:bottom w:val="none" w:sz="0" w:space="0" w:color="auto"/>
        <w:right w:val="none" w:sz="0" w:space="0" w:color="auto"/>
      </w:divBdr>
    </w:div>
    <w:div w:id="1734506444">
      <w:bodyDiv w:val="1"/>
      <w:marLeft w:val="0"/>
      <w:marRight w:val="0"/>
      <w:marTop w:val="0"/>
      <w:marBottom w:val="0"/>
      <w:divBdr>
        <w:top w:val="none" w:sz="0" w:space="0" w:color="auto"/>
        <w:left w:val="none" w:sz="0" w:space="0" w:color="auto"/>
        <w:bottom w:val="none" w:sz="0" w:space="0" w:color="auto"/>
        <w:right w:val="none" w:sz="0" w:space="0" w:color="auto"/>
      </w:divBdr>
    </w:div>
    <w:div w:id="1742101451">
      <w:bodyDiv w:val="1"/>
      <w:marLeft w:val="0"/>
      <w:marRight w:val="0"/>
      <w:marTop w:val="0"/>
      <w:marBottom w:val="0"/>
      <w:divBdr>
        <w:top w:val="none" w:sz="0" w:space="0" w:color="auto"/>
        <w:left w:val="none" w:sz="0" w:space="0" w:color="auto"/>
        <w:bottom w:val="none" w:sz="0" w:space="0" w:color="auto"/>
        <w:right w:val="none" w:sz="0" w:space="0" w:color="auto"/>
      </w:divBdr>
    </w:div>
    <w:div w:id="1744838275">
      <w:bodyDiv w:val="1"/>
      <w:marLeft w:val="0"/>
      <w:marRight w:val="0"/>
      <w:marTop w:val="0"/>
      <w:marBottom w:val="0"/>
      <w:divBdr>
        <w:top w:val="none" w:sz="0" w:space="0" w:color="auto"/>
        <w:left w:val="none" w:sz="0" w:space="0" w:color="auto"/>
        <w:bottom w:val="none" w:sz="0" w:space="0" w:color="auto"/>
        <w:right w:val="none" w:sz="0" w:space="0" w:color="auto"/>
      </w:divBdr>
    </w:div>
    <w:div w:id="1745755195">
      <w:bodyDiv w:val="1"/>
      <w:marLeft w:val="0"/>
      <w:marRight w:val="0"/>
      <w:marTop w:val="0"/>
      <w:marBottom w:val="0"/>
      <w:divBdr>
        <w:top w:val="none" w:sz="0" w:space="0" w:color="auto"/>
        <w:left w:val="none" w:sz="0" w:space="0" w:color="auto"/>
        <w:bottom w:val="none" w:sz="0" w:space="0" w:color="auto"/>
        <w:right w:val="none" w:sz="0" w:space="0" w:color="auto"/>
      </w:divBdr>
    </w:div>
    <w:div w:id="1746757042">
      <w:bodyDiv w:val="1"/>
      <w:marLeft w:val="0"/>
      <w:marRight w:val="0"/>
      <w:marTop w:val="0"/>
      <w:marBottom w:val="0"/>
      <w:divBdr>
        <w:top w:val="none" w:sz="0" w:space="0" w:color="auto"/>
        <w:left w:val="none" w:sz="0" w:space="0" w:color="auto"/>
        <w:bottom w:val="none" w:sz="0" w:space="0" w:color="auto"/>
        <w:right w:val="none" w:sz="0" w:space="0" w:color="auto"/>
      </w:divBdr>
    </w:div>
    <w:div w:id="1759447189">
      <w:bodyDiv w:val="1"/>
      <w:marLeft w:val="0"/>
      <w:marRight w:val="0"/>
      <w:marTop w:val="0"/>
      <w:marBottom w:val="0"/>
      <w:divBdr>
        <w:top w:val="none" w:sz="0" w:space="0" w:color="auto"/>
        <w:left w:val="none" w:sz="0" w:space="0" w:color="auto"/>
        <w:bottom w:val="none" w:sz="0" w:space="0" w:color="auto"/>
        <w:right w:val="none" w:sz="0" w:space="0" w:color="auto"/>
      </w:divBdr>
    </w:div>
    <w:div w:id="1762867970">
      <w:bodyDiv w:val="1"/>
      <w:marLeft w:val="0"/>
      <w:marRight w:val="0"/>
      <w:marTop w:val="0"/>
      <w:marBottom w:val="0"/>
      <w:divBdr>
        <w:top w:val="none" w:sz="0" w:space="0" w:color="auto"/>
        <w:left w:val="none" w:sz="0" w:space="0" w:color="auto"/>
        <w:bottom w:val="none" w:sz="0" w:space="0" w:color="auto"/>
        <w:right w:val="none" w:sz="0" w:space="0" w:color="auto"/>
      </w:divBdr>
    </w:div>
    <w:div w:id="1772775485">
      <w:bodyDiv w:val="1"/>
      <w:marLeft w:val="0"/>
      <w:marRight w:val="0"/>
      <w:marTop w:val="0"/>
      <w:marBottom w:val="0"/>
      <w:divBdr>
        <w:top w:val="none" w:sz="0" w:space="0" w:color="auto"/>
        <w:left w:val="none" w:sz="0" w:space="0" w:color="auto"/>
        <w:bottom w:val="none" w:sz="0" w:space="0" w:color="auto"/>
        <w:right w:val="none" w:sz="0" w:space="0" w:color="auto"/>
      </w:divBdr>
    </w:div>
    <w:div w:id="1773740160">
      <w:bodyDiv w:val="1"/>
      <w:marLeft w:val="0"/>
      <w:marRight w:val="0"/>
      <w:marTop w:val="0"/>
      <w:marBottom w:val="0"/>
      <w:divBdr>
        <w:top w:val="none" w:sz="0" w:space="0" w:color="auto"/>
        <w:left w:val="none" w:sz="0" w:space="0" w:color="auto"/>
        <w:bottom w:val="none" w:sz="0" w:space="0" w:color="auto"/>
        <w:right w:val="none" w:sz="0" w:space="0" w:color="auto"/>
      </w:divBdr>
    </w:div>
    <w:div w:id="1774477102">
      <w:bodyDiv w:val="1"/>
      <w:marLeft w:val="0"/>
      <w:marRight w:val="0"/>
      <w:marTop w:val="0"/>
      <w:marBottom w:val="0"/>
      <w:divBdr>
        <w:top w:val="none" w:sz="0" w:space="0" w:color="auto"/>
        <w:left w:val="none" w:sz="0" w:space="0" w:color="auto"/>
        <w:bottom w:val="none" w:sz="0" w:space="0" w:color="auto"/>
        <w:right w:val="none" w:sz="0" w:space="0" w:color="auto"/>
      </w:divBdr>
    </w:div>
    <w:div w:id="1796026230">
      <w:bodyDiv w:val="1"/>
      <w:marLeft w:val="0"/>
      <w:marRight w:val="0"/>
      <w:marTop w:val="0"/>
      <w:marBottom w:val="0"/>
      <w:divBdr>
        <w:top w:val="none" w:sz="0" w:space="0" w:color="auto"/>
        <w:left w:val="none" w:sz="0" w:space="0" w:color="auto"/>
        <w:bottom w:val="none" w:sz="0" w:space="0" w:color="auto"/>
        <w:right w:val="none" w:sz="0" w:space="0" w:color="auto"/>
      </w:divBdr>
    </w:div>
    <w:div w:id="1800957725">
      <w:bodyDiv w:val="1"/>
      <w:marLeft w:val="0"/>
      <w:marRight w:val="0"/>
      <w:marTop w:val="0"/>
      <w:marBottom w:val="0"/>
      <w:divBdr>
        <w:top w:val="none" w:sz="0" w:space="0" w:color="auto"/>
        <w:left w:val="none" w:sz="0" w:space="0" w:color="auto"/>
        <w:bottom w:val="none" w:sz="0" w:space="0" w:color="auto"/>
        <w:right w:val="none" w:sz="0" w:space="0" w:color="auto"/>
      </w:divBdr>
    </w:div>
    <w:div w:id="1804811615">
      <w:bodyDiv w:val="1"/>
      <w:marLeft w:val="0"/>
      <w:marRight w:val="0"/>
      <w:marTop w:val="0"/>
      <w:marBottom w:val="0"/>
      <w:divBdr>
        <w:top w:val="none" w:sz="0" w:space="0" w:color="auto"/>
        <w:left w:val="none" w:sz="0" w:space="0" w:color="auto"/>
        <w:bottom w:val="none" w:sz="0" w:space="0" w:color="auto"/>
        <w:right w:val="none" w:sz="0" w:space="0" w:color="auto"/>
      </w:divBdr>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
    <w:div w:id="1816483962">
      <w:bodyDiv w:val="1"/>
      <w:marLeft w:val="0"/>
      <w:marRight w:val="0"/>
      <w:marTop w:val="0"/>
      <w:marBottom w:val="0"/>
      <w:divBdr>
        <w:top w:val="none" w:sz="0" w:space="0" w:color="auto"/>
        <w:left w:val="none" w:sz="0" w:space="0" w:color="auto"/>
        <w:bottom w:val="none" w:sz="0" w:space="0" w:color="auto"/>
        <w:right w:val="none" w:sz="0" w:space="0" w:color="auto"/>
      </w:divBdr>
    </w:div>
    <w:div w:id="1845972709">
      <w:bodyDiv w:val="1"/>
      <w:marLeft w:val="0"/>
      <w:marRight w:val="0"/>
      <w:marTop w:val="0"/>
      <w:marBottom w:val="0"/>
      <w:divBdr>
        <w:top w:val="none" w:sz="0" w:space="0" w:color="auto"/>
        <w:left w:val="none" w:sz="0" w:space="0" w:color="auto"/>
        <w:bottom w:val="none" w:sz="0" w:space="0" w:color="auto"/>
        <w:right w:val="none" w:sz="0" w:space="0" w:color="auto"/>
      </w:divBdr>
    </w:div>
    <w:div w:id="1850945061">
      <w:bodyDiv w:val="1"/>
      <w:marLeft w:val="0"/>
      <w:marRight w:val="0"/>
      <w:marTop w:val="0"/>
      <w:marBottom w:val="0"/>
      <w:divBdr>
        <w:top w:val="none" w:sz="0" w:space="0" w:color="auto"/>
        <w:left w:val="none" w:sz="0" w:space="0" w:color="auto"/>
        <w:bottom w:val="none" w:sz="0" w:space="0" w:color="auto"/>
        <w:right w:val="none" w:sz="0" w:space="0" w:color="auto"/>
      </w:divBdr>
    </w:div>
    <w:div w:id="1869490597">
      <w:bodyDiv w:val="1"/>
      <w:marLeft w:val="0"/>
      <w:marRight w:val="0"/>
      <w:marTop w:val="0"/>
      <w:marBottom w:val="0"/>
      <w:divBdr>
        <w:top w:val="none" w:sz="0" w:space="0" w:color="auto"/>
        <w:left w:val="none" w:sz="0" w:space="0" w:color="auto"/>
        <w:bottom w:val="none" w:sz="0" w:space="0" w:color="auto"/>
        <w:right w:val="none" w:sz="0" w:space="0" w:color="auto"/>
      </w:divBdr>
    </w:div>
    <w:div w:id="1871144440">
      <w:bodyDiv w:val="1"/>
      <w:marLeft w:val="0"/>
      <w:marRight w:val="0"/>
      <w:marTop w:val="0"/>
      <w:marBottom w:val="0"/>
      <w:divBdr>
        <w:top w:val="none" w:sz="0" w:space="0" w:color="auto"/>
        <w:left w:val="none" w:sz="0" w:space="0" w:color="auto"/>
        <w:bottom w:val="none" w:sz="0" w:space="0" w:color="auto"/>
        <w:right w:val="none" w:sz="0" w:space="0" w:color="auto"/>
      </w:divBdr>
    </w:div>
    <w:div w:id="1888372005">
      <w:bodyDiv w:val="1"/>
      <w:marLeft w:val="0"/>
      <w:marRight w:val="0"/>
      <w:marTop w:val="0"/>
      <w:marBottom w:val="0"/>
      <w:divBdr>
        <w:top w:val="none" w:sz="0" w:space="0" w:color="auto"/>
        <w:left w:val="none" w:sz="0" w:space="0" w:color="auto"/>
        <w:bottom w:val="none" w:sz="0" w:space="0" w:color="auto"/>
        <w:right w:val="none" w:sz="0" w:space="0" w:color="auto"/>
      </w:divBdr>
    </w:div>
    <w:div w:id="1888566322">
      <w:bodyDiv w:val="1"/>
      <w:marLeft w:val="0"/>
      <w:marRight w:val="0"/>
      <w:marTop w:val="0"/>
      <w:marBottom w:val="0"/>
      <w:divBdr>
        <w:top w:val="none" w:sz="0" w:space="0" w:color="auto"/>
        <w:left w:val="none" w:sz="0" w:space="0" w:color="auto"/>
        <w:bottom w:val="none" w:sz="0" w:space="0" w:color="auto"/>
        <w:right w:val="none" w:sz="0" w:space="0" w:color="auto"/>
      </w:divBdr>
    </w:div>
    <w:div w:id="1896771087">
      <w:bodyDiv w:val="1"/>
      <w:marLeft w:val="0"/>
      <w:marRight w:val="0"/>
      <w:marTop w:val="0"/>
      <w:marBottom w:val="0"/>
      <w:divBdr>
        <w:top w:val="none" w:sz="0" w:space="0" w:color="auto"/>
        <w:left w:val="none" w:sz="0" w:space="0" w:color="auto"/>
        <w:bottom w:val="none" w:sz="0" w:space="0" w:color="auto"/>
        <w:right w:val="none" w:sz="0" w:space="0" w:color="auto"/>
      </w:divBdr>
    </w:div>
    <w:div w:id="1903717068">
      <w:bodyDiv w:val="1"/>
      <w:marLeft w:val="0"/>
      <w:marRight w:val="0"/>
      <w:marTop w:val="0"/>
      <w:marBottom w:val="0"/>
      <w:divBdr>
        <w:top w:val="none" w:sz="0" w:space="0" w:color="auto"/>
        <w:left w:val="none" w:sz="0" w:space="0" w:color="auto"/>
        <w:bottom w:val="none" w:sz="0" w:space="0" w:color="auto"/>
        <w:right w:val="none" w:sz="0" w:space="0" w:color="auto"/>
      </w:divBdr>
    </w:div>
    <w:div w:id="1914124755">
      <w:bodyDiv w:val="1"/>
      <w:marLeft w:val="0"/>
      <w:marRight w:val="0"/>
      <w:marTop w:val="0"/>
      <w:marBottom w:val="0"/>
      <w:divBdr>
        <w:top w:val="none" w:sz="0" w:space="0" w:color="auto"/>
        <w:left w:val="none" w:sz="0" w:space="0" w:color="auto"/>
        <w:bottom w:val="none" w:sz="0" w:space="0" w:color="auto"/>
        <w:right w:val="none" w:sz="0" w:space="0" w:color="auto"/>
      </w:divBdr>
    </w:div>
    <w:div w:id="1926180828">
      <w:bodyDiv w:val="1"/>
      <w:marLeft w:val="0"/>
      <w:marRight w:val="0"/>
      <w:marTop w:val="0"/>
      <w:marBottom w:val="0"/>
      <w:divBdr>
        <w:top w:val="none" w:sz="0" w:space="0" w:color="auto"/>
        <w:left w:val="none" w:sz="0" w:space="0" w:color="auto"/>
        <w:bottom w:val="none" w:sz="0" w:space="0" w:color="auto"/>
        <w:right w:val="none" w:sz="0" w:space="0" w:color="auto"/>
      </w:divBdr>
    </w:div>
    <w:div w:id="1932198259">
      <w:bodyDiv w:val="1"/>
      <w:marLeft w:val="0"/>
      <w:marRight w:val="0"/>
      <w:marTop w:val="0"/>
      <w:marBottom w:val="0"/>
      <w:divBdr>
        <w:top w:val="none" w:sz="0" w:space="0" w:color="auto"/>
        <w:left w:val="none" w:sz="0" w:space="0" w:color="auto"/>
        <w:bottom w:val="none" w:sz="0" w:space="0" w:color="auto"/>
        <w:right w:val="none" w:sz="0" w:space="0" w:color="auto"/>
      </w:divBdr>
    </w:div>
    <w:div w:id="1932395072">
      <w:bodyDiv w:val="1"/>
      <w:marLeft w:val="0"/>
      <w:marRight w:val="0"/>
      <w:marTop w:val="0"/>
      <w:marBottom w:val="0"/>
      <w:divBdr>
        <w:top w:val="none" w:sz="0" w:space="0" w:color="auto"/>
        <w:left w:val="none" w:sz="0" w:space="0" w:color="auto"/>
        <w:bottom w:val="none" w:sz="0" w:space="0" w:color="auto"/>
        <w:right w:val="none" w:sz="0" w:space="0" w:color="auto"/>
      </w:divBdr>
    </w:div>
    <w:div w:id="1932471546">
      <w:bodyDiv w:val="1"/>
      <w:marLeft w:val="0"/>
      <w:marRight w:val="0"/>
      <w:marTop w:val="0"/>
      <w:marBottom w:val="0"/>
      <w:divBdr>
        <w:top w:val="none" w:sz="0" w:space="0" w:color="auto"/>
        <w:left w:val="none" w:sz="0" w:space="0" w:color="auto"/>
        <w:bottom w:val="none" w:sz="0" w:space="0" w:color="auto"/>
        <w:right w:val="none" w:sz="0" w:space="0" w:color="auto"/>
      </w:divBdr>
    </w:div>
    <w:div w:id="1932735352">
      <w:bodyDiv w:val="1"/>
      <w:marLeft w:val="0"/>
      <w:marRight w:val="0"/>
      <w:marTop w:val="0"/>
      <w:marBottom w:val="0"/>
      <w:divBdr>
        <w:top w:val="none" w:sz="0" w:space="0" w:color="auto"/>
        <w:left w:val="none" w:sz="0" w:space="0" w:color="auto"/>
        <w:bottom w:val="none" w:sz="0" w:space="0" w:color="auto"/>
        <w:right w:val="none" w:sz="0" w:space="0" w:color="auto"/>
      </w:divBdr>
    </w:div>
    <w:div w:id="1935821554">
      <w:bodyDiv w:val="1"/>
      <w:marLeft w:val="0"/>
      <w:marRight w:val="0"/>
      <w:marTop w:val="0"/>
      <w:marBottom w:val="0"/>
      <w:divBdr>
        <w:top w:val="none" w:sz="0" w:space="0" w:color="auto"/>
        <w:left w:val="none" w:sz="0" w:space="0" w:color="auto"/>
        <w:bottom w:val="none" w:sz="0" w:space="0" w:color="auto"/>
        <w:right w:val="none" w:sz="0" w:space="0" w:color="auto"/>
      </w:divBdr>
    </w:div>
    <w:div w:id="1966766882">
      <w:bodyDiv w:val="1"/>
      <w:marLeft w:val="0"/>
      <w:marRight w:val="0"/>
      <w:marTop w:val="0"/>
      <w:marBottom w:val="0"/>
      <w:divBdr>
        <w:top w:val="none" w:sz="0" w:space="0" w:color="auto"/>
        <w:left w:val="none" w:sz="0" w:space="0" w:color="auto"/>
        <w:bottom w:val="none" w:sz="0" w:space="0" w:color="auto"/>
        <w:right w:val="none" w:sz="0" w:space="0" w:color="auto"/>
      </w:divBdr>
    </w:div>
    <w:div w:id="1967348343">
      <w:bodyDiv w:val="1"/>
      <w:marLeft w:val="0"/>
      <w:marRight w:val="0"/>
      <w:marTop w:val="0"/>
      <w:marBottom w:val="0"/>
      <w:divBdr>
        <w:top w:val="none" w:sz="0" w:space="0" w:color="auto"/>
        <w:left w:val="none" w:sz="0" w:space="0" w:color="auto"/>
        <w:bottom w:val="none" w:sz="0" w:space="0" w:color="auto"/>
        <w:right w:val="none" w:sz="0" w:space="0" w:color="auto"/>
      </w:divBdr>
    </w:div>
    <w:div w:id="1970743638">
      <w:bodyDiv w:val="1"/>
      <w:marLeft w:val="0"/>
      <w:marRight w:val="0"/>
      <w:marTop w:val="0"/>
      <w:marBottom w:val="0"/>
      <w:divBdr>
        <w:top w:val="none" w:sz="0" w:space="0" w:color="auto"/>
        <w:left w:val="none" w:sz="0" w:space="0" w:color="auto"/>
        <w:bottom w:val="none" w:sz="0" w:space="0" w:color="auto"/>
        <w:right w:val="none" w:sz="0" w:space="0" w:color="auto"/>
      </w:divBdr>
    </w:div>
    <w:div w:id="1974020879">
      <w:bodyDiv w:val="1"/>
      <w:marLeft w:val="0"/>
      <w:marRight w:val="0"/>
      <w:marTop w:val="0"/>
      <w:marBottom w:val="0"/>
      <w:divBdr>
        <w:top w:val="none" w:sz="0" w:space="0" w:color="auto"/>
        <w:left w:val="none" w:sz="0" w:space="0" w:color="auto"/>
        <w:bottom w:val="none" w:sz="0" w:space="0" w:color="auto"/>
        <w:right w:val="none" w:sz="0" w:space="0" w:color="auto"/>
      </w:divBdr>
    </w:div>
    <w:div w:id="1975721054">
      <w:bodyDiv w:val="1"/>
      <w:marLeft w:val="0"/>
      <w:marRight w:val="0"/>
      <w:marTop w:val="0"/>
      <w:marBottom w:val="0"/>
      <w:divBdr>
        <w:top w:val="none" w:sz="0" w:space="0" w:color="auto"/>
        <w:left w:val="none" w:sz="0" w:space="0" w:color="auto"/>
        <w:bottom w:val="none" w:sz="0" w:space="0" w:color="auto"/>
        <w:right w:val="none" w:sz="0" w:space="0" w:color="auto"/>
      </w:divBdr>
    </w:div>
    <w:div w:id="1977248585">
      <w:bodyDiv w:val="1"/>
      <w:marLeft w:val="0"/>
      <w:marRight w:val="0"/>
      <w:marTop w:val="0"/>
      <w:marBottom w:val="0"/>
      <w:divBdr>
        <w:top w:val="none" w:sz="0" w:space="0" w:color="auto"/>
        <w:left w:val="none" w:sz="0" w:space="0" w:color="auto"/>
        <w:bottom w:val="none" w:sz="0" w:space="0" w:color="auto"/>
        <w:right w:val="none" w:sz="0" w:space="0" w:color="auto"/>
      </w:divBdr>
    </w:div>
    <w:div w:id="1986740792">
      <w:bodyDiv w:val="1"/>
      <w:marLeft w:val="0"/>
      <w:marRight w:val="0"/>
      <w:marTop w:val="0"/>
      <w:marBottom w:val="0"/>
      <w:divBdr>
        <w:top w:val="none" w:sz="0" w:space="0" w:color="auto"/>
        <w:left w:val="none" w:sz="0" w:space="0" w:color="auto"/>
        <w:bottom w:val="none" w:sz="0" w:space="0" w:color="auto"/>
        <w:right w:val="none" w:sz="0" w:space="0" w:color="auto"/>
      </w:divBdr>
    </w:div>
    <w:div w:id="1987470380">
      <w:bodyDiv w:val="1"/>
      <w:marLeft w:val="0"/>
      <w:marRight w:val="0"/>
      <w:marTop w:val="0"/>
      <w:marBottom w:val="0"/>
      <w:divBdr>
        <w:top w:val="none" w:sz="0" w:space="0" w:color="auto"/>
        <w:left w:val="none" w:sz="0" w:space="0" w:color="auto"/>
        <w:bottom w:val="none" w:sz="0" w:space="0" w:color="auto"/>
        <w:right w:val="none" w:sz="0" w:space="0" w:color="auto"/>
      </w:divBdr>
    </w:div>
    <w:div w:id="1992363474">
      <w:bodyDiv w:val="1"/>
      <w:marLeft w:val="0"/>
      <w:marRight w:val="0"/>
      <w:marTop w:val="0"/>
      <w:marBottom w:val="0"/>
      <w:divBdr>
        <w:top w:val="none" w:sz="0" w:space="0" w:color="auto"/>
        <w:left w:val="none" w:sz="0" w:space="0" w:color="auto"/>
        <w:bottom w:val="none" w:sz="0" w:space="0" w:color="auto"/>
        <w:right w:val="none" w:sz="0" w:space="0" w:color="auto"/>
      </w:divBdr>
    </w:div>
    <w:div w:id="1996448423">
      <w:bodyDiv w:val="1"/>
      <w:marLeft w:val="0"/>
      <w:marRight w:val="0"/>
      <w:marTop w:val="0"/>
      <w:marBottom w:val="0"/>
      <w:divBdr>
        <w:top w:val="none" w:sz="0" w:space="0" w:color="auto"/>
        <w:left w:val="none" w:sz="0" w:space="0" w:color="auto"/>
        <w:bottom w:val="none" w:sz="0" w:space="0" w:color="auto"/>
        <w:right w:val="none" w:sz="0" w:space="0" w:color="auto"/>
      </w:divBdr>
    </w:div>
    <w:div w:id="2007706182">
      <w:bodyDiv w:val="1"/>
      <w:marLeft w:val="0"/>
      <w:marRight w:val="0"/>
      <w:marTop w:val="0"/>
      <w:marBottom w:val="0"/>
      <w:divBdr>
        <w:top w:val="none" w:sz="0" w:space="0" w:color="auto"/>
        <w:left w:val="none" w:sz="0" w:space="0" w:color="auto"/>
        <w:bottom w:val="none" w:sz="0" w:space="0" w:color="auto"/>
        <w:right w:val="none" w:sz="0" w:space="0" w:color="auto"/>
      </w:divBdr>
    </w:div>
    <w:div w:id="2008944573">
      <w:bodyDiv w:val="1"/>
      <w:marLeft w:val="0"/>
      <w:marRight w:val="0"/>
      <w:marTop w:val="0"/>
      <w:marBottom w:val="0"/>
      <w:divBdr>
        <w:top w:val="none" w:sz="0" w:space="0" w:color="auto"/>
        <w:left w:val="none" w:sz="0" w:space="0" w:color="auto"/>
        <w:bottom w:val="none" w:sz="0" w:space="0" w:color="auto"/>
        <w:right w:val="none" w:sz="0" w:space="0" w:color="auto"/>
      </w:divBdr>
    </w:div>
    <w:div w:id="2012028310">
      <w:bodyDiv w:val="1"/>
      <w:marLeft w:val="0"/>
      <w:marRight w:val="0"/>
      <w:marTop w:val="0"/>
      <w:marBottom w:val="0"/>
      <w:divBdr>
        <w:top w:val="none" w:sz="0" w:space="0" w:color="auto"/>
        <w:left w:val="none" w:sz="0" w:space="0" w:color="auto"/>
        <w:bottom w:val="none" w:sz="0" w:space="0" w:color="auto"/>
        <w:right w:val="none" w:sz="0" w:space="0" w:color="auto"/>
      </w:divBdr>
    </w:div>
    <w:div w:id="2020690501">
      <w:bodyDiv w:val="1"/>
      <w:marLeft w:val="0"/>
      <w:marRight w:val="0"/>
      <w:marTop w:val="0"/>
      <w:marBottom w:val="0"/>
      <w:divBdr>
        <w:top w:val="none" w:sz="0" w:space="0" w:color="auto"/>
        <w:left w:val="none" w:sz="0" w:space="0" w:color="auto"/>
        <w:bottom w:val="none" w:sz="0" w:space="0" w:color="auto"/>
        <w:right w:val="none" w:sz="0" w:space="0" w:color="auto"/>
      </w:divBdr>
    </w:div>
    <w:div w:id="2021158251">
      <w:bodyDiv w:val="1"/>
      <w:marLeft w:val="0"/>
      <w:marRight w:val="0"/>
      <w:marTop w:val="0"/>
      <w:marBottom w:val="0"/>
      <w:divBdr>
        <w:top w:val="none" w:sz="0" w:space="0" w:color="auto"/>
        <w:left w:val="none" w:sz="0" w:space="0" w:color="auto"/>
        <w:bottom w:val="none" w:sz="0" w:space="0" w:color="auto"/>
        <w:right w:val="none" w:sz="0" w:space="0" w:color="auto"/>
      </w:divBdr>
    </w:div>
    <w:div w:id="2040079454">
      <w:bodyDiv w:val="1"/>
      <w:marLeft w:val="0"/>
      <w:marRight w:val="0"/>
      <w:marTop w:val="0"/>
      <w:marBottom w:val="0"/>
      <w:divBdr>
        <w:top w:val="none" w:sz="0" w:space="0" w:color="auto"/>
        <w:left w:val="none" w:sz="0" w:space="0" w:color="auto"/>
        <w:bottom w:val="none" w:sz="0" w:space="0" w:color="auto"/>
        <w:right w:val="none" w:sz="0" w:space="0" w:color="auto"/>
      </w:divBdr>
    </w:div>
    <w:div w:id="2041660396">
      <w:bodyDiv w:val="1"/>
      <w:marLeft w:val="0"/>
      <w:marRight w:val="0"/>
      <w:marTop w:val="0"/>
      <w:marBottom w:val="0"/>
      <w:divBdr>
        <w:top w:val="none" w:sz="0" w:space="0" w:color="auto"/>
        <w:left w:val="none" w:sz="0" w:space="0" w:color="auto"/>
        <w:bottom w:val="none" w:sz="0" w:space="0" w:color="auto"/>
        <w:right w:val="none" w:sz="0" w:space="0" w:color="auto"/>
      </w:divBdr>
    </w:div>
    <w:div w:id="2042851558">
      <w:bodyDiv w:val="1"/>
      <w:marLeft w:val="0"/>
      <w:marRight w:val="0"/>
      <w:marTop w:val="0"/>
      <w:marBottom w:val="0"/>
      <w:divBdr>
        <w:top w:val="none" w:sz="0" w:space="0" w:color="auto"/>
        <w:left w:val="none" w:sz="0" w:space="0" w:color="auto"/>
        <w:bottom w:val="none" w:sz="0" w:space="0" w:color="auto"/>
        <w:right w:val="none" w:sz="0" w:space="0" w:color="auto"/>
      </w:divBdr>
    </w:div>
    <w:div w:id="2058045229">
      <w:bodyDiv w:val="1"/>
      <w:marLeft w:val="0"/>
      <w:marRight w:val="0"/>
      <w:marTop w:val="0"/>
      <w:marBottom w:val="0"/>
      <w:divBdr>
        <w:top w:val="none" w:sz="0" w:space="0" w:color="auto"/>
        <w:left w:val="none" w:sz="0" w:space="0" w:color="auto"/>
        <w:bottom w:val="none" w:sz="0" w:space="0" w:color="auto"/>
        <w:right w:val="none" w:sz="0" w:space="0" w:color="auto"/>
      </w:divBdr>
    </w:div>
    <w:div w:id="2060279732">
      <w:bodyDiv w:val="1"/>
      <w:marLeft w:val="0"/>
      <w:marRight w:val="0"/>
      <w:marTop w:val="0"/>
      <w:marBottom w:val="0"/>
      <w:divBdr>
        <w:top w:val="none" w:sz="0" w:space="0" w:color="auto"/>
        <w:left w:val="none" w:sz="0" w:space="0" w:color="auto"/>
        <w:bottom w:val="none" w:sz="0" w:space="0" w:color="auto"/>
        <w:right w:val="none" w:sz="0" w:space="0" w:color="auto"/>
      </w:divBdr>
    </w:div>
    <w:div w:id="2068256698">
      <w:bodyDiv w:val="1"/>
      <w:marLeft w:val="0"/>
      <w:marRight w:val="0"/>
      <w:marTop w:val="0"/>
      <w:marBottom w:val="0"/>
      <w:divBdr>
        <w:top w:val="none" w:sz="0" w:space="0" w:color="auto"/>
        <w:left w:val="none" w:sz="0" w:space="0" w:color="auto"/>
        <w:bottom w:val="none" w:sz="0" w:space="0" w:color="auto"/>
        <w:right w:val="none" w:sz="0" w:space="0" w:color="auto"/>
      </w:divBdr>
    </w:div>
    <w:div w:id="2073890710">
      <w:bodyDiv w:val="1"/>
      <w:marLeft w:val="0"/>
      <w:marRight w:val="0"/>
      <w:marTop w:val="0"/>
      <w:marBottom w:val="0"/>
      <w:divBdr>
        <w:top w:val="none" w:sz="0" w:space="0" w:color="auto"/>
        <w:left w:val="none" w:sz="0" w:space="0" w:color="auto"/>
        <w:bottom w:val="none" w:sz="0" w:space="0" w:color="auto"/>
        <w:right w:val="none" w:sz="0" w:space="0" w:color="auto"/>
      </w:divBdr>
    </w:div>
    <w:div w:id="2079401157">
      <w:bodyDiv w:val="1"/>
      <w:marLeft w:val="0"/>
      <w:marRight w:val="0"/>
      <w:marTop w:val="0"/>
      <w:marBottom w:val="0"/>
      <w:divBdr>
        <w:top w:val="none" w:sz="0" w:space="0" w:color="auto"/>
        <w:left w:val="none" w:sz="0" w:space="0" w:color="auto"/>
        <w:bottom w:val="none" w:sz="0" w:space="0" w:color="auto"/>
        <w:right w:val="none" w:sz="0" w:space="0" w:color="auto"/>
      </w:divBdr>
    </w:div>
    <w:div w:id="2082025389">
      <w:bodyDiv w:val="1"/>
      <w:marLeft w:val="0"/>
      <w:marRight w:val="0"/>
      <w:marTop w:val="0"/>
      <w:marBottom w:val="0"/>
      <w:divBdr>
        <w:top w:val="none" w:sz="0" w:space="0" w:color="auto"/>
        <w:left w:val="none" w:sz="0" w:space="0" w:color="auto"/>
        <w:bottom w:val="none" w:sz="0" w:space="0" w:color="auto"/>
        <w:right w:val="none" w:sz="0" w:space="0" w:color="auto"/>
      </w:divBdr>
    </w:div>
    <w:div w:id="2086537015">
      <w:bodyDiv w:val="1"/>
      <w:marLeft w:val="0"/>
      <w:marRight w:val="0"/>
      <w:marTop w:val="0"/>
      <w:marBottom w:val="0"/>
      <w:divBdr>
        <w:top w:val="none" w:sz="0" w:space="0" w:color="auto"/>
        <w:left w:val="none" w:sz="0" w:space="0" w:color="auto"/>
        <w:bottom w:val="none" w:sz="0" w:space="0" w:color="auto"/>
        <w:right w:val="none" w:sz="0" w:space="0" w:color="auto"/>
      </w:divBdr>
    </w:div>
    <w:div w:id="2087529411">
      <w:bodyDiv w:val="1"/>
      <w:marLeft w:val="0"/>
      <w:marRight w:val="0"/>
      <w:marTop w:val="0"/>
      <w:marBottom w:val="0"/>
      <w:divBdr>
        <w:top w:val="none" w:sz="0" w:space="0" w:color="auto"/>
        <w:left w:val="none" w:sz="0" w:space="0" w:color="auto"/>
        <w:bottom w:val="none" w:sz="0" w:space="0" w:color="auto"/>
        <w:right w:val="none" w:sz="0" w:space="0" w:color="auto"/>
      </w:divBdr>
    </w:div>
    <w:div w:id="2091197146">
      <w:bodyDiv w:val="1"/>
      <w:marLeft w:val="0"/>
      <w:marRight w:val="0"/>
      <w:marTop w:val="0"/>
      <w:marBottom w:val="0"/>
      <w:divBdr>
        <w:top w:val="none" w:sz="0" w:space="0" w:color="auto"/>
        <w:left w:val="none" w:sz="0" w:space="0" w:color="auto"/>
        <w:bottom w:val="none" w:sz="0" w:space="0" w:color="auto"/>
        <w:right w:val="none" w:sz="0" w:space="0" w:color="auto"/>
      </w:divBdr>
    </w:div>
    <w:div w:id="2091585382">
      <w:bodyDiv w:val="1"/>
      <w:marLeft w:val="0"/>
      <w:marRight w:val="0"/>
      <w:marTop w:val="0"/>
      <w:marBottom w:val="0"/>
      <w:divBdr>
        <w:top w:val="none" w:sz="0" w:space="0" w:color="auto"/>
        <w:left w:val="none" w:sz="0" w:space="0" w:color="auto"/>
        <w:bottom w:val="none" w:sz="0" w:space="0" w:color="auto"/>
        <w:right w:val="none" w:sz="0" w:space="0" w:color="auto"/>
      </w:divBdr>
    </w:div>
    <w:div w:id="2092459193">
      <w:bodyDiv w:val="1"/>
      <w:marLeft w:val="0"/>
      <w:marRight w:val="0"/>
      <w:marTop w:val="0"/>
      <w:marBottom w:val="0"/>
      <w:divBdr>
        <w:top w:val="none" w:sz="0" w:space="0" w:color="auto"/>
        <w:left w:val="none" w:sz="0" w:space="0" w:color="auto"/>
        <w:bottom w:val="none" w:sz="0" w:space="0" w:color="auto"/>
        <w:right w:val="none" w:sz="0" w:space="0" w:color="auto"/>
      </w:divBdr>
    </w:div>
    <w:div w:id="2092507412">
      <w:bodyDiv w:val="1"/>
      <w:marLeft w:val="0"/>
      <w:marRight w:val="0"/>
      <w:marTop w:val="0"/>
      <w:marBottom w:val="0"/>
      <w:divBdr>
        <w:top w:val="none" w:sz="0" w:space="0" w:color="auto"/>
        <w:left w:val="none" w:sz="0" w:space="0" w:color="auto"/>
        <w:bottom w:val="none" w:sz="0" w:space="0" w:color="auto"/>
        <w:right w:val="none" w:sz="0" w:space="0" w:color="auto"/>
      </w:divBdr>
    </w:div>
    <w:div w:id="2118332744">
      <w:bodyDiv w:val="1"/>
      <w:marLeft w:val="0"/>
      <w:marRight w:val="0"/>
      <w:marTop w:val="0"/>
      <w:marBottom w:val="0"/>
      <w:divBdr>
        <w:top w:val="none" w:sz="0" w:space="0" w:color="auto"/>
        <w:left w:val="none" w:sz="0" w:space="0" w:color="auto"/>
        <w:bottom w:val="none" w:sz="0" w:space="0" w:color="auto"/>
        <w:right w:val="none" w:sz="0" w:space="0" w:color="auto"/>
      </w:divBdr>
    </w:div>
    <w:div w:id="2128237982">
      <w:bodyDiv w:val="1"/>
      <w:marLeft w:val="0"/>
      <w:marRight w:val="0"/>
      <w:marTop w:val="0"/>
      <w:marBottom w:val="0"/>
      <w:divBdr>
        <w:top w:val="none" w:sz="0" w:space="0" w:color="auto"/>
        <w:left w:val="none" w:sz="0" w:space="0" w:color="auto"/>
        <w:bottom w:val="none" w:sz="0" w:space="0" w:color="auto"/>
        <w:right w:val="none" w:sz="0" w:space="0" w:color="auto"/>
      </w:divBdr>
    </w:div>
    <w:div w:id="2128692174">
      <w:bodyDiv w:val="1"/>
      <w:marLeft w:val="0"/>
      <w:marRight w:val="0"/>
      <w:marTop w:val="0"/>
      <w:marBottom w:val="0"/>
      <w:divBdr>
        <w:top w:val="none" w:sz="0" w:space="0" w:color="auto"/>
        <w:left w:val="none" w:sz="0" w:space="0" w:color="auto"/>
        <w:bottom w:val="none" w:sz="0" w:space="0" w:color="auto"/>
        <w:right w:val="none" w:sz="0" w:space="0" w:color="auto"/>
      </w:divBdr>
    </w:div>
    <w:div w:id="2128769382">
      <w:bodyDiv w:val="1"/>
      <w:marLeft w:val="0"/>
      <w:marRight w:val="0"/>
      <w:marTop w:val="0"/>
      <w:marBottom w:val="0"/>
      <w:divBdr>
        <w:top w:val="none" w:sz="0" w:space="0" w:color="auto"/>
        <w:left w:val="none" w:sz="0" w:space="0" w:color="auto"/>
        <w:bottom w:val="none" w:sz="0" w:space="0" w:color="auto"/>
        <w:right w:val="none" w:sz="0" w:space="0" w:color="auto"/>
      </w:divBdr>
    </w:div>
    <w:div w:id="2135365420">
      <w:bodyDiv w:val="1"/>
      <w:marLeft w:val="0"/>
      <w:marRight w:val="0"/>
      <w:marTop w:val="0"/>
      <w:marBottom w:val="0"/>
      <w:divBdr>
        <w:top w:val="none" w:sz="0" w:space="0" w:color="auto"/>
        <w:left w:val="none" w:sz="0" w:space="0" w:color="auto"/>
        <w:bottom w:val="none" w:sz="0" w:space="0" w:color="auto"/>
        <w:right w:val="none" w:sz="0" w:space="0" w:color="auto"/>
      </w:divBdr>
    </w:div>
    <w:div w:id="2139493287">
      <w:bodyDiv w:val="1"/>
      <w:marLeft w:val="0"/>
      <w:marRight w:val="0"/>
      <w:marTop w:val="0"/>
      <w:marBottom w:val="0"/>
      <w:divBdr>
        <w:top w:val="none" w:sz="0" w:space="0" w:color="auto"/>
        <w:left w:val="none" w:sz="0" w:space="0" w:color="auto"/>
        <w:bottom w:val="none" w:sz="0" w:space="0" w:color="auto"/>
        <w:right w:val="none" w:sz="0" w:space="0" w:color="auto"/>
      </w:divBdr>
    </w:div>
    <w:div w:id="2143427224">
      <w:bodyDiv w:val="1"/>
      <w:marLeft w:val="0"/>
      <w:marRight w:val="0"/>
      <w:marTop w:val="0"/>
      <w:marBottom w:val="0"/>
      <w:divBdr>
        <w:top w:val="none" w:sz="0" w:space="0" w:color="auto"/>
        <w:left w:val="none" w:sz="0" w:space="0" w:color="auto"/>
        <w:bottom w:val="none" w:sz="0" w:space="0" w:color="auto"/>
        <w:right w:val="none" w:sz="0" w:space="0" w:color="auto"/>
      </w:divBdr>
    </w:div>
    <w:div w:id="2143574498">
      <w:bodyDiv w:val="1"/>
      <w:marLeft w:val="0"/>
      <w:marRight w:val="0"/>
      <w:marTop w:val="0"/>
      <w:marBottom w:val="0"/>
      <w:divBdr>
        <w:top w:val="none" w:sz="0" w:space="0" w:color="auto"/>
        <w:left w:val="none" w:sz="0" w:space="0" w:color="auto"/>
        <w:bottom w:val="none" w:sz="0" w:space="0" w:color="auto"/>
        <w:right w:val="none" w:sz="0" w:space="0" w:color="auto"/>
      </w:divBdr>
    </w:div>
    <w:div w:id="21446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Blad1!$B$1</c:f>
              <c:strCache>
                <c:ptCount val="1"/>
                <c:pt idx="0">
                  <c:v>ICMW</c:v>
                </c:pt>
              </c:strCache>
            </c:strRef>
          </c:tx>
          <c:cat>
            <c:strRef>
              <c:f>Blad1!$A$2:$A$11</c:f>
              <c:strCache>
                <c:ptCount val="10"/>
                <c:pt idx="0">
                  <c:v>0% - 10%</c:v>
                </c:pt>
                <c:pt idx="1">
                  <c:v>10% - 20%</c:v>
                </c:pt>
                <c:pt idx="2">
                  <c:v>20% - 30%</c:v>
                </c:pt>
                <c:pt idx="3">
                  <c:v>30% - 40%</c:v>
                </c:pt>
                <c:pt idx="4">
                  <c:v>40% - 50% </c:v>
                </c:pt>
                <c:pt idx="5">
                  <c:v>50% - 60%</c:v>
                </c:pt>
                <c:pt idx="6">
                  <c:v>60% - 70% </c:v>
                </c:pt>
                <c:pt idx="7">
                  <c:v>70% - 80%</c:v>
                </c:pt>
                <c:pt idx="8">
                  <c:v>80% - 90%</c:v>
                </c:pt>
                <c:pt idx="9">
                  <c:v>90% - 100% </c:v>
                </c:pt>
              </c:strCache>
            </c:strRef>
          </c:cat>
          <c:val>
            <c:numRef>
              <c:f>Blad1!$B$2:$B$11</c:f>
              <c:numCache>
                <c:formatCode>General</c:formatCode>
                <c:ptCount val="10"/>
                <c:pt idx="0">
                  <c:v>0.17599999999999999</c:v>
                </c:pt>
                <c:pt idx="1">
                  <c:v>0.17599999999999999</c:v>
                </c:pt>
                <c:pt idx="2">
                  <c:v>0.16700000000000001</c:v>
                </c:pt>
                <c:pt idx="3">
                  <c:v>0.16300000000000001</c:v>
                </c:pt>
                <c:pt idx="4">
                  <c:v>0.17399999999999999</c:v>
                </c:pt>
                <c:pt idx="5">
                  <c:v>0.17</c:v>
                </c:pt>
                <c:pt idx="6">
                  <c:v>0.19900000000000001</c:v>
                </c:pt>
                <c:pt idx="7">
                  <c:v>0.183</c:v>
                </c:pt>
                <c:pt idx="8">
                  <c:v>0.187</c:v>
                </c:pt>
                <c:pt idx="9">
                  <c:v>0.19700000000000001</c:v>
                </c:pt>
              </c:numCache>
            </c:numRef>
          </c:val>
          <c:smooth val="0"/>
        </c:ser>
        <c:dLbls>
          <c:showLegendKey val="0"/>
          <c:showVal val="0"/>
          <c:showCatName val="0"/>
          <c:showSerName val="0"/>
          <c:showPercent val="0"/>
          <c:showBubbleSize val="0"/>
        </c:dLbls>
        <c:marker val="1"/>
        <c:smooth val="0"/>
        <c:axId val="109882880"/>
        <c:axId val="97470720"/>
      </c:lineChart>
      <c:catAx>
        <c:axId val="109882880"/>
        <c:scaling>
          <c:orientation val="minMax"/>
        </c:scaling>
        <c:delete val="0"/>
        <c:axPos val="b"/>
        <c:title>
          <c:tx>
            <c:rich>
              <a:bodyPr/>
              <a:lstStyle/>
              <a:p>
                <a:pPr>
                  <a:defRPr/>
                </a:pPr>
                <a:r>
                  <a:rPr lang="en-GB"/>
                  <a:t>Proportion of equity in compensation package</a:t>
                </a:r>
              </a:p>
            </c:rich>
          </c:tx>
          <c:overlay val="0"/>
        </c:title>
        <c:majorTickMark val="out"/>
        <c:minorTickMark val="none"/>
        <c:tickLblPos val="nextTo"/>
        <c:crossAx val="97470720"/>
        <c:crosses val="autoZero"/>
        <c:auto val="1"/>
        <c:lblAlgn val="ctr"/>
        <c:lblOffset val="100"/>
        <c:noMultiLvlLbl val="0"/>
      </c:catAx>
      <c:valAx>
        <c:axId val="97470720"/>
        <c:scaling>
          <c:orientation val="minMax"/>
        </c:scaling>
        <c:delete val="0"/>
        <c:axPos val="l"/>
        <c:majorGridlines/>
        <c:title>
          <c:tx>
            <c:rich>
              <a:bodyPr rot="-5400000" vert="horz"/>
              <a:lstStyle/>
              <a:p>
                <a:pPr>
                  <a:defRPr/>
                </a:pPr>
                <a:r>
                  <a:rPr lang="nl-NL"/>
                  <a:t>ICMWs</a:t>
                </a:r>
                <a:endParaRPr lang="en-GB"/>
              </a:p>
            </c:rich>
          </c:tx>
          <c:overlay val="0"/>
        </c:title>
        <c:numFmt formatCode="General" sourceLinked="1"/>
        <c:majorTickMark val="out"/>
        <c:minorTickMark val="none"/>
        <c:tickLblPos val="nextTo"/>
        <c:crossAx val="109882880"/>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cked"/>
        <c:varyColors val="0"/>
        <c:ser>
          <c:idx val="0"/>
          <c:order val="0"/>
          <c:tx>
            <c:strRef>
              <c:f>Blad1!$B$1</c:f>
              <c:strCache>
                <c:ptCount val="1"/>
                <c:pt idx="0">
                  <c:v>Firm's financial performance</c:v>
                </c:pt>
              </c:strCache>
            </c:strRef>
          </c:tx>
          <c:cat>
            <c:strRef>
              <c:f>Blad1!$A$2:$A$11</c:f>
              <c:strCache>
                <c:ptCount val="10"/>
                <c:pt idx="0">
                  <c:v>0% - 10% </c:v>
                </c:pt>
                <c:pt idx="1">
                  <c:v>10% - 20% </c:v>
                </c:pt>
                <c:pt idx="2">
                  <c:v>20% - 30% </c:v>
                </c:pt>
                <c:pt idx="3">
                  <c:v>30% - 40% </c:v>
                </c:pt>
                <c:pt idx="4">
                  <c:v>40% - 50% </c:v>
                </c:pt>
                <c:pt idx="5">
                  <c:v>50% - 60% </c:v>
                </c:pt>
                <c:pt idx="6">
                  <c:v>60% - 70%</c:v>
                </c:pt>
                <c:pt idx="7">
                  <c:v>70% - 80%</c:v>
                </c:pt>
                <c:pt idx="8">
                  <c:v>80% - 90%</c:v>
                </c:pt>
                <c:pt idx="9">
                  <c:v>90% - 100% </c:v>
                </c:pt>
              </c:strCache>
            </c:strRef>
          </c:cat>
          <c:val>
            <c:numRef>
              <c:f>Blad1!$B$2:$B$11</c:f>
              <c:numCache>
                <c:formatCode>General</c:formatCode>
                <c:ptCount val="10"/>
                <c:pt idx="0">
                  <c:v>3.26</c:v>
                </c:pt>
                <c:pt idx="1">
                  <c:v>4.07</c:v>
                </c:pt>
                <c:pt idx="2">
                  <c:v>4.26</c:v>
                </c:pt>
                <c:pt idx="3">
                  <c:v>4.8600000000000003</c:v>
                </c:pt>
                <c:pt idx="4">
                  <c:v>4.82</c:v>
                </c:pt>
                <c:pt idx="5">
                  <c:v>5.73</c:v>
                </c:pt>
                <c:pt idx="6">
                  <c:v>5.52</c:v>
                </c:pt>
                <c:pt idx="7">
                  <c:v>5.93</c:v>
                </c:pt>
                <c:pt idx="8">
                  <c:v>6.54</c:v>
                </c:pt>
                <c:pt idx="9">
                  <c:v>5.51</c:v>
                </c:pt>
              </c:numCache>
            </c:numRef>
          </c:val>
          <c:smooth val="0"/>
        </c:ser>
        <c:dLbls>
          <c:showLegendKey val="0"/>
          <c:showVal val="0"/>
          <c:showCatName val="0"/>
          <c:showSerName val="0"/>
          <c:showPercent val="0"/>
          <c:showBubbleSize val="0"/>
        </c:dLbls>
        <c:marker val="1"/>
        <c:smooth val="0"/>
        <c:axId val="117625856"/>
        <c:axId val="203264512"/>
      </c:lineChart>
      <c:catAx>
        <c:axId val="117625856"/>
        <c:scaling>
          <c:orientation val="minMax"/>
        </c:scaling>
        <c:delete val="0"/>
        <c:axPos val="b"/>
        <c:title>
          <c:tx>
            <c:rich>
              <a:bodyPr/>
              <a:lstStyle/>
              <a:p>
                <a:pPr>
                  <a:defRPr/>
                </a:pPr>
                <a:r>
                  <a:rPr lang="en-GB"/>
                  <a:t>Proportion of equity in compensation package</a:t>
                </a:r>
              </a:p>
            </c:rich>
          </c:tx>
          <c:overlay val="0"/>
        </c:title>
        <c:majorTickMark val="out"/>
        <c:minorTickMark val="none"/>
        <c:tickLblPos val="nextTo"/>
        <c:crossAx val="203264512"/>
        <c:crosses val="autoZero"/>
        <c:auto val="1"/>
        <c:lblAlgn val="ctr"/>
        <c:lblOffset val="100"/>
        <c:noMultiLvlLbl val="0"/>
      </c:catAx>
      <c:valAx>
        <c:axId val="203264512"/>
        <c:scaling>
          <c:orientation val="minMax"/>
        </c:scaling>
        <c:delete val="0"/>
        <c:axPos val="l"/>
        <c:majorGridlines/>
        <c:title>
          <c:tx>
            <c:rich>
              <a:bodyPr rot="-5400000" vert="horz"/>
              <a:lstStyle/>
              <a:p>
                <a:pPr>
                  <a:defRPr/>
                </a:pPr>
                <a:r>
                  <a:rPr lang="nl-NL"/>
                  <a:t>Firm's financial performance</a:t>
                </a:r>
                <a:endParaRPr lang="en-GB"/>
              </a:p>
            </c:rich>
          </c:tx>
          <c:overlay val="0"/>
        </c:title>
        <c:numFmt formatCode="General" sourceLinked="1"/>
        <c:majorTickMark val="out"/>
        <c:minorTickMark val="none"/>
        <c:tickLblPos val="nextTo"/>
        <c:crossAx val="117625856"/>
        <c:crosses val="autoZero"/>
        <c:crossBetween val="between"/>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cked"/>
        <c:varyColors val="0"/>
        <c:ser>
          <c:idx val="0"/>
          <c:order val="0"/>
          <c:tx>
            <c:strRef>
              <c:f>Blad1!$B$1</c:f>
              <c:strCache>
                <c:ptCount val="1"/>
                <c:pt idx="0">
                  <c:v>ICMW</c:v>
                </c:pt>
              </c:strCache>
            </c:strRef>
          </c:tx>
          <c:cat>
            <c:strRef>
              <c:f>Blad1!$A$2:$A$11</c:f>
              <c:strCache>
                <c:ptCount val="10"/>
                <c:pt idx="0">
                  <c:v>0% - 10%</c:v>
                </c:pt>
                <c:pt idx="1">
                  <c:v>10% - 20%</c:v>
                </c:pt>
                <c:pt idx="2">
                  <c:v>20% - 30%</c:v>
                </c:pt>
                <c:pt idx="3">
                  <c:v>30% - 40%</c:v>
                </c:pt>
                <c:pt idx="4">
                  <c:v>40% - 50% </c:v>
                </c:pt>
                <c:pt idx="5">
                  <c:v>50% - 60%</c:v>
                </c:pt>
                <c:pt idx="6">
                  <c:v>60% - 70% </c:v>
                </c:pt>
                <c:pt idx="7">
                  <c:v>70% - 80%</c:v>
                </c:pt>
                <c:pt idx="8">
                  <c:v>80% - 90%</c:v>
                </c:pt>
                <c:pt idx="9">
                  <c:v>90% - 100% </c:v>
                </c:pt>
              </c:strCache>
            </c:strRef>
          </c:cat>
          <c:val>
            <c:numRef>
              <c:f>Blad1!$B$2:$B$11</c:f>
              <c:numCache>
                <c:formatCode>General</c:formatCode>
                <c:ptCount val="10"/>
                <c:pt idx="0">
                  <c:v>0.06</c:v>
                </c:pt>
                <c:pt idx="1">
                  <c:v>0.05</c:v>
                </c:pt>
                <c:pt idx="2">
                  <c:v>0.06</c:v>
                </c:pt>
                <c:pt idx="3">
                  <c:v>0.04</c:v>
                </c:pt>
                <c:pt idx="4">
                  <c:v>0.05</c:v>
                </c:pt>
                <c:pt idx="5">
                  <c:v>0.06</c:v>
                </c:pt>
                <c:pt idx="6">
                  <c:v>0.06</c:v>
                </c:pt>
                <c:pt idx="7">
                  <c:v>0.04</c:v>
                </c:pt>
                <c:pt idx="8">
                  <c:v>0.05</c:v>
                </c:pt>
                <c:pt idx="9">
                  <c:v>0.04</c:v>
                </c:pt>
              </c:numCache>
            </c:numRef>
          </c:val>
          <c:smooth val="0"/>
        </c:ser>
        <c:dLbls>
          <c:showLegendKey val="0"/>
          <c:showVal val="0"/>
          <c:showCatName val="0"/>
          <c:showSerName val="0"/>
          <c:showPercent val="0"/>
          <c:showBubbleSize val="0"/>
        </c:dLbls>
        <c:marker val="1"/>
        <c:smooth val="0"/>
        <c:axId val="117628416"/>
        <c:axId val="216695936"/>
      </c:lineChart>
      <c:catAx>
        <c:axId val="117628416"/>
        <c:scaling>
          <c:orientation val="minMax"/>
        </c:scaling>
        <c:delete val="0"/>
        <c:axPos val="b"/>
        <c:title>
          <c:tx>
            <c:rich>
              <a:bodyPr/>
              <a:lstStyle/>
              <a:p>
                <a:pPr>
                  <a:defRPr/>
                </a:pPr>
                <a:r>
                  <a:rPr lang="en-GB"/>
                  <a:t>Proportion of equity in compensation package</a:t>
                </a:r>
              </a:p>
            </c:rich>
          </c:tx>
          <c:overlay val="0"/>
        </c:title>
        <c:majorTickMark val="out"/>
        <c:minorTickMark val="none"/>
        <c:tickLblPos val="nextTo"/>
        <c:crossAx val="216695936"/>
        <c:crosses val="autoZero"/>
        <c:auto val="1"/>
        <c:lblAlgn val="ctr"/>
        <c:lblOffset val="100"/>
        <c:noMultiLvlLbl val="0"/>
      </c:catAx>
      <c:valAx>
        <c:axId val="216695936"/>
        <c:scaling>
          <c:orientation val="minMax"/>
        </c:scaling>
        <c:delete val="0"/>
        <c:axPos val="l"/>
        <c:majorGridlines/>
        <c:title>
          <c:tx>
            <c:rich>
              <a:bodyPr rot="-5400000" vert="horz"/>
              <a:lstStyle/>
              <a:p>
                <a:pPr>
                  <a:defRPr/>
                </a:pPr>
                <a:r>
                  <a:rPr lang="nl-NL"/>
                  <a:t>Restatements</a:t>
                </a:r>
                <a:endParaRPr lang="en-GB"/>
              </a:p>
            </c:rich>
          </c:tx>
          <c:overlay val="0"/>
        </c:title>
        <c:numFmt formatCode="General" sourceLinked="1"/>
        <c:majorTickMark val="out"/>
        <c:minorTickMark val="none"/>
        <c:tickLblPos val="nextTo"/>
        <c:crossAx val="117628416"/>
        <c:crosses val="autoZero"/>
        <c:crossBetween val="between"/>
      </c:valAx>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lineChart>
        <c:grouping val="stacked"/>
        <c:varyColors val="0"/>
        <c:ser>
          <c:idx val="0"/>
          <c:order val="0"/>
          <c:tx>
            <c:strRef>
              <c:f>Blad1!$B$1</c:f>
              <c:strCache>
                <c:ptCount val="1"/>
                <c:pt idx="0">
                  <c:v>ICMW</c:v>
                </c:pt>
              </c:strCache>
            </c:strRef>
          </c:tx>
          <c:cat>
            <c:strRef>
              <c:f>Blad1!$A$2:$A$11</c:f>
              <c:strCache>
                <c:ptCount val="10"/>
                <c:pt idx="0">
                  <c:v>0% - 10%</c:v>
                </c:pt>
                <c:pt idx="1">
                  <c:v>10% - 20%</c:v>
                </c:pt>
                <c:pt idx="2">
                  <c:v>20% - 30%</c:v>
                </c:pt>
                <c:pt idx="3">
                  <c:v>30% - 40%</c:v>
                </c:pt>
                <c:pt idx="4">
                  <c:v>40% - 50% </c:v>
                </c:pt>
                <c:pt idx="5">
                  <c:v>50% - 60%</c:v>
                </c:pt>
                <c:pt idx="6">
                  <c:v>60% - 70% </c:v>
                </c:pt>
                <c:pt idx="7">
                  <c:v>70% - 80%</c:v>
                </c:pt>
                <c:pt idx="8">
                  <c:v>80% - 90%</c:v>
                </c:pt>
                <c:pt idx="9">
                  <c:v>90% - 100% </c:v>
                </c:pt>
              </c:strCache>
            </c:strRef>
          </c:cat>
          <c:val>
            <c:numRef>
              <c:f>Blad1!$B$2:$B$11</c:f>
              <c:numCache>
                <c:formatCode>General</c:formatCode>
                <c:ptCount val="10"/>
                <c:pt idx="0">
                  <c:v>0.06</c:v>
                </c:pt>
                <c:pt idx="1">
                  <c:v>0.05</c:v>
                </c:pt>
                <c:pt idx="2">
                  <c:v>0.06</c:v>
                </c:pt>
                <c:pt idx="3">
                  <c:v>0.04</c:v>
                </c:pt>
                <c:pt idx="4">
                  <c:v>0.05</c:v>
                </c:pt>
                <c:pt idx="5">
                  <c:v>0.06</c:v>
                </c:pt>
                <c:pt idx="6">
                  <c:v>0.06</c:v>
                </c:pt>
                <c:pt idx="7">
                  <c:v>0.04</c:v>
                </c:pt>
                <c:pt idx="8">
                  <c:v>0.05</c:v>
                </c:pt>
                <c:pt idx="9">
                  <c:v>0.04</c:v>
                </c:pt>
              </c:numCache>
            </c:numRef>
          </c:val>
          <c:smooth val="0"/>
        </c:ser>
        <c:dLbls>
          <c:showLegendKey val="0"/>
          <c:showVal val="0"/>
          <c:showCatName val="0"/>
          <c:showSerName val="0"/>
          <c:showPercent val="0"/>
          <c:showBubbleSize val="0"/>
        </c:dLbls>
        <c:marker val="1"/>
        <c:smooth val="0"/>
        <c:axId val="117626368"/>
        <c:axId val="216698240"/>
      </c:lineChart>
      <c:catAx>
        <c:axId val="117626368"/>
        <c:scaling>
          <c:orientation val="minMax"/>
        </c:scaling>
        <c:delete val="0"/>
        <c:axPos val="b"/>
        <c:title>
          <c:tx>
            <c:rich>
              <a:bodyPr/>
              <a:lstStyle/>
              <a:p>
                <a:pPr>
                  <a:defRPr/>
                </a:pPr>
                <a:r>
                  <a:rPr lang="en-GB"/>
                  <a:t>Proportion of equity in compensation package</a:t>
                </a:r>
              </a:p>
            </c:rich>
          </c:tx>
          <c:overlay val="0"/>
        </c:title>
        <c:majorTickMark val="out"/>
        <c:minorTickMark val="none"/>
        <c:tickLblPos val="nextTo"/>
        <c:crossAx val="216698240"/>
        <c:crosses val="autoZero"/>
        <c:auto val="1"/>
        <c:lblAlgn val="ctr"/>
        <c:lblOffset val="100"/>
        <c:noMultiLvlLbl val="0"/>
      </c:catAx>
      <c:valAx>
        <c:axId val="216698240"/>
        <c:scaling>
          <c:orientation val="minMax"/>
        </c:scaling>
        <c:delete val="0"/>
        <c:axPos val="l"/>
        <c:majorGridlines/>
        <c:title>
          <c:tx>
            <c:rich>
              <a:bodyPr rot="-5400000" vert="horz"/>
              <a:lstStyle/>
              <a:p>
                <a:pPr>
                  <a:defRPr/>
                </a:pPr>
                <a:r>
                  <a:rPr lang="nl-NL"/>
                  <a:t>Stock performance</a:t>
                </a:r>
                <a:endParaRPr lang="en-GB"/>
              </a:p>
            </c:rich>
          </c:tx>
          <c:overlay val="0"/>
        </c:title>
        <c:numFmt formatCode="General" sourceLinked="1"/>
        <c:majorTickMark val="out"/>
        <c:minorTickMark val="none"/>
        <c:tickLblPos val="nextTo"/>
        <c:crossAx val="117626368"/>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Itt97</b:Tag>
    <b:SourceType>JournalArticle</b:SourceType>
    <b:Guid>{3B7EB8CB-DB1E-4D4D-B727-DBFD36C4D190}</b:Guid>
    <b:Title>The Choice of Performance Measures in Annual Bonus Contracts</b:Title>
    <b:JournalName>The Accounting Review</b:JournalName>
    <b:Year>1997</b:Year>
    <b:Pages>231-255</b:Pages>
    <b:Author>
      <b:Author>
        <b:NameList>
          <b:Person>
            <b:Last>Ittner</b:Last>
            <b:Middle>D.</b:Middle>
            <b:First>Christopher</b:First>
          </b:Person>
          <b:Person>
            <b:Last>Larcker</b:Last>
            <b:Middle>F.</b:Middle>
            <b:First>David</b:First>
          </b:Person>
          <b:Person>
            <b:Last>Rajan</b:Last>
            <b:Middle>V.</b:Middle>
            <b:First>Madhav</b:First>
          </b:Person>
        </b:NameList>
      </b:Author>
    </b:Author>
    <b:Month>April</b:Month>
    <b:Publisher>American Accounting Association</b:Publisher>
    <b:Volume>72</b:Volume>
    <b:Issue>2</b:Issue>
    <b:LCID>en-GB</b:LCID>
    <b:RefOrder>1</b:RefOrder>
  </b:Source>
  <b:Source>
    <b:Tag>Ban00</b:Tag>
    <b:SourceType>JournalArticle</b:SourceType>
    <b:Guid>{01E4E37C-FA09-4351-B460-ACDE1CB1748A}</b:Guid>
    <b:Title>An Empirical Investigation of an Incentive Plan That Includes Nonfinancial Performance Measures</b:Title>
    <b:JournalName>The Accounting Review</b:JournalName>
    <b:Year>2000</b:Year>
    <b:Pages>65-92</b:Pages>
    <b:Author>
      <b:Author>
        <b:NameList>
          <b:Person>
            <b:Last>Banker</b:Last>
            <b:Middle>D.</b:Middle>
            <b:First>Rajiv</b:First>
          </b:Person>
          <b:Person>
            <b:Last>Potter</b:Last>
            <b:First>Gordon</b:First>
          </b:Person>
          <b:Person>
            <b:Last>Srinivasan</b:Last>
            <b:First>Dhinu</b:First>
          </b:Person>
        </b:NameList>
      </b:Author>
    </b:Author>
    <b:Month>January</b:Month>
    <b:Publisher>The American Accounting Association</b:Publisher>
    <b:Volume>75</b:Volume>
    <b:Issue>1</b:Issue>
    <b:RefOrder>4</b:RefOrder>
  </b:Source>
  <b:Source>
    <b:Tag>Rap05</b:Tag>
    <b:SourceType>JournalArticle</b:SourceType>
    <b:Guid>{76392E76-F824-4689-A491-B83AF6B3D695}</b:Guid>
    <b:Title>The Economics of Short-Term Performance Obsession</b:Title>
    <b:JournalName>Financial Analyst Journal</b:JournalName>
    <b:Year>2005</b:Year>
    <b:Pages>65-79</b:Pages>
    <b:Author>
      <b:Author>
        <b:NameList>
          <b:Person>
            <b:Last>Rappaport</b:Last>
            <b:First>Alfred</b:First>
          </b:Person>
        </b:NameList>
      </b:Author>
    </b:Author>
    <b:City>Charlottesville</b:City>
    <b:Month>May</b:Month>
    <b:Publisher>CFA Insitute</b:Publisher>
    <b:Volume>61</b:Volume>
    <b:Issue>3</b:Issue>
    <b:RefOrder>5</b:RefOrder>
  </b:Source>
  <b:Source>
    <b:Tag>Ind09</b:Tag>
    <b:SourceType>JournalArticle</b:SourceType>
    <b:Guid>{7C782F81-A6FA-412B-B7FB-ADFA3B51970A}</b:Guid>
    <b:Title>CFO Fiduciary Responsibilities and Annual Bonus Incentives</b:Title>
    <b:JournalName>Journal of Accounting Research</b:JournalName>
    <b:Year>2009</b:Year>
    <b:Pages>1061-1093</b:Pages>
    <b:Author>
      <b:Author>
        <b:NameList>
          <b:Person>
            <b:Last>Indjejikian</b:Last>
            <b:First>Raffi</b:First>
          </b:Person>
          <b:Person>
            <b:Last>Matejka</b:Last>
            <b:First>Michal</b:First>
          </b:Person>
        </b:NameList>
      </b:Author>
    </b:Author>
    <b:LCID>en-GB</b:LCID>
    <b:Month>September</b:Month>
    <b:Volume>47</b:Volume>
    <b:Issue>4</b:Issue>
    <b:RefOrder>2</b:RefOrder>
  </b:Source>
  <b:Source>
    <b:Tag>Vai04</b:Tag>
    <b:SourceType>JournalArticle</b:SourceType>
    <b:Guid>{3530AB92-258F-46C7-AAD7-AA15A5995DA1}</b:Guid>
    <b:Title>Mobilizing Local Knowledge with 'Provocative' Non-financial Measures</b:Title>
    <b:JournalName>European Accounting Review</b:JournalName>
    <b:Year>2004</b:Year>
    <b:Pages>39-71</b:Pages>
    <b:Author>
      <b:Author>
        <b:NameList>
          <b:Person>
            <b:Last>Vaivio</b:Last>
            <b:First>Juhani</b:First>
          </b:Person>
        </b:NameList>
      </b:Author>
    </b:Author>
    <b:LCID>en-GB</b:LCID>
    <b:Publisher>Routledge</b:Publisher>
    <b:Volume>13</b:Volume>
    <b:Issue>1</b:Issue>
    <b:RefOrder>3</b:RefOrder>
  </b:Source>
  <b:Source>
    <b:Tag>Gei06</b:Tag>
    <b:SourceType>JournalArticle</b:SourceType>
    <b:Guid>{3527C2BA-C98F-4AD2-BC02-3ABCCDF451B7}</b:Guid>
    <b:Title>Does Hiring a New CFO Change Things? An Investigation of Changes in Discretionary Accruals</b:Title>
    <b:JournalName>Accounting Review</b:JournalName>
    <b:Year>2006</b:Year>
    <b:Pages>781-809</b:Pages>
    <b:Author>
      <b:Author>
        <b:NameList>
          <b:Person>
            <b:Last>Geiger</b:Last>
            <b:First>Marshall</b:First>
            <b:Middle>A.</b:Middle>
          </b:Person>
          <b:Person>
            <b:Last>North</b:Last>
            <b:First>David</b:First>
            <b:Middle>S.</b:Middle>
          </b:Person>
        </b:NameList>
      </b:Author>
    </b:Author>
    <b:Month>July</b:Month>
    <b:Publisher>American Accounting Association</b:Publisher>
    <b:Volume>81</b:Volume>
    <b:Issue>4</b:Issue>
    <b:RefOrder>6</b:RefOrder>
  </b:Source>
  <b:Source>
    <b:Tag>Abe04</b:Tag>
    <b:SourceType>JournalArticle</b:SourceType>
    <b:Guid>{8BD721AA-FD46-47FA-9EDF-61BD3FCAA06D}</b:Guid>
    <b:Title>Determinants of Control System Design in Divisionalised Firms</b:Title>
    <b:JournalName>Accounting Review</b:JournalName>
    <b:Year>2004</b:Year>
    <b:Pages>545-570</b:Pages>
    <b:Author>
      <b:Author>
        <b:NameList>
          <b:Person>
            <b:Last>Abernethy</b:Last>
            <b:Middle>A.</b:Middle>
            <b:First>Margaret</b:First>
          </b:Person>
          <b:Person>
            <b:Last>Bouwens</b:Last>
            <b:First>Jan</b:First>
          </b:Person>
          <b:Person>
            <b:Last>van Lent</b:Last>
            <b:First>Laurence</b:First>
          </b:Person>
        </b:NameList>
      </b:Author>
    </b:Author>
    <b:Month>July</b:Month>
    <b:Day>1</b:Day>
    <b:Volume>79</b:Volume>
    <b:Issue>3</b:Issue>
    <b:RefOrder>7</b:RefOrder>
  </b:Source>
  <b:Source>
    <b:Tag>LiC10</b:Tag>
    <b:SourceType>JournalArticle</b:SourceType>
    <b:Guid>{B8A6FC68-8A99-400D-A089-EF6724FE89AC}</b:Guid>
    <b:Title>Financial Executive Qualifications, Financial Executive Turnover and Adverse SOX 404 Opinions</b:Title>
    <b:JournalName>Journal of Accounting and Economics</b:JournalName>
    <b:Year>2010</b:Year>
    <b:Pages>93-110</b:Pages>
    <b:Author>
      <b:Author>
        <b:NameList>
          <b:Person>
            <b:Last>Li</b:Last>
            <b:First>Chan</b:First>
          </b:Person>
          <b:Person>
            <b:Last>Sun</b:Last>
            <b:First>Lili</b:First>
          </b:Person>
          <b:Person>
            <b:Last>Ettredge</b:Last>
            <b:First>Michael</b:First>
          </b:Person>
        </b:NameList>
      </b:Author>
    </b:Author>
    <b:Month>May</b:Month>
    <b:Volume>50</b:Volume>
    <b:Issue>1</b:Issue>
    <b:RefOrder>8</b:RefOrder>
  </b:Source>
  <b:Source>
    <b:Tag>Nor12</b:Tag>
    <b:SourceType>JournalArticle</b:SourceType>
    <b:Guid>{E327C658-05A8-40BB-B0EE-AFCFE15E4C4E}</b:Guid>
    <b:Title>The Rise of the Balanced Scorecard! Relevance Regained?</b:Title>
    <b:JournalName>Journal of Accounting and Organizational Change</b:JournalName>
    <b:Year>2012</b:Year>
    <b:Pages>490-510</b:Pages>
    <b:Author>
      <b:Author>
        <b:NameList>
          <b:Person>
            <b:Last>Norreklit</b:Last>
            <b:First>Hanne</b:First>
          </b:Person>
          <b:Person>
            <b:Last>Norreklit</b:Last>
            <b:First>Lennart</b:First>
          </b:Person>
          <b:Person>
            <b:Last>Mitchell</b:Last>
            <b:First>Falconer</b:First>
          </b:Person>
          <b:Person>
            <b:Last>Bjornenak</b:Last>
            <b:First>Trond</b:First>
          </b:Person>
        </b:NameList>
      </b:Author>
    </b:Author>
    <b:Volume>8</b:Volume>
    <b:Issue>4</b:Issue>
    <b:RefOrder>10</b:RefOrder>
  </b:Source>
  <b:Source>
    <b:Tag>Bol11</b:Tag>
    <b:SourceType>JournalArticle</b:SourceType>
    <b:Guid>{4BB69075-3D4A-4864-9E8C-9A2D36CCC178}</b:Guid>
    <b:Title>The Determinants and Performance Effects of Managers´ Performance Evaluation Bias</b:Title>
    <b:JournalName>The Accounting Review</b:JournalName>
    <b:Year>2011</b:Year>
    <b:Pages>1549-1575</b:Pages>
    <b:Author>
      <b:Author>
        <b:NameList>
          <b:Person>
            <b:Last>Bol</b:Last>
            <b:First>Jasmijn</b:First>
          </b:Person>
        </b:NameList>
      </b:Author>
    </b:Author>
    <b:Volume>86</b:Volume>
    <b:Issue>5</b:Issue>
    <b:RefOrder>11</b:RefOrder>
  </b:Source>
  <b:Source>
    <b:Tag>Hoi11</b:Tag>
    <b:SourceType>JournalArticle</b:SourceType>
    <b:Guid>{264758C0-F453-44B8-9919-52146396DA53}</b:Guid>
    <b:Title>Internal Control Material Weaknesses and CFO Compensation</b:Title>
    <b:JournalName>Contemporary Accounting Research</b:JournalName>
    <b:Year>2012</b:Year>
    <b:Pages>768-803</b:Pages>
    <b:Author>
      <b:Author>
        <b:NameList>
          <b:Person>
            <b:Last>Hoitash</b:Last>
            <b:First>Rani</b:First>
          </b:Person>
          <b:Person>
            <b:Last>Hoitash</b:Last>
            <b:First>Udi</b:First>
          </b:Person>
          <b:Person>
            <b:Last>Johnstone</b:Last>
            <b:Middle>M.</b:Middle>
            <b:First>Karla</b:First>
          </b:Person>
        </b:NameList>
      </b:Author>
    </b:Author>
    <b:Month>September</b:Month>
    <b:Day>1</b:Day>
    <b:Volume>29</b:Volume>
    <b:Issue>3</b:Issue>
    <b:RefOrder>9</b:RefOrder>
  </b:Source>
  <b:Source>
    <b:Tag>Paa00</b:Tag>
    <b:SourceType>JournalArticle</b:SourceType>
    <b:Guid>{15F32318-E545-44BD-A620-066B7AD3D877}</b:Guid>
    <b:Title>Piece Rates, Fixed Wages and Incentive Effects: Statistical Evidence From Payroll Records</b:Title>
    <b:JournalName>International Economic Review</b:JournalName>
    <b:Year>2000</b:Year>
    <b:Pages>59-92</b:Pages>
    <b:Author>
      <b:Author>
        <b:NameList>
          <b:Person>
            <b:Last>Paarsch</b:Last>
            <b:Middle>J.</b:Middle>
            <b:First>Harry</b:First>
          </b:Person>
          <b:Person>
            <b:Last>Shearer</b:Last>
            <b:First>Bruce</b:First>
          </b:Person>
        </b:NameList>
      </b:Author>
    </b:Author>
    <b:Month>February</b:Month>
    <b:Volume>41</b:Volume>
    <b:Issue>1</b:Issue>
    <b:RefOrder>12</b:RefOrder>
  </b:Source>
  <b:Source>
    <b:Tag>Kat06</b:Tag>
    <b:SourceType>DocumentFromInternetSite</b:SourceType>
    <b:Guid>{03D6A2D7-BB5B-4D4E-AA38-CA0C3279E84C}</b:Guid>
    <b:Title>IRS Chief: CFO Pay Should Be Fixed</b:Title>
    <b:Year>2006</b:Year>
    <b:Author>
      <b:Author>
        <b:NameList>
          <b:Person>
            <b:Last>Katz</b:Last>
            <b:Middle>M.</b:Middle>
            <b:First>David</b:First>
          </b:Person>
        </b:NameList>
      </b:Author>
    </b:Author>
    <b:Month>September</b:Month>
    <b:Day>6</b:Day>
    <b:InternetSiteTitle>CFO.com</b:InternetSiteTitle>
    <b:URL>http://ww2.cfo.com/human-capital-careers/2006/09/irs-chief-cfo-pay-should-be-fixed/</b:URL>
    <b:RefOrder>13</b:RefOrder>
  </b:Source>
</b:Sources>
</file>

<file path=customXml/itemProps1.xml><?xml version="1.0" encoding="utf-8"?>
<ds:datastoreItem xmlns:ds="http://schemas.openxmlformats.org/officeDocument/2006/customXml" ds:itemID="{92A3557D-4898-4245-962A-BB79E96E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22203</Words>
  <Characters>126562</Characters>
  <Application>Microsoft Office Word</Application>
  <DocSecurity>0</DocSecurity>
  <Lines>1054</Lines>
  <Paragraphs>296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
  <LinksUpToDate>false</LinksUpToDate>
  <CharactersWithSpaces>148469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Jaap van Stam</dc:creator>
  <cp:lastModifiedBy>Jaap van Stam</cp:lastModifiedBy>
  <cp:revision>2</cp:revision>
  <cp:lastPrinted>2015-12-31T16:37:00Z</cp:lastPrinted>
  <dcterms:created xsi:type="dcterms:W3CDTF">2015-12-31T16:37:00Z</dcterms:created>
  <dcterms:modified xsi:type="dcterms:W3CDTF">2015-12-31T16:37:00Z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8083</vt:lpwstr>
  </property>
  <property fmtid="{D5CDD505-2E9C-101B-9397-08002B2CF9AE}" pid="3" name="WnCSubscriberId">
    <vt:lpwstr>4046</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
  </property>
</Properties>
</file>